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A706D3" w:rsidP="00AC2883">
            <w:pPr>
              <w:pStyle w:val="Lettrine"/>
            </w:pPr>
            <w:r>
              <w:t>F</w:t>
            </w:r>
          </w:p>
        </w:tc>
      </w:tr>
      <w:tr w:rsidR="00DC3802" w:rsidRPr="00DA4973" w:rsidTr="00645CA8">
        <w:trPr>
          <w:trHeight w:val="219"/>
        </w:trPr>
        <w:tc>
          <w:tcPr>
            <w:tcW w:w="6522" w:type="dxa"/>
          </w:tcPr>
          <w:p w:rsidR="00DC3802" w:rsidRPr="00AC2883" w:rsidRDefault="00DC3802" w:rsidP="00A706D3">
            <w:pPr>
              <w:pStyle w:val="upove"/>
            </w:pPr>
            <w:r w:rsidRPr="00AC2883">
              <w:t xml:space="preserve">Union </w:t>
            </w:r>
            <w:r w:rsidR="00A706D3">
              <w:t>i</w:t>
            </w:r>
            <w:r w:rsidR="00A706D3" w:rsidRPr="00AC2883">
              <w:t>nternational</w:t>
            </w:r>
            <w:r w:rsidR="00A706D3">
              <w:t>e</w:t>
            </w:r>
            <w:r w:rsidR="00A706D3" w:rsidRPr="00AC2883">
              <w:t xml:space="preserve"> </w:t>
            </w:r>
            <w:r w:rsidR="00A706D3">
              <w:t>pour la protection des obtentions végétales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A706D3" w:rsidP="00AC2883">
            <w:pPr>
              <w:pStyle w:val="Sessiontc"/>
              <w:spacing w:line="240" w:lineRule="auto"/>
            </w:pPr>
            <w:r>
              <w:t>Comité technique</w:t>
            </w:r>
          </w:p>
          <w:p w:rsidR="00EB4E9C" w:rsidRPr="00DC3802" w:rsidRDefault="00A706D3" w:rsidP="00027994">
            <w:pPr>
              <w:pStyle w:val="Sessiontcplacedate"/>
              <w:rPr>
                <w:sz w:val="22"/>
              </w:rPr>
            </w:pPr>
            <w:r>
              <w:t>Cinquante-</w:t>
            </w:r>
            <w:r w:rsidR="00027994">
              <w:t>six</w:t>
            </w:r>
            <w:r>
              <w:t>ième s</w:t>
            </w:r>
            <w:r w:rsidR="00EB4E9C" w:rsidRPr="00DA4973">
              <w:t>ession</w:t>
            </w:r>
            <w:r w:rsidR="00EB4E9C" w:rsidRPr="00DA4973">
              <w:br/>
              <w:t>Gen</w:t>
            </w:r>
            <w:r>
              <w:t>è</w:t>
            </w:r>
            <w:r w:rsidR="00EB4E9C" w:rsidRPr="00DA4973">
              <w:t>v</w:t>
            </w:r>
            <w:r>
              <w:t>e</w:t>
            </w:r>
            <w:r w:rsidR="00EB4E9C" w:rsidRPr="00DA4973">
              <w:t xml:space="preserve">, </w:t>
            </w:r>
            <w:r w:rsidR="00897A4D">
              <w:t>2</w:t>
            </w:r>
            <w:r w:rsidR="00027994">
              <w:t>6</w:t>
            </w:r>
            <w:r w:rsidR="00897A4D">
              <w:t xml:space="preserve"> et </w:t>
            </w:r>
            <w:r w:rsidR="001C1F2F">
              <w:t>2</w:t>
            </w:r>
            <w:r w:rsidR="00027994">
              <w:t>7</w:t>
            </w:r>
            <w:r w:rsidR="00897A4D">
              <w:t xml:space="preserve"> octobre</w:t>
            </w:r>
            <w:r>
              <w:t xml:space="preserve"> </w:t>
            </w:r>
            <w:r w:rsidR="00027994">
              <w:t>2020</w:t>
            </w:r>
          </w:p>
        </w:tc>
        <w:tc>
          <w:tcPr>
            <w:tcW w:w="3127" w:type="dxa"/>
          </w:tcPr>
          <w:p w:rsidR="00EB4E9C" w:rsidRPr="00027994" w:rsidRDefault="00027994" w:rsidP="003C7FBE">
            <w:pPr>
              <w:pStyle w:val="Doccode"/>
              <w:rPr>
                <w:lang w:val="fr-FR"/>
              </w:rPr>
            </w:pPr>
            <w:r>
              <w:rPr>
                <w:lang w:val="fr-FR"/>
              </w:rPr>
              <w:t>TC/56</w:t>
            </w:r>
            <w:r w:rsidR="00EB4E9C" w:rsidRPr="00027994">
              <w:rPr>
                <w:lang w:val="fr-FR"/>
              </w:rPr>
              <w:t>/</w:t>
            </w:r>
            <w:r w:rsidR="005C008D">
              <w:rPr>
                <w:lang w:val="fr-FR"/>
              </w:rPr>
              <w:t>INF/6</w:t>
            </w:r>
          </w:p>
          <w:p w:rsidR="00EB4E9C" w:rsidRPr="003C7FBE" w:rsidRDefault="00EB4E9C" w:rsidP="003C7FBE">
            <w:pPr>
              <w:pStyle w:val="Docoriginal"/>
            </w:pPr>
            <w:r w:rsidRPr="00AC2883">
              <w:t>Original:</w:t>
            </w:r>
            <w:r w:rsidRPr="000E636A">
              <w:rPr>
                <w:b w:val="0"/>
                <w:spacing w:val="0"/>
              </w:rPr>
              <w:t xml:space="preserve">  </w:t>
            </w:r>
            <w:r w:rsidR="00A706D3">
              <w:rPr>
                <w:b w:val="0"/>
                <w:spacing w:val="0"/>
              </w:rPr>
              <w:t>anglais</w:t>
            </w:r>
          </w:p>
          <w:p w:rsidR="00EB4E9C" w:rsidRPr="007C1D92" w:rsidRDefault="00EB4E9C" w:rsidP="0008731C">
            <w:pPr>
              <w:pStyle w:val="Docoriginal"/>
            </w:pPr>
            <w:r w:rsidRPr="00AC2883">
              <w:t>Date:</w:t>
            </w:r>
            <w:r w:rsidR="00897A4D">
              <w:rPr>
                <w:b w:val="0"/>
                <w:spacing w:val="0"/>
              </w:rPr>
              <w:t xml:space="preserve">  </w:t>
            </w:r>
            <w:r w:rsidR="0008731C" w:rsidRPr="001355D3">
              <w:rPr>
                <w:b w:val="0"/>
                <w:spacing w:val="0"/>
              </w:rPr>
              <w:t>15 octobre</w:t>
            </w:r>
            <w:r w:rsidR="00897A4D" w:rsidRPr="001355D3">
              <w:rPr>
                <w:b w:val="0"/>
                <w:spacing w:val="0"/>
              </w:rPr>
              <w:t xml:space="preserve"> </w:t>
            </w:r>
            <w:r w:rsidR="00027994" w:rsidRPr="001355D3">
              <w:rPr>
                <w:b w:val="0"/>
                <w:spacing w:val="0"/>
              </w:rPr>
              <w:t>2020</w:t>
            </w:r>
          </w:p>
        </w:tc>
      </w:tr>
    </w:tbl>
    <w:p w:rsidR="005C008D" w:rsidRPr="002A709B" w:rsidRDefault="00813A65" w:rsidP="005C008D">
      <w:pPr>
        <w:pStyle w:val="Titleofdoc0"/>
        <w:rPr>
          <w:lang w:val="fr-CH"/>
        </w:rPr>
      </w:pPr>
      <w:bookmarkStart w:id="0" w:name="TitleOfDoc"/>
      <w:bookmarkEnd w:id="0"/>
      <w:r w:rsidRPr="002A709B">
        <w:rPr>
          <w:lang w:val="fr-CH"/>
        </w:rPr>
        <w:t>Techniques moléculaires – Questions pour information</w:t>
      </w:r>
    </w:p>
    <w:p w:rsidR="005C008D" w:rsidRPr="00A22802" w:rsidRDefault="005C008D" w:rsidP="005C008D">
      <w:pPr>
        <w:pStyle w:val="preparedby1"/>
        <w:jc w:val="left"/>
        <w:rPr>
          <w:lang w:val="fr-CH"/>
        </w:rPr>
      </w:pPr>
      <w:bookmarkStart w:id="1" w:name="Prepared"/>
      <w:bookmarkEnd w:id="1"/>
      <w:r w:rsidRPr="00A22802">
        <w:rPr>
          <w:lang w:val="fr-CH"/>
        </w:rPr>
        <w:t>Document établi par le Bureau de l’Union</w:t>
      </w:r>
    </w:p>
    <w:p w:rsidR="005C008D" w:rsidRPr="00A22802" w:rsidRDefault="005C008D" w:rsidP="005C008D">
      <w:pPr>
        <w:pStyle w:val="Disclaimer"/>
        <w:rPr>
          <w:lang w:val="fr-CH"/>
        </w:rPr>
      </w:pPr>
      <w:r w:rsidRPr="00A22802">
        <w:rPr>
          <w:lang w:val="fr-CH"/>
        </w:rPr>
        <w:t>Avertissement : le présent document ne représente pas les principes ou les orientations de l’UPOV</w:t>
      </w:r>
    </w:p>
    <w:p w:rsidR="005C008D" w:rsidRPr="00A22802" w:rsidRDefault="005C008D" w:rsidP="00A22802">
      <w:pPr>
        <w:pStyle w:val="Heading1"/>
      </w:pPr>
      <w:bookmarkStart w:id="2" w:name="_Toc54253881"/>
      <w:r w:rsidRPr="00A22802">
        <w:t>Résumé</w:t>
      </w:r>
      <w:bookmarkEnd w:id="2"/>
    </w:p>
    <w:p w:rsidR="005C008D" w:rsidRPr="00A22802" w:rsidRDefault="005C008D" w:rsidP="005C008D">
      <w:pPr>
        <w:rPr>
          <w:sz w:val="18"/>
          <w:lang w:val="fr-CH" w:eastAsia="ja-JP"/>
        </w:rPr>
      </w:pPr>
    </w:p>
    <w:p w:rsidR="005C008D" w:rsidRPr="00A22802" w:rsidRDefault="005C008D" w:rsidP="005C008D">
      <w:pPr>
        <w:rPr>
          <w:lang w:val="fr-CH"/>
        </w:rPr>
      </w:pPr>
      <w:r w:rsidRPr="00A22802">
        <w:rPr>
          <w:lang w:val="fr-CH"/>
        </w:rPr>
        <w:fldChar w:fldCharType="begin"/>
      </w:r>
      <w:r w:rsidRPr="00A22802">
        <w:rPr>
          <w:lang w:val="fr-CH"/>
        </w:rPr>
        <w:instrText xml:space="preserve"> AUTONUM  </w:instrText>
      </w:r>
      <w:r w:rsidRPr="00A22802">
        <w:rPr>
          <w:lang w:val="fr-CH"/>
        </w:rPr>
        <w:fldChar w:fldCharType="end"/>
      </w:r>
      <w:r w:rsidRPr="00A22802">
        <w:rPr>
          <w:lang w:val="fr-CH"/>
        </w:rPr>
        <w:tab/>
        <w:t>L’objet du présent document est de rendre compte des faits nouveaux survenus au sein des groupes de travail techniques, à leurs sessions de 2020, ainsi qu’à la dix-neuvième session du Groupe de travail sur les techniques biochimiques et moléculaires, notamment les profils d’ADN (BMT) à des fins d’information.</w:t>
      </w:r>
    </w:p>
    <w:p w:rsidR="005C008D" w:rsidRPr="00A22802" w:rsidRDefault="005C008D" w:rsidP="005C008D">
      <w:pPr>
        <w:rPr>
          <w:lang w:val="fr-CH" w:eastAsia="ja-JP"/>
        </w:rPr>
      </w:pPr>
    </w:p>
    <w:p w:rsidR="005C008D" w:rsidRPr="00A22802" w:rsidRDefault="005C008D" w:rsidP="005C008D">
      <w:pPr>
        <w:rPr>
          <w:lang w:val="fr-CH"/>
        </w:rPr>
      </w:pPr>
      <w:r w:rsidRPr="00A22802">
        <w:rPr>
          <w:lang w:val="fr-CH"/>
        </w:rPr>
        <w:fldChar w:fldCharType="begin"/>
      </w:r>
      <w:r w:rsidRPr="00A22802">
        <w:rPr>
          <w:lang w:val="fr-CH"/>
        </w:rPr>
        <w:instrText xml:space="preserve"> AUTONUM  </w:instrText>
      </w:r>
      <w:r w:rsidRPr="00A22802">
        <w:rPr>
          <w:lang w:val="fr-CH"/>
        </w:rPr>
        <w:fldChar w:fldCharType="end"/>
      </w:r>
      <w:r w:rsidRPr="00A22802">
        <w:rPr>
          <w:lang w:val="fr-CH"/>
        </w:rPr>
        <w:tab/>
        <w:t>Les questions pour examen par le Comité technique (TC) concernant l’utilisation des techniques biochimiques et moléculaires dans le cadre de l’examen DHS et les techniques moléculaires en rapport avec les groupes de travail techniques et le Groupe de travail sur les techniques biochimiques et moléculaires, notamment les profils d’ADN (BMT), figurent dans le document TC/56/7 “Techniques moléculaires”</w:t>
      </w:r>
    </w:p>
    <w:p w:rsidR="005C008D" w:rsidRPr="00A22802" w:rsidRDefault="005C008D" w:rsidP="005C008D">
      <w:pPr>
        <w:jc w:val="left"/>
        <w:rPr>
          <w:rFonts w:cs="Arial"/>
          <w:snapToGrid w:val="0"/>
          <w:szCs w:val="24"/>
          <w:lang w:val="fr-CH" w:eastAsia="ja-JP"/>
        </w:rPr>
      </w:pPr>
    </w:p>
    <w:p w:rsidR="005C008D" w:rsidRPr="00A22802" w:rsidRDefault="005C008D" w:rsidP="005C008D">
      <w:pPr>
        <w:keepNext/>
        <w:keepLines/>
        <w:rPr>
          <w:lang w:val="fr-CH"/>
        </w:rPr>
      </w:pPr>
      <w:r w:rsidRPr="00A22802">
        <w:rPr>
          <w:lang w:val="fr-CH"/>
        </w:rPr>
        <w:fldChar w:fldCharType="begin"/>
      </w:r>
      <w:r w:rsidRPr="00A22802">
        <w:rPr>
          <w:lang w:val="fr-CH"/>
        </w:rPr>
        <w:instrText xml:space="preserve"> AUTONUM  </w:instrText>
      </w:r>
      <w:r w:rsidRPr="00A22802">
        <w:rPr>
          <w:lang w:val="fr-CH"/>
        </w:rPr>
        <w:fldChar w:fldCharType="end"/>
      </w:r>
      <w:r w:rsidRPr="00A22802">
        <w:rPr>
          <w:lang w:val="fr-CH"/>
        </w:rPr>
        <w:tab/>
        <w:t>Le présent document est structuré comme suit :</w:t>
      </w:r>
    </w:p>
    <w:sdt>
      <w:sdtPr>
        <w:rPr>
          <w:smallCaps/>
          <w:sz w:val="18"/>
          <w:lang w:val="fr-CH"/>
        </w:rPr>
        <w:id w:val="-1800911247"/>
        <w:docPartObj>
          <w:docPartGallery w:val="Table of Contents"/>
          <w:docPartUnique/>
        </w:docPartObj>
      </w:sdtPr>
      <w:sdtEndPr>
        <w:rPr>
          <w:b/>
          <w:bCs/>
          <w:szCs w:val="18"/>
        </w:rPr>
      </w:sdtEndPr>
      <w:sdtContent>
        <w:p w:rsidR="005C008D" w:rsidRPr="00A22802" w:rsidRDefault="005C008D" w:rsidP="005C008D">
          <w:pPr>
            <w:keepNext/>
            <w:keepLines/>
            <w:rPr>
              <w:rFonts w:cs="Arial"/>
              <w:b/>
              <w:sz w:val="18"/>
              <w:lang w:val="fr-CH"/>
            </w:rPr>
          </w:pPr>
        </w:p>
        <w:p w:rsidR="00E143E0" w:rsidRDefault="005C008D" w:rsidP="00034613">
          <w:pPr>
            <w:pStyle w:val="TOC1"/>
            <w:rPr>
              <w:rFonts w:asciiTheme="minorHAnsi" w:eastAsiaTheme="minorEastAsia" w:hAnsiTheme="minorHAnsi" w:cstheme="minorBidi"/>
              <w:caps w:val="0"/>
              <w:noProof/>
              <w:sz w:val="22"/>
              <w:szCs w:val="22"/>
            </w:rPr>
          </w:pPr>
          <w:r w:rsidRPr="00A22802">
            <w:rPr>
              <w:rFonts w:cs="Arial"/>
              <w:szCs w:val="18"/>
              <w:lang w:val="fr-CH" w:eastAsia="ja-JP"/>
            </w:rPr>
            <w:fldChar w:fldCharType="begin"/>
          </w:r>
          <w:r w:rsidRPr="00A22802">
            <w:rPr>
              <w:rFonts w:cs="Arial"/>
              <w:bCs/>
              <w:szCs w:val="18"/>
              <w:lang w:val="fr-CH" w:eastAsia="ja-JP"/>
            </w:rPr>
            <w:instrText xml:space="preserve"> TOC \o "1-3" \h \z \u </w:instrText>
          </w:r>
          <w:r w:rsidRPr="00A22802">
            <w:rPr>
              <w:rFonts w:cs="Arial"/>
              <w:szCs w:val="18"/>
              <w:lang w:val="fr-CH" w:eastAsia="ja-JP"/>
            </w:rPr>
            <w:fldChar w:fldCharType="separate"/>
          </w:r>
          <w:hyperlink w:anchor="_Toc54253881" w:history="1">
            <w:r w:rsidR="00E143E0" w:rsidRPr="001E5F17">
              <w:rPr>
                <w:rStyle w:val="Hyperlink"/>
                <w:noProof/>
              </w:rPr>
              <w:t>Résumé</w:t>
            </w:r>
            <w:r w:rsidR="00E143E0">
              <w:rPr>
                <w:noProof/>
                <w:webHidden/>
              </w:rPr>
              <w:tab/>
            </w:r>
            <w:r w:rsidR="00E143E0">
              <w:rPr>
                <w:noProof/>
                <w:webHidden/>
              </w:rPr>
              <w:fldChar w:fldCharType="begin"/>
            </w:r>
            <w:r w:rsidR="00E143E0">
              <w:rPr>
                <w:noProof/>
                <w:webHidden/>
              </w:rPr>
              <w:instrText xml:space="preserve"> PAGEREF _Toc54253881 \h </w:instrText>
            </w:r>
            <w:r w:rsidR="00E143E0">
              <w:rPr>
                <w:noProof/>
                <w:webHidden/>
              </w:rPr>
            </w:r>
            <w:r w:rsidR="00E143E0">
              <w:rPr>
                <w:noProof/>
                <w:webHidden/>
              </w:rPr>
              <w:fldChar w:fldCharType="separate"/>
            </w:r>
            <w:r w:rsidR="00E143E0">
              <w:rPr>
                <w:noProof/>
                <w:webHidden/>
              </w:rPr>
              <w:t>1</w:t>
            </w:r>
            <w:r w:rsidR="00E143E0">
              <w:rPr>
                <w:noProof/>
                <w:webHidden/>
              </w:rPr>
              <w:fldChar w:fldCharType="end"/>
            </w:r>
          </w:hyperlink>
        </w:p>
        <w:p w:rsidR="00E143E0" w:rsidRDefault="001355D3" w:rsidP="00034613">
          <w:pPr>
            <w:pStyle w:val="TOC1"/>
            <w:rPr>
              <w:rFonts w:asciiTheme="minorHAnsi" w:eastAsiaTheme="minorEastAsia" w:hAnsiTheme="minorHAnsi" w:cstheme="minorBidi"/>
              <w:caps w:val="0"/>
              <w:noProof/>
              <w:sz w:val="22"/>
              <w:szCs w:val="22"/>
            </w:rPr>
          </w:pPr>
          <w:hyperlink w:anchor="_Toc54253882" w:history="1">
            <w:r w:rsidR="00E143E0" w:rsidRPr="001E5F17">
              <w:rPr>
                <w:rStyle w:val="Hyperlink"/>
                <w:noProof/>
              </w:rPr>
              <w:t>Faits nouveaux survenus au sein des groupes de travail techniques à leurs sessions de 2020</w:t>
            </w:r>
            <w:r w:rsidR="00E143E0">
              <w:rPr>
                <w:noProof/>
                <w:webHidden/>
              </w:rPr>
              <w:tab/>
            </w:r>
            <w:r w:rsidR="00E143E0">
              <w:rPr>
                <w:noProof/>
                <w:webHidden/>
              </w:rPr>
              <w:fldChar w:fldCharType="begin"/>
            </w:r>
            <w:r w:rsidR="00E143E0">
              <w:rPr>
                <w:noProof/>
                <w:webHidden/>
              </w:rPr>
              <w:instrText xml:space="preserve"> PAGEREF _Toc54253882 \h </w:instrText>
            </w:r>
            <w:r w:rsidR="00E143E0">
              <w:rPr>
                <w:noProof/>
                <w:webHidden/>
              </w:rPr>
            </w:r>
            <w:r w:rsidR="00E143E0">
              <w:rPr>
                <w:noProof/>
                <w:webHidden/>
              </w:rPr>
              <w:fldChar w:fldCharType="separate"/>
            </w:r>
            <w:r w:rsidR="00E143E0">
              <w:rPr>
                <w:noProof/>
                <w:webHidden/>
              </w:rPr>
              <w:t>2</w:t>
            </w:r>
            <w:r w:rsidR="00E143E0">
              <w:rPr>
                <w:noProof/>
                <w:webHidden/>
              </w:rPr>
              <w:fldChar w:fldCharType="end"/>
            </w:r>
          </w:hyperlink>
        </w:p>
        <w:p w:rsidR="00E143E0" w:rsidRDefault="001355D3" w:rsidP="00034613">
          <w:pPr>
            <w:pStyle w:val="TOC2"/>
            <w:rPr>
              <w:rFonts w:asciiTheme="minorHAnsi" w:eastAsiaTheme="minorEastAsia" w:hAnsiTheme="minorHAnsi" w:cstheme="minorBidi"/>
              <w:smallCaps/>
              <w:noProof/>
              <w:sz w:val="22"/>
              <w:szCs w:val="22"/>
            </w:rPr>
          </w:pPr>
          <w:hyperlink w:anchor="_Toc54253883" w:history="1">
            <w:r w:rsidR="00E143E0" w:rsidRPr="001E5F17">
              <w:rPr>
                <w:rStyle w:val="Hyperlink"/>
                <w:noProof/>
                <w:lang w:val="fr-CH"/>
              </w:rPr>
              <w:t>Exposé sur l’application des techniques moléculaires à l’examen DHS</w:t>
            </w:r>
            <w:r w:rsidR="00E143E0">
              <w:rPr>
                <w:noProof/>
                <w:webHidden/>
              </w:rPr>
              <w:tab/>
            </w:r>
            <w:r w:rsidR="00E143E0">
              <w:rPr>
                <w:noProof/>
                <w:webHidden/>
              </w:rPr>
              <w:fldChar w:fldCharType="begin"/>
            </w:r>
            <w:r w:rsidR="00E143E0">
              <w:rPr>
                <w:noProof/>
                <w:webHidden/>
              </w:rPr>
              <w:instrText xml:space="preserve"> PAGEREF _Toc54253883 \h </w:instrText>
            </w:r>
            <w:r w:rsidR="00E143E0">
              <w:rPr>
                <w:noProof/>
                <w:webHidden/>
              </w:rPr>
            </w:r>
            <w:r w:rsidR="00E143E0">
              <w:rPr>
                <w:noProof/>
                <w:webHidden/>
              </w:rPr>
              <w:fldChar w:fldCharType="separate"/>
            </w:r>
            <w:r w:rsidR="00E143E0">
              <w:rPr>
                <w:noProof/>
                <w:webHidden/>
              </w:rPr>
              <w:t>2</w:t>
            </w:r>
            <w:r w:rsidR="00E143E0">
              <w:rPr>
                <w:noProof/>
                <w:webHidden/>
              </w:rPr>
              <w:fldChar w:fldCharType="end"/>
            </w:r>
          </w:hyperlink>
        </w:p>
        <w:p w:rsidR="00E143E0" w:rsidRDefault="001355D3" w:rsidP="001355D3">
          <w:pPr>
            <w:pStyle w:val="TOC3"/>
            <w:rPr>
              <w:rFonts w:asciiTheme="minorHAnsi" w:eastAsiaTheme="minorEastAsia" w:hAnsiTheme="minorHAnsi" w:cstheme="minorBidi"/>
              <w:noProof/>
              <w:sz w:val="22"/>
              <w:szCs w:val="22"/>
              <w:lang w:val="en-US"/>
            </w:rPr>
          </w:pPr>
          <w:hyperlink w:anchor="_Toc54253884" w:history="1">
            <w:r w:rsidR="00E143E0" w:rsidRPr="001E5F17">
              <w:rPr>
                <w:rStyle w:val="Hyperlink"/>
                <w:noProof/>
                <w:lang w:val="fr-CH"/>
              </w:rPr>
              <w:t>Informations concernant les marqueurs moléculaires dans les Principes directeurs d’examen</w:t>
            </w:r>
            <w:r w:rsidR="00E143E0">
              <w:rPr>
                <w:noProof/>
                <w:webHidden/>
              </w:rPr>
              <w:tab/>
            </w:r>
            <w:r w:rsidR="00E143E0">
              <w:rPr>
                <w:noProof/>
                <w:webHidden/>
              </w:rPr>
              <w:fldChar w:fldCharType="begin"/>
            </w:r>
            <w:r w:rsidR="00E143E0">
              <w:rPr>
                <w:noProof/>
                <w:webHidden/>
              </w:rPr>
              <w:instrText xml:space="preserve"> PAGEREF _Toc54253884 \h </w:instrText>
            </w:r>
            <w:r w:rsidR="00E143E0">
              <w:rPr>
                <w:noProof/>
                <w:webHidden/>
              </w:rPr>
            </w:r>
            <w:r w:rsidR="00E143E0">
              <w:rPr>
                <w:noProof/>
                <w:webHidden/>
              </w:rPr>
              <w:fldChar w:fldCharType="separate"/>
            </w:r>
            <w:r w:rsidR="00E143E0">
              <w:rPr>
                <w:noProof/>
                <w:webHidden/>
              </w:rPr>
              <w:t>2</w:t>
            </w:r>
            <w:r w:rsidR="00E143E0">
              <w:rPr>
                <w:noProof/>
                <w:webHidden/>
              </w:rPr>
              <w:fldChar w:fldCharType="end"/>
            </w:r>
          </w:hyperlink>
        </w:p>
        <w:p w:rsidR="00E143E0" w:rsidRDefault="001355D3" w:rsidP="001355D3">
          <w:pPr>
            <w:pStyle w:val="TOC3"/>
            <w:rPr>
              <w:rFonts w:asciiTheme="minorHAnsi" w:eastAsiaTheme="minorEastAsia" w:hAnsiTheme="minorHAnsi" w:cstheme="minorBidi"/>
              <w:noProof/>
              <w:sz w:val="22"/>
              <w:szCs w:val="22"/>
              <w:lang w:val="en-US"/>
            </w:rPr>
          </w:pPr>
          <w:hyperlink w:anchor="_Toc54253885" w:history="1">
            <w:r w:rsidR="00E143E0" w:rsidRPr="001E5F17">
              <w:rPr>
                <w:rStyle w:val="Hyperlink"/>
                <w:noProof/>
                <w:lang w:val="fr-CH"/>
              </w:rPr>
              <w:t>Élaboration d’une stratégie relative à l’application de marqueurs moléculaires de type SNP dans le cadre de l’examen DHS du colza oléagineux d’hiver</w:t>
            </w:r>
            <w:r w:rsidR="00E143E0">
              <w:rPr>
                <w:noProof/>
                <w:webHidden/>
              </w:rPr>
              <w:tab/>
            </w:r>
            <w:r w:rsidR="00E143E0">
              <w:rPr>
                <w:noProof/>
                <w:webHidden/>
              </w:rPr>
              <w:fldChar w:fldCharType="begin"/>
            </w:r>
            <w:r w:rsidR="00E143E0">
              <w:rPr>
                <w:noProof/>
                <w:webHidden/>
              </w:rPr>
              <w:instrText xml:space="preserve"> PAGEREF _Toc54253885 \h </w:instrText>
            </w:r>
            <w:r w:rsidR="00E143E0">
              <w:rPr>
                <w:noProof/>
                <w:webHidden/>
              </w:rPr>
            </w:r>
            <w:r w:rsidR="00E143E0">
              <w:rPr>
                <w:noProof/>
                <w:webHidden/>
              </w:rPr>
              <w:fldChar w:fldCharType="separate"/>
            </w:r>
            <w:r w:rsidR="00E143E0">
              <w:rPr>
                <w:noProof/>
                <w:webHidden/>
              </w:rPr>
              <w:t>2</w:t>
            </w:r>
            <w:r w:rsidR="00E143E0">
              <w:rPr>
                <w:noProof/>
                <w:webHidden/>
              </w:rPr>
              <w:fldChar w:fldCharType="end"/>
            </w:r>
          </w:hyperlink>
        </w:p>
        <w:p w:rsidR="00E143E0" w:rsidRDefault="001355D3" w:rsidP="00034613">
          <w:pPr>
            <w:pStyle w:val="TOC1"/>
            <w:rPr>
              <w:rFonts w:asciiTheme="minorHAnsi" w:eastAsiaTheme="minorEastAsia" w:hAnsiTheme="minorHAnsi" w:cstheme="minorBidi"/>
              <w:caps w:val="0"/>
              <w:noProof/>
              <w:sz w:val="22"/>
              <w:szCs w:val="22"/>
            </w:rPr>
          </w:pPr>
          <w:hyperlink w:anchor="_Toc54253886" w:history="1">
            <w:r w:rsidR="00E143E0" w:rsidRPr="001E5F17">
              <w:rPr>
                <w:rStyle w:val="Hyperlink"/>
                <w:noProof/>
              </w:rPr>
              <w:t>Avancées de la dix-neuvième session du Groupe de travail sur les techniques biochimiques et moléculaires, notamment les profils d’ADN</w:t>
            </w:r>
            <w:r w:rsidR="00E143E0">
              <w:rPr>
                <w:noProof/>
                <w:webHidden/>
              </w:rPr>
              <w:tab/>
            </w:r>
            <w:r w:rsidR="00E143E0">
              <w:rPr>
                <w:noProof/>
                <w:webHidden/>
              </w:rPr>
              <w:fldChar w:fldCharType="begin"/>
            </w:r>
            <w:r w:rsidR="00E143E0">
              <w:rPr>
                <w:noProof/>
                <w:webHidden/>
              </w:rPr>
              <w:instrText xml:space="preserve"> PAGEREF _Toc54253886 \h </w:instrText>
            </w:r>
            <w:r w:rsidR="00E143E0">
              <w:rPr>
                <w:noProof/>
                <w:webHidden/>
              </w:rPr>
            </w:r>
            <w:r w:rsidR="00E143E0">
              <w:rPr>
                <w:noProof/>
                <w:webHidden/>
              </w:rPr>
              <w:fldChar w:fldCharType="separate"/>
            </w:r>
            <w:r w:rsidR="00E143E0">
              <w:rPr>
                <w:noProof/>
                <w:webHidden/>
              </w:rPr>
              <w:t>2</w:t>
            </w:r>
            <w:r w:rsidR="00E143E0">
              <w:rPr>
                <w:noProof/>
                <w:webHidden/>
              </w:rPr>
              <w:fldChar w:fldCharType="end"/>
            </w:r>
          </w:hyperlink>
        </w:p>
        <w:p w:rsidR="00E143E0" w:rsidRDefault="001355D3" w:rsidP="00034613">
          <w:pPr>
            <w:pStyle w:val="TOC2"/>
            <w:rPr>
              <w:rFonts w:asciiTheme="minorHAnsi" w:eastAsiaTheme="minorEastAsia" w:hAnsiTheme="minorHAnsi" w:cstheme="minorBidi"/>
              <w:smallCaps/>
              <w:noProof/>
              <w:sz w:val="22"/>
              <w:szCs w:val="22"/>
            </w:rPr>
          </w:pPr>
          <w:hyperlink w:anchor="_Toc54253887" w:history="1">
            <w:r w:rsidR="00E143E0" w:rsidRPr="001E5F17">
              <w:rPr>
                <w:rStyle w:val="Hyperlink"/>
                <w:noProof/>
                <w:lang w:val="fr-CH" w:eastAsia="ja-JP"/>
              </w:rPr>
              <w:t>Documents présentés</w:t>
            </w:r>
            <w:r w:rsidR="00E143E0">
              <w:rPr>
                <w:noProof/>
                <w:webHidden/>
              </w:rPr>
              <w:tab/>
            </w:r>
            <w:r w:rsidR="00E143E0">
              <w:rPr>
                <w:noProof/>
                <w:webHidden/>
              </w:rPr>
              <w:fldChar w:fldCharType="begin"/>
            </w:r>
            <w:r w:rsidR="00E143E0">
              <w:rPr>
                <w:noProof/>
                <w:webHidden/>
              </w:rPr>
              <w:instrText xml:space="preserve"> PAGEREF _Toc54253887 \h </w:instrText>
            </w:r>
            <w:r w:rsidR="00E143E0">
              <w:rPr>
                <w:noProof/>
                <w:webHidden/>
              </w:rPr>
            </w:r>
            <w:r w:rsidR="00E143E0">
              <w:rPr>
                <w:noProof/>
                <w:webHidden/>
              </w:rPr>
              <w:fldChar w:fldCharType="separate"/>
            </w:r>
            <w:r w:rsidR="00E143E0">
              <w:rPr>
                <w:noProof/>
                <w:webHidden/>
              </w:rPr>
              <w:t>2</w:t>
            </w:r>
            <w:r w:rsidR="00E143E0">
              <w:rPr>
                <w:noProof/>
                <w:webHidden/>
              </w:rPr>
              <w:fldChar w:fldCharType="end"/>
            </w:r>
          </w:hyperlink>
        </w:p>
        <w:p w:rsidR="00E143E0" w:rsidRDefault="001355D3" w:rsidP="00034613">
          <w:pPr>
            <w:pStyle w:val="TOC2"/>
            <w:rPr>
              <w:rFonts w:asciiTheme="minorHAnsi" w:eastAsiaTheme="minorEastAsia" w:hAnsiTheme="minorHAnsi" w:cstheme="minorBidi"/>
              <w:smallCaps/>
              <w:noProof/>
              <w:sz w:val="22"/>
              <w:szCs w:val="22"/>
            </w:rPr>
          </w:pPr>
          <w:hyperlink w:anchor="_Toc54253888" w:history="1">
            <w:r w:rsidR="00E143E0" w:rsidRPr="001E5F17">
              <w:rPr>
                <w:rStyle w:val="Hyperlink"/>
                <w:noProof/>
                <w:lang w:val="fr-CH"/>
              </w:rPr>
              <w:t>Date et lieu de la prochaine session</w:t>
            </w:r>
            <w:r w:rsidR="00E143E0">
              <w:rPr>
                <w:noProof/>
                <w:webHidden/>
              </w:rPr>
              <w:tab/>
            </w:r>
            <w:r w:rsidR="00E143E0">
              <w:rPr>
                <w:noProof/>
                <w:webHidden/>
              </w:rPr>
              <w:fldChar w:fldCharType="begin"/>
            </w:r>
            <w:r w:rsidR="00E143E0">
              <w:rPr>
                <w:noProof/>
                <w:webHidden/>
              </w:rPr>
              <w:instrText xml:space="preserve"> PAGEREF _Toc54253888 \h </w:instrText>
            </w:r>
            <w:r w:rsidR="00E143E0">
              <w:rPr>
                <w:noProof/>
                <w:webHidden/>
              </w:rPr>
            </w:r>
            <w:r w:rsidR="00E143E0">
              <w:rPr>
                <w:noProof/>
                <w:webHidden/>
              </w:rPr>
              <w:fldChar w:fldCharType="separate"/>
            </w:r>
            <w:r w:rsidR="00E143E0">
              <w:rPr>
                <w:noProof/>
                <w:webHidden/>
              </w:rPr>
              <w:t>3</w:t>
            </w:r>
            <w:r w:rsidR="00E143E0">
              <w:rPr>
                <w:noProof/>
                <w:webHidden/>
              </w:rPr>
              <w:fldChar w:fldCharType="end"/>
            </w:r>
          </w:hyperlink>
        </w:p>
        <w:p w:rsidR="00E143E0" w:rsidRDefault="001355D3" w:rsidP="00034613">
          <w:pPr>
            <w:pStyle w:val="TOC2"/>
            <w:rPr>
              <w:rFonts w:asciiTheme="minorHAnsi" w:eastAsiaTheme="minorEastAsia" w:hAnsiTheme="minorHAnsi" w:cstheme="minorBidi"/>
              <w:smallCaps/>
              <w:noProof/>
              <w:sz w:val="22"/>
              <w:szCs w:val="22"/>
            </w:rPr>
          </w:pPr>
          <w:hyperlink w:anchor="_Toc54253889" w:history="1">
            <w:r w:rsidR="00E143E0" w:rsidRPr="001E5F17">
              <w:rPr>
                <w:rStyle w:val="Hyperlink"/>
                <w:noProof/>
                <w:lang w:val="fr-CH"/>
              </w:rPr>
              <w:t>Programme futur</w:t>
            </w:r>
            <w:r w:rsidR="00E143E0">
              <w:rPr>
                <w:noProof/>
                <w:webHidden/>
              </w:rPr>
              <w:tab/>
            </w:r>
            <w:r w:rsidR="00E143E0">
              <w:rPr>
                <w:noProof/>
                <w:webHidden/>
              </w:rPr>
              <w:fldChar w:fldCharType="begin"/>
            </w:r>
            <w:r w:rsidR="00E143E0">
              <w:rPr>
                <w:noProof/>
                <w:webHidden/>
              </w:rPr>
              <w:instrText xml:space="preserve"> PAGEREF _Toc54253889 \h </w:instrText>
            </w:r>
            <w:r w:rsidR="00E143E0">
              <w:rPr>
                <w:noProof/>
                <w:webHidden/>
              </w:rPr>
            </w:r>
            <w:r w:rsidR="00E143E0">
              <w:rPr>
                <w:noProof/>
                <w:webHidden/>
              </w:rPr>
              <w:fldChar w:fldCharType="separate"/>
            </w:r>
            <w:r w:rsidR="00E143E0">
              <w:rPr>
                <w:noProof/>
                <w:webHidden/>
              </w:rPr>
              <w:t>3</w:t>
            </w:r>
            <w:r w:rsidR="00E143E0">
              <w:rPr>
                <w:noProof/>
                <w:webHidden/>
              </w:rPr>
              <w:fldChar w:fldCharType="end"/>
            </w:r>
          </w:hyperlink>
        </w:p>
        <w:p w:rsidR="005C008D" w:rsidRPr="00A22802" w:rsidRDefault="005C008D" w:rsidP="005C008D">
          <w:pPr>
            <w:pStyle w:val="TOC2"/>
            <w:rPr>
              <w:b/>
              <w:bCs/>
              <w:smallCaps/>
              <w:szCs w:val="18"/>
              <w:lang w:val="fr-CH"/>
            </w:rPr>
          </w:pPr>
          <w:r w:rsidRPr="00A22802">
            <w:rPr>
              <w:b/>
              <w:bCs/>
              <w:smallCaps/>
              <w:szCs w:val="18"/>
              <w:lang w:val="fr-CH"/>
            </w:rPr>
            <w:fldChar w:fldCharType="end"/>
          </w:r>
        </w:p>
      </w:sdtContent>
    </w:sdt>
    <w:p w:rsidR="005C008D" w:rsidRPr="00A22802" w:rsidRDefault="005C008D" w:rsidP="005C008D">
      <w:pPr>
        <w:rPr>
          <w:lang w:val="fr-CH"/>
        </w:rPr>
      </w:pPr>
    </w:p>
    <w:p w:rsidR="005C008D" w:rsidRPr="00A22802" w:rsidRDefault="005C008D" w:rsidP="005C008D">
      <w:pPr>
        <w:rPr>
          <w:lang w:val="fr-CH"/>
        </w:rPr>
      </w:pPr>
      <w:r w:rsidRPr="00A22802">
        <w:rPr>
          <w:lang w:val="fr-CH"/>
        </w:rPr>
        <w:fldChar w:fldCharType="begin"/>
      </w:r>
      <w:r w:rsidRPr="00A22802">
        <w:rPr>
          <w:lang w:val="fr-CH"/>
        </w:rPr>
        <w:instrText xml:space="preserve"> AUTONUM  </w:instrText>
      </w:r>
      <w:r w:rsidRPr="00A22802">
        <w:rPr>
          <w:lang w:val="fr-CH"/>
        </w:rPr>
        <w:fldChar w:fldCharType="end"/>
      </w:r>
      <w:r w:rsidRPr="00A22802">
        <w:rPr>
          <w:lang w:val="fr-CH"/>
        </w:rPr>
        <w:tab/>
        <w:t>Les abréviations suivantes sont utilisées dans le présent document :</w:t>
      </w:r>
    </w:p>
    <w:p w:rsidR="005C008D" w:rsidRPr="00A22802" w:rsidRDefault="005C008D" w:rsidP="005C008D">
      <w:pPr>
        <w:rPr>
          <w:lang w:val="fr-CH"/>
        </w:rPr>
      </w:pPr>
    </w:p>
    <w:p w:rsidR="005C008D" w:rsidRPr="00A22802" w:rsidRDefault="005C008D" w:rsidP="005C008D">
      <w:pPr>
        <w:keepNext/>
        <w:tabs>
          <w:tab w:val="left" w:pos="567"/>
        </w:tabs>
        <w:ind w:left="1701" w:hanging="1134"/>
        <w:rPr>
          <w:sz w:val="18"/>
          <w:lang w:val="fr-CH"/>
        </w:rPr>
      </w:pPr>
      <w:r w:rsidRPr="00A22802">
        <w:rPr>
          <w:sz w:val="18"/>
          <w:lang w:val="fr-CH"/>
        </w:rPr>
        <w:t xml:space="preserve">BMT : </w:t>
      </w:r>
      <w:r w:rsidRPr="00A22802">
        <w:rPr>
          <w:sz w:val="18"/>
          <w:lang w:val="fr-CH"/>
        </w:rPr>
        <w:tab/>
        <w:t>Groupe de travail sur les techniques biochimiques et moléculaires, notamment les profils d’ADN</w:t>
      </w:r>
    </w:p>
    <w:p w:rsidR="005C008D" w:rsidRPr="00A22802" w:rsidRDefault="005C008D" w:rsidP="005C008D">
      <w:pPr>
        <w:ind w:left="1701" w:hanging="1134"/>
        <w:rPr>
          <w:rFonts w:cs="Arial"/>
          <w:snapToGrid w:val="0"/>
          <w:sz w:val="18"/>
          <w:szCs w:val="24"/>
          <w:lang w:val="fr-CH" w:eastAsia="ja-JP"/>
        </w:rPr>
      </w:pPr>
      <w:r w:rsidRPr="00A22802">
        <w:rPr>
          <w:rFonts w:cs="Arial"/>
          <w:snapToGrid w:val="0"/>
          <w:sz w:val="18"/>
          <w:szCs w:val="24"/>
          <w:lang w:val="fr-CH" w:eastAsia="ja-JP"/>
        </w:rPr>
        <w:t xml:space="preserve">ISTA : </w:t>
      </w:r>
      <w:r w:rsidRPr="00A22802">
        <w:rPr>
          <w:rFonts w:cs="Arial"/>
          <w:snapToGrid w:val="0"/>
          <w:sz w:val="18"/>
          <w:szCs w:val="24"/>
          <w:lang w:val="fr-CH" w:eastAsia="ja-JP"/>
        </w:rPr>
        <w:tab/>
        <w:t>Association internationale d’essais de semences</w:t>
      </w:r>
    </w:p>
    <w:p w:rsidR="005C008D" w:rsidRPr="00A22802" w:rsidRDefault="005C008D" w:rsidP="005C008D">
      <w:pPr>
        <w:ind w:left="1701" w:hanging="1134"/>
        <w:rPr>
          <w:rFonts w:eastAsia="PMingLiU" w:cs="Arial"/>
          <w:snapToGrid w:val="0"/>
          <w:sz w:val="18"/>
          <w:szCs w:val="24"/>
          <w:lang w:val="fr-CH"/>
        </w:rPr>
      </w:pPr>
      <w:r w:rsidRPr="00A22802">
        <w:rPr>
          <w:rFonts w:eastAsia="PMingLiU" w:cs="Arial"/>
          <w:snapToGrid w:val="0"/>
          <w:sz w:val="18"/>
          <w:szCs w:val="24"/>
          <w:lang w:val="fr-CH"/>
        </w:rPr>
        <w:t xml:space="preserve">OCDE : </w:t>
      </w:r>
      <w:r w:rsidRPr="00A22802">
        <w:rPr>
          <w:rFonts w:eastAsia="PMingLiU" w:cs="Arial"/>
          <w:snapToGrid w:val="0"/>
          <w:sz w:val="18"/>
          <w:szCs w:val="24"/>
          <w:lang w:val="fr-CH"/>
        </w:rPr>
        <w:tab/>
        <w:t>Organisation de coopération et de développement économiques</w:t>
      </w:r>
    </w:p>
    <w:p w:rsidR="005C008D" w:rsidRPr="00A22802" w:rsidRDefault="005C008D" w:rsidP="005C008D">
      <w:pPr>
        <w:keepNext/>
        <w:tabs>
          <w:tab w:val="left" w:pos="567"/>
        </w:tabs>
        <w:ind w:left="1701" w:hanging="1134"/>
        <w:rPr>
          <w:sz w:val="18"/>
          <w:lang w:val="fr-CH"/>
        </w:rPr>
      </w:pPr>
      <w:r w:rsidRPr="00A22802">
        <w:rPr>
          <w:sz w:val="18"/>
          <w:lang w:val="fr-CH"/>
        </w:rPr>
        <w:t xml:space="preserve">TC : </w:t>
      </w:r>
      <w:r w:rsidRPr="00A22802">
        <w:rPr>
          <w:sz w:val="18"/>
          <w:lang w:val="fr-CH"/>
        </w:rPr>
        <w:tab/>
      </w:r>
      <w:r w:rsidRPr="00A22802">
        <w:rPr>
          <w:sz w:val="18"/>
          <w:lang w:val="fr-CH"/>
        </w:rPr>
        <w:tab/>
        <w:t>Comité technique</w:t>
      </w:r>
    </w:p>
    <w:p w:rsidR="005C008D" w:rsidRPr="00A22802" w:rsidRDefault="005C008D" w:rsidP="005C008D">
      <w:pPr>
        <w:ind w:left="1701" w:hanging="1134"/>
        <w:rPr>
          <w:rFonts w:eastAsia="PMingLiU" w:cs="Arial"/>
          <w:sz w:val="18"/>
          <w:szCs w:val="24"/>
          <w:lang w:val="fr-CH"/>
        </w:rPr>
      </w:pPr>
      <w:r w:rsidRPr="00A22802">
        <w:rPr>
          <w:rFonts w:eastAsia="PMingLiU" w:cs="Arial"/>
          <w:sz w:val="18"/>
          <w:szCs w:val="24"/>
          <w:lang w:val="fr-CH"/>
        </w:rPr>
        <w:t xml:space="preserve">TWA : </w:t>
      </w:r>
      <w:r w:rsidRPr="00A22802">
        <w:rPr>
          <w:rFonts w:eastAsia="PMingLiU" w:cs="Arial"/>
          <w:sz w:val="18"/>
          <w:szCs w:val="24"/>
          <w:lang w:val="fr-CH"/>
        </w:rPr>
        <w:tab/>
        <w:t>Groupe de travail technique sur les plantes agricoles</w:t>
      </w:r>
    </w:p>
    <w:p w:rsidR="005C008D" w:rsidRPr="00A22802" w:rsidRDefault="005C008D" w:rsidP="005C008D">
      <w:pPr>
        <w:ind w:left="1701" w:hanging="1134"/>
        <w:rPr>
          <w:rFonts w:eastAsia="PMingLiU" w:cs="Arial"/>
          <w:sz w:val="18"/>
          <w:szCs w:val="24"/>
          <w:lang w:val="fr-CH"/>
        </w:rPr>
      </w:pPr>
      <w:r w:rsidRPr="00A22802">
        <w:rPr>
          <w:rFonts w:eastAsia="PMingLiU" w:cs="Arial"/>
          <w:sz w:val="18"/>
          <w:szCs w:val="24"/>
          <w:lang w:val="fr-CH"/>
        </w:rPr>
        <w:t xml:space="preserve">TWC : </w:t>
      </w:r>
      <w:r w:rsidRPr="00A22802">
        <w:rPr>
          <w:rFonts w:eastAsia="PMingLiU" w:cs="Arial"/>
          <w:sz w:val="18"/>
          <w:szCs w:val="24"/>
          <w:lang w:val="fr-CH"/>
        </w:rPr>
        <w:tab/>
        <w:t>Groupe de travail technique sur les systèmes d’automatisation et les programmes d’ordinateur</w:t>
      </w:r>
    </w:p>
    <w:p w:rsidR="005C008D" w:rsidRPr="00A22802" w:rsidRDefault="005C008D" w:rsidP="005C008D">
      <w:pPr>
        <w:ind w:left="1701" w:hanging="1134"/>
        <w:rPr>
          <w:rFonts w:eastAsia="PMingLiU" w:cs="Arial"/>
          <w:sz w:val="18"/>
          <w:szCs w:val="24"/>
          <w:lang w:val="fr-CH"/>
        </w:rPr>
      </w:pPr>
      <w:r w:rsidRPr="00A22802">
        <w:rPr>
          <w:rFonts w:eastAsia="PMingLiU" w:cs="Arial"/>
          <w:sz w:val="18"/>
          <w:szCs w:val="24"/>
          <w:lang w:val="fr-CH"/>
        </w:rPr>
        <w:t xml:space="preserve">TWF : </w:t>
      </w:r>
      <w:r w:rsidRPr="00A22802">
        <w:rPr>
          <w:rFonts w:eastAsia="PMingLiU" w:cs="Arial"/>
          <w:sz w:val="18"/>
          <w:szCs w:val="24"/>
          <w:lang w:val="fr-CH"/>
        </w:rPr>
        <w:tab/>
        <w:t>Groupe de travail technique sur les plantes fruitières</w:t>
      </w:r>
    </w:p>
    <w:p w:rsidR="005C008D" w:rsidRPr="00A22802" w:rsidRDefault="005C008D" w:rsidP="005C008D">
      <w:pPr>
        <w:ind w:left="1701" w:hanging="1134"/>
        <w:rPr>
          <w:rFonts w:eastAsia="PMingLiU" w:cs="Arial"/>
          <w:sz w:val="18"/>
          <w:szCs w:val="24"/>
          <w:lang w:val="fr-CH"/>
        </w:rPr>
      </w:pPr>
      <w:r w:rsidRPr="00A22802">
        <w:rPr>
          <w:rFonts w:eastAsia="PMingLiU" w:cs="Arial"/>
          <w:sz w:val="18"/>
          <w:szCs w:val="24"/>
          <w:lang w:val="fr-CH"/>
        </w:rPr>
        <w:t xml:space="preserve">TWO : </w:t>
      </w:r>
      <w:r w:rsidRPr="00A22802">
        <w:rPr>
          <w:rFonts w:eastAsia="PMingLiU" w:cs="Arial"/>
          <w:sz w:val="18"/>
          <w:szCs w:val="24"/>
          <w:lang w:val="fr-CH"/>
        </w:rPr>
        <w:tab/>
        <w:t>Groupe de travail technique sur les plantes ornementales et les arbres forestiers</w:t>
      </w:r>
    </w:p>
    <w:p w:rsidR="005C008D" w:rsidRPr="00A22802" w:rsidRDefault="005C008D" w:rsidP="005C008D">
      <w:pPr>
        <w:ind w:left="1701" w:hanging="1134"/>
        <w:rPr>
          <w:rFonts w:eastAsia="PMingLiU" w:cs="Arial"/>
          <w:sz w:val="18"/>
          <w:szCs w:val="24"/>
          <w:lang w:val="fr-CH"/>
        </w:rPr>
      </w:pPr>
      <w:r w:rsidRPr="00A22802">
        <w:rPr>
          <w:rFonts w:eastAsia="PMingLiU" w:cs="Arial"/>
          <w:sz w:val="18"/>
          <w:szCs w:val="24"/>
          <w:lang w:val="fr-CH"/>
        </w:rPr>
        <w:t xml:space="preserve">TWP : </w:t>
      </w:r>
      <w:r w:rsidRPr="00A22802">
        <w:rPr>
          <w:rFonts w:eastAsia="PMingLiU" w:cs="Arial"/>
          <w:sz w:val="18"/>
          <w:szCs w:val="24"/>
          <w:lang w:val="fr-CH"/>
        </w:rPr>
        <w:tab/>
        <w:t>Groupe(s) de travail technique(s)</w:t>
      </w:r>
    </w:p>
    <w:p w:rsidR="005C008D" w:rsidRPr="00A22802" w:rsidRDefault="005C008D" w:rsidP="005C008D">
      <w:pPr>
        <w:ind w:left="1701" w:hanging="1134"/>
        <w:rPr>
          <w:rFonts w:eastAsia="PMingLiU" w:cs="Arial"/>
          <w:sz w:val="18"/>
          <w:szCs w:val="24"/>
          <w:lang w:val="fr-CH"/>
        </w:rPr>
      </w:pPr>
      <w:r w:rsidRPr="00A22802">
        <w:rPr>
          <w:rFonts w:eastAsia="PMingLiU" w:cs="Arial"/>
          <w:sz w:val="18"/>
          <w:szCs w:val="24"/>
          <w:lang w:val="fr-CH"/>
        </w:rPr>
        <w:t xml:space="preserve">TWV : </w:t>
      </w:r>
      <w:r w:rsidRPr="00A22802">
        <w:rPr>
          <w:rFonts w:eastAsia="PMingLiU" w:cs="Arial"/>
          <w:sz w:val="18"/>
          <w:szCs w:val="24"/>
          <w:lang w:val="fr-CH"/>
        </w:rPr>
        <w:tab/>
        <w:t>Groupe de travail technique sur les plantes potagères</w:t>
      </w:r>
    </w:p>
    <w:p w:rsidR="005C008D" w:rsidRPr="00A22802" w:rsidRDefault="005C008D" w:rsidP="005C008D">
      <w:pPr>
        <w:rPr>
          <w:lang w:val="fr-CH" w:eastAsia="ja-JP"/>
        </w:rPr>
      </w:pPr>
    </w:p>
    <w:p w:rsidR="005C008D" w:rsidRPr="00A22802" w:rsidRDefault="005C008D" w:rsidP="00A22802">
      <w:pPr>
        <w:pStyle w:val="Heading1"/>
      </w:pPr>
      <w:bookmarkStart w:id="3" w:name="_Toc54253882"/>
      <w:r w:rsidRPr="00A22802">
        <w:lastRenderedPageBreak/>
        <w:t xml:space="preserve">Faits nouveaux survenus au sein des groupes de travail techniques à leurs </w:t>
      </w:r>
      <w:r w:rsidR="00A22802" w:rsidRPr="00A22802">
        <w:t xml:space="preserve">sessions </w:t>
      </w:r>
      <w:r w:rsidRPr="00A22802">
        <w:t>de 2020</w:t>
      </w:r>
      <w:bookmarkEnd w:id="3"/>
    </w:p>
    <w:p w:rsidR="005C008D" w:rsidRPr="00D42151" w:rsidRDefault="005C008D" w:rsidP="005C008D">
      <w:pPr>
        <w:keepNext/>
        <w:rPr>
          <w:lang w:val="fr-CH" w:eastAsia="ja-JP"/>
        </w:rPr>
      </w:pPr>
    </w:p>
    <w:p w:rsidR="005C008D" w:rsidRPr="00D42151" w:rsidRDefault="005C008D" w:rsidP="005C008D">
      <w:pPr>
        <w:keepNext/>
        <w:rPr>
          <w:lang w:val="fr-CH" w:eastAsia="ja-JP"/>
        </w:rPr>
      </w:pPr>
      <w:r w:rsidRPr="00D42151">
        <w:rPr>
          <w:lang w:val="fr-CH"/>
        </w:rPr>
        <w:fldChar w:fldCharType="begin"/>
      </w:r>
      <w:r w:rsidRPr="00D42151">
        <w:rPr>
          <w:lang w:val="fr-CH"/>
        </w:rPr>
        <w:instrText xml:space="preserve"> AUTONUM  </w:instrText>
      </w:r>
      <w:r w:rsidRPr="00D42151">
        <w:rPr>
          <w:lang w:val="fr-CH"/>
        </w:rPr>
        <w:fldChar w:fldCharType="end"/>
      </w:r>
      <w:r w:rsidRPr="00D42151">
        <w:rPr>
          <w:lang w:val="fr-CH"/>
        </w:rPr>
        <w:tab/>
        <w:t>À leurs sessions de</w:t>
      </w:r>
      <w:r>
        <w:rPr>
          <w:lang w:val="fr-CH"/>
        </w:rPr>
        <w:t> </w:t>
      </w:r>
      <w:r w:rsidRPr="00D42151">
        <w:rPr>
          <w:lang w:val="fr-CH"/>
        </w:rPr>
        <w:t>2020, le</w:t>
      </w:r>
      <w:r>
        <w:rPr>
          <w:lang w:val="fr-CH"/>
        </w:rPr>
        <w:t> </w:t>
      </w:r>
      <w:r w:rsidRPr="00D42151">
        <w:rPr>
          <w:lang w:val="fr-CH"/>
        </w:rPr>
        <w:t>TWV</w:t>
      </w:r>
      <w:r w:rsidRPr="00D42151">
        <w:rPr>
          <w:rStyle w:val="FootnoteReference"/>
          <w:lang w:val="fr-CH"/>
        </w:rPr>
        <w:footnoteReference w:id="2"/>
      </w:r>
      <w:r w:rsidRPr="00D42151">
        <w:rPr>
          <w:lang w:val="fr-CH"/>
        </w:rPr>
        <w:t>, le</w:t>
      </w:r>
      <w:r>
        <w:rPr>
          <w:lang w:val="fr-CH"/>
        </w:rPr>
        <w:t> </w:t>
      </w:r>
      <w:r w:rsidRPr="00D42151">
        <w:rPr>
          <w:lang w:val="fr-CH"/>
        </w:rPr>
        <w:t>TWO</w:t>
      </w:r>
      <w:r w:rsidRPr="00D42151">
        <w:rPr>
          <w:rStyle w:val="FootnoteReference"/>
          <w:lang w:val="fr-CH"/>
        </w:rPr>
        <w:footnoteReference w:id="3"/>
      </w:r>
      <w:r w:rsidRPr="00D42151">
        <w:rPr>
          <w:lang w:val="fr-CH"/>
        </w:rPr>
        <w:t>, le</w:t>
      </w:r>
      <w:r>
        <w:rPr>
          <w:lang w:val="fr-CH"/>
        </w:rPr>
        <w:t> </w:t>
      </w:r>
      <w:r w:rsidRPr="00D42151">
        <w:rPr>
          <w:lang w:val="fr-CH"/>
        </w:rPr>
        <w:t>TWA</w:t>
      </w:r>
      <w:r w:rsidRPr="00D42151">
        <w:rPr>
          <w:rStyle w:val="FootnoteReference"/>
          <w:lang w:val="fr-CH"/>
        </w:rPr>
        <w:footnoteReference w:id="4"/>
      </w:r>
      <w:r w:rsidRPr="00D42151">
        <w:rPr>
          <w:lang w:val="fr-CH"/>
        </w:rPr>
        <w:t>, le</w:t>
      </w:r>
      <w:r>
        <w:rPr>
          <w:lang w:val="fr-CH"/>
        </w:rPr>
        <w:t> </w:t>
      </w:r>
      <w:r w:rsidRPr="00D42151">
        <w:rPr>
          <w:lang w:val="fr-CH"/>
        </w:rPr>
        <w:t>TWF</w:t>
      </w:r>
      <w:r w:rsidRPr="00D42151">
        <w:rPr>
          <w:rStyle w:val="FootnoteReference"/>
          <w:lang w:val="fr-CH"/>
        </w:rPr>
        <w:footnoteReference w:id="5"/>
      </w:r>
      <w:r w:rsidRPr="00D42151">
        <w:rPr>
          <w:lang w:val="fr-CH"/>
        </w:rPr>
        <w:t xml:space="preserve"> et le</w:t>
      </w:r>
      <w:r>
        <w:rPr>
          <w:lang w:val="fr-CH"/>
        </w:rPr>
        <w:t> </w:t>
      </w:r>
      <w:r w:rsidRPr="00D42151">
        <w:rPr>
          <w:lang w:val="fr-CH"/>
        </w:rPr>
        <w:t>TWC</w:t>
      </w:r>
      <w:r w:rsidRPr="00D42151">
        <w:rPr>
          <w:rStyle w:val="FootnoteReference"/>
          <w:lang w:val="fr-CH"/>
        </w:rPr>
        <w:footnoteReference w:id="6"/>
      </w:r>
      <w:r w:rsidRPr="00D42151">
        <w:rPr>
          <w:lang w:val="fr-CH"/>
        </w:rPr>
        <w:t xml:space="preserve"> ont examiné le document TWP/4/7 “</w:t>
      </w:r>
      <w:proofErr w:type="spellStart"/>
      <w:r w:rsidRPr="00D42151">
        <w:rPr>
          <w:lang w:val="fr-CH"/>
        </w:rPr>
        <w:t>Molecular</w:t>
      </w:r>
      <w:proofErr w:type="spellEnd"/>
      <w:r w:rsidRPr="00D42151">
        <w:rPr>
          <w:lang w:val="fr-CH"/>
        </w:rPr>
        <w:t xml:space="preserve"> techniques”</w:t>
      </w:r>
      <w:r w:rsidRPr="00D42151">
        <w:rPr>
          <w:lang w:val="fr-CH" w:eastAsia="ja-JP"/>
        </w:rPr>
        <w:t xml:space="preserve"> </w:t>
      </w:r>
      <w:r w:rsidRPr="00D42151">
        <w:rPr>
          <w:lang w:val="fr-CH"/>
        </w:rPr>
        <w:t xml:space="preserve">(voir les paragraphes 8 à 22 du document TWV/54/9 “Report”; </w:t>
      </w:r>
      <w:r>
        <w:rPr>
          <w:lang w:val="fr-CH"/>
        </w:rPr>
        <w:t xml:space="preserve"> </w:t>
      </w:r>
      <w:r w:rsidRPr="00D42151">
        <w:rPr>
          <w:lang w:val="fr-CH"/>
        </w:rPr>
        <w:t>les paragraphes</w:t>
      </w:r>
      <w:r>
        <w:rPr>
          <w:lang w:val="fr-CH"/>
        </w:rPr>
        <w:t> </w:t>
      </w:r>
      <w:r w:rsidRPr="00D42151">
        <w:rPr>
          <w:lang w:val="fr-CH"/>
        </w:rPr>
        <w:t xml:space="preserve">79 à 91 du document TWO/52/11 “Report”; </w:t>
      </w:r>
      <w:r>
        <w:rPr>
          <w:lang w:val="fr-CH"/>
        </w:rPr>
        <w:t xml:space="preserve"> </w:t>
      </w:r>
      <w:r w:rsidRPr="00D42151">
        <w:rPr>
          <w:lang w:val="fr-CH"/>
        </w:rPr>
        <w:t>les paragraphes</w:t>
      </w:r>
      <w:r>
        <w:rPr>
          <w:lang w:val="fr-CH"/>
        </w:rPr>
        <w:t> </w:t>
      </w:r>
      <w:r w:rsidRPr="00D42151">
        <w:rPr>
          <w:lang w:val="fr-CH"/>
        </w:rPr>
        <w:t>52 à 66 du document TWA/49/7 “Report”;</w:t>
      </w:r>
      <w:r>
        <w:rPr>
          <w:lang w:val="fr-CH"/>
        </w:rPr>
        <w:t xml:space="preserve"> </w:t>
      </w:r>
      <w:r w:rsidRPr="00D42151">
        <w:rPr>
          <w:lang w:val="fr-CH"/>
        </w:rPr>
        <w:t xml:space="preserve"> les paragraphes</w:t>
      </w:r>
      <w:r>
        <w:rPr>
          <w:lang w:val="fr-CH"/>
        </w:rPr>
        <w:t> </w:t>
      </w:r>
      <w:r w:rsidRPr="00D42151">
        <w:rPr>
          <w:lang w:val="fr-CH"/>
        </w:rPr>
        <w:t xml:space="preserve">8 à 20 du document </w:t>
      </w:r>
      <w:r>
        <w:rPr>
          <w:lang w:val="fr-CH"/>
        </w:rPr>
        <w:t>TWF/51/10 “Report”</w:t>
      </w:r>
      <w:r w:rsidRPr="00D42151">
        <w:rPr>
          <w:lang w:val="fr-CH"/>
        </w:rPr>
        <w:t xml:space="preserve"> et les paragraphes</w:t>
      </w:r>
      <w:r>
        <w:rPr>
          <w:lang w:val="fr-CH"/>
        </w:rPr>
        <w:t> </w:t>
      </w:r>
      <w:r w:rsidRPr="00D42151">
        <w:rPr>
          <w:lang w:val="fr-CH"/>
        </w:rPr>
        <w:t>61 à 73 du document TWC/38/11 “Report”)</w:t>
      </w:r>
      <w:r w:rsidRPr="00D42151">
        <w:rPr>
          <w:lang w:val="fr-CH" w:eastAsia="ja-JP"/>
        </w:rPr>
        <w:t>.</w:t>
      </w:r>
    </w:p>
    <w:p w:rsidR="005C008D" w:rsidRPr="00D42151" w:rsidRDefault="005C008D" w:rsidP="005C008D">
      <w:pPr>
        <w:keepNext/>
        <w:rPr>
          <w:lang w:val="fr-CH" w:eastAsia="ja-JP"/>
        </w:rPr>
      </w:pPr>
    </w:p>
    <w:p w:rsidR="005C008D" w:rsidRPr="00D42151" w:rsidRDefault="005C008D" w:rsidP="005C008D">
      <w:pPr>
        <w:rPr>
          <w:lang w:val="fr-CH" w:eastAsia="ja-JP"/>
        </w:rPr>
      </w:pPr>
      <w:r w:rsidRPr="00D42151">
        <w:rPr>
          <w:lang w:val="fr-CH" w:eastAsia="ja-JP"/>
        </w:rPr>
        <w:fldChar w:fldCharType="begin"/>
      </w:r>
      <w:r w:rsidRPr="00D42151">
        <w:rPr>
          <w:lang w:val="fr-CH" w:eastAsia="ja-JP"/>
        </w:rPr>
        <w:instrText xml:space="preserve"> AUTONUM  </w:instrText>
      </w:r>
      <w:r w:rsidRPr="00D42151">
        <w:rPr>
          <w:lang w:val="fr-CH" w:eastAsia="ja-JP"/>
        </w:rPr>
        <w:fldChar w:fldCharType="end"/>
      </w:r>
      <w:r w:rsidRPr="00D42151">
        <w:rPr>
          <w:lang w:val="fr-CH" w:eastAsia="ja-JP"/>
        </w:rPr>
        <w:tab/>
        <w:t>À sa quarante</w:t>
      </w:r>
      <w:r>
        <w:rPr>
          <w:lang w:val="fr-CH" w:eastAsia="ja-JP"/>
        </w:rPr>
        <w:t>-</w:t>
      </w:r>
      <w:r w:rsidRPr="00D42151">
        <w:rPr>
          <w:lang w:val="fr-CH" w:eastAsia="ja-JP"/>
        </w:rPr>
        <w:t>neuv</w:t>
      </w:r>
      <w:r>
        <w:rPr>
          <w:lang w:val="fr-CH" w:eastAsia="ja-JP"/>
        </w:rPr>
        <w:t>ième session</w:t>
      </w:r>
      <w:r w:rsidRPr="00D42151">
        <w:rPr>
          <w:lang w:val="fr-CH" w:eastAsia="ja-JP"/>
        </w:rPr>
        <w:t>, le</w:t>
      </w:r>
      <w:r>
        <w:rPr>
          <w:lang w:val="fr-CH" w:eastAsia="ja-JP"/>
        </w:rPr>
        <w:t> </w:t>
      </w:r>
      <w:r w:rsidRPr="00D42151">
        <w:rPr>
          <w:lang w:val="fr-CH" w:eastAsia="ja-JP"/>
        </w:rPr>
        <w:t xml:space="preserve">TWA a pris note des observations de </w:t>
      </w:r>
      <w:proofErr w:type="spellStart"/>
      <w:r w:rsidRPr="00D42151">
        <w:rPr>
          <w:rFonts w:cs="Arial"/>
          <w:lang w:val="fr-CH"/>
        </w:rPr>
        <w:t>CropLife</w:t>
      </w:r>
      <w:proofErr w:type="spellEnd"/>
      <w:r w:rsidRPr="00D42151">
        <w:rPr>
          <w:rFonts w:cs="Arial"/>
          <w:lang w:val="fr-CH"/>
        </w:rPr>
        <w:t xml:space="preserve"> International, </w:t>
      </w:r>
      <w:r>
        <w:rPr>
          <w:rFonts w:cs="Arial"/>
          <w:lang w:val="fr-CH"/>
        </w:rPr>
        <w:t>d’</w:t>
      </w:r>
      <w:proofErr w:type="spellStart"/>
      <w:r w:rsidRPr="00D42151">
        <w:rPr>
          <w:rFonts w:cs="Arial"/>
          <w:lang w:val="fr-CH"/>
        </w:rPr>
        <w:t>Euroseeds</w:t>
      </w:r>
      <w:proofErr w:type="spellEnd"/>
      <w:r w:rsidRPr="00D42151">
        <w:rPr>
          <w:rFonts w:cs="Arial"/>
          <w:lang w:val="fr-CH"/>
        </w:rPr>
        <w:t xml:space="preserve">, </w:t>
      </w:r>
      <w:r>
        <w:rPr>
          <w:rFonts w:cs="Arial"/>
          <w:lang w:val="fr-CH"/>
        </w:rPr>
        <w:t>d’</w:t>
      </w:r>
      <w:r w:rsidRPr="00D42151">
        <w:rPr>
          <w:rFonts w:cs="Arial"/>
          <w:lang w:val="fr-CH"/>
        </w:rPr>
        <w:t xml:space="preserve">International </w:t>
      </w:r>
      <w:proofErr w:type="spellStart"/>
      <w:r w:rsidRPr="00D42151">
        <w:rPr>
          <w:rFonts w:cs="Arial"/>
          <w:lang w:val="fr-CH"/>
        </w:rPr>
        <w:t>Seed</w:t>
      </w:r>
      <w:proofErr w:type="spellEnd"/>
      <w:r w:rsidRPr="00D42151">
        <w:rPr>
          <w:rFonts w:cs="Arial"/>
          <w:lang w:val="fr-CH"/>
        </w:rPr>
        <w:t xml:space="preserve"> </w:t>
      </w:r>
      <w:proofErr w:type="spellStart"/>
      <w:r w:rsidRPr="00D42151">
        <w:rPr>
          <w:rFonts w:cs="Arial"/>
          <w:lang w:val="fr-CH"/>
        </w:rPr>
        <w:t>Federation</w:t>
      </w:r>
      <w:proofErr w:type="spellEnd"/>
      <w:r w:rsidRPr="00D42151">
        <w:rPr>
          <w:rFonts w:cs="Arial"/>
          <w:lang w:val="fr-CH"/>
        </w:rPr>
        <w:t xml:space="preserve"> et </w:t>
      </w:r>
      <w:r>
        <w:rPr>
          <w:rFonts w:cs="Arial"/>
          <w:lang w:val="fr-CH"/>
        </w:rPr>
        <w:t xml:space="preserve">de </w:t>
      </w:r>
      <w:proofErr w:type="spellStart"/>
      <w:r w:rsidRPr="00D42151">
        <w:rPr>
          <w:rFonts w:cs="Arial"/>
          <w:lang w:val="fr-CH"/>
        </w:rPr>
        <w:t>Seed</w:t>
      </w:r>
      <w:proofErr w:type="spellEnd"/>
      <w:r w:rsidRPr="00D42151">
        <w:rPr>
          <w:rFonts w:cs="Arial"/>
          <w:lang w:val="fr-CH"/>
        </w:rPr>
        <w:t xml:space="preserve"> Association of the </w:t>
      </w:r>
      <w:proofErr w:type="spellStart"/>
      <w:r w:rsidRPr="00D42151">
        <w:rPr>
          <w:rFonts w:cs="Arial"/>
          <w:lang w:val="fr-CH"/>
        </w:rPr>
        <w:t>Americas</w:t>
      </w:r>
      <w:proofErr w:type="spellEnd"/>
      <w:r w:rsidRPr="00D42151">
        <w:rPr>
          <w:lang w:val="fr-CH" w:eastAsia="ja-JP"/>
        </w:rPr>
        <w:t xml:space="preserve"> selon lesquelles l</w:t>
      </w:r>
      <w:r>
        <w:rPr>
          <w:lang w:val="fr-CH" w:eastAsia="ja-JP"/>
        </w:rPr>
        <w:t>’</w:t>
      </w:r>
      <w:r w:rsidRPr="00D42151">
        <w:rPr>
          <w:lang w:val="fr-CH" w:eastAsia="ja-JP"/>
        </w:rPr>
        <w:t>application des techniques moléculaires</w:t>
      </w:r>
      <w:r w:rsidRPr="00D42151">
        <w:rPr>
          <w:rFonts w:cs="Arial"/>
          <w:lang w:val="fr-CH"/>
        </w:rPr>
        <w:t xml:space="preserve"> devait être encouragée tant que les autorités pouvaient continuer de mutuellement reconnaître les résultats d</w:t>
      </w:r>
      <w:r>
        <w:rPr>
          <w:rFonts w:cs="Arial"/>
          <w:lang w:val="fr-CH"/>
        </w:rPr>
        <w:t>’</w:t>
      </w:r>
      <w:r w:rsidRPr="00D42151">
        <w:rPr>
          <w:rFonts w:cs="Arial"/>
          <w:lang w:val="fr-CH"/>
        </w:rPr>
        <w:t>examen</w:t>
      </w:r>
      <w:r>
        <w:rPr>
          <w:rFonts w:cs="Arial"/>
          <w:lang w:val="fr-CH"/>
        </w:rPr>
        <w:t> </w:t>
      </w:r>
      <w:r w:rsidRPr="00D42151">
        <w:rPr>
          <w:rFonts w:cs="Arial"/>
          <w:lang w:val="fr-CH"/>
        </w:rPr>
        <w:t>DHS et de prendre en charge les rapports d</w:t>
      </w:r>
      <w:r>
        <w:rPr>
          <w:rFonts w:cs="Arial"/>
          <w:lang w:val="fr-CH"/>
        </w:rPr>
        <w:t>’</w:t>
      </w:r>
      <w:r w:rsidRPr="00D42151">
        <w:rPr>
          <w:rFonts w:cs="Arial"/>
          <w:lang w:val="fr-CH"/>
        </w:rPr>
        <w:t>examen</w:t>
      </w:r>
      <w:r>
        <w:rPr>
          <w:rFonts w:cs="Arial"/>
          <w:lang w:val="fr-CH"/>
        </w:rPr>
        <w:t> </w:t>
      </w:r>
      <w:r w:rsidRPr="00D42151">
        <w:rPr>
          <w:rFonts w:cs="Arial"/>
          <w:lang w:val="fr-CH"/>
        </w:rPr>
        <w:t xml:space="preserve">DHS </w:t>
      </w:r>
      <w:r w:rsidRPr="00D42151">
        <w:rPr>
          <w:lang w:val="fr-CH"/>
        </w:rPr>
        <w:t>(voir le paragraphe</w:t>
      </w:r>
      <w:r>
        <w:rPr>
          <w:lang w:val="fr-CH"/>
        </w:rPr>
        <w:t> </w:t>
      </w:r>
      <w:r w:rsidRPr="00D42151">
        <w:rPr>
          <w:lang w:val="fr-CH"/>
        </w:rPr>
        <w:t>53 du document</w:t>
      </w:r>
      <w:r>
        <w:rPr>
          <w:lang w:val="fr-CH"/>
        </w:rPr>
        <w:t xml:space="preserve"> </w:t>
      </w:r>
      <w:r w:rsidRPr="00D42151">
        <w:rPr>
          <w:lang w:val="fr-CH"/>
        </w:rPr>
        <w:t>TWA/49/7 “Report”)</w:t>
      </w:r>
      <w:r w:rsidRPr="00D42151">
        <w:rPr>
          <w:rFonts w:cs="Arial"/>
          <w:lang w:val="fr-CH"/>
        </w:rPr>
        <w:t>.</w:t>
      </w:r>
    </w:p>
    <w:p w:rsidR="005C008D" w:rsidRPr="00D42151" w:rsidRDefault="005C008D" w:rsidP="005C008D">
      <w:pPr>
        <w:rPr>
          <w:lang w:val="fr-CH" w:eastAsia="ja-JP"/>
        </w:rPr>
      </w:pPr>
    </w:p>
    <w:p w:rsidR="005C008D" w:rsidRPr="00D42151" w:rsidRDefault="005C008D" w:rsidP="005C008D">
      <w:pPr>
        <w:rPr>
          <w:lang w:val="fr-CH"/>
        </w:rPr>
      </w:pPr>
    </w:p>
    <w:p w:rsidR="005C008D" w:rsidRPr="00D42151" w:rsidRDefault="005C008D" w:rsidP="005C008D">
      <w:pPr>
        <w:pStyle w:val="Heading2"/>
        <w:rPr>
          <w:lang w:val="fr-CH"/>
        </w:rPr>
      </w:pPr>
      <w:bookmarkStart w:id="4" w:name="_Toc54253883"/>
      <w:r w:rsidRPr="00D42151">
        <w:rPr>
          <w:lang w:val="fr-CH"/>
        </w:rPr>
        <w:t>Exposé sur l</w:t>
      </w:r>
      <w:r>
        <w:rPr>
          <w:lang w:val="fr-CH"/>
        </w:rPr>
        <w:t>’</w:t>
      </w:r>
      <w:r w:rsidRPr="00D42151">
        <w:rPr>
          <w:lang w:val="fr-CH"/>
        </w:rPr>
        <w:t>application des techniques moléculaires à l</w:t>
      </w:r>
      <w:r>
        <w:rPr>
          <w:lang w:val="fr-CH"/>
        </w:rPr>
        <w:t>’</w:t>
      </w:r>
      <w:r w:rsidRPr="00D42151">
        <w:rPr>
          <w:lang w:val="fr-CH"/>
        </w:rPr>
        <w:t>examen</w:t>
      </w:r>
      <w:r>
        <w:rPr>
          <w:lang w:val="fr-CH"/>
        </w:rPr>
        <w:t> </w:t>
      </w:r>
      <w:r w:rsidRPr="00D42151">
        <w:rPr>
          <w:lang w:val="fr-CH"/>
        </w:rPr>
        <w:t>DHS</w:t>
      </w:r>
      <w:bookmarkEnd w:id="4"/>
    </w:p>
    <w:p w:rsidR="005C008D" w:rsidRPr="00D42151" w:rsidRDefault="005C008D" w:rsidP="005C008D">
      <w:pPr>
        <w:pStyle w:val="Heading2"/>
        <w:rPr>
          <w:lang w:val="fr-CH"/>
        </w:rPr>
      </w:pPr>
    </w:p>
    <w:p w:rsidR="005C008D" w:rsidRPr="00D42151" w:rsidRDefault="005C008D" w:rsidP="005C008D">
      <w:pPr>
        <w:pStyle w:val="Heading3"/>
        <w:rPr>
          <w:lang w:val="fr-CH"/>
        </w:rPr>
      </w:pPr>
      <w:bookmarkStart w:id="5" w:name="_Toc54253884"/>
      <w:r w:rsidRPr="00D42151">
        <w:rPr>
          <w:lang w:val="fr-CH"/>
        </w:rPr>
        <w:t>Informations concernant les marqueurs moléculaires dans les Principes directeurs d</w:t>
      </w:r>
      <w:r>
        <w:rPr>
          <w:lang w:val="fr-CH"/>
        </w:rPr>
        <w:t>’</w:t>
      </w:r>
      <w:r w:rsidRPr="00D42151">
        <w:rPr>
          <w:lang w:val="fr-CH"/>
        </w:rPr>
        <w:t>examen</w:t>
      </w:r>
      <w:bookmarkEnd w:id="5"/>
    </w:p>
    <w:p w:rsidR="005C008D" w:rsidRPr="00D42151" w:rsidRDefault="005C008D" w:rsidP="005C008D">
      <w:pPr>
        <w:rPr>
          <w:lang w:val="fr-CH"/>
        </w:rPr>
      </w:pPr>
    </w:p>
    <w:p w:rsidR="005C008D" w:rsidRPr="00D42151" w:rsidRDefault="005C008D" w:rsidP="005C008D">
      <w:pPr>
        <w:rPr>
          <w:lang w:val="fr-CH"/>
        </w:rPr>
      </w:pPr>
      <w:r w:rsidRPr="00D42151">
        <w:rPr>
          <w:lang w:val="fr-CH"/>
        </w:rPr>
        <w:fldChar w:fldCharType="begin"/>
      </w:r>
      <w:r w:rsidRPr="00D42151">
        <w:rPr>
          <w:lang w:val="fr-CH"/>
        </w:rPr>
        <w:instrText xml:space="preserve"> AUTONUM  </w:instrText>
      </w:r>
      <w:r w:rsidRPr="00D42151">
        <w:rPr>
          <w:lang w:val="fr-CH"/>
        </w:rPr>
        <w:fldChar w:fldCharType="end"/>
      </w:r>
      <w:r w:rsidRPr="00D42151">
        <w:rPr>
          <w:lang w:val="fr-CH"/>
        </w:rPr>
        <w:tab/>
        <w:t>À sa cinquante</w:t>
      </w:r>
      <w:r>
        <w:rPr>
          <w:lang w:val="fr-CH"/>
        </w:rPr>
        <w:t>-</w:t>
      </w:r>
      <w:r w:rsidRPr="00D42151">
        <w:rPr>
          <w:lang w:val="fr-CH"/>
        </w:rPr>
        <w:t>quatr</w:t>
      </w:r>
      <w:r>
        <w:rPr>
          <w:lang w:val="fr-CH"/>
        </w:rPr>
        <w:t>ième session</w:t>
      </w:r>
      <w:r w:rsidRPr="00D42151">
        <w:rPr>
          <w:lang w:val="fr-CH"/>
        </w:rPr>
        <w:t>, le</w:t>
      </w:r>
      <w:r>
        <w:rPr>
          <w:lang w:val="fr-CH"/>
        </w:rPr>
        <w:t> </w:t>
      </w:r>
      <w:r w:rsidRPr="00D42151">
        <w:rPr>
          <w:lang w:val="fr-CH"/>
        </w:rPr>
        <w:t xml:space="preserve">TWV a suivi un exposé intitulé “Information on </w:t>
      </w:r>
      <w:proofErr w:type="spellStart"/>
      <w:r w:rsidRPr="00D42151">
        <w:rPr>
          <w:lang w:val="fr-CH"/>
        </w:rPr>
        <w:t>molecular</w:t>
      </w:r>
      <w:proofErr w:type="spellEnd"/>
      <w:r w:rsidRPr="00D42151">
        <w:rPr>
          <w:lang w:val="fr-CH"/>
        </w:rPr>
        <w:t xml:space="preserve"> markers in Test Guidelines </w:t>
      </w:r>
      <w:proofErr w:type="spellStart"/>
      <w:r w:rsidRPr="00D42151">
        <w:rPr>
          <w:lang w:val="fr-CH"/>
        </w:rPr>
        <w:t>explanations</w:t>
      </w:r>
      <w:proofErr w:type="spellEnd"/>
      <w:r w:rsidRPr="00D42151">
        <w:rPr>
          <w:lang w:val="fr-CH"/>
        </w:rPr>
        <w:t>” (Informations concernant les marqueurs moléculaires dans les Principes directeurs d</w:t>
      </w:r>
      <w:r>
        <w:rPr>
          <w:lang w:val="fr-CH"/>
        </w:rPr>
        <w:t>’</w:t>
      </w:r>
      <w:r w:rsidRPr="00D42151">
        <w:rPr>
          <w:lang w:val="fr-CH"/>
        </w:rPr>
        <w:t>examen) présenté par un spécialiste des Pays</w:t>
      </w:r>
      <w:r>
        <w:rPr>
          <w:lang w:val="fr-CH"/>
        </w:rPr>
        <w:t>-</w:t>
      </w:r>
      <w:r w:rsidRPr="00D42151">
        <w:rPr>
          <w:lang w:val="fr-CH"/>
        </w:rPr>
        <w:t>Bas</w:t>
      </w:r>
      <w:r>
        <w:rPr>
          <w:lang w:val="fr-CH"/>
        </w:rPr>
        <w:t xml:space="preserve">.  </w:t>
      </w:r>
      <w:r w:rsidRPr="00D42151">
        <w:rPr>
          <w:lang w:val="fr-CH"/>
        </w:rPr>
        <w:t>L</w:t>
      </w:r>
      <w:r>
        <w:rPr>
          <w:lang w:val="fr-CH"/>
        </w:rPr>
        <w:t>’</w:t>
      </w:r>
      <w:r w:rsidRPr="00D42151">
        <w:rPr>
          <w:lang w:val="fr-CH"/>
        </w:rPr>
        <w:t>exposé figure dans les documents</w:t>
      </w:r>
      <w:r>
        <w:rPr>
          <w:lang w:val="fr-CH"/>
        </w:rPr>
        <w:t xml:space="preserve"> </w:t>
      </w:r>
      <w:r w:rsidRPr="00D42151">
        <w:rPr>
          <w:lang w:val="fr-CH"/>
        </w:rPr>
        <w:t>TWV/54/7 et TWV/54/7</w:t>
      </w:r>
      <w:r>
        <w:rPr>
          <w:lang w:val="fr-CH"/>
        </w:rPr>
        <w:t> </w:t>
      </w:r>
      <w:proofErr w:type="spellStart"/>
      <w:r w:rsidRPr="00D42151">
        <w:rPr>
          <w:lang w:val="fr-CH"/>
        </w:rPr>
        <w:t>Add</w:t>
      </w:r>
      <w:proofErr w:type="spellEnd"/>
      <w:r w:rsidRPr="00D42151">
        <w:rPr>
          <w:lang w:val="fr-CH"/>
        </w:rPr>
        <w:t>. (</w:t>
      </w:r>
      <w:proofErr w:type="gramStart"/>
      <w:r w:rsidRPr="00D42151">
        <w:rPr>
          <w:lang w:val="fr-CH"/>
        </w:rPr>
        <w:t>voir</w:t>
      </w:r>
      <w:proofErr w:type="gramEnd"/>
      <w:r w:rsidRPr="00D42151">
        <w:rPr>
          <w:lang w:val="fr-CH"/>
        </w:rPr>
        <w:t xml:space="preserve"> le paragraphe</w:t>
      </w:r>
      <w:r>
        <w:rPr>
          <w:lang w:val="fr-CH"/>
        </w:rPr>
        <w:t> </w:t>
      </w:r>
      <w:r w:rsidRPr="00D42151">
        <w:rPr>
          <w:lang w:val="fr-CH"/>
        </w:rPr>
        <w:t>21 du document TWV/54/9 “Report”).</w:t>
      </w:r>
    </w:p>
    <w:p w:rsidR="005C008D" w:rsidRPr="00D42151" w:rsidRDefault="005C008D" w:rsidP="005C008D">
      <w:pPr>
        <w:rPr>
          <w:lang w:val="fr-CH"/>
        </w:rPr>
      </w:pPr>
    </w:p>
    <w:p w:rsidR="005C008D" w:rsidRPr="00D42151" w:rsidRDefault="005C008D" w:rsidP="005C008D">
      <w:pPr>
        <w:rPr>
          <w:lang w:val="fr-CH"/>
        </w:rPr>
      </w:pPr>
      <w:r w:rsidRPr="00D42151">
        <w:rPr>
          <w:lang w:val="fr-CH"/>
        </w:rPr>
        <w:fldChar w:fldCharType="begin"/>
      </w:r>
      <w:r w:rsidRPr="00D42151">
        <w:rPr>
          <w:lang w:val="fr-CH"/>
        </w:rPr>
        <w:instrText xml:space="preserve"> AUTONUM  </w:instrText>
      </w:r>
      <w:r w:rsidRPr="00D42151">
        <w:rPr>
          <w:lang w:val="fr-CH"/>
        </w:rPr>
        <w:fldChar w:fldCharType="end"/>
      </w:r>
      <w:r w:rsidRPr="00D42151">
        <w:rPr>
          <w:lang w:val="fr-CH"/>
        </w:rPr>
        <w:tab/>
        <w:t>Le TWV a examiné la proposition consistant à établir les principaux critères nécessaires à la description des essais sur les marqueurs moléculaires dans les Principes directeurs, tel qu</w:t>
      </w:r>
      <w:r>
        <w:rPr>
          <w:lang w:val="fr-CH"/>
        </w:rPr>
        <w:t>’</w:t>
      </w:r>
      <w:r w:rsidRPr="00D42151">
        <w:rPr>
          <w:lang w:val="fr-CH"/>
        </w:rPr>
        <w:t>indiqué dans les documents</w:t>
      </w:r>
      <w:r>
        <w:rPr>
          <w:lang w:val="fr-CH"/>
        </w:rPr>
        <w:t xml:space="preserve"> </w:t>
      </w:r>
      <w:r w:rsidRPr="00D42151">
        <w:rPr>
          <w:lang w:val="fr-CH"/>
        </w:rPr>
        <w:t>TWV/54/7 et TWV/54/7</w:t>
      </w:r>
      <w:r>
        <w:rPr>
          <w:lang w:val="fr-CH"/>
        </w:rPr>
        <w:t> </w:t>
      </w:r>
      <w:proofErr w:type="spellStart"/>
      <w:r w:rsidRPr="00D42151">
        <w:rPr>
          <w:lang w:val="fr-CH"/>
        </w:rPr>
        <w:t>Add</w:t>
      </w:r>
      <w:proofErr w:type="spellEnd"/>
      <w:r>
        <w:rPr>
          <w:lang w:val="fr-CH"/>
        </w:rPr>
        <w:t xml:space="preserve">. </w:t>
      </w:r>
      <w:r w:rsidRPr="00D42151">
        <w:rPr>
          <w:lang w:val="fr-CH"/>
        </w:rPr>
        <w:t xml:space="preserve"> Le</w:t>
      </w:r>
      <w:r>
        <w:rPr>
          <w:lang w:val="fr-CH"/>
        </w:rPr>
        <w:t> </w:t>
      </w:r>
      <w:r w:rsidRPr="00D42151">
        <w:rPr>
          <w:lang w:val="fr-CH"/>
        </w:rPr>
        <w:t>TWV a décidé d</w:t>
      </w:r>
      <w:r>
        <w:rPr>
          <w:lang w:val="fr-CH"/>
        </w:rPr>
        <w:t>’</w:t>
      </w:r>
      <w:r w:rsidRPr="00D42151">
        <w:rPr>
          <w:lang w:val="fr-CH"/>
        </w:rPr>
        <w:t>inviter des spécialistes de l</w:t>
      </w:r>
      <w:r>
        <w:rPr>
          <w:lang w:val="fr-CH"/>
        </w:rPr>
        <w:t>’</w:t>
      </w:r>
      <w:r w:rsidRPr="00D42151">
        <w:rPr>
          <w:lang w:val="fr-CH"/>
        </w:rPr>
        <w:t>Union européenne, notamment de France, afin de collaborer avec les Pays</w:t>
      </w:r>
      <w:r>
        <w:rPr>
          <w:lang w:val="fr-CH"/>
        </w:rPr>
        <w:t>-</w:t>
      </w:r>
      <w:r w:rsidRPr="00D42151">
        <w:rPr>
          <w:lang w:val="fr-CH"/>
        </w:rPr>
        <w:t>Bas dans l</w:t>
      </w:r>
      <w:r>
        <w:rPr>
          <w:lang w:val="fr-CH"/>
        </w:rPr>
        <w:t>’</w:t>
      </w:r>
      <w:r w:rsidRPr="00D42151">
        <w:rPr>
          <w:lang w:val="fr-CH"/>
        </w:rPr>
        <w:t>élaboration d</w:t>
      </w:r>
      <w:r>
        <w:rPr>
          <w:lang w:val="fr-CH"/>
        </w:rPr>
        <w:t>’</w:t>
      </w:r>
      <w:r w:rsidRPr="00D42151">
        <w:rPr>
          <w:lang w:val="fr-CH"/>
        </w:rPr>
        <w:t>un nouveau projet de proposition pour examen par le TW à sa cinquante</w:t>
      </w:r>
      <w:r>
        <w:rPr>
          <w:lang w:val="fr-CH"/>
        </w:rPr>
        <w:t>-</w:t>
      </w:r>
      <w:r w:rsidRPr="00D42151">
        <w:rPr>
          <w:lang w:val="fr-CH"/>
        </w:rPr>
        <w:t>cinqu</w:t>
      </w:r>
      <w:r>
        <w:rPr>
          <w:lang w:val="fr-CH"/>
        </w:rPr>
        <w:t>ième session</w:t>
      </w:r>
      <w:r w:rsidRPr="00D42151">
        <w:rPr>
          <w:lang w:val="fr-CH"/>
        </w:rPr>
        <w:t xml:space="preserve"> (voir le paragraphe</w:t>
      </w:r>
      <w:r>
        <w:rPr>
          <w:lang w:val="fr-CH"/>
        </w:rPr>
        <w:t> </w:t>
      </w:r>
      <w:r w:rsidRPr="00D42151">
        <w:rPr>
          <w:lang w:val="fr-CH"/>
        </w:rPr>
        <w:t>22 du document TWV/54/9 “Report”).</w:t>
      </w:r>
    </w:p>
    <w:p w:rsidR="005C008D" w:rsidRPr="00D42151" w:rsidRDefault="005C008D" w:rsidP="005C008D">
      <w:pPr>
        <w:rPr>
          <w:lang w:val="fr-CH"/>
        </w:rPr>
      </w:pPr>
    </w:p>
    <w:p w:rsidR="005C008D" w:rsidRPr="00D42151" w:rsidRDefault="005C008D" w:rsidP="005C008D">
      <w:pPr>
        <w:pStyle w:val="Heading3"/>
        <w:rPr>
          <w:lang w:val="fr-CH"/>
        </w:rPr>
      </w:pPr>
      <w:bookmarkStart w:id="6" w:name="_Toc54253885"/>
      <w:r w:rsidRPr="00D42151">
        <w:rPr>
          <w:lang w:val="fr-CH"/>
        </w:rPr>
        <w:t>Élaboration d</w:t>
      </w:r>
      <w:r>
        <w:rPr>
          <w:lang w:val="fr-CH"/>
        </w:rPr>
        <w:t>’</w:t>
      </w:r>
      <w:r w:rsidRPr="00D42151">
        <w:rPr>
          <w:lang w:val="fr-CH"/>
        </w:rPr>
        <w:t>une stratégie relative à l</w:t>
      </w:r>
      <w:r>
        <w:rPr>
          <w:lang w:val="fr-CH"/>
        </w:rPr>
        <w:t>’</w:t>
      </w:r>
      <w:r w:rsidRPr="00D42151">
        <w:rPr>
          <w:lang w:val="fr-CH"/>
        </w:rPr>
        <w:t>application de marqueurs moléculaires de type SNP dans le cadre de l</w:t>
      </w:r>
      <w:r>
        <w:rPr>
          <w:lang w:val="fr-CH"/>
        </w:rPr>
        <w:t>’</w:t>
      </w:r>
      <w:r w:rsidRPr="00D42151">
        <w:rPr>
          <w:lang w:val="fr-CH"/>
        </w:rPr>
        <w:t>examen</w:t>
      </w:r>
      <w:r>
        <w:rPr>
          <w:lang w:val="fr-CH"/>
        </w:rPr>
        <w:t> </w:t>
      </w:r>
      <w:r w:rsidRPr="00D42151">
        <w:rPr>
          <w:lang w:val="fr-CH"/>
        </w:rPr>
        <w:t>DHS du colza oléagineux d</w:t>
      </w:r>
      <w:r>
        <w:rPr>
          <w:lang w:val="fr-CH"/>
        </w:rPr>
        <w:t>’</w:t>
      </w:r>
      <w:r w:rsidRPr="00D42151">
        <w:rPr>
          <w:lang w:val="fr-CH"/>
        </w:rPr>
        <w:t>hiver</w:t>
      </w:r>
      <w:bookmarkEnd w:id="6"/>
    </w:p>
    <w:p w:rsidR="005C008D" w:rsidRPr="00D42151" w:rsidRDefault="005C008D" w:rsidP="005C008D">
      <w:pPr>
        <w:rPr>
          <w:lang w:val="fr-CH"/>
        </w:rPr>
      </w:pPr>
    </w:p>
    <w:p w:rsidR="005C008D" w:rsidRPr="00D42151" w:rsidRDefault="005C008D" w:rsidP="005C008D">
      <w:pPr>
        <w:rPr>
          <w:lang w:val="fr-CH"/>
        </w:rPr>
      </w:pPr>
      <w:r w:rsidRPr="00D42151">
        <w:rPr>
          <w:lang w:val="fr-CH"/>
        </w:rPr>
        <w:fldChar w:fldCharType="begin"/>
      </w:r>
      <w:r w:rsidRPr="00D42151">
        <w:rPr>
          <w:lang w:val="fr-CH"/>
        </w:rPr>
        <w:instrText xml:space="preserve"> AUTONUM  </w:instrText>
      </w:r>
      <w:r w:rsidRPr="00D42151">
        <w:rPr>
          <w:lang w:val="fr-CH"/>
        </w:rPr>
        <w:fldChar w:fldCharType="end"/>
      </w:r>
      <w:r w:rsidRPr="00D42151">
        <w:rPr>
          <w:lang w:val="fr-CH"/>
        </w:rPr>
        <w:tab/>
        <w:t>Le TWA a suivi un exposé intitulé “Élaboration d</w:t>
      </w:r>
      <w:r>
        <w:rPr>
          <w:lang w:val="fr-CH"/>
        </w:rPr>
        <w:t>’</w:t>
      </w:r>
      <w:r w:rsidRPr="00D42151">
        <w:rPr>
          <w:lang w:val="fr-CH"/>
        </w:rPr>
        <w:t>une stratégie relative à l</w:t>
      </w:r>
      <w:r>
        <w:rPr>
          <w:lang w:val="fr-CH"/>
        </w:rPr>
        <w:t>’</w:t>
      </w:r>
      <w:r w:rsidRPr="00D42151">
        <w:rPr>
          <w:lang w:val="fr-CH"/>
        </w:rPr>
        <w:t>application de marqueurs moléculaires de type SNP dans le cadre de l</w:t>
      </w:r>
      <w:r>
        <w:rPr>
          <w:lang w:val="fr-CH"/>
        </w:rPr>
        <w:t>’</w:t>
      </w:r>
      <w:r w:rsidRPr="00D42151">
        <w:rPr>
          <w:lang w:val="fr-CH"/>
        </w:rPr>
        <w:t>examen</w:t>
      </w:r>
      <w:r>
        <w:rPr>
          <w:lang w:val="fr-CH"/>
        </w:rPr>
        <w:t> </w:t>
      </w:r>
      <w:r w:rsidRPr="00D42151">
        <w:rPr>
          <w:lang w:val="fr-CH"/>
        </w:rPr>
        <w:t>DHS du colza oléagineux d</w:t>
      </w:r>
      <w:r>
        <w:rPr>
          <w:lang w:val="fr-CH"/>
        </w:rPr>
        <w:t>’</w:t>
      </w:r>
      <w:r w:rsidRPr="00D42151">
        <w:rPr>
          <w:lang w:val="fr-CH"/>
        </w:rPr>
        <w:t>hiver” présenté par un spécialiste de France</w:t>
      </w:r>
      <w:r>
        <w:rPr>
          <w:lang w:val="fr-CH"/>
        </w:rPr>
        <w:t xml:space="preserve">.  </w:t>
      </w:r>
      <w:r w:rsidRPr="00D42151">
        <w:rPr>
          <w:lang w:val="fr-CH"/>
        </w:rPr>
        <w:t>L</w:t>
      </w:r>
      <w:r>
        <w:rPr>
          <w:lang w:val="fr-CH"/>
        </w:rPr>
        <w:t>’</w:t>
      </w:r>
      <w:r w:rsidRPr="00D42151">
        <w:rPr>
          <w:lang w:val="fr-CH"/>
        </w:rPr>
        <w:t>exposé figure dans le document TWA/49/5.  Le</w:t>
      </w:r>
      <w:r>
        <w:rPr>
          <w:lang w:val="fr-CH"/>
        </w:rPr>
        <w:t> </w:t>
      </w:r>
      <w:r w:rsidRPr="00D42151">
        <w:rPr>
          <w:lang w:val="fr-CH"/>
        </w:rPr>
        <w:t>TWA a décidé d</w:t>
      </w:r>
      <w:r>
        <w:rPr>
          <w:lang w:val="fr-CH"/>
        </w:rPr>
        <w:t>’</w:t>
      </w:r>
      <w:r w:rsidRPr="00D42151">
        <w:rPr>
          <w:lang w:val="fr-CH"/>
        </w:rPr>
        <w:t>inviter la France à rendre compte des faits nouveaux relatifs au projet à sa cinquant</w:t>
      </w:r>
      <w:r>
        <w:rPr>
          <w:lang w:val="fr-CH"/>
        </w:rPr>
        <w:t>ième session</w:t>
      </w:r>
      <w:r w:rsidRPr="00D42151">
        <w:rPr>
          <w:lang w:val="fr-CH"/>
        </w:rPr>
        <w:t xml:space="preserve"> (voir le paragraphe</w:t>
      </w:r>
      <w:r>
        <w:rPr>
          <w:lang w:val="fr-CH"/>
        </w:rPr>
        <w:t> </w:t>
      </w:r>
      <w:r w:rsidRPr="00D42151">
        <w:rPr>
          <w:lang w:val="fr-CH"/>
        </w:rPr>
        <w:t>66 du document TWA/49/7 “Report”).</w:t>
      </w:r>
    </w:p>
    <w:p w:rsidR="005C008D" w:rsidRPr="00D42151" w:rsidRDefault="005C008D" w:rsidP="005C008D">
      <w:pPr>
        <w:rPr>
          <w:lang w:val="fr-CH"/>
        </w:rPr>
      </w:pPr>
    </w:p>
    <w:p w:rsidR="005C008D" w:rsidRPr="00D42151" w:rsidRDefault="005C008D" w:rsidP="005C008D">
      <w:pPr>
        <w:ind w:left="567" w:hanging="567"/>
        <w:rPr>
          <w:lang w:val="fr-CH" w:eastAsia="ja-JP"/>
        </w:rPr>
      </w:pPr>
    </w:p>
    <w:p w:rsidR="005C008D" w:rsidRPr="00A22802" w:rsidRDefault="005C008D" w:rsidP="00A22802">
      <w:pPr>
        <w:pStyle w:val="Heading1"/>
      </w:pPr>
      <w:bookmarkStart w:id="7" w:name="_Toc525647178"/>
      <w:bookmarkStart w:id="8" w:name="_Toc526175650"/>
      <w:bookmarkStart w:id="9" w:name="_Toc54253886"/>
      <w:r w:rsidRPr="00A22802">
        <w:t>Avancées de la dix-neuvième session du Groupe de travail sur les techniques biochimiques et moléculaires, notamment les profils d’ADN</w:t>
      </w:r>
      <w:bookmarkEnd w:id="7"/>
      <w:bookmarkEnd w:id="8"/>
      <w:bookmarkEnd w:id="9"/>
    </w:p>
    <w:p w:rsidR="005C008D" w:rsidRPr="00D42151" w:rsidRDefault="005C008D" w:rsidP="005C008D">
      <w:pPr>
        <w:rPr>
          <w:lang w:val="fr-CH" w:eastAsia="ja-JP"/>
        </w:rPr>
      </w:pPr>
    </w:p>
    <w:p w:rsidR="005C008D" w:rsidRDefault="005C008D" w:rsidP="005C008D">
      <w:pPr>
        <w:rPr>
          <w:lang w:val="fr-CH"/>
        </w:rPr>
      </w:pPr>
      <w:r w:rsidRPr="00D42151">
        <w:rPr>
          <w:color w:val="000000"/>
          <w:lang w:val="fr-CH"/>
        </w:rPr>
        <w:fldChar w:fldCharType="begin"/>
      </w:r>
      <w:r w:rsidRPr="00D42151">
        <w:rPr>
          <w:color w:val="000000"/>
          <w:lang w:val="fr-CH"/>
        </w:rPr>
        <w:instrText xml:space="preserve"> AUTONUM  </w:instrText>
      </w:r>
      <w:r w:rsidRPr="00D42151">
        <w:rPr>
          <w:color w:val="000000"/>
          <w:lang w:val="fr-CH"/>
        </w:rPr>
        <w:fldChar w:fldCharType="end"/>
      </w:r>
      <w:r w:rsidRPr="00D42151">
        <w:rPr>
          <w:color w:val="000000"/>
          <w:lang w:val="fr-CH"/>
        </w:rPr>
        <w:tab/>
        <w:t>Le BMT a tenu sa dix</w:t>
      </w:r>
      <w:r>
        <w:rPr>
          <w:color w:val="000000"/>
          <w:lang w:val="fr-CH"/>
        </w:rPr>
        <w:t>-</w:t>
      </w:r>
      <w:r w:rsidRPr="00D42151">
        <w:rPr>
          <w:color w:val="000000"/>
          <w:lang w:val="fr-CH"/>
        </w:rPr>
        <w:t>neuv</w:t>
      </w:r>
      <w:r>
        <w:rPr>
          <w:color w:val="000000"/>
          <w:lang w:val="fr-CH"/>
        </w:rPr>
        <w:t>ième session</w:t>
      </w:r>
      <w:r w:rsidRPr="00D42151">
        <w:rPr>
          <w:color w:val="000000"/>
          <w:lang w:val="fr-CH"/>
        </w:rPr>
        <w:t xml:space="preserve"> </w:t>
      </w:r>
      <w:r w:rsidRPr="00D42151">
        <w:rPr>
          <w:rFonts w:cs="Arial"/>
          <w:lang w:val="fr-CH"/>
        </w:rPr>
        <w:t>aux États</w:t>
      </w:r>
      <w:r>
        <w:rPr>
          <w:rFonts w:cs="Arial"/>
          <w:lang w:val="fr-CH"/>
        </w:rPr>
        <w:t>-</w:t>
      </w:r>
      <w:r w:rsidRPr="00D42151">
        <w:rPr>
          <w:rFonts w:cs="Arial"/>
          <w:lang w:val="fr-CH"/>
        </w:rPr>
        <w:t>Unis d</w:t>
      </w:r>
      <w:r>
        <w:rPr>
          <w:rFonts w:cs="Arial"/>
          <w:lang w:val="fr-CH"/>
        </w:rPr>
        <w:t>’</w:t>
      </w:r>
      <w:r w:rsidRPr="00D42151">
        <w:rPr>
          <w:rFonts w:cs="Arial"/>
          <w:lang w:val="fr-CH"/>
        </w:rPr>
        <w:t>Amérique de manière virtuelle du 23 au 25 septembre 2020</w:t>
      </w:r>
      <w:r w:rsidRPr="00D42151">
        <w:rPr>
          <w:lang w:val="fr-CH" w:eastAsia="ja-JP"/>
        </w:rPr>
        <w:t xml:space="preserve"> (voir le paragraphe</w:t>
      </w:r>
      <w:r>
        <w:rPr>
          <w:lang w:val="fr-CH" w:eastAsia="ja-JP"/>
        </w:rPr>
        <w:t> </w:t>
      </w:r>
      <w:r w:rsidRPr="00D42151">
        <w:rPr>
          <w:lang w:val="fr-CH" w:eastAsia="ja-JP"/>
        </w:rPr>
        <w:t>1 du document</w:t>
      </w:r>
      <w:r>
        <w:rPr>
          <w:lang w:val="fr-CH" w:eastAsia="ja-JP"/>
        </w:rPr>
        <w:t xml:space="preserve"> </w:t>
      </w:r>
      <w:r w:rsidRPr="00D42151">
        <w:rPr>
          <w:lang w:val="fr-CH" w:eastAsia="ja-JP"/>
        </w:rPr>
        <w:t>BMT/19/15 “Report”)</w:t>
      </w:r>
      <w:r w:rsidRPr="00D42151">
        <w:rPr>
          <w:lang w:val="fr-CH"/>
        </w:rPr>
        <w:t>.</w:t>
      </w:r>
    </w:p>
    <w:p w:rsidR="005C008D" w:rsidRPr="00D42151" w:rsidRDefault="005C008D" w:rsidP="005C008D">
      <w:pPr>
        <w:rPr>
          <w:noProof/>
          <w:lang w:val="fr-CH" w:eastAsia="ja-JP"/>
        </w:rPr>
      </w:pPr>
    </w:p>
    <w:p w:rsidR="005C008D" w:rsidRPr="00D42151" w:rsidRDefault="005C008D" w:rsidP="005C008D">
      <w:pPr>
        <w:rPr>
          <w:noProof/>
          <w:lang w:val="fr-CH" w:eastAsia="ja-JP"/>
        </w:rPr>
      </w:pPr>
    </w:p>
    <w:p w:rsidR="005C008D" w:rsidRPr="00D42151" w:rsidRDefault="005C008D" w:rsidP="005C008D">
      <w:pPr>
        <w:pStyle w:val="Heading2"/>
        <w:rPr>
          <w:lang w:val="fr-CH" w:eastAsia="ja-JP"/>
        </w:rPr>
      </w:pPr>
      <w:bookmarkStart w:id="10" w:name="_Toc525647179"/>
      <w:bookmarkStart w:id="11" w:name="_Toc526175651"/>
      <w:bookmarkStart w:id="12" w:name="_Toc54253887"/>
      <w:r w:rsidRPr="00D42151">
        <w:rPr>
          <w:lang w:val="fr-CH" w:eastAsia="ja-JP"/>
        </w:rPr>
        <w:t>Documents présentés</w:t>
      </w:r>
      <w:bookmarkEnd w:id="10"/>
      <w:bookmarkEnd w:id="11"/>
      <w:bookmarkEnd w:id="12"/>
    </w:p>
    <w:p w:rsidR="005C008D" w:rsidRPr="00D42151" w:rsidRDefault="005C008D" w:rsidP="005C008D">
      <w:pPr>
        <w:keepNext/>
        <w:rPr>
          <w:lang w:val="fr-CH"/>
        </w:rPr>
      </w:pPr>
    </w:p>
    <w:p w:rsidR="005C008D" w:rsidRPr="00D42151" w:rsidRDefault="005C008D" w:rsidP="005C008D">
      <w:pPr>
        <w:keepNext/>
        <w:rPr>
          <w:lang w:val="fr-CH"/>
        </w:rPr>
      </w:pPr>
      <w:r w:rsidRPr="00D42151">
        <w:rPr>
          <w:lang w:val="fr-CH"/>
        </w:rPr>
        <w:fldChar w:fldCharType="begin"/>
      </w:r>
      <w:r w:rsidRPr="00D42151">
        <w:rPr>
          <w:lang w:val="fr-CH"/>
        </w:rPr>
        <w:instrText xml:space="preserve"> AUTONUM  </w:instrText>
      </w:r>
      <w:r w:rsidRPr="00D42151">
        <w:rPr>
          <w:lang w:val="fr-CH"/>
        </w:rPr>
        <w:fldChar w:fldCharType="end"/>
      </w:r>
      <w:r w:rsidRPr="00D42151">
        <w:rPr>
          <w:lang w:val="fr-CH"/>
        </w:rPr>
        <w:tab/>
        <w:t>Les documents présentés au titre des points de l</w:t>
      </w:r>
      <w:r>
        <w:rPr>
          <w:lang w:val="fr-CH"/>
        </w:rPr>
        <w:t>’</w:t>
      </w:r>
      <w:r w:rsidRPr="00D42151">
        <w:rPr>
          <w:lang w:val="fr-CH"/>
        </w:rPr>
        <w:t>ordre du jour de la dix</w:t>
      </w:r>
      <w:r>
        <w:rPr>
          <w:lang w:val="fr-CH"/>
        </w:rPr>
        <w:t>-</w:t>
      </w:r>
      <w:r w:rsidRPr="00D42151">
        <w:rPr>
          <w:lang w:val="fr-CH"/>
        </w:rPr>
        <w:t>neuv</w:t>
      </w:r>
      <w:r>
        <w:rPr>
          <w:lang w:val="fr-CH"/>
        </w:rPr>
        <w:t>ième session</w:t>
      </w:r>
      <w:r w:rsidRPr="00D42151">
        <w:rPr>
          <w:lang w:val="fr-CH"/>
        </w:rPr>
        <w:t xml:space="preserve"> du</w:t>
      </w:r>
      <w:r>
        <w:rPr>
          <w:lang w:val="fr-CH"/>
        </w:rPr>
        <w:t> </w:t>
      </w:r>
      <w:r w:rsidRPr="00D42151">
        <w:rPr>
          <w:lang w:val="fr-CH"/>
        </w:rPr>
        <w:t>BMT étaient les suivants</w:t>
      </w:r>
      <w:r>
        <w:rPr>
          <w:lang w:val="fr-CH"/>
        </w:rPr>
        <w:t> :</w:t>
      </w:r>
    </w:p>
    <w:p w:rsidR="005C008D" w:rsidRPr="00D42151" w:rsidRDefault="005C008D" w:rsidP="005C008D">
      <w:pPr>
        <w:rPr>
          <w:snapToGrid w:val="0"/>
          <w:sz w:val="18"/>
          <w:lang w:val="fr-CH"/>
        </w:rPr>
      </w:pPr>
    </w:p>
    <w:p w:rsidR="005C008D" w:rsidRPr="00D42151" w:rsidRDefault="005C008D" w:rsidP="005C008D">
      <w:pPr>
        <w:ind w:left="567"/>
        <w:rPr>
          <w:i/>
          <w:snapToGrid w:val="0"/>
          <w:lang w:val="fr-CH"/>
        </w:rPr>
      </w:pPr>
      <w:r w:rsidRPr="00D42151">
        <w:rPr>
          <w:i/>
          <w:snapToGrid w:val="0"/>
          <w:lang w:val="fr-CH"/>
        </w:rPr>
        <w:t xml:space="preserve">Reports on </w:t>
      </w:r>
      <w:proofErr w:type="spellStart"/>
      <w:r w:rsidRPr="00D42151">
        <w:rPr>
          <w:i/>
          <w:snapToGrid w:val="0"/>
          <w:lang w:val="fr-CH"/>
        </w:rPr>
        <w:t>developments</w:t>
      </w:r>
      <w:proofErr w:type="spellEnd"/>
      <w:r w:rsidRPr="00D42151">
        <w:rPr>
          <w:i/>
          <w:snapToGrid w:val="0"/>
          <w:lang w:val="fr-CH"/>
        </w:rPr>
        <w:t xml:space="preserve"> in UPOV </w:t>
      </w:r>
      <w:proofErr w:type="spellStart"/>
      <w:r w:rsidRPr="00D42151">
        <w:rPr>
          <w:i/>
          <w:snapToGrid w:val="0"/>
          <w:lang w:val="fr-CH"/>
        </w:rPr>
        <w:t>concerning</w:t>
      </w:r>
      <w:proofErr w:type="spellEnd"/>
      <w:r w:rsidRPr="00D42151">
        <w:rPr>
          <w:i/>
          <w:snapToGrid w:val="0"/>
          <w:lang w:val="fr-CH"/>
        </w:rPr>
        <w:t xml:space="preserve"> </w:t>
      </w:r>
      <w:proofErr w:type="spellStart"/>
      <w:r w:rsidRPr="00D42151">
        <w:rPr>
          <w:i/>
          <w:snapToGrid w:val="0"/>
          <w:lang w:val="fr-CH"/>
        </w:rPr>
        <w:t>biochemical</w:t>
      </w:r>
      <w:proofErr w:type="spellEnd"/>
      <w:r w:rsidRPr="00D42151">
        <w:rPr>
          <w:i/>
          <w:snapToGrid w:val="0"/>
          <w:lang w:val="fr-CH"/>
        </w:rPr>
        <w:t xml:space="preserve"> and </w:t>
      </w:r>
      <w:proofErr w:type="spellStart"/>
      <w:r w:rsidRPr="00D42151">
        <w:rPr>
          <w:i/>
          <w:snapToGrid w:val="0"/>
          <w:lang w:val="fr-CH"/>
        </w:rPr>
        <w:t>molecular</w:t>
      </w:r>
      <w:proofErr w:type="spellEnd"/>
      <w:r w:rsidRPr="00D42151">
        <w:rPr>
          <w:i/>
          <w:snapToGrid w:val="0"/>
          <w:lang w:val="fr-CH"/>
        </w:rPr>
        <w:t xml:space="preserve"> techniques (Comptes rendus des avancées de l</w:t>
      </w:r>
      <w:r>
        <w:rPr>
          <w:i/>
          <w:snapToGrid w:val="0"/>
          <w:lang w:val="fr-CH"/>
        </w:rPr>
        <w:t>’</w:t>
      </w:r>
      <w:r w:rsidRPr="00D42151">
        <w:rPr>
          <w:i/>
          <w:snapToGrid w:val="0"/>
          <w:lang w:val="fr-CH"/>
        </w:rPr>
        <w:t>UPOV concernant l</w:t>
      </w:r>
      <w:r>
        <w:rPr>
          <w:i/>
          <w:snapToGrid w:val="0"/>
          <w:lang w:val="fr-CH"/>
        </w:rPr>
        <w:t>’</w:t>
      </w:r>
      <w:r w:rsidRPr="00D42151">
        <w:rPr>
          <w:i/>
          <w:snapToGrid w:val="0"/>
          <w:lang w:val="fr-CH"/>
        </w:rPr>
        <w:t>application des tec</w:t>
      </w:r>
      <w:bookmarkStart w:id="13" w:name="_GoBack"/>
      <w:bookmarkEnd w:id="13"/>
      <w:r w:rsidRPr="00D42151">
        <w:rPr>
          <w:i/>
          <w:snapToGrid w:val="0"/>
          <w:lang w:val="fr-CH"/>
        </w:rPr>
        <w:t>hniques biochimiques et moléculaires (document</w:t>
      </w:r>
      <w:r>
        <w:rPr>
          <w:i/>
          <w:snapToGrid w:val="0"/>
          <w:lang w:val="fr-CH"/>
        </w:rPr>
        <w:t xml:space="preserve"> </w:t>
      </w:r>
      <w:r w:rsidRPr="00D42151">
        <w:rPr>
          <w:i/>
          <w:snapToGrid w:val="0"/>
          <w:lang w:val="fr-CH"/>
        </w:rPr>
        <w:t>BMT/19/2)</w:t>
      </w:r>
      <w:r w:rsidR="00060258">
        <w:rPr>
          <w:i/>
          <w:snapToGrid w:val="0"/>
          <w:lang w:val="fr-CH"/>
        </w:rPr>
        <w:t>)</w:t>
      </w:r>
    </w:p>
    <w:p w:rsidR="005C008D" w:rsidRPr="00D42151" w:rsidRDefault="005C008D" w:rsidP="005C008D">
      <w:pPr>
        <w:ind w:left="567"/>
        <w:rPr>
          <w:i/>
          <w:snapToGrid w:val="0"/>
          <w:lang w:val="fr-CH"/>
        </w:rPr>
      </w:pPr>
    </w:p>
    <w:p w:rsidR="005C008D" w:rsidRPr="00D42151" w:rsidRDefault="005C008D" w:rsidP="005C008D">
      <w:pPr>
        <w:ind w:left="567"/>
        <w:rPr>
          <w:i/>
          <w:snapToGrid w:val="0"/>
          <w:lang w:val="fr-CH"/>
        </w:rPr>
      </w:pPr>
      <w:r w:rsidRPr="00D42151">
        <w:rPr>
          <w:i/>
          <w:snapToGrid w:val="0"/>
          <w:lang w:val="fr-CH"/>
        </w:rPr>
        <w:t>Exposés succincts sur les faits nouveaux en matière de techniques biochimiques et moléculaires, présentés par les spécialistes de l</w:t>
      </w:r>
      <w:r>
        <w:rPr>
          <w:i/>
          <w:snapToGrid w:val="0"/>
          <w:lang w:val="fr-CH"/>
        </w:rPr>
        <w:t>’</w:t>
      </w:r>
      <w:r w:rsidRPr="00D42151">
        <w:rPr>
          <w:i/>
          <w:snapToGrid w:val="0"/>
          <w:lang w:val="fr-CH"/>
        </w:rPr>
        <w:t>examen</w:t>
      </w:r>
      <w:r>
        <w:rPr>
          <w:i/>
          <w:snapToGrid w:val="0"/>
          <w:lang w:val="fr-CH"/>
        </w:rPr>
        <w:t> </w:t>
      </w:r>
      <w:r w:rsidRPr="00D42151">
        <w:rPr>
          <w:i/>
          <w:snapToGrid w:val="0"/>
          <w:lang w:val="fr-CH"/>
        </w:rPr>
        <w:t>DHS, des spécialistes des techniques biochimiques et moléculaires, des obtenteurs et les organisations internationales concernées (rapports verbaux des participants)</w:t>
      </w:r>
    </w:p>
    <w:p w:rsidR="005C008D" w:rsidRPr="00D42151" w:rsidRDefault="005C008D" w:rsidP="005C008D">
      <w:pPr>
        <w:ind w:left="567"/>
        <w:rPr>
          <w:i/>
          <w:snapToGrid w:val="0"/>
          <w:lang w:val="fr-CH"/>
        </w:rPr>
      </w:pPr>
    </w:p>
    <w:p w:rsidR="005C008D" w:rsidRDefault="005C008D" w:rsidP="005C008D">
      <w:pPr>
        <w:ind w:left="567"/>
        <w:rPr>
          <w:i/>
          <w:snapToGrid w:val="0"/>
          <w:lang w:val="fr-CH"/>
        </w:rPr>
      </w:pPr>
      <w:r w:rsidRPr="00D42151">
        <w:rPr>
          <w:i/>
          <w:snapToGrid w:val="0"/>
          <w:lang w:val="fr-CH"/>
        </w:rPr>
        <w:t>Compte rendu des travaux sur les techniques moléculaires dans le cadre de l</w:t>
      </w:r>
      <w:r>
        <w:rPr>
          <w:i/>
          <w:snapToGrid w:val="0"/>
          <w:lang w:val="fr-CH"/>
        </w:rPr>
        <w:t>’</w:t>
      </w:r>
      <w:r w:rsidRPr="00D42151">
        <w:rPr>
          <w:i/>
          <w:snapToGrid w:val="0"/>
          <w:lang w:val="fr-CH"/>
        </w:rPr>
        <w:t>examen</w:t>
      </w:r>
      <w:r>
        <w:rPr>
          <w:i/>
          <w:snapToGrid w:val="0"/>
          <w:lang w:val="fr-CH"/>
        </w:rPr>
        <w:t> </w:t>
      </w:r>
      <w:r w:rsidRPr="00D42151">
        <w:rPr>
          <w:i/>
          <w:snapToGrid w:val="0"/>
          <w:lang w:val="fr-CH"/>
        </w:rPr>
        <w:t>DHS</w:t>
      </w:r>
    </w:p>
    <w:p w:rsidR="005C008D" w:rsidRPr="00D42151" w:rsidRDefault="005C008D" w:rsidP="005C008D">
      <w:pPr>
        <w:ind w:left="567"/>
        <w:rPr>
          <w:i/>
          <w:snapToGrid w:val="0"/>
          <w:lang w:val="fr-CH"/>
        </w:rPr>
      </w:pPr>
    </w:p>
    <w:p w:rsidR="005C008D" w:rsidRPr="00D42151" w:rsidRDefault="005C008D" w:rsidP="005C008D">
      <w:pPr>
        <w:ind w:left="1134"/>
        <w:rPr>
          <w:i/>
          <w:lang w:val="fr-CH"/>
        </w:rPr>
      </w:pPr>
      <w:proofErr w:type="spellStart"/>
      <w:proofErr w:type="gramStart"/>
      <w:r w:rsidRPr="00D42151">
        <w:rPr>
          <w:i/>
          <w:lang w:val="fr-CH"/>
        </w:rPr>
        <w:t>vmDUS</w:t>
      </w:r>
      <w:proofErr w:type="spellEnd"/>
      <w:proofErr w:type="gramEnd"/>
      <w:r>
        <w:rPr>
          <w:i/>
          <w:lang w:val="fr-CH"/>
        </w:rPr>
        <w:t> </w:t>
      </w:r>
      <w:r w:rsidRPr="00D42151">
        <w:rPr>
          <w:i/>
          <w:lang w:val="fr-CH"/>
        </w:rPr>
        <w:t>: Value</w:t>
      </w:r>
      <w:r>
        <w:rPr>
          <w:i/>
          <w:lang w:val="fr-CH"/>
        </w:rPr>
        <w:t>-</w:t>
      </w:r>
      <w:proofErr w:type="spellStart"/>
      <w:r w:rsidRPr="00D42151">
        <w:rPr>
          <w:i/>
          <w:lang w:val="fr-CH"/>
        </w:rPr>
        <w:t>molecular</w:t>
      </w:r>
      <w:proofErr w:type="spellEnd"/>
      <w:r w:rsidRPr="00D42151">
        <w:rPr>
          <w:i/>
          <w:lang w:val="fr-CH"/>
        </w:rPr>
        <w:t xml:space="preserve"> </w:t>
      </w:r>
      <w:proofErr w:type="spellStart"/>
      <w:r w:rsidRPr="00D42151">
        <w:rPr>
          <w:i/>
          <w:lang w:val="fr-CH"/>
        </w:rPr>
        <w:t>linked</w:t>
      </w:r>
      <w:proofErr w:type="spellEnd"/>
      <w:r w:rsidRPr="00D42151">
        <w:rPr>
          <w:i/>
          <w:lang w:val="fr-CH"/>
        </w:rPr>
        <w:t xml:space="preserve"> </w:t>
      </w:r>
      <w:proofErr w:type="spellStart"/>
      <w:r w:rsidRPr="00D42151">
        <w:rPr>
          <w:i/>
          <w:lang w:val="fr-CH"/>
        </w:rPr>
        <w:t>distinctness</w:t>
      </w:r>
      <w:proofErr w:type="spellEnd"/>
      <w:r w:rsidRPr="00D42151">
        <w:rPr>
          <w:i/>
          <w:lang w:val="fr-CH"/>
        </w:rPr>
        <w:t xml:space="preserve"> </w:t>
      </w:r>
      <w:proofErr w:type="spellStart"/>
      <w:r w:rsidRPr="00D42151">
        <w:rPr>
          <w:i/>
          <w:lang w:val="fr-CH"/>
        </w:rPr>
        <w:t>determination</w:t>
      </w:r>
      <w:proofErr w:type="spellEnd"/>
      <w:r w:rsidRPr="00D42151">
        <w:rPr>
          <w:i/>
          <w:lang w:val="fr-CH"/>
        </w:rPr>
        <w:t xml:space="preserve"> (</w:t>
      </w:r>
      <w:proofErr w:type="spellStart"/>
      <w:r w:rsidRPr="00D42151">
        <w:rPr>
          <w:i/>
          <w:lang w:val="fr-CH"/>
        </w:rPr>
        <w:t>vmDHS</w:t>
      </w:r>
      <w:proofErr w:type="spellEnd"/>
      <w:r>
        <w:rPr>
          <w:i/>
          <w:lang w:val="fr-CH"/>
        </w:rPr>
        <w:t> :</w:t>
      </w:r>
      <w:r w:rsidRPr="00D42151">
        <w:rPr>
          <w:i/>
          <w:lang w:val="fr-CH"/>
        </w:rPr>
        <w:t xml:space="preserve"> établissement de la distinction liée à la valeur moléculaire) (document BMT/19/6)</w:t>
      </w:r>
    </w:p>
    <w:p w:rsidR="005C008D" w:rsidRPr="00D42151" w:rsidRDefault="005C008D" w:rsidP="005C008D">
      <w:pPr>
        <w:ind w:left="1134"/>
        <w:rPr>
          <w:i/>
          <w:lang w:val="fr-CH"/>
        </w:rPr>
      </w:pPr>
    </w:p>
    <w:p w:rsidR="005C008D" w:rsidRPr="00D42151" w:rsidRDefault="005C008D" w:rsidP="005C008D">
      <w:pPr>
        <w:ind w:left="1134"/>
        <w:rPr>
          <w:i/>
          <w:lang w:val="fr-CH"/>
        </w:rPr>
      </w:pPr>
      <w:r w:rsidRPr="00D42151">
        <w:rPr>
          <w:i/>
          <w:lang w:val="fr-CH"/>
        </w:rPr>
        <w:t>CPVO report on IMODDUS</w:t>
      </w:r>
      <w:r>
        <w:rPr>
          <w:i/>
          <w:lang w:val="fr-CH"/>
        </w:rPr>
        <w:t> </w:t>
      </w:r>
      <w:r w:rsidRPr="00D42151">
        <w:rPr>
          <w:i/>
          <w:lang w:val="fr-CH"/>
        </w:rPr>
        <w:t xml:space="preserve">: </w:t>
      </w:r>
      <w:proofErr w:type="gramStart"/>
      <w:r w:rsidRPr="00D42151">
        <w:rPr>
          <w:i/>
          <w:lang w:val="fr-CH"/>
        </w:rPr>
        <w:t>Update on</w:t>
      </w:r>
      <w:proofErr w:type="gramEnd"/>
      <w:r w:rsidRPr="00D42151">
        <w:rPr>
          <w:i/>
          <w:lang w:val="fr-CH"/>
        </w:rPr>
        <w:t xml:space="preserve"> R&amp;D </w:t>
      </w:r>
      <w:proofErr w:type="spellStart"/>
      <w:r w:rsidRPr="00D42151">
        <w:rPr>
          <w:i/>
          <w:lang w:val="fr-CH"/>
        </w:rPr>
        <w:t>projects</w:t>
      </w:r>
      <w:proofErr w:type="spellEnd"/>
      <w:r w:rsidRPr="00D42151">
        <w:rPr>
          <w:i/>
          <w:lang w:val="fr-CH"/>
        </w:rPr>
        <w:t xml:space="preserve"> (Rapport de l</w:t>
      </w:r>
      <w:r>
        <w:rPr>
          <w:i/>
          <w:lang w:val="fr-CH"/>
        </w:rPr>
        <w:t>’</w:t>
      </w:r>
      <w:r w:rsidRPr="00D42151">
        <w:rPr>
          <w:i/>
          <w:lang w:val="fr-CH"/>
        </w:rPr>
        <w:t>OCVV sur IMODDUS</w:t>
      </w:r>
      <w:r>
        <w:rPr>
          <w:i/>
          <w:lang w:val="fr-CH"/>
        </w:rPr>
        <w:t> :</w:t>
      </w:r>
      <w:r w:rsidRPr="00D42151">
        <w:rPr>
          <w:i/>
          <w:lang w:val="fr-CH"/>
        </w:rPr>
        <w:t xml:space="preserve"> nouvelles concernant les projets de recherche</w:t>
      </w:r>
      <w:r>
        <w:rPr>
          <w:i/>
          <w:lang w:val="fr-CH"/>
        </w:rPr>
        <w:t>-</w:t>
      </w:r>
      <w:r w:rsidRPr="00D42151">
        <w:rPr>
          <w:i/>
          <w:lang w:val="fr-CH"/>
        </w:rPr>
        <w:t>développement) (document BMT/19/4)</w:t>
      </w:r>
    </w:p>
    <w:p w:rsidR="005C008D" w:rsidRPr="00D42151" w:rsidRDefault="005C008D" w:rsidP="005C008D">
      <w:pPr>
        <w:ind w:left="567"/>
        <w:rPr>
          <w:i/>
          <w:lang w:val="fr-CH"/>
        </w:rPr>
      </w:pPr>
    </w:p>
    <w:p w:rsidR="005C008D" w:rsidRPr="00D42151" w:rsidRDefault="005C008D" w:rsidP="005C008D">
      <w:pPr>
        <w:tabs>
          <w:tab w:val="left" w:pos="567"/>
          <w:tab w:val="left" w:pos="1134"/>
        </w:tabs>
        <w:ind w:left="1134"/>
        <w:rPr>
          <w:i/>
          <w:lang w:val="fr-CH"/>
        </w:rPr>
      </w:pPr>
      <w:r w:rsidRPr="00D42151">
        <w:rPr>
          <w:i/>
          <w:lang w:val="fr-CH"/>
        </w:rPr>
        <w:tab/>
      </w:r>
      <w:proofErr w:type="spellStart"/>
      <w:r w:rsidRPr="00D42151">
        <w:rPr>
          <w:i/>
          <w:lang w:val="fr-CH"/>
        </w:rPr>
        <w:t>Developing</w:t>
      </w:r>
      <w:proofErr w:type="spellEnd"/>
      <w:r w:rsidRPr="00D42151">
        <w:rPr>
          <w:i/>
          <w:lang w:val="fr-CH"/>
        </w:rPr>
        <w:t xml:space="preserve"> a </w:t>
      </w:r>
      <w:proofErr w:type="spellStart"/>
      <w:r w:rsidRPr="00D42151">
        <w:rPr>
          <w:i/>
          <w:lang w:val="fr-CH"/>
        </w:rPr>
        <w:t>strategy</w:t>
      </w:r>
      <w:proofErr w:type="spellEnd"/>
      <w:r w:rsidRPr="00D42151">
        <w:rPr>
          <w:i/>
          <w:lang w:val="fr-CH"/>
        </w:rPr>
        <w:t xml:space="preserve"> to </w:t>
      </w:r>
      <w:proofErr w:type="spellStart"/>
      <w:r w:rsidRPr="00D42151">
        <w:rPr>
          <w:i/>
          <w:lang w:val="fr-CH"/>
        </w:rPr>
        <w:t>apply</w:t>
      </w:r>
      <w:proofErr w:type="spellEnd"/>
      <w:r w:rsidRPr="00D42151">
        <w:rPr>
          <w:i/>
          <w:lang w:val="fr-CH"/>
        </w:rPr>
        <w:t xml:space="preserve"> SNP </w:t>
      </w:r>
      <w:proofErr w:type="spellStart"/>
      <w:r w:rsidRPr="00D42151">
        <w:rPr>
          <w:i/>
          <w:lang w:val="fr-CH"/>
        </w:rPr>
        <w:t>molecular</w:t>
      </w:r>
      <w:proofErr w:type="spellEnd"/>
      <w:r w:rsidRPr="00D42151">
        <w:rPr>
          <w:i/>
          <w:lang w:val="fr-CH"/>
        </w:rPr>
        <w:t xml:space="preserve"> markers in the </w:t>
      </w:r>
      <w:proofErr w:type="spellStart"/>
      <w:r w:rsidRPr="00D42151">
        <w:rPr>
          <w:i/>
          <w:lang w:val="fr-CH"/>
        </w:rPr>
        <w:t>framework</w:t>
      </w:r>
      <w:proofErr w:type="spellEnd"/>
      <w:r w:rsidRPr="00D42151">
        <w:rPr>
          <w:i/>
          <w:lang w:val="fr-CH"/>
        </w:rPr>
        <w:t xml:space="preserve"> of </w:t>
      </w:r>
      <w:proofErr w:type="spellStart"/>
      <w:r w:rsidRPr="00D42151">
        <w:rPr>
          <w:i/>
          <w:lang w:val="fr-CH"/>
        </w:rPr>
        <w:t>winter</w:t>
      </w:r>
      <w:proofErr w:type="spellEnd"/>
      <w:r w:rsidRPr="00D42151">
        <w:rPr>
          <w:i/>
          <w:lang w:val="fr-CH"/>
        </w:rPr>
        <w:t xml:space="preserve"> </w:t>
      </w:r>
      <w:proofErr w:type="spellStart"/>
      <w:r w:rsidRPr="00D42151">
        <w:rPr>
          <w:i/>
          <w:lang w:val="fr-CH"/>
        </w:rPr>
        <w:t>oilseed</w:t>
      </w:r>
      <w:proofErr w:type="spellEnd"/>
      <w:r w:rsidRPr="00D42151">
        <w:rPr>
          <w:i/>
          <w:lang w:val="fr-CH"/>
        </w:rPr>
        <w:t xml:space="preserve"> </w:t>
      </w:r>
      <w:proofErr w:type="spellStart"/>
      <w:r w:rsidRPr="00D42151">
        <w:rPr>
          <w:i/>
          <w:lang w:val="fr-CH"/>
        </w:rPr>
        <w:t>rape</w:t>
      </w:r>
      <w:proofErr w:type="spellEnd"/>
      <w:r w:rsidRPr="00D42151">
        <w:rPr>
          <w:i/>
          <w:lang w:val="fr-CH"/>
        </w:rPr>
        <w:t xml:space="preserve"> DUS </w:t>
      </w:r>
      <w:proofErr w:type="spellStart"/>
      <w:r w:rsidRPr="00D42151">
        <w:rPr>
          <w:i/>
          <w:lang w:val="fr-CH"/>
        </w:rPr>
        <w:t>testing</w:t>
      </w:r>
      <w:proofErr w:type="spellEnd"/>
      <w:r w:rsidRPr="00D42151">
        <w:rPr>
          <w:i/>
          <w:lang w:val="fr-CH"/>
        </w:rPr>
        <w:t xml:space="preserve"> (Élaboration d</w:t>
      </w:r>
      <w:r>
        <w:rPr>
          <w:i/>
          <w:lang w:val="fr-CH"/>
        </w:rPr>
        <w:t>’</w:t>
      </w:r>
      <w:r w:rsidRPr="00D42151">
        <w:rPr>
          <w:i/>
          <w:lang w:val="fr-CH"/>
        </w:rPr>
        <w:t>une stratégie relative à l</w:t>
      </w:r>
      <w:r>
        <w:rPr>
          <w:i/>
          <w:lang w:val="fr-CH"/>
        </w:rPr>
        <w:t>’</w:t>
      </w:r>
      <w:r w:rsidRPr="00D42151">
        <w:rPr>
          <w:i/>
          <w:lang w:val="fr-CH"/>
        </w:rPr>
        <w:t>application de marqueurs moléculaires de type SNP dans le cadre de l</w:t>
      </w:r>
      <w:r>
        <w:rPr>
          <w:i/>
          <w:lang w:val="fr-CH"/>
        </w:rPr>
        <w:t>’</w:t>
      </w:r>
      <w:r w:rsidRPr="00D42151">
        <w:rPr>
          <w:i/>
          <w:lang w:val="fr-CH"/>
        </w:rPr>
        <w:t>examen</w:t>
      </w:r>
      <w:r>
        <w:rPr>
          <w:i/>
          <w:lang w:val="fr-CH"/>
        </w:rPr>
        <w:t> </w:t>
      </w:r>
      <w:r w:rsidRPr="00D42151">
        <w:rPr>
          <w:i/>
          <w:lang w:val="fr-CH"/>
        </w:rPr>
        <w:t>DHS du colza oléagineux d</w:t>
      </w:r>
      <w:r>
        <w:rPr>
          <w:i/>
          <w:lang w:val="fr-CH"/>
        </w:rPr>
        <w:t>’</w:t>
      </w:r>
      <w:r w:rsidRPr="00D42151">
        <w:rPr>
          <w:i/>
          <w:lang w:val="fr-CH"/>
        </w:rPr>
        <w:t>hiver) (document BMT/19/11)</w:t>
      </w:r>
    </w:p>
    <w:p w:rsidR="005C008D" w:rsidRPr="00D42151" w:rsidRDefault="005C008D" w:rsidP="005C008D">
      <w:pPr>
        <w:tabs>
          <w:tab w:val="left" w:pos="567"/>
          <w:tab w:val="left" w:pos="1134"/>
        </w:tabs>
        <w:ind w:left="1134"/>
        <w:rPr>
          <w:i/>
          <w:lang w:val="fr-CH"/>
        </w:rPr>
      </w:pPr>
    </w:p>
    <w:p w:rsidR="005C008D" w:rsidRPr="00D42151" w:rsidRDefault="005C008D" w:rsidP="005C008D">
      <w:pPr>
        <w:tabs>
          <w:tab w:val="left" w:pos="567"/>
          <w:tab w:val="left" w:pos="1134"/>
        </w:tabs>
        <w:ind w:left="1134"/>
        <w:rPr>
          <w:i/>
          <w:lang w:val="fr-CH"/>
        </w:rPr>
      </w:pPr>
      <w:r w:rsidRPr="00D42151">
        <w:rPr>
          <w:i/>
          <w:lang w:val="fr-CH"/>
        </w:rPr>
        <w:tab/>
        <w:t xml:space="preserve">French </w:t>
      </w:r>
      <w:proofErr w:type="spellStart"/>
      <w:r w:rsidRPr="00D42151">
        <w:rPr>
          <w:i/>
          <w:lang w:val="fr-CH"/>
        </w:rPr>
        <w:t>strategy</w:t>
      </w:r>
      <w:proofErr w:type="spellEnd"/>
      <w:r w:rsidRPr="00D42151">
        <w:rPr>
          <w:i/>
          <w:lang w:val="fr-CH"/>
        </w:rPr>
        <w:t xml:space="preserve"> for </w:t>
      </w:r>
      <w:proofErr w:type="spellStart"/>
      <w:r w:rsidRPr="00D42151">
        <w:rPr>
          <w:i/>
          <w:lang w:val="fr-CH"/>
        </w:rPr>
        <w:t>access</w:t>
      </w:r>
      <w:proofErr w:type="spellEnd"/>
      <w:r w:rsidRPr="00D42151">
        <w:rPr>
          <w:i/>
          <w:lang w:val="fr-CH"/>
        </w:rPr>
        <w:t xml:space="preserve"> to </w:t>
      </w:r>
      <w:proofErr w:type="spellStart"/>
      <w:r w:rsidRPr="00D42151">
        <w:rPr>
          <w:i/>
          <w:lang w:val="fr-CH"/>
        </w:rPr>
        <w:t>molecular</w:t>
      </w:r>
      <w:proofErr w:type="spellEnd"/>
      <w:r w:rsidRPr="00D42151">
        <w:rPr>
          <w:i/>
          <w:lang w:val="fr-CH"/>
        </w:rPr>
        <w:t xml:space="preserve"> data and proof of concept for </w:t>
      </w:r>
      <w:proofErr w:type="spellStart"/>
      <w:r w:rsidRPr="00D42151">
        <w:rPr>
          <w:i/>
          <w:lang w:val="fr-CH"/>
        </w:rPr>
        <w:t>combining</w:t>
      </w:r>
      <w:proofErr w:type="spellEnd"/>
      <w:r w:rsidRPr="00D42151">
        <w:rPr>
          <w:i/>
          <w:lang w:val="fr-CH"/>
        </w:rPr>
        <w:t xml:space="preserve"> </w:t>
      </w:r>
      <w:proofErr w:type="spellStart"/>
      <w:r w:rsidRPr="00D42151">
        <w:rPr>
          <w:i/>
          <w:lang w:val="fr-CH"/>
        </w:rPr>
        <w:t>phenotype</w:t>
      </w:r>
      <w:proofErr w:type="spellEnd"/>
      <w:r w:rsidRPr="00D42151">
        <w:rPr>
          <w:i/>
          <w:lang w:val="fr-CH"/>
        </w:rPr>
        <w:t xml:space="preserve"> and </w:t>
      </w:r>
      <w:proofErr w:type="spellStart"/>
      <w:r w:rsidRPr="00D42151">
        <w:rPr>
          <w:i/>
          <w:lang w:val="fr-CH"/>
        </w:rPr>
        <w:t>genotype</w:t>
      </w:r>
      <w:proofErr w:type="spellEnd"/>
      <w:r w:rsidRPr="00D42151">
        <w:rPr>
          <w:i/>
          <w:lang w:val="fr-CH"/>
        </w:rPr>
        <w:t xml:space="preserve"> (Stratégie de la France en matière d</w:t>
      </w:r>
      <w:r>
        <w:rPr>
          <w:i/>
          <w:lang w:val="fr-CH"/>
        </w:rPr>
        <w:t>’</w:t>
      </w:r>
      <w:r w:rsidRPr="00D42151">
        <w:rPr>
          <w:i/>
          <w:lang w:val="fr-CH"/>
        </w:rPr>
        <w:t>accès aux données moléculaires et démonstration de faisabilité du mélange des données du phénotype et du génotype) (document BMT/19/12)</w:t>
      </w:r>
    </w:p>
    <w:p w:rsidR="005C008D" w:rsidRPr="00D42151" w:rsidRDefault="005C008D" w:rsidP="005C008D">
      <w:pPr>
        <w:tabs>
          <w:tab w:val="left" w:pos="567"/>
          <w:tab w:val="left" w:pos="1134"/>
        </w:tabs>
        <w:ind w:left="1134"/>
        <w:rPr>
          <w:i/>
          <w:lang w:val="fr-CH"/>
        </w:rPr>
      </w:pPr>
    </w:p>
    <w:p w:rsidR="005C008D" w:rsidRPr="00D42151" w:rsidRDefault="005C008D" w:rsidP="005C008D">
      <w:pPr>
        <w:ind w:left="567"/>
        <w:rPr>
          <w:i/>
          <w:snapToGrid w:val="0"/>
          <w:lang w:val="fr-CH"/>
        </w:rPr>
      </w:pPr>
      <w:r w:rsidRPr="00D42151">
        <w:rPr>
          <w:i/>
          <w:snapToGrid w:val="0"/>
          <w:lang w:val="fr-CH"/>
        </w:rPr>
        <w:t>Examen du document UPOV/INF/17 “Directives concernant les profils d</w:t>
      </w:r>
      <w:r>
        <w:rPr>
          <w:i/>
          <w:snapToGrid w:val="0"/>
          <w:lang w:val="fr-CH"/>
        </w:rPr>
        <w:t>’</w:t>
      </w:r>
      <w:r w:rsidRPr="00D42151">
        <w:rPr>
          <w:i/>
          <w:snapToGrid w:val="0"/>
          <w:lang w:val="fr-CH"/>
        </w:rPr>
        <w:t>ADN</w:t>
      </w:r>
      <w:r>
        <w:rPr>
          <w:i/>
          <w:snapToGrid w:val="0"/>
          <w:lang w:val="fr-CH"/>
        </w:rPr>
        <w:t> :</w:t>
      </w:r>
      <w:r w:rsidRPr="00D42151">
        <w:rPr>
          <w:i/>
          <w:snapToGrid w:val="0"/>
          <w:lang w:val="fr-CH"/>
        </w:rPr>
        <w:t xml:space="preserve"> choix des marqueurs moléculaires et construction d</w:t>
      </w:r>
      <w:r>
        <w:rPr>
          <w:i/>
          <w:snapToGrid w:val="0"/>
          <w:lang w:val="fr-CH"/>
        </w:rPr>
        <w:t>’</w:t>
      </w:r>
      <w:r w:rsidRPr="00D42151">
        <w:rPr>
          <w:i/>
          <w:snapToGrid w:val="0"/>
          <w:lang w:val="fr-CH"/>
        </w:rPr>
        <w:t>une base de données y relative” (documents BMT/19/3</w:t>
      </w:r>
      <w:r>
        <w:rPr>
          <w:i/>
          <w:snapToGrid w:val="0"/>
          <w:lang w:val="fr-CH"/>
        </w:rPr>
        <w:t> </w:t>
      </w:r>
      <w:proofErr w:type="spellStart"/>
      <w:r w:rsidRPr="00D42151">
        <w:rPr>
          <w:i/>
          <w:snapToGrid w:val="0"/>
          <w:lang w:val="fr-CH"/>
        </w:rPr>
        <w:t>Rev</w:t>
      </w:r>
      <w:proofErr w:type="spellEnd"/>
      <w:r w:rsidRPr="00D42151">
        <w:rPr>
          <w:i/>
          <w:snapToGrid w:val="0"/>
          <w:lang w:val="fr-CH"/>
        </w:rPr>
        <w:t xml:space="preserve">. </w:t>
      </w:r>
      <w:proofErr w:type="gramStart"/>
      <w:r w:rsidRPr="00D42151">
        <w:rPr>
          <w:i/>
          <w:snapToGrid w:val="0"/>
          <w:lang w:val="fr-CH"/>
        </w:rPr>
        <w:t>et</w:t>
      </w:r>
      <w:proofErr w:type="gramEnd"/>
      <w:r w:rsidRPr="00D42151">
        <w:rPr>
          <w:i/>
          <w:snapToGrid w:val="0"/>
          <w:lang w:val="fr-CH"/>
        </w:rPr>
        <w:t xml:space="preserve"> UPOV/INF/17/2 </w:t>
      </w:r>
      <w:proofErr w:type="spellStart"/>
      <w:r w:rsidRPr="00D42151">
        <w:rPr>
          <w:i/>
          <w:snapToGrid w:val="0"/>
          <w:lang w:val="fr-CH"/>
        </w:rPr>
        <w:t>Draft</w:t>
      </w:r>
      <w:proofErr w:type="spellEnd"/>
      <w:r w:rsidRPr="00D42151">
        <w:rPr>
          <w:i/>
          <w:snapToGrid w:val="0"/>
          <w:lang w:val="fr-CH"/>
        </w:rPr>
        <w:t xml:space="preserve"> 3)</w:t>
      </w:r>
    </w:p>
    <w:p w:rsidR="005C008D" w:rsidRPr="00D42151" w:rsidRDefault="005C008D" w:rsidP="005C008D">
      <w:pPr>
        <w:ind w:left="567"/>
        <w:rPr>
          <w:i/>
          <w:snapToGrid w:val="0"/>
          <w:lang w:val="fr-CH"/>
        </w:rPr>
      </w:pPr>
    </w:p>
    <w:p w:rsidR="005C008D" w:rsidRPr="00D42151" w:rsidRDefault="005C008D" w:rsidP="005C008D">
      <w:pPr>
        <w:ind w:left="567"/>
        <w:rPr>
          <w:i/>
          <w:snapToGrid w:val="0"/>
          <w:lang w:val="fr-CH"/>
        </w:rPr>
      </w:pPr>
      <w:r w:rsidRPr="00D42151">
        <w:rPr>
          <w:i/>
          <w:snapToGrid w:val="0"/>
          <w:lang w:val="fr-CH"/>
        </w:rPr>
        <w:t>Confidentialité, titularité et accès en matière de données moléculaires</w:t>
      </w:r>
      <w:r w:rsidRPr="00D42151">
        <w:rPr>
          <w:i/>
          <w:snapToGrid w:val="0"/>
          <w:lang w:val="fr-CH"/>
        </w:rPr>
        <w:fldChar w:fldCharType="begin"/>
      </w:r>
      <w:r w:rsidRPr="00D42151">
        <w:rPr>
          <w:i/>
          <w:snapToGrid w:val="0"/>
          <w:lang w:val="fr-CH"/>
        </w:rPr>
        <w:instrText xml:space="preserve"> NOTEREF _Ref50454705 \f \h  \* MERGEFORMAT </w:instrText>
      </w:r>
      <w:r w:rsidRPr="00D42151">
        <w:rPr>
          <w:i/>
          <w:snapToGrid w:val="0"/>
          <w:lang w:val="fr-CH"/>
        </w:rPr>
      </w:r>
      <w:r w:rsidRPr="00D42151">
        <w:rPr>
          <w:i/>
          <w:snapToGrid w:val="0"/>
          <w:lang w:val="fr-CH"/>
        </w:rPr>
        <w:fldChar w:fldCharType="separate"/>
      </w:r>
      <w:r w:rsidRPr="00D42151">
        <w:rPr>
          <w:rStyle w:val="FootnoteReference"/>
          <w:i/>
          <w:lang w:val="fr-CH"/>
        </w:rPr>
        <w:t>1</w:t>
      </w:r>
      <w:r w:rsidRPr="00D42151">
        <w:rPr>
          <w:i/>
          <w:snapToGrid w:val="0"/>
          <w:lang w:val="fr-CH"/>
        </w:rPr>
        <w:fldChar w:fldCharType="end"/>
      </w:r>
    </w:p>
    <w:p w:rsidR="005C008D" w:rsidRPr="00D42151" w:rsidRDefault="005C008D" w:rsidP="005C008D">
      <w:pPr>
        <w:ind w:left="567"/>
        <w:rPr>
          <w:i/>
          <w:snapToGrid w:val="0"/>
          <w:lang w:val="fr-CH"/>
        </w:rPr>
      </w:pPr>
    </w:p>
    <w:p w:rsidR="005C008D" w:rsidRPr="00D42151" w:rsidRDefault="005C008D" w:rsidP="005C008D">
      <w:pPr>
        <w:tabs>
          <w:tab w:val="left" w:pos="1134"/>
        </w:tabs>
        <w:ind w:left="1130"/>
        <w:rPr>
          <w:i/>
          <w:snapToGrid w:val="0"/>
          <w:lang w:val="fr-CH"/>
        </w:rPr>
      </w:pPr>
      <w:r w:rsidRPr="00D42151">
        <w:rPr>
          <w:i/>
          <w:snapToGrid w:val="0"/>
          <w:lang w:val="fr-CH"/>
        </w:rPr>
        <w:tab/>
        <w:t xml:space="preserve">Access to </w:t>
      </w:r>
      <w:proofErr w:type="spellStart"/>
      <w:r w:rsidRPr="00D42151">
        <w:rPr>
          <w:i/>
          <w:snapToGrid w:val="0"/>
          <w:lang w:val="fr-CH"/>
        </w:rPr>
        <w:t>reference</w:t>
      </w:r>
      <w:proofErr w:type="spellEnd"/>
      <w:r w:rsidRPr="00D42151">
        <w:rPr>
          <w:i/>
          <w:snapToGrid w:val="0"/>
          <w:lang w:val="fr-CH"/>
        </w:rPr>
        <w:t xml:space="preserve"> </w:t>
      </w:r>
      <w:proofErr w:type="spellStart"/>
      <w:r w:rsidRPr="00D42151">
        <w:rPr>
          <w:i/>
          <w:snapToGrid w:val="0"/>
          <w:lang w:val="fr-CH"/>
        </w:rPr>
        <w:t>material</w:t>
      </w:r>
      <w:proofErr w:type="spellEnd"/>
      <w:r w:rsidRPr="00D42151">
        <w:rPr>
          <w:i/>
          <w:snapToGrid w:val="0"/>
          <w:lang w:val="fr-CH"/>
        </w:rPr>
        <w:t xml:space="preserve"> and </w:t>
      </w:r>
      <w:proofErr w:type="spellStart"/>
      <w:r w:rsidRPr="00D42151">
        <w:rPr>
          <w:i/>
          <w:snapToGrid w:val="0"/>
          <w:lang w:val="fr-CH"/>
        </w:rPr>
        <w:t>molecular</w:t>
      </w:r>
      <w:proofErr w:type="spellEnd"/>
      <w:r w:rsidRPr="00D42151">
        <w:rPr>
          <w:i/>
          <w:snapToGrid w:val="0"/>
          <w:lang w:val="fr-CH"/>
        </w:rPr>
        <w:t xml:space="preserve"> data </w:t>
      </w:r>
      <w:proofErr w:type="spellStart"/>
      <w:r w:rsidRPr="00D42151">
        <w:rPr>
          <w:i/>
          <w:snapToGrid w:val="0"/>
          <w:lang w:val="fr-CH"/>
        </w:rPr>
        <w:t>from</w:t>
      </w:r>
      <w:proofErr w:type="spellEnd"/>
      <w:r w:rsidRPr="00D42151">
        <w:rPr>
          <w:i/>
          <w:snapToGrid w:val="0"/>
          <w:lang w:val="fr-CH"/>
        </w:rPr>
        <w:t xml:space="preserve"> CPVO </w:t>
      </w:r>
      <w:proofErr w:type="spellStart"/>
      <w:r w:rsidRPr="00D42151">
        <w:rPr>
          <w:i/>
          <w:snapToGrid w:val="0"/>
          <w:lang w:val="fr-CH"/>
        </w:rPr>
        <w:t>Examination</w:t>
      </w:r>
      <w:proofErr w:type="spellEnd"/>
      <w:r w:rsidRPr="00D42151">
        <w:rPr>
          <w:i/>
          <w:snapToGrid w:val="0"/>
          <w:lang w:val="fr-CH"/>
        </w:rPr>
        <w:t xml:space="preserve"> Offices (Accès au matériel de référence et aux données moléculaires des services d</w:t>
      </w:r>
      <w:r>
        <w:rPr>
          <w:i/>
          <w:snapToGrid w:val="0"/>
          <w:lang w:val="fr-CH"/>
        </w:rPr>
        <w:t>’</w:t>
      </w:r>
      <w:r w:rsidRPr="00D42151">
        <w:rPr>
          <w:i/>
          <w:snapToGrid w:val="0"/>
          <w:lang w:val="fr-CH"/>
        </w:rPr>
        <w:t>examen de l</w:t>
      </w:r>
      <w:r>
        <w:rPr>
          <w:i/>
          <w:snapToGrid w:val="0"/>
          <w:lang w:val="fr-CH"/>
        </w:rPr>
        <w:t>’</w:t>
      </w:r>
      <w:r w:rsidRPr="00D42151">
        <w:rPr>
          <w:i/>
          <w:snapToGrid w:val="0"/>
          <w:lang w:val="fr-CH"/>
        </w:rPr>
        <w:t>OCVV) (document</w:t>
      </w:r>
      <w:r>
        <w:rPr>
          <w:i/>
          <w:snapToGrid w:val="0"/>
          <w:lang w:val="fr-CH"/>
        </w:rPr>
        <w:t xml:space="preserve"> </w:t>
      </w:r>
      <w:r w:rsidRPr="00D42151">
        <w:rPr>
          <w:i/>
          <w:snapToGrid w:val="0"/>
          <w:lang w:val="fr-CH"/>
        </w:rPr>
        <w:t>BMT/19/5)</w:t>
      </w:r>
    </w:p>
    <w:p w:rsidR="005C008D" w:rsidRPr="00D42151" w:rsidRDefault="005C008D" w:rsidP="005C008D">
      <w:pPr>
        <w:tabs>
          <w:tab w:val="left" w:pos="1134"/>
        </w:tabs>
        <w:ind w:left="1130"/>
        <w:rPr>
          <w:i/>
          <w:snapToGrid w:val="0"/>
          <w:lang w:val="fr-CH"/>
        </w:rPr>
      </w:pPr>
    </w:p>
    <w:p w:rsidR="005C008D" w:rsidRPr="00D42151" w:rsidRDefault="005C008D" w:rsidP="005C008D">
      <w:pPr>
        <w:ind w:left="1134"/>
        <w:rPr>
          <w:i/>
          <w:snapToGrid w:val="0"/>
          <w:lang w:val="fr-CH"/>
        </w:rPr>
      </w:pPr>
      <w:r w:rsidRPr="00D42151">
        <w:rPr>
          <w:i/>
          <w:snapToGrid w:val="0"/>
          <w:lang w:val="fr-CH"/>
        </w:rPr>
        <w:t xml:space="preserve">Survey on </w:t>
      </w:r>
      <w:proofErr w:type="spellStart"/>
      <w:r w:rsidRPr="00D42151">
        <w:rPr>
          <w:i/>
          <w:snapToGrid w:val="0"/>
          <w:lang w:val="fr-CH"/>
        </w:rPr>
        <w:t>confidentiality</w:t>
      </w:r>
      <w:proofErr w:type="spellEnd"/>
      <w:r w:rsidRPr="00D42151">
        <w:rPr>
          <w:i/>
          <w:snapToGrid w:val="0"/>
          <w:lang w:val="fr-CH"/>
        </w:rPr>
        <w:t xml:space="preserve"> and </w:t>
      </w:r>
      <w:proofErr w:type="spellStart"/>
      <w:r w:rsidRPr="00D42151">
        <w:rPr>
          <w:i/>
          <w:snapToGrid w:val="0"/>
          <w:lang w:val="fr-CH"/>
        </w:rPr>
        <w:t>ownership</w:t>
      </w:r>
      <w:proofErr w:type="spellEnd"/>
      <w:r w:rsidRPr="00D42151">
        <w:rPr>
          <w:i/>
          <w:snapToGrid w:val="0"/>
          <w:lang w:val="fr-CH"/>
        </w:rPr>
        <w:t xml:space="preserve"> of </w:t>
      </w:r>
      <w:proofErr w:type="spellStart"/>
      <w:r w:rsidRPr="00D42151">
        <w:rPr>
          <w:i/>
          <w:snapToGrid w:val="0"/>
          <w:lang w:val="fr-CH"/>
        </w:rPr>
        <w:t>molecular</w:t>
      </w:r>
      <w:proofErr w:type="spellEnd"/>
      <w:r w:rsidRPr="00D42151">
        <w:rPr>
          <w:i/>
          <w:snapToGrid w:val="0"/>
          <w:lang w:val="fr-CH"/>
        </w:rPr>
        <w:t xml:space="preserve"> information (Enquête sur la confidentialité et la titularité des informations moléculaires) (document BMT/19/8)</w:t>
      </w:r>
    </w:p>
    <w:p w:rsidR="005C008D" w:rsidRPr="00D42151" w:rsidRDefault="005C008D" w:rsidP="005C008D">
      <w:pPr>
        <w:ind w:left="567"/>
        <w:rPr>
          <w:i/>
          <w:snapToGrid w:val="0"/>
          <w:lang w:val="fr-CH"/>
        </w:rPr>
      </w:pPr>
    </w:p>
    <w:p w:rsidR="005C008D" w:rsidRDefault="005C008D" w:rsidP="005C008D">
      <w:pPr>
        <w:ind w:left="567"/>
        <w:rPr>
          <w:i/>
          <w:snapToGrid w:val="0"/>
          <w:lang w:val="fr-CH"/>
        </w:rPr>
      </w:pPr>
      <w:r w:rsidRPr="00D42151">
        <w:rPr>
          <w:i/>
          <w:snapToGrid w:val="0"/>
          <w:lang w:val="fr-CH"/>
        </w:rPr>
        <w:t xml:space="preserve">Session to </w:t>
      </w:r>
      <w:proofErr w:type="spellStart"/>
      <w:r w:rsidRPr="00D42151">
        <w:rPr>
          <w:i/>
          <w:snapToGrid w:val="0"/>
          <w:lang w:val="fr-CH"/>
        </w:rPr>
        <w:t>facilitate</w:t>
      </w:r>
      <w:proofErr w:type="spellEnd"/>
      <w:r w:rsidRPr="00D42151">
        <w:rPr>
          <w:i/>
          <w:snapToGrid w:val="0"/>
          <w:lang w:val="fr-CH"/>
        </w:rPr>
        <w:t xml:space="preserve"> </w:t>
      </w:r>
      <w:proofErr w:type="spellStart"/>
      <w:r w:rsidRPr="00D42151">
        <w:rPr>
          <w:i/>
          <w:snapToGrid w:val="0"/>
          <w:lang w:val="fr-CH"/>
        </w:rPr>
        <w:t>cooperation</w:t>
      </w:r>
      <w:proofErr w:type="spellEnd"/>
      <w:r w:rsidRPr="00D42151">
        <w:rPr>
          <w:i/>
          <w:snapToGrid w:val="0"/>
          <w:lang w:val="fr-CH"/>
        </w:rPr>
        <w:t xml:space="preserve"> (Réunion visant à faciliter la coopération) (document BMT/19/10)</w:t>
      </w:r>
    </w:p>
    <w:p w:rsidR="005C008D" w:rsidRPr="00D42151" w:rsidRDefault="005C008D" w:rsidP="005C008D">
      <w:pPr>
        <w:ind w:left="567"/>
        <w:rPr>
          <w:i/>
          <w:snapToGrid w:val="0"/>
          <w:lang w:val="fr-CH"/>
        </w:rPr>
      </w:pPr>
    </w:p>
    <w:p w:rsidR="005C008D" w:rsidRDefault="005C008D" w:rsidP="005C008D">
      <w:pPr>
        <w:ind w:left="567"/>
        <w:rPr>
          <w:i/>
          <w:snapToGrid w:val="0"/>
          <w:lang w:val="fr-CH"/>
        </w:rPr>
      </w:pPr>
      <w:proofErr w:type="spellStart"/>
      <w:r w:rsidRPr="00D42151">
        <w:rPr>
          <w:i/>
          <w:snapToGrid w:val="0"/>
          <w:lang w:val="fr-CH"/>
        </w:rPr>
        <w:t>Cooperation</w:t>
      </w:r>
      <w:proofErr w:type="spellEnd"/>
      <w:r w:rsidRPr="00D42151">
        <w:rPr>
          <w:i/>
          <w:snapToGrid w:val="0"/>
          <w:lang w:val="fr-CH"/>
        </w:rPr>
        <w:t xml:space="preserve"> </w:t>
      </w:r>
      <w:proofErr w:type="spellStart"/>
      <w:r w:rsidRPr="00D42151">
        <w:rPr>
          <w:i/>
          <w:snapToGrid w:val="0"/>
          <w:lang w:val="fr-CH"/>
        </w:rPr>
        <w:t>between</w:t>
      </w:r>
      <w:proofErr w:type="spellEnd"/>
      <w:r w:rsidRPr="00D42151">
        <w:rPr>
          <w:i/>
          <w:snapToGrid w:val="0"/>
          <w:lang w:val="fr-CH"/>
        </w:rPr>
        <w:t xml:space="preserve"> international </w:t>
      </w:r>
      <w:proofErr w:type="spellStart"/>
      <w:r w:rsidRPr="00D42151">
        <w:rPr>
          <w:i/>
          <w:snapToGrid w:val="0"/>
          <w:lang w:val="fr-CH"/>
        </w:rPr>
        <w:t>organizations</w:t>
      </w:r>
      <w:proofErr w:type="spellEnd"/>
      <w:r w:rsidRPr="00D42151">
        <w:rPr>
          <w:i/>
          <w:snapToGrid w:val="0"/>
          <w:lang w:val="fr-CH"/>
        </w:rPr>
        <w:t xml:space="preserve"> (Coopération entre les organisations internationales) (document BMT/19/9)</w:t>
      </w:r>
    </w:p>
    <w:p w:rsidR="005C008D" w:rsidRPr="00D42151" w:rsidRDefault="005C008D" w:rsidP="005C008D">
      <w:pPr>
        <w:ind w:left="567"/>
        <w:rPr>
          <w:i/>
          <w:snapToGrid w:val="0"/>
          <w:lang w:val="fr-CH"/>
        </w:rPr>
      </w:pPr>
    </w:p>
    <w:p w:rsidR="005C008D" w:rsidRPr="00D42151" w:rsidRDefault="005C008D" w:rsidP="005C008D">
      <w:pPr>
        <w:ind w:left="1134"/>
        <w:rPr>
          <w:i/>
          <w:snapToGrid w:val="0"/>
          <w:lang w:val="fr-CH"/>
        </w:rPr>
      </w:pPr>
      <w:r w:rsidRPr="00D42151">
        <w:rPr>
          <w:i/>
          <w:snapToGrid w:val="0"/>
          <w:lang w:val="fr-CH"/>
        </w:rPr>
        <w:tab/>
        <w:t xml:space="preserve">International </w:t>
      </w:r>
      <w:proofErr w:type="spellStart"/>
      <w:r w:rsidRPr="00D42151">
        <w:rPr>
          <w:i/>
          <w:snapToGrid w:val="0"/>
          <w:lang w:val="fr-CH"/>
        </w:rPr>
        <w:t>Seed</w:t>
      </w:r>
      <w:proofErr w:type="spellEnd"/>
      <w:r w:rsidRPr="00D42151">
        <w:rPr>
          <w:i/>
          <w:snapToGrid w:val="0"/>
          <w:lang w:val="fr-CH"/>
        </w:rPr>
        <w:t xml:space="preserve"> </w:t>
      </w:r>
      <w:proofErr w:type="spellStart"/>
      <w:r w:rsidRPr="00D42151">
        <w:rPr>
          <w:i/>
          <w:snapToGrid w:val="0"/>
          <w:lang w:val="fr-CH"/>
        </w:rPr>
        <w:t>Testing</w:t>
      </w:r>
      <w:proofErr w:type="spellEnd"/>
      <w:r w:rsidRPr="00D42151">
        <w:rPr>
          <w:i/>
          <w:snapToGrid w:val="0"/>
          <w:lang w:val="fr-CH"/>
        </w:rPr>
        <w:t xml:space="preserve"> Association (Association internationale d</w:t>
      </w:r>
      <w:r>
        <w:rPr>
          <w:i/>
          <w:snapToGrid w:val="0"/>
          <w:lang w:val="fr-CH"/>
        </w:rPr>
        <w:t>’</w:t>
      </w:r>
      <w:r w:rsidRPr="00D42151">
        <w:rPr>
          <w:i/>
          <w:snapToGrid w:val="0"/>
          <w:lang w:val="fr-CH"/>
        </w:rPr>
        <w:t>essais de semences) (BMT/19/12)</w:t>
      </w:r>
    </w:p>
    <w:p w:rsidR="005C008D" w:rsidRPr="00D42151" w:rsidRDefault="005C008D" w:rsidP="005C008D">
      <w:pPr>
        <w:ind w:left="1134"/>
        <w:rPr>
          <w:i/>
          <w:snapToGrid w:val="0"/>
          <w:lang w:val="fr-CH"/>
        </w:rPr>
      </w:pPr>
    </w:p>
    <w:p w:rsidR="005C008D" w:rsidRPr="00D42151" w:rsidRDefault="005C008D" w:rsidP="005C008D">
      <w:pPr>
        <w:ind w:left="1134"/>
        <w:rPr>
          <w:i/>
          <w:snapToGrid w:val="0"/>
          <w:lang w:val="fr-CH"/>
        </w:rPr>
      </w:pPr>
      <w:r w:rsidRPr="00D42151">
        <w:rPr>
          <w:i/>
          <w:snapToGrid w:val="0"/>
          <w:lang w:val="fr-CH"/>
        </w:rPr>
        <w:tab/>
        <w:t xml:space="preserve">International </w:t>
      </w:r>
      <w:proofErr w:type="spellStart"/>
      <w:r w:rsidRPr="00D42151">
        <w:rPr>
          <w:i/>
          <w:snapToGrid w:val="0"/>
          <w:lang w:val="fr-CH"/>
        </w:rPr>
        <w:t>Organization</w:t>
      </w:r>
      <w:proofErr w:type="spellEnd"/>
      <w:r w:rsidRPr="00D42151">
        <w:rPr>
          <w:i/>
          <w:snapToGrid w:val="0"/>
          <w:lang w:val="fr-CH"/>
        </w:rPr>
        <w:t xml:space="preserve"> for </w:t>
      </w:r>
      <w:proofErr w:type="spellStart"/>
      <w:r w:rsidRPr="00D42151">
        <w:rPr>
          <w:i/>
          <w:snapToGrid w:val="0"/>
          <w:lang w:val="fr-CH"/>
        </w:rPr>
        <w:t>Standardization</w:t>
      </w:r>
      <w:proofErr w:type="spellEnd"/>
      <w:r w:rsidRPr="00D42151">
        <w:rPr>
          <w:i/>
          <w:snapToGrid w:val="0"/>
          <w:lang w:val="fr-CH"/>
        </w:rPr>
        <w:t xml:space="preserve"> (Organisation internationale de normalisation) (BMT/19/14)</w:t>
      </w:r>
    </w:p>
    <w:p w:rsidR="005C008D" w:rsidRPr="00D42151" w:rsidRDefault="005C008D" w:rsidP="005C008D">
      <w:pPr>
        <w:ind w:left="567"/>
        <w:rPr>
          <w:i/>
          <w:snapToGrid w:val="0"/>
          <w:lang w:val="fr-CH"/>
        </w:rPr>
      </w:pPr>
    </w:p>
    <w:p w:rsidR="005C008D" w:rsidRPr="00D42151" w:rsidRDefault="005C008D" w:rsidP="005C008D">
      <w:pPr>
        <w:ind w:left="567"/>
        <w:rPr>
          <w:i/>
          <w:snapToGrid w:val="0"/>
          <w:lang w:val="fr-CH"/>
        </w:rPr>
      </w:pPr>
      <w:proofErr w:type="spellStart"/>
      <w:r w:rsidRPr="00D42151">
        <w:rPr>
          <w:i/>
          <w:snapToGrid w:val="0"/>
          <w:lang w:val="fr-CH"/>
        </w:rPr>
        <w:t>Organization</w:t>
      </w:r>
      <w:proofErr w:type="spellEnd"/>
      <w:r w:rsidRPr="00D42151">
        <w:rPr>
          <w:i/>
          <w:snapToGrid w:val="0"/>
          <w:lang w:val="fr-CH"/>
        </w:rPr>
        <w:t xml:space="preserve"> of </w:t>
      </w:r>
      <w:proofErr w:type="spellStart"/>
      <w:r w:rsidRPr="00D42151">
        <w:rPr>
          <w:i/>
          <w:snapToGrid w:val="0"/>
          <w:lang w:val="fr-CH"/>
        </w:rPr>
        <w:t>work</w:t>
      </w:r>
      <w:proofErr w:type="spellEnd"/>
      <w:r w:rsidRPr="00D42151">
        <w:rPr>
          <w:i/>
          <w:snapToGrid w:val="0"/>
          <w:lang w:val="fr-CH"/>
        </w:rPr>
        <w:t xml:space="preserve"> of the TWC and the BMT (Organisation des travaux du</w:t>
      </w:r>
      <w:r>
        <w:rPr>
          <w:i/>
          <w:snapToGrid w:val="0"/>
          <w:lang w:val="fr-CH"/>
        </w:rPr>
        <w:t> </w:t>
      </w:r>
      <w:r w:rsidRPr="00D42151">
        <w:rPr>
          <w:i/>
          <w:snapToGrid w:val="0"/>
          <w:lang w:val="fr-CH"/>
        </w:rPr>
        <w:t>TWC et du</w:t>
      </w:r>
      <w:r>
        <w:rPr>
          <w:i/>
          <w:snapToGrid w:val="0"/>
          <w:lang w:val="fr-CH"/>
        </w:rPr>
        <w:t> </w:t>
      </w:r>
      <w:r w:rsidRPr="00D42151">
        <w:rPr>
          <w:i/>
          <w:snapToGrid w:val="0"/>
          <w:lang w:val="fr-CH"/>
        </w:rPr>
        <w:t>BMT) (document BMT/19/7)</w:t>
      </w:r>
    </w:p>
    <w:p w:rsidR="005C008D" w:rsidRPr="00D42151" w:rsidRDefault="005C008D" w:rsidP="005C008D">
      <w:pPr>
        <w:rPr>
          <w:lang w:val="fr-CH"/>
        </w:rPr>
      </w:pPr>
    </w:p>
    <w:p w:rsidR="005C008D" w:rsidRPr="00D42151" w:rsidRDefault="005C008D" w:rsidP="005C008D">
      <w:pPr>
        <w:rPr>
          <w:lang w:val="fr-CH"/>
        </w:rPr>
      </w:pPr>
    </w:p>
    <w:p w:rsidR="005C008D" w:rsidRPr="00D42151" w:rsidRDefault="005C008D" w:rsidP="005C008D">
      <w:pPr>
        <w:keepNext/>
        <w:spacing w:after="240"/>
        <w:outlineLvl w:val="1"/>
        <w:rPr>
          <w:u w:val="single"/>
          <w:lang w:val="fr-CH"/>
        </w:rPr>
      </w:pPr>
      <w:bookmarkStart w:id="14" w:name="_Toc54253888"/>
      <w:r w:rsidRPr="00D42151">
        <w:rPr>
          <w:u w:val="single"/>
          <w:lang w:val="fr-CH"/>
        </w:rPr>
        <w:t>Date et lieu de la prochaine session</w:t>
      </w:r>
      <w:bookmarkEnd w:id="14"/>
    </w:p>
    <w:p w:rsidR="005C008D" w:rsidRPr="00D42151" w:rsidRDefault="005C008D" w:rsidP="005C008D">
      <w:pPr>
        <w:rPr>
          <w:lang w:val="fr-CH"/>
        </w:rPr>
      </w:pPr>
      <w:r w:rsidRPr="00D42151">
        <w:rPr>
          <w:lang w:val="fr-CH"/>
        </w:rPr>
        <w:fldChar w:fldCharType="begin"/>
      </w:r>
      <w:r w:rsidRPr="00D42151">
        <w:rPr>
          <w:lang w:val="fr-CH"/>
        </w:rPr>
        <w:instrText xml:space="preserve"> AUTONUM  </w:instrText>
      </w:r>
      <w:r w:rsidRPr="00D42151">
        <w:rPr>
          <w:lang w:val="fr-CH"/>
        </w:rPr>
        <w:fldChar w:fldCharType="end"/>
      </w:r>
      <w:r w:rsidRPr="00D42151">
        <w:rPr>
          <w:lang w:val="fr-CH"/>
        </w:rPr>
        <w:tab/>
      </w:r>
      <w:r w:rsidRPr="00D42151">
        <w:rPr>
          <w:snapToGrid w:val="0"/>
          <w:lang w:val="fr-CH"/>
        </w:rPr>
        <w:t>Sur invitation des États</w:t>
      </w:r>
      <w:r>
        <w:rPr>
          <w:snapToGrid w:val="0"/>
          <w:lang w:val="fr-CH"/>
        </w:rPr>
        <w:t>-</w:t>
      </w:r>
      <w:r w:rsidRPr="00D42151">
        <w:rPr>
          <w:snapToGrid w:val="0"/>
          <w:lang w:val="fr-CH"/>
        </w:rPr>
        <w:t>Unis d</w:t>
      </w:r>
      <w:r>
        <w:rPr>
          <w:snapToGrid w:val="0"/>
          <w:lang w:val="fr-CH"/>
        </w:rPr>
        <w:t>’</w:t>
      </w:r>
      <w:r w:rsidRPr="00D42151">
        <w:rPr>
          <w:snapToGrid w:val="0"/>
          <w:lang w:val="fr-CH"/>
        </w:rPr>
        <w:t>Amérique, le</w:t>
      </w:r>
      <w:r>
        <w:rPr>
          <w:snapToGrid w:val="0"/>
          <w:lang w:val="fr-CH"/>
        </w:rPr>
        <w:t> </w:t>
      </w:r>
      <w:r w:rsidRPr="00D42151">
        <w:rPr>
          <w:snapToGrid w:val="0"/>
          <w:lang w:val="fr-CH"/>
        </w:rPr>
        <w:t>BMT a décidé d</w:t>
      </w:r>
      <w:r>
        <w:rPr>
          <w:snapToGrid w:val="0"/>
          <w:lang w:val="fr-CH"/>
        </w:rPr>
        <w:t>’</w:t>
      </w:r>
      <w:r w:rsidRPr="00D42151">
        <w:rPr>
          <w:snapToGrid w:val="0"/>
          <w:lang w:val="fr-CH"/>
        </w:rPr>
        <w:t>organiser sa vingt</w:t>
      </w:r>
      <w:r>
        <w:rPr>
          <w:snapToGrid w:val="0"/>
          <w:lang w:val="fr-CH"/>
        </w:rPr>
        <w:t>ième session</w:t>
      </w:r>
      <w:r w:rsidRPr="00D42151">
        <w:rPr>
          <w:snapToGrid w:val="0"/>
          <w:lang w:val="fr-CH"/>
        </w:rPr>
        <w:t xml:space="preserve"> à Alexandria dans l</w:t>
      </w:r>
      <w:r>
        <w:rPr>
          <w:snapToGrid w:val="0"/>
          <w:lang w:val="fr-CH"/>
        </w:rPr>
        <w:t>’</w:t>
      </w:r>
      <w:r w:rsidRPr="00D42151">
        <w:rPr>
          <w:snapToGrid w:val="0"/>
          <w:lang w:val="fr-CH"/>
        </w:rPr>
        <w:t>État de Virginie, avec le</w:t>
      </w:r>
      <w:r>
        <w:rPr>
          <w:snapToGrid w:val="0"/>
          <w:lang w:val="fr-CH"/>
        </w:rPr>
        <w:t> </w:t>
      </w:r>
      <w:r w:rsidRPr="00D42151">
        <w:rPr>
          <w:snapToGrid w:val="0"/>
          <w:lang w:val="fr-CH"/>
        </w:rPr>
        <w:t>TWC, durant la semaine du 20 septembre 2021</w:t>
      </w:r>
      <w:r w:rsidRPr="00D42151">
        <w:rPr>
          <w:lang w:val="fr-CH" w:eastAsia="ja-JP"/>
        </w:rPr>
        <w:t xml:space="preserve"> (voir le paragraphe</w:t>
      </w:r>
      <w:r>
        <w:rPr>
          <w:lang w:val="fr-CH" w:eastAsia="ja-JP"/>
        </w:rPr>
        <w:t> </w:t>
      </w:r>
      <w:r w:rsidRPr="00D42151">
        <w:rPr>
          <w:lang w:val="fr-CH" w:eastAsia="ja-JP"/>
        </w:rPr>
        <w:t>36 du document</w:t>
      </w:r>
      <w:r>
        <w:rPr>
          <w:lang w:val="fr-CH" w:eastAsia="ja-JP"/>
        </w:rPr>
        <w:t xml:space="preserve"> </w:t>
      </w:r>
      <w:r w:rsidRPr="00D42151">
        <w:rPr>
          <w:lang w:val="fr-CH" w:eastAsia="ja-JP"/>
        </w:rPr>
        <w:t>BMT/19/15 “Report”)</w:t>
      </w:r>
      <w:r w:rsidRPr="00D42151">
        <w:rPr>
          <w:lang w:val="fr-CH"/>
        </w:rPr>
        <w:t>.</w:t>
      </w:r>
    </w:p>
    <w:p w:rsidR="005C008D" w:rsidRPr="00D42151" w:rsidRDefault="005C008D" w:rsidP="005C008D">
      <w:pPr>
        <w:rPr>
          <w:lang w:val="fr-CH"/>
        </w:rPr>
      </w:pPr>
    </w:p>
    <w:p w:rsidR="005C008D" w:rsidRPr="00D42151" w:rsidRDefault="005C008D" w:rsidP="005C008D">
      <w:pPr>
        <w:rPr>
          <w:lang w:val="fr-CH"/>
        </w:rPr>
      </w:pPr>
    </w:p>
    <w:p w:rsidR="005C008D" w:rsidRPr="00D42151" w:rsidRDefault="005C008D" w:rsidP="00E143E0">
      <w:pPr>
        <w:keepNext/>
        <w:keepLines/>
        <w:spacing w:after="240"/>
        <w:outlineLvl w:val="1"/>
        <w:rPr>
          <w:u w:val="single"/>
          <w:lang w:val="fr-CH"/>
        </w:rPr>
      </w:pPr>
      <w:bookmarkStart w:id="15" w:name="_Toc54253889"/>
      <w:r w:rsidRPr="00D42151">
        <w:rPr>
          <w:u w:val="single"/>
          <w:lang w:val="fr-CH"/>
        </w:rPr>
        <w:t>Programme futur</w:t>
      </w:r>
      <w:bookmarkEnd w:id="15"/>
    </w:p>
    <w:p w:rsidR="005C008D" w:rsidRPr="00D42151" w:rsidRDefault="005C008D" w:rsidP="00E143E0">
      <w:pPr>
        <w:keepNext/>
        <w:keepLines/>
        <w:rPr>
          <w:rFonts w:cs="Arial"/>
          <w:lang w:val="fr-CH"/>
        </w:rPr>
      </w:pPr>
      <w:r w:rsidRPr="00D42151">
        <w:rPr>
          <w:rFonts w:cs="Arial"/>
          <w:iCs/>
          <w:snapToGrid w:val="0"/>
          <w:lang w:val="fr-CH"/>
        </w:rPr>
        <w:fldChar w:fldCharType="begin"/>
      </w:r>
      <w:r w:rsidRPr="00D42151">
        <w:rPr>
          <w:rFonts w:cs="Arial"/>
          <w:iCs/>
          <w:snapToGrid w:val="0"/>
          <w:lang w:val="fr-CH"/>
        </w:rPr>
        <w:instrText xml:space="preserve"> AUTONUM  </w:instrText>
      </w:r>
      <w:r w:rsidRPr="00D42151">
        <w:rPr>
          <w:rFonts w:cs="Arial"/>
          <w:iCs/>
          <w:snapToGrid w:val="0"/>
          <w:lang w:val="fr-CH"/>
        </w:rPr>
        <w:fldChar w:fldCharType="end"/>
      </w:r>
      <w:r w:rsidRPr="00D42151">
        <w:rPr>
          <w:rFonts w:cs="Arial"/>
          <w:iCs/>
          <w:snapToGrid w:val="0"/>
          <w:lang w:val="fr-CH"/>
        </w:rPr>
        <w:tab/>
        <w:t>A</w:t>
      </w:r>
      <w:r w:rsidRPr="00D42151">
        <w:rPr>
          <w:rFonts w:cs="Arial"/>
          <w:lang w:val="fr-CH"/>
        </w:rPr>
        <w:t>u cours de sa vingt</w:t>
      </w:r>
      <w:r>
        <w:rPr>
          <w:rFonts w:cs="Arial"/>
          <w:lang w:val="fr-CH"/>
        </w:rPr>
        <w:t>ième session</w:t>
      </w:r>
      <w:r w:rsidRPr="00D42151">
        <w:rPr>
          <w:rFonts w:cs="Arial"/>
          <w:lang w:val="fr-CH"/>
        </w:rPr>
        <w:t>, le</w:t>
      </w:r>
      <w:r>
        <w:rPr>
          <w:rFonts w:cs="Arial"/>
          <w:lang w:val="fr-CH"/>
        </w:rPr>
        <w:t> </w:t>
      </w:r>
      <w:r w:rsidRPr="00D42151">
        <w:rPr>
          <w:rFonts w:cs="Arial"/>
          <w:lang w:val="fr-CH"/>
        </w:rPr>
        <w:t>BMT a prévu d</w:t>
      </w:r>
      <w:r>
        <w:rPr>
          <w:rFonts w:cs="Arial"/>
          <w:lang w:val="fr-CH"/>
        </w:rPr>
        <w:t>’</w:t>
      </w:r>
      <w:r w:rsidRPr="00D42151">
        <w:rPr>
          <w:rFonts w:cs="Arial"/>
          <w:lang w:val="fr-CH"/>
        </w:rPr>
        <w:t>examiner en</w:t>
      </w:r>
      <w:r>
        <w:rPr>
          <w:rFonts w:cs="Arial"/>
          <w:lang w:val="fr-CH"/>
        </w:rPr>
        <w:t> </w:t>
      </w:r>
      <w:r w:rsidRPr="00D42151">
        <w:rPr>
          <w:rFonts w:cs="Arial"/>
          <w:lang w:val="fr-CH"/>
        </w:rPr>
        <w:t>2021 les questions ci</w:t>
      </w:r>
      <w:r>
        <w:rPr>
          <w:rFonts w:cs="Arial"/>
          <w:lang w:val="fr-CH"/>
        </w:rPr>
        <w:t>-</w:t>
      </w:r>
      <w:r w:rsidRPr="00D42151">
        <w:rPr>
          <w:rFonts w:cs="Arial"/>
          <w:lang w:val="fr-CH"/>
        </w:rPr>
        <w:t xml:space="preserve">après </w:t>
      </w:r>
      <w:r w:rsidRPr="00D42151">
        <w:rPr>
          <w:lang w:val="fr-CH" w:eastAsia="ja-JP"/>
        </w:rPr>
        <w:t>(voir le paragraphe</w:t>
      </w:r>
      <w:r>
        <w:rPr>
          <w:lang w:val="fr-CH" w:eastAsia="ja-JP"/>
        </w:rPr>
        <w:t> </w:t>
      </w:r>
      <w:r w:rsidRPr="00D42151">
        <w:rPr>
          <w:lang w:val="fr-CH" w:eastAsia="ja-JP"/>
        </w:rPr>
        <w:t>37 du document</w:t>
      </w:r>
      <w:r>
        <w:rPr>
          <w:lang w:val="fr-CH" w:eastAsia="ja-JP"/>
        </w:rPr>
        <w:t xml:space="preserve"> </w:t>
      </w:r>
      <w:r w:rsidRPr="00D42151">
        <w:rPr>
          <w:lang w:val="fr-CH" w:eastAsia="ja-JP"/>
        </w:rPr>
        <w:t>BMT/19/15 “Report”)</w:t>
      </w:r>
      <w:r>
        <w:rPr>
          <w:lang w:val="fr-CH" w:eastAsia="ja-JP"/>
        </w:rPr>
        <w:t> :</w:t>
      </w:r>
    </w:p>
    <w:p w:rsidR="005C008D" w:rsidRPr="00D42151" w:rsidRDefault="005C008D" w:rsidP="00E143E0">
      <w:pPr>
        <w:keepNext/>
        <w:keepLines/>
        <w:rPr>
          <w:rFonts w:cs="Arial"/>
          <w:sz w:val="18"/>
          <w:lang w:val="fr-CH"/>
        </w:rPr>
      </w:pPr>
    </w:p>
    <w:p w:rsidR="005C008D" w:rsidRPr="00D42151" w:rsidRDefault="005C008D" w:rsidP="00E143E0">
      <w:pPr>
        <w:keepNext/>
        <w:keepLines/>
        <w:spacing w:after="120"/>
        <w:ind w:left="567"/>
        <w:rPr>
          <w:rFonts w:cs="Arial"/>
          <w:lang w:val="fr-CH"/>
        </w:rPr>
      </w:pPr>
      <w:r w:rsidRPr="00D42151">
        <w:rPr>
          <w:rFonts w:cs="Arial"/>
          <w:lang w:val="fr-CH"/>
        </w:rPr>
        <w:t>1.</w:t>
      </w:r>
      <w:r w:rsidRPr="00D42151">
        <w:rPr>
          <w:rFonts w:cs="Arial"/>
          <w:lang w:val="fr-CH"/>
        </w:rPr>
        <w:tab/>
        <w:t>Ouverture de la session</w:t>
      </w:r>
    </w:p>
    <w:p w:rsidR="005C008D" w:rsidRPr="00D42151" w:rsidRDefault="005C008D" w:rsidP="00E143E0">
      <w:pPr>
        <w:keepNext/>
        <w:keepLines/>
        <w:spacing w:after="120"/>
        <w:ind w:left="567"/>
        <w:rPr>
          <w:rFonts w:cs="Arial"/>
          <w:lang w:val="fr-CH"/>
        </w:rPr>
      </w:pPr>
      <w:r w:rsidRPr="00D42151">
        <w:rPr>
          <w:rFonts w:cs="Arial"/>
          <w:lang w:val="fr-CH"/>
        </w:rPr>
        <w:t>2.</w:t>
      </w:r>
      <w:r w:rsidRPr="00D42151">
        <w:rPr>
          <w:rFonts w:cs="Arial"/>
          <w:lang w:val="fr-CH"/>
        </w:rPr>
        <w:tab/>
        <w:t>Adoption de l</w:t>
      </w:r>
      <w:r>
        <w:rPr>
          <w:rFonts w:cs="Arial"/>
          <w:lang w:val="fr-CH"/>
        </w:rPr>
        <w:t>’</w:t>
      </w:r>
      <w:r w:rsidRPr="00D42151">
        <w:rPr>
          <w:rFonts w:cs="Arial"/>
          <w:lang w:val="fr-CH"/>
        </w:rPr>
        <w:t>ordre du jour</w:t>
      </w:r>
    </w:p>
    <w:p w:rsidR="005C008D" w:rsidRPr="00D42151" w:rsidRDefault="005C008D" w:rsidP="005C008D">
      <w:pPr>
        <w:spacing w:after="120"/>
        <w:ind w:left="1134" w:hanging="567"/>
        <w:rPr>
          <w:rFonts w:cs="Arial"/>
          <w:lang w:val="fr-CH"/>
        </w:rPr>
      </w:pPr>
      <w:r w:rsidRPr="00D42151">
        <w:rPr>
          <w:rFonts w:cs="Arial"/>
          <w:lang w:val="fr-CH"/>
        </w:rPr>
        <w:t>3.</w:t>
      </w:r>
      <w:r w:rsidRPr="00D42151">
        <w:rPr>
          <w:rFonts w:cs="Arial"/>
          <w:lang w:val="fr-CH"/>
        </w:rPr>
        <w:tab/>
        <w:t>Comptes rendus des avancées de l</w:t>
      </w:r>
      <w:r>
        <w:rPr>
          <w:rFonts w:cs="Arial"/>
          <w:lang w:val="fr-CH"/>
        </w:rPr>
        <w:t>’</w:t>
      </w:r>
      <w:r w:rsidRPr="00D42151">
        <w:rPr>
          <w:rFonts w:cs="Arial"/>
          <w:lang w:val="fr-CH"/>
        </w:rPr>
        <w:t>UPOV concernant l</w:t>
      </w:r>
      <w:r>
        <w:rPr>
          <w:rFonts w:cs="Arial"/>
          <w:lang w:val="fr-CH"/>
        </w:rPr>
        <w:t>’</w:t>
      </w:r>
      <w:r w:rsidRPr="00D42151">
        <w:rPr>
          <w:rFonts w:cs="Arial"/>
          <w:lang w:val="fr-CH"/>
        </w:rPr>
        <w:t>application des techniques biochimiques et moléculaires (document devant être établi par le Bureau de l</w:t>
      </w:r>
      <w:r>
        <w:rPr>
          <w:rFonts w:cs="Arial"/>
          <w:lang w:val="fr-CH"/>
        </w:rPr>
        <w:t>’</w:t>
      </w:r>
      <w:r w:rsidRPr="00D42151">
        <w:rPr>
          <w:rFonts w:cs="Arial"/>
          <w:lang w:val="fr-CH"/>
        </w:rPr>
        <w:t>Union)</w:t>
      </w:r>
    </w:p>
    <w:p w:rsidR="005C008D" w:rsidRPr="00D42151" w:rsidRDefault="005C008D" w:rsidP="005C008D">
      <w:pPr>
        <w:spacing w:after="120"/>
        <w:ind w:left="1134" w:hanging="567"/>
        <w:rPr>
          <w:rFonts w:cs="Arial"/>
          <w:lang w:val="fr-CH"/>
        </w:rPr>
      </w:pPr>
      <w:r w:rsidRPr="00D42151">
        <w:rPr>
          <w:rFonts w:cs="Arial"/>
          <w:lang w:val="fr-CH"/>
        </w:rPr>
        <w:t>4.</w:t>
      </w:r>
      <w:r w:rsidRPr="00D42151">
        <w:rPr>
          <w:rFonts w:cs="Arial"/>
          <w:lang w:val="fr-CH"/>
        </w:rPr>
        <w:tab/>
        <w:t>Exposés succincts sur les faits nouveaux en matière de techniques biochimiques et moléculaires, présentés par les spécialistes de l</w:t>
      </w:r>
      <w:r>
        <w:rPr>
          <w:rFonts w:cs="Arial"/>
          <w:lang w:val="fr-CH"/>
        </w:rPr>
        <w:t>’</w:t>
      </w:r>
      <w:r w:rsidRPr="00D42151">
        <w:rPr>
          <w:rFonts w:cs="Arial"/>
          <w:lang w:val="fr-CH"/>
        </w:rPr>
        <w:t>examen</w:t>
      </w:r>
      <w:r>
        <w:rPr>
          <w:rFonts w:cs="Arial"/>
          <w:lang w:val="fr-CH"/>
        </w:rPr>
        <w:t> </w:t>
      </w:r>
      <w:r w:rsidRPr="00D42151">
        <w:rPr>
          <w:rFonts w:cs="Arial"/>
          <w:lang w:val="fr-CH"/>
        </w:rPr>
        <w:t>DHS, des spécialistes des techniques biochimiques et moléculaires, des obtenteurs et les organisations internationales concernées (rapports verbaux des participants)</w:t>
      </w:r>
    </w:p>
    <w:p w:rsidR="005C008D" w:rsidRPr="00D42151" w:rsidRDefault="005C008D" w:rsidP="005C008D">
      <w:pPr>
        <w:spacing w:after="120"/>
        <w:ind w:left="1134" w:hanging="567"/>
        <w:rPr>
          <w:rFonts w:cs="Arial"/>
          <w:lang w:val="fr-CH"/>
        </w:rPr>
      </w:pPr>
      <w:r w:rsidRPr="00D42151">
        <w:rPr>
          <w:rFonts w:cs="Arial"/>
          <w:lang w:val="fr-CH"/>
        </w:rPr>
        <w:t>5.</w:t>
      </w:r>
      <w:r w:rsidRPr="00D42151">
        <w:rPr>
          <w:rFonts w:cs="Arial"/>
          <w:lang w:val="fr-CH"/>
        </w:rPr>
        <w:tab/>
        <w:t>Compte rendu des travaux sur les techniques moléculaires dans le cadre de l</w:t>
      </w:r>
      <w:r>
        <w:rPr>
          <w:rFonts w:cs="Arial"/>
          <w:lang w:val="fr-CH"/>
        </w:rPr>
        <w:t>’</w:t>
      </w:r>
      <w:r w:rsidRPr="00D42151">
        <w:rPr>
          <w:rFonts w:cs="Arial"/>
          <w:lang w:val="fr-CH"/>
        </w:rPr>
        <w:t>examen</w:t>
      </w:r>
      <w:r>
        <w:rPr>
          <w:rFonts w:cs="Arial"/>
          <w:lang w:val="fr-CH"/>
        </w:rPr>
        <w:t> </w:t>
      </w:r>
      <w:r w:rsidRPr="00D42151">
        <w:rPr>
          <w:rFonts w:cs="Arial"/>
          <w:lang w:val="fr-CH"/>
        </w:rPr>
        <w:t>DHS (documents sollicités)</w:t>
      </w:r>
    </w:p>
    <w:p w:rsidR="005C008D" w:rsidRDefault="005C008D" w:rsidP="005C008D">
      <w:pPr>
        <w:spacing w:after="120"/>
        <w:ind w:left="1134" w:hanging="567"/>
        <w:rPr>
          <w:rFonts w:cs="Arial"/>
          <w:lang w:val="fr-CH"/>
        </w:rPr>
      </w:pPr>
      <w:r w:rsidRPr="00D42151">
        <w:rPr>
          <w:rFonts w:cs="Arial"/>
          <w:lang w:val="fr-CH"/>
        </w:rPr>
        <w:t>6.</w:t>
      </w:r>
      <w:r w:rsidRPr="00D42151">
        <w:rPr>
          <w:rFonts w:cs="Arial"/>
          <w:lang w:val="fr-CH"/>
        </w:rPr>
        <w:tab/>
        <w:t>Bases de données sur les descriptions variétales, notamment les bases de données contenant des données moléculaires (documents sollicités)</w:t>
      </w:r>
    </w:p>
    <w:p w:rsidR="005C008D" w:rsidRPr="00D42151" w:rsidRDefault="005C008D" w:rsidP="005C008D">
      <w:pPr>
        <w:spacing w:after="120"/>
        <w:ind w:left="1134" w:hanging="567"/>
        <w:rPr>
          <w:rFonts w:cs="Arial"/>
          <w:lang w:val="fr-CH"/>
        </w:rPr>
      </w:pPr>
      <w:r w:rsidRPr="00D42151">
        <w:rPr>
          <w:rFonts w:cs="Arial"/>
          <w:lang w:val="fr-CH"/>
        </w:rPr>
        <w:t>7.</w:t>
      </w:r>
      <w:r w:rsidRPr="00D42151">
        <w:rPr>
          <w:rFonts w:cs="Arial"/>
          <w:lang w:val="fr-CH"/>
        </w:rPr>
        <w:tab/>
        <w:t>Méthodes d</w:t>
      </w:r>
      <w:r>
        <w:rPr>
          <w:rFonts w:cs="Arial"/>
          <w:lang w:val="fr-CH"/>
        </w:rPr>
        <w:t>’</w:t>
      </w:r>
      <w:r w:rsidRPr="00D42151">
        <w:rPr>
          <w:rFonts w:cs="Arial"/>
          <w:lang w:val="fr-CH"/>
        </w:rPr>
        <w:t>analyse des données moléculaires, gestion des bases de données et échange de données et de matériel (documents sollicités)</w:t>
      </w:r>
    </w:p>
    <w:p w:rsidR="005C008D" w:rsidRPr="00D42151" w:rsidRDefault="005C008D" w:rsidP="005C008D">
      <w:pPr>
        <w:spacing w:after="120"/>
        <w:ind w:left="1134" w:hanging="567"/>
        <w:rPr>
          <w:rFonts w:cs="Arial"/>
          <w:lang w:val="fr-CH"/>
        </w:rPr>
      </w:pPr>
      <w:r w:rsidRPr="00D42151">
        <w:rPr>
          <w:rFonts w:cs="Arial"/>
          <w:lang w:val="fr-CH"/>
        </w:rPr>
        <w:t>8.</w:t>
      </w:r>
      <w:r w:rsidRPr="00D42151">
        <w:rPr>
          <w:rFonts w:cs="Arial"/>
          <w:lang w:val="fr-CH"/>
        </w:rPr>
        <w:tab/>
      </w:r>
      <w:bookmarkStart w:id="16" w:name="_Ref498061157"/>
      <w:r w:rsidRPr="00D42151">
        <w:rPr>
          <w:rFonts w:cs="Arial"/>
          <w:lang w:val="fr-CH"/>
        </w:rPr>
        <w:t>Utilisation des techniques moléculaires dans l</w:t>
      </w:r>
      <w:r>
        <w:rPr>
          <w:rFonts w:cs="Arial"/>
          <w:lang w:val="fr-CH"/>
        </w:rPr>
        <w:t>’</w:t>
      </w:r>
      <w:r w:rsidRPr="00D42151">
        <w:rPr>
          <w:rFonts w:cs="Arial"/>
          <w:lang w:val="fr-CH"/>
        </w:rPr>
        <w:t>examen de variétés essentiellement dérivées</w:t>
      </w:r>
      <w:r w:rsidRPr="00D42151">
        <w:rPr>
          <w:rFonts w:cs="Arial"/>
          <w:vertAlign w:val="superscript"/>
          <w:lang w:val="fr-CH"/>
        </w:rPr>
        <w:t>1</w:t>
      </w:r>
      <w:r w:rsidRPr="00D42151">
        <w:rPr>
          <w:rFonts w:cs="Arial"/>
          <w:color w:val="FFFFFF" w:themeColor="background1"/>
          <w:sz w:val="2"/>
          <w:vertAlign w:val="superscript"/>
          <w:lang w:val="fr-CH"/>
        </w:rPr>
        <w:footnoteReference w:id="7"/>
      </w:r>
      <w:bookmarkEnd w:id="16"/>
      <w:r w:rsidRPr="00D42151">
        <w:rPr>
          <w:rFonts w:cs="Arial"/>
          <w:lang w:val="fr-CH"/>
        </w:rPr>
        <w:t xml:space="preserve"> (documents sollicités)</w:t>
      </w:r>
    </w:p>
    <w:p w:rsidR="005C008D" w:rsidRPr="00D42151" w:rsidRDefault="005C008D" w:rsidP="005C008D">
      <w:pPr>
        <w:spacing w:after="120"/>
        <w:ind w:left="567"/>
        <w:rPr>
          <w:rFonts w:cs="Arial"/>
          <w:lang w:val="fr-CH"/>
        </w:rPr>
      </w:pPr>
      <w:r w:rsidRPr="00D42151">
        <w:rPr>
          <w:rFonts w:cs="Arial"/>
          <w:lang w:val="fr-CH"/>
        </w:rPr>
        <w:t>9.</w:t>
      </w:r>
      <w:r w:rsidRPr="00D42151">
        <w:rPr>
          <w:rFonts w:cs="Arial"/>
          <w:lang w:val="fr-CH"/>
        </w:rPr>
        <w:tab/>
        <w:t>Utilisation des techniques moléculaires dans l</w:t>
      </w:r>
      <w:r>
        <w:rPr>
          <w:rFonts w:cs="Arial"/>
          <w:lang w:val="fr-CH"/>
        </w:rPr>
        <w:t>’</w:t>
      </w:r>
      <w:r w:rsidRPr="00D42151">
        <w:rPr>
          <w:rFonts w:cs="Arial"/>
          <w:lang w:val="fr-CH"/>
        </w:rPr>
        <w:t>identification des variétés</w:t>
      </w:r>
      <w:r w:rsidRPr="00D42151">
        <w:rPr>
          <w:rFonts w:cs="Arial"/>
          <w:vertAlign w:val="superscript"/>
          <w:lang w:val="fr-CH"/>
        </w:rPr>
        <w:t>1</w:t>
      </w:r>
      <w:r w:rsidRPr="00D42151">
        <w:rPr>
          <w:rFonts w:cs="Arial"/>
          <w:lang w:val="fr-CH"/>
        </w:rPr>
        <w:t xml:space="preserve"> (documents sollicités)</w:t>
      </w:r>
    </w:p>
    <w:p w:rsidR="005C008D" w:rsidRPr="00D42151" w:rsidRDefault="005C008D" w:rsidP="005C008D">
      <w:pPr>
        <w:spacing w:after="120"/>
        <w:ind w:left="1134" w:hanging="567"/>
        <w:rPr>
          <w:rFonts w:cs="Arial"/>
          <w:lang w:val="fr-CH"/>
        </w:rPr>
      </w:pPr>
      <w:r w:rsidRPr="00D42151">
        <w:rPr>
          <w:rFonts w:cs="Arial"/>
          <w:lang w:val="fr-CH"/>
        </w:rPr>
        <w:t>10.</w:t>
      </w:r>
      <w:r w:rsidRPr="00D42151">
        <w:rPr>
          <w:rFonts w:cs="Arial"/>
          <w:lang w:val="fr-CH"/>
        </w:rPr>
        <w:tab/>
        <w:t>Coopération entre organisations internationales (document devant être établi par le Bureau de l</w:t>
      </w:r>
      <w:r>
        <w:rPr>
          <w:rFonts w:cs="Arial"/>
          <w:lang w:val="fr-CH"/>
        </w:rPr>
        <w:t>’</w:t>
      </w:r>
      <w:r w:rsidRPr="00D42151">
        <w:rPr>
          <w:rFonts w:cs="Arial"/>
          <w:lang w:val="fr-CH"/>
        </w:rPr>
        <w:t>Union)</w:t>
      </w:r>
    </w:p>
    <w:p w:rsidR="005C008D" w:rsidRPr="00D42151" w:rsidRDefault="005C008D" w:rsidP="005C008D">
      <w:pPr>
        <w:spacing w:after="120"/>
        <w:ind w:left="1134" w:hanging="567"/>
        <w:rPr>
          <w:rFonts w:cs="Arial"/>
          <w:lang w:val="fr-CH"/>
        </w:rPr>
      </w:pPr>
      <w:r w:rsidRPr="00D42151">
        <w:rPr>
          <w:rFonts w:cs="Arial"/>
          <w:lang w:val="fr-CH"/>
        </w:rPr>
        <w:t>11.</w:t>
      </w:r>
      <w:r w:rsidRPr="00D42151">
        <w:rPr>
          <w:rFonts w:cs="Arial"/>
          <w:lang w:val="fr-CH"/>
        </w:rPr>
        <w:tab/>
        <w:t>Confidentialité, titularité et accès en matière de données moléculaires, modèle d</w:t>
      </w:r>
      <w:r>
        <w:rPr>
          <w:rFonts w:cs="Arial"/>
          <w:lang w:val="fr-CH"/>
        </w:rPr>
        <w:t>’</w:t>
      </w:r>
      <w:r w:rsidRPr="00D42151">
        <w:rPr>
          <w:rFonts w:cs="Arial"/>
          <w:lang w:val="fr-CH"/>
        </w:rPr>
        <w:t>accord</w:t>
      </w:r>
      <w:r>
        <w:rPr>
          <w:rFonts w:cs="Arial"/>
          <w:lang w:val="fr-CH"/>
        </w:rPr>
        <w:t xml:space="preserve"> y compris</w:t>
      </w:r>
      <w:r w:rsidRPr="00D42151">
        <w:rPr>
          <w:rFonts w:cs="Arial"/>
          <w:vertAlign w:val="superscript"/>
          <w:lang w:val="fr-CH"/>
        </w:rPr>
        <w:t>1</w:t>
      </w:r>
      <w:r w:rsidRPr="00D42151">
        <w:rPr>
          <w:rFonts w:cs="Arial"/>
          <w:lang w:val="fr-CH"/>
        </w:rPr>
        <w:t xml:space="preserve"> (documents sollicités)</w:t>
      </w:r>
    </w:p>
    <w:p w:rsidR="005C008D" w:rsidRDefault="005C008D" w:rsidP="005C008D">
      <w:pPr>
        <w:spacing w:after="120"/>
        <w:ind w:left="1134" w:hanging="567"/>
        <w:rPr>
          <w:rFonts w:cs="Arial"/>
          <w:lang w:val="fr-CH"/>
        </w:rPr>
      </w:pPr>
      <w:r w:rsidRPr="00D42151">
        <w:rPr>
          <w:rFonts w:cs="Arial"/>
          <w:lang w:val="fr-CH"/>
        </w:rPr>
        <w:t>12.</w:t>
      </w:r>
      <w:r w:rsidRPr="00D42151">
        <w:rPr>
          <w:rFonts w:cs="Arial"/>
          <w:lang w:val="fr-CH"/>
        </w:rPr>
        <w:tab/>
        <w:t>Réunion visant à faciliter la coopération</w:t>
      </w:r>
    </w:p>
    <w:p w:rsidR="005C008D" w:rsidRPr="00D42151" w:rsidRDefault="005C008D" w:rsidP="005C008D">
      <w:pPr>
        <w:spacing w:after="120"/>
        <w:ind w:left="567"/>
        <w:rPr>
          <w:rFonts w:cs="Arial"/>
          <w:lang w:val="fr-CH"/>
        </w:rPr>
      </w:pPr>
      <w:r w:rsidRPr="00D42151">
        <w:rPr>
          <w:rFonts w:cs="Arial"/>
          <w:lang w:val="fr-CH"/>
        </w:rPr>
        <w:t>13.</w:t>
      </w:r>
      <w:r w:rsidRPr="00D42151">
        <w:rPr>
          <w:rFonts w:cs="Arial"/>
          <w:lang w:val="fr-CH"/>
        </w:rPr>
        <w:tab/>
        <w:t>Date et lieu de la prochaine session</w:t>
      </w:r>
    </w:p>
    <w:p w:rsidR="005C008D" w:rsidRPr="00D42151" w:rsidRDefault="005C008D" w:rsidP="005C008D">
      <w:pPr>
        <w:spacing w:after="120"/>
        <w:ind w:left="567"/>
        <w:rPr>
          <w:rFonts w:cs="Arial"/>
          <w:lang w:val="fr-CH"/>
        </w:rPr>
      </w:pPr>
      <w:r w:rsidRPr="00D42151">
        <w:rPr>
          <w:rFonts w:cs="Arial"/>
          <w:lang w:val="fr-CH"/>
        </w:rPr>
        <w:t>14.</w:t>
      </w:r>
      <w:r w:rsidRPr="00D42151">
        <w:rPr>
          <w:rFonts w:cs="Arial"/>
          <w:lang w:val="fr-CH"/>
        </w:rPr>
        <w:tab/>
        <w:t>Programme futur</w:t>
      </w:r>
    </w:p>
    <w:p w:rsidR="005C008D" w:rsidRPr="00D42151" w:rsidRDefault="005C008D" w:rsidP="005C008D">
      <w:pPr>
        <w:spacing w:after="120"/>
        <w:ind w:left="567"/>
        <w:rPr>
          <w:rFonts w:cs="Arial"/>
          <w:lang w:val="fr-CH"/>
        </w:rPr>
      </w:pPr>
      <w:r w:rsidRPr="00D42151">
        <w:rPr>
          <w:rFonts w:cs="Arial"/>
          <w:lang w:val="fr-CH"/>
        </w:rPr>
        <w:t>15.</w:t>
      </w:r>
      <w:r w:rsidRPr="00D42151">
        <w:rPr>
          <w:rFonts w:cs="Arial"/>
          <w:lang w:val="fr-CH"/>
        </w:rPr>
        <w:tab/>
        <w:t>Compte rendu de la session (en fonction du temps disponible)</w:t>
      </w:r>
    </w:p>
    <w:p w:rsidR="005C008D" w:rsidRPr="00D42151" w:rsidRDefault="005C008D" w:rsidP="005C008D">
      <w:pPr>
        <w:ind w:left="567"/>
        <w:rPr>
          <w:rFonts w:cs="Arial"/>
          <w:lang w:val="fr-CH"/>
        </w:rPr>
      </w:pPr>
      <w:r w:rsidRPr="00D42151">
        <w:rPr>
          <w:rFonts w:cs="Arial"/>
          <w:lang w:val="fr-CH"/>
        </w:rPr>
        <w:t>16.</w:t>
      </w:r>
      <w:r w:rsidRPr="00D42151">
        <w:rPr>
          <w:rFonts w:cs="Arial"/>
          <w:lang w:val="fr-CH"/>
        </w:rPr>
        <w:tab/>
        <w:t>Clôture de la session</w:t>
      </w:r>
    </w:p>
    <w:p w:rsidR="005C008D" w:rsidRPr="00D42151" w:rsidRDefault="005C008D" w:rsidP="005C008D">
      <w:pPr>
        <w:rPr>
          <w:lang w:val="fr-CH"/>
        </w:rPr>
      </w:pPr>
    </w:p>
    <w:p w:rsidR="005C008D" w:rsidRPr="00D42151" w:rsidRDefault="005C008D" w:rsidP="005C008D">
      <w:pPr>
        <w:rPr>
          <w:lang w:val="fr-CH"/>
        </w:rPr>
      </w:pPr>
    </w:p>
    <w:p w:rsidR="005C008D" w:rsidRDefault="005C008D" w:rsidP="005C008D">
      <w:pPr>
        <w:rPr>
          <w:lang w:val="fr-CH"/>
        </w:rPr>
      </w:pPr>
    </w:p>
    <w:p w:rsidR="005C008D" w:rsidRPr="00D42151" w:rsidRDefault="005C008D" w:rsidP="005C008D">
      <w:pPr>
        <w:jc w:val="right"/>
        <w:rPr>
          <w:lang w:val="fr-CH"/>
        </w:rPr>
      </w:pPr>
      <w:r w:rsidRPr="00D42151">
        <w:rPr>
          <w:lang w:val="fr-CH"/>
        </w:rPr>
        <w:t>[Fin du document]</w:t>
      </w:r>
    </w:p>
    <w:sectPr w:rsidR="005C008D" w:rsidRPr="00D42151"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08D" w:rsidRDefault="005C008D" w:rsidP="006655D3">
      <w:r>
        <w:separator/>
      </w:r>
    </w:p>
    <w:p w:rsidR="005C008D" w:rsidRDefault="005C008D" w:rsidP="006655D3"/>
    <w:p w:rsidR="005C008D" w:rsidRDefault="005C008D" w:rsidP="006655D3"/>
  </w:endnote>
  <w:endnote w:type="continuationSeparator" w:id="0">
    <w:p w:rsidR="005C008D" w:rsidRDefault="005C008D" w:rsidP="006655D3">
      <w:r>
        <w:separator/>
      </w:r>
    </w:p>
    <w:p w:rsidR="005C008D" w:rsidRPr="00294751" w:rsidRDefault="005C008D">
      <w:pPr>
        <w:pStyle w:val="Footer"/>
        <w:spacing w:after="60"/>
        <w:rPr>
          <w:sz w:val="18"/>
          <w:lang w:val="fr-FR"/>
        </w:rPr>
      </w:pPr>
      <w:r w:rsidRPr="00294751">
        <w:rPr>
          <w:sz w:val="18"/>
          <w:lang w:val="fr-FR"/>
        </w:rPr>
        <w:t>[Suite de la note de la page précédente]</w:t>
      </w:r>
    </w:p>
    <w:p w:rsidR="005C008D" w:rsidRPr="00294751" w:rsidRDefault="005C008D" w:rsidP="006655D3"/>
    <w:p w:rsidR="005C008D" w:rsidRPr="00294751" w:rsidRDefault="005C008D" w:rsidP="006655D3"/>
  </w:endnote>
  <w:endnote w:type="continuationNotice" w:id="1">
    <w:p w:rsidR="005C008D" w:rsidRPr="00294751" w:rsidRDefault="005C008D" w:rsidP="006655D3">
      <w:r w:rsidRPr="00294751">
        <w:t>[Suite de la note page suivante]</w:t>
      </w:r>
    </w:p>
    <w:p w:rsidR="005C008D" w:rsidRPr="00294751" w:rsidRDefault="005C008D" w:rsidP="006655D3"/>
    <w:p w:rsidR="005C008D" w:rsidRPr="00294751" w:rsidRDefault="005C008D"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08D" w:rsidRDefault="005C008D" w:rsidP="006655D3">
      <w:r>
        <w:separator/>
      </w:r>
    </w:p>
  </w:footnote>
  <w:footnote w:type="continuationSeparator" w:id="0">
    <w:p w:rsidR="005C008D" w:rsidRDefault="005C008D" w:rsidP="006655D3">
      <w:r>
        <w:separator/>
      </w:r>
    </w:p>
  </w:footnote>
  <w:footnote w:type="continuationNotice" w:id="1">
    <w:p w:rsidR="005C008D" w:rsidRPr="00AB530F" w:rsidRDefault="005C008D" w:rsidP="00AB530F">
      <w:pPr>
        <w:pStyle w:val="Footer"/>
      </w:pPr>
    </w:p>
  </w:footnote>
  <w:footnote w:id="2">
    <w:p w:rsidR="005C008D" w:rsidRPr="000836A5" w:rsidRDefault="005C008D" w:rsidP="005C008D">
      <w:pPr>
        <w:pStyle w:val="FootnoteText"/>
      </w:pPr>
      <w:r>
        <w:rPr>
          <w:rStyle w:val="FootnoteReference"/>
        </w:rPr>
        <w:footnoteRef/>
      </w:r>
      <w:r w:rsidRPr="000836A5">
        <w:t xml:space="preserve"> </w:t>
      </w:r>
      <w:r w:rsidR="002524B6">
        <w:tab/>
      </w:r>
      <w:r w:rsidRPr="000836A5">
        <w:t>À sa cinquante</w:t>
      </w:r>
      <w:r>
        <w:t>-</w:t>
      </w:r>
      <w:r w:rsidRPr="000836A5">
        <w:t>quatr</w:t>
      </w:r>
      <w:r>
        <w:t>ième session tenue du</w:t>
      </w:r>
      <w:r w:rsidRPr="000836A5">
        <w:t xml:space="preserve"> 11 </w:t>
      </w:r>
      <w:r>
        <w:t>au 15 mai </w:t>
      </w:r>
      <w:r w:rsidRPr="000836A5">
        <w:t>2020.</w:t>
      </w:r>
    </w:p>
  </w:footnote>
  <w:footnote w:id="3">
    <w:p w:rsidR="005C008D" w:rsidRPr="000836A5" w:rsidRDefault="005C008D" w:rsidP="005C008D">
      <w:pPr>
        <w:pStyle w:val="FootnoteText"/>
      </w:pPr>
      <w:r>
        <w:rPr>
          <w:rStyle w:val="FootnoteReference"/>
        </w:rPr>
        <w:footnoteRef/>
      </w:r>
      <w:r w:rsidRPr="000836A5">
        <w:t xml:space="preserve"> </w:t>
      </w:r>
      <w:r w:rsidR="002524B6">
        <w:tab/>
      </w:r>
      <w:r w:rsidRPr="000836A5">
        <w:t>À sa cinquante</w:t>
      </w:r>
      <w:r>
        <w:t>-</w:t>
      </w:r>
      <w:r w:rsidRPr="000836A5">
        <w:t>deux</w:t>
      </w:r>
      <w:r>
        <w:t>ième session</w:t>
      </w:r>
      <w:r w:rsidRPr="000836A5">
        <w:t xml:space="preserve"> </w:t>
      </w:r>
      <w:r>
        <w:t>tenue du</w:t>
      </w:r>
      <w:r w:rsidRPr="000836A5">
        <w:t xml:space="preserve"> </w:t>
      </w:r>
      <w:r>
        <w:t>8 au</w:t>
      </w:r>
      <w:r w:rsidRPr="000836A5">
        <w:t xml:space="preserve"> 12</w:t>
      </w:r>
      <w:r>
        <w:t> juin </w:t>
      </w:r>
      <w:r w:rsidRPr="000836A5">
        <w:t>2020.</w:t>
      </w:r>
    </w:p>
  </w:footnote>
  <w:footnote w:id="4">
    <w:p w:rsidR="005C008D" w:rsidRPr="000836A5" w:rsidRDefault="005C008D" w:rsidP="005C008D">
      <w:pPr>
        <w:pStyle w:val="FootnoteText"/>
      </w:pPr>
      <w:r>
        <w:rPr>
          <w:rStyle w:val="FootnoteReference"/>
        </w:rPr>
        <w:footnoteRef/>
      </w:r>
      <w:r w:rsidRPr="000836A5">
        <w:t xml:space="preserve"> </w:t>
      </w:r>
      <w:r w:rsidR="002524B6">
        <w:tab/>
      </w:r>
      <w:r w:rsidRPr="000836A5">
        <w:t>À sa quarante</w:t>
      </w:r>
      <w:r>
        <w:t>-</w:t>
      </w:r>
      <w:r w:rsidRPr="000836A5">
        <w:t>neuv</w:t>
      </w:r>
      <w:r>
        <w:t>ième session</w:t>
      </w:r>
      <w:r w:rsidRPr="000836A5">
        <w:t xml:space="preserve"> </w:t>
      </w:r>
      <w:r>
        <w:t>tenue du</w:t>
      </w:r>
      <w:r w:rsidRPr="000836A5">
        <w:t xml:space="preserve"> </w:t>
      </w:r>
      <w:r>
        <w:t>22 au</w:t>
      </w:r>
      <w:r w:rsidRPr="000836A5">
        <w:t xml:space="preserve"> 26</w:t>
      </w:r>
      <w:r>
        <w:t> juin </w:t>
      </w:r>
      <w:r w:rsidRPr="000836A5">
        <w:t>2020.</w:t>
      </w:r>
    </w:p>
  </w:footnote>
  <w:footnote w:id="5">
    <w:p w:rsidR="005C008D" w:rsidRPr="000836A5" w:rsidRDefault="005C008D" w:rsidP="005C008D">
      <w:pPr>
        <w:pStyle w:val="FootnoteText"/>
      </w:pPr>
      <w:r>
        <w:rPr>
          <w:rStyle w:val="FootnoteReference"/>
        </w:rPr>
        <w:footnoteRef/>
      </w:r>
      <w:r w:rsidRPr="000836A5">
        <w:t xml:space="preserve"> </w:t>
      </w:r>
      <w:r w:rsidR="002524B6">
        <w:tab/>
      </w:r>
      <w:r w:rsidRPr="000836A5">
        <w:t xml:space="preserve">À sa </w:t>
      </w:r>
      <w:r>
        <w:t>cinquante et unième session</w:t>
      </w:r>
      <w:r w:rsidRPr="000836A5">
        <w:t xml:space="preserve"> </w:t>
      </w:r>
      <w:r>
        <w:t>tenue du 6 au</w:t>
      </w:r>
      <w:r w:rsidRPr="000836A5">
        <w:t xml:space="preserve"> 10</w:t>
      </w:r>
      <w:r>
        <w:t> juillet </w:t>
      </w:r>
      <w:r w:rsidRPr="000836A5">
        <w:t>2020.</w:t>
      </w:r>
    </w:p>
  </w:footnote>
  <w:footnote w:id="6">
    <w:p w:rsidR="005C008D" w:rsidRPr="000836A5" w:rsidRDefault="005C008D" w:rsidP="005C008D">
      <w:pPr>
        <w:pStyle w:val="FootnoteText"/>
      </w:pPr>
      <w:r>
        <w:rPr>
          <w:rStyle w:val="FootnoteReference"/>
        </w:rPr>
        <w:footnoteRef/>
      </w:r>
      <w:r w:rsidRPr="000836A5">
        <w:t xml:space="preserve"> </w:t>
      </w:r>
      <w:r w:rsidR="002524B6">
        <w:tab/>
      </w:r>
      <w:r w:rsidRPr="000836A5">
        <w:t>À sa trente</w:t>
      </w:r>
      <w:r>
        <w:t>-</w:t>
      </w:r>
      <w:r w:rsidRPr="000836A5">
        <w:t>huit</w:t>
      </w:r>
      <w:r>
        <w:t>ième session</w:t>
      </w:r>
      <w:r w:rsidRPr="000836A5">
        <w:t xml:space="preserve"> </w:t>
      </w:r>
      <w:r>
        <w:t>tenue du</w:t>
      </w:r>
      <w:r w:rsidRPr="000836A5">
        <w:t xml:space="preserve"> </w:t>
      </w:r>
      <w:r>
        <w:t>21 au</w:t>
      </w:r>
      <w:r w:rsidRPr="000836A5">
        <w:t xml:space="preserve"> 23</w:t>
      </w:r>
      <w:r>
        <w:t> septembre </w:t>
      </w:r>
      <w:r w:rsidRPr="000836A5">
        <w:t>2020.</w:t>
      </w:r>
    </w:p>
  </w:footnote>
  <w:footnote w:id="7">
    <w:p w:rsidR="005C008D" w:rsidRDefault="005C008D" w:rsidP="005C008D">
      <w:pPr>
        <w:pStyle w:val="FootnoteText"/>
      </w:pPr>
      <w:r w:rsidRPr="00887219">
        <w:rPr>
          <w:vertAlign w:val="superscript"/>
        </w:rPr>
        <w:t>1</w:t>
      </w:r>
      <w:r w:rsidRPr="00887219">
        <w:rPr>
          <w:rStyle w:val="FootnoteReference"/>
          <w:color w:val="FFFFFF" w:themeColor="background1"/>
          <w:sz w:val="2"/>
        </w:rPr>
        <w:footnoteRef/>
      </w:r>
      <w:r w:rsidRPr="00887219">
        <w:rPr>
          <w:color w:val="FFFFFF" w:themeColor="background1"/>
        </w:rPr>
        <w:t xml:space="preserve"> </w:t>
      </w:r>
      <w:r w:rsidR="002524B6">
        <w:rPr>
          <w:color w:val="FFFFFF" w:themeColor="background1"/>
        </w:rPr>
        <w:tab/>
      </w:r>
      <w:r>
        <w:t>Journée des obtenteurs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027994" w:rsidP="00EB048E">
    <w:pPr>
      <w:pStyle w:val="Header"/>
      <w:rPr>
        <w:rStyle w:val="PageNumber"/>
        <w:lang w:val="en-US"/>
      </w:rPr>
    </w:pPr>
    <w:r>
      <w:rPr>
        <w:rStyle w:val="PageNumber"/>
        <w:lang w:val="en-US"/>
      </w:rPr>
      <w:t>TC/56</w:t>
    </w:r>
    <w:r w:rsidR="00667404">
      <w:rPr>
        <w:rStyle w:val="PageNumber"/>
        <w:lang w:val="en-US"/>
      </w:rPr>
      <w:t>/</w:t>
    </w:r>
    <w:r w:rsidR="002524B6">
      <w:rPr>
        <w:rStyle w:val="PageNumber"/>
        <w:lang w:val="en-US"/>
      </w:rPr>
      <w:t>INF/6</w:t>
    </w:r>
  </w:p>
  <w:p w:rsidR="00182B99" w:rsidRPr="00C5280D" w:rsidRDefault="00182B99" w:rsidP="00EB048E">
    <w:pPr>
      <w:pStyle w:val="Header"/>
      <w:rPr>
        <w:lang w:val="en-US"/>
      </w:rPr>
    </w:pPr>
    <w:proofErr w:type="gramStart"/>
    <w:r w:rsidRPr="00C5280D">
      <w:rPr>
        <w:lang w:val="en-US"/>
      </w:rPr>
      <w:t>page</w:t>
    </w:r>
    <w:proofErr w:type="gramEnd"/>
    <w:r w:rsidR="00A22802">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355D3">
      <w:rPr>
        <w:rStyle w:val="PageNumber"/>
        <w:noProof/>
        <w:lang w:val="en-US"/>
      </w:rPr>
      <w:t>4</w:t>
    </w:r>
    <w:r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08D"/>
    <w:rsid w:val="00010CF3"/>
    <w:rsid w:val="00011E27"/>
    <w:rsid w:val="000148BC"/>
    <w:rsid w:val="00024AB8"/>
    <w:rsid w:val="00027994"/>
    <w:rsid w:val="00030854"/>
    <w:rsid w:val="00034613"/>
    <w:rsid w:val="00036028"/>
    <w:rsid w:val="00044642"/>
    <w:rsid w:val="000446B9"/>
    <w:rsid w:val="00047E21"/>
    <w:rsid w:val="00050E16"/>
    <w:rsid w:val="00060258"/>
    <w:rsid w:val="00085505"/>
    <w:rsid w:val="0008731C"/>
    <w:rsid w:val="000C4E25"/>
    <w:rsid w:val="000C7021"/>
    <w:rsid w:val="000D6BBC"/>
    <w:rsid w:val="000D7780"/>
    <w:rsid w:val="000E636A"/>
    <w:rsid w:val="000F2F11"/>
    <w:rsid w:val="00105929"/>
    <w:rsid w:val="00110C36"/>
    <w:rsid w:val="001131D5"/>
    <w:rsid w:val="001355D3"/>
    <w:rsid w:val="00141DB8"/>
    <w:rsid w:val="00172084"/>
    <w:rsid w:val="0017474A"/>
    <w:rsid w:val="001758C6"/>
    <w:rsid w:val="00182B99"/>
    <w:rsid w:val="001C1F2F"/>
    <w:rsid w:val="001F3D68"/>
    <w:rsid w:val="0021332C"/>
    <w:rsid w:val="00213982"/>
    <w:rsid w:val="0024416D"/>
    <w:rsid w:val="002524B6"/>
    <w:rsid w:val="00271911"/>
    <w:rsid w:val="002800A0"/>
    <w:rsid w:val="002801B3"/>
    <w:rsid w:val="00281060"/>
    <w:rsid w:val="002940E8"/>
    <w:rsid w:val="00294751"/>
    <w:rsid w:val="002A6E50"/>
    <w:rsid w:val="002A709B"/>
    <w:rsid w:val="002B4298"/>
    <w:rsid w:val="002C256A"/>
    <w:rsid w:val="00305A7F"/>
    <w:rsid w:val="003152FE"/>
    <w:rsid w:val="00327436"/>
    <w:rsid w:val="00337C0A"/>
    <w:rsid w:val="00344BD6"/>
    <w:rsid w:val="0035084F"/>
    <w:rsid w:val="0035528D"/>
    <w:rsid w:val="00361821"/>
    <w:rsid w:val="00361E9E"/>
    <w:rsid w:val="003C7FBE"/>
    <w:rsid w:val="003D227C"/>
    <w:rsid w:val="003D2B4D"/>
    <w:rsid w:val="0040557F"/>
    <w:rsid w:val="00444A88"/>
    <w:rsid w:val="00474DA4"/>
    <w:rsid w:val="00476B4D"/>
    <w:rsid w:val="004805FA"/>
    <w:rsid w:val="004935D2"/>
    <w:rsid w:val="004B1215"/>
    <w:rsid w:val="004D047D"/>
    <w:rsid w:val="004F1E9E"/>
    <w:rsid w:val="004F305A"/>
    <w:rsid w:val="00511246"/>
    <w:rsid w:val="00512164"/>
    <w:rsid w:val="00520297"/>
    <w:rsid w:val="005338F9"/>
    <w:rsid w:val="0054281C"/>
    <w:rsid w:val="00544581"/>
    <w:rsid w:val="00545E42"/>
    <w:rsid w:val="0055268D"/>
    <w:rsid w:val="00576BE4"/>
    <w:rsid w:val="005A400A"/>
    <w:rsid w:val="005C008D"/>
    <w:rsid w:val="005F7B92"/>
    <w:rsid w:val="00612379"/>
    <w:rsid w:val="006153B6"/>
    <w:rsid w:val="0061555F"/>
    <w:rsid w:val="00636CA6"/>
    <w:rsid w:val="00641200"/>
    <w:rsid w:val="00645CA8"/>
    <w:rsid w:val="006655D3"/>
    <w:rsid w:val="00667404"/>
    <w:rsid w:val="006868BD"/>
    <w:rsid w:val="00687EB4"/>
    <w:rsid w:val="00695C56"/>
    <w:rsid w:val="006A5CDE"/>
    <w:rsid w:val="006A644A"/>
    <w:rsid w:val="006B17D2"/>
    <w:rsid w:val="006B5204"/>
    <w:rsid w:val="006C224E"/>
    <w:rsid w:val="006D780A"/>
    <w:rsid w:val="0071271E"/>
    <w:rsid w:val="00732DEC"/>
    <w:rsid w:val="00735BD5"/>
    <w:rsid w:val="00751613"/>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3A65"/>
    <w:rsid w:val="008211B5"/>
    <w:rsid w:val="0082296E"/>
    <w:rsid w:val="00824099"/>
    <w:rsid w:val="00846D7C"/>
    <w:rsid w:val="00864C55"/>
    <w:rsid w:val="00867AC1"/>
    <w:rsid w:val="00890DF8"/>
    <w:rsid w:val="00892780"/>
    <w:rsid w:val="00897A4D"/>
    <w:rsid w:val="008A743F"/>
    <w:rsid w:val="008C0970"/>
    <w:rsid w:val="008D0BC5"/>
    <w:rsid w:val="008D2CF7"/>
    <w:rsid w:val="00900C26"/>
    <w:rsid w:val="0090197F"/>
    <w:rsid w:val="00906DDC"/>
    <w:rsid w:val="00934E09"/>
    <w:rsid w:val="00936253"/>
    <w:rsid w:val="00940D46"/>
    <w:rsid w:val="00952DD4"/>
    <w:rsid w:val="00965AE7"/>
    <w:rsid w:val="00970FED"/>
    <w:rsid w:val="00992D82"/>
    <w:rsid w:val="00997029"/>
    <w:rsid w:val="009A7339"/>
    <w:rsid w:val="009B440E"/>
    <w:rsid w:val="009D690D"/>
    <w:rsid w:val="009E65B6"/>
    <w:rsid w:val="00A22802"/>
    <w:rsid w:val="00A24C10"/>
    <w:rsid w:val="00A31B14"/>
    <w:rsid w:val="00A42AC3"/>
    <w:rsid w:val="00A430CF"/>
    <w:rsid w:val="00A54309"/>
    <w:rsid w:val="00A706D3"/>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C40C2"/>
    <w:rsid w:val="00CF1330"/>
    <w:rsid w:val="00CF7E36"/>
    <w:rsid w:val="00D3708D"/>
    <w:rsid w:val="00D40426"/>
    <w:rsid w:val="00D57C96"/>
    <w:rsid w:val="00D57D18"/>
    <w:rsid w:val="00D91203"/>
    <w:rsid w:val="00D95174"/>
    <w:rsid w:val="00DA4973"/>
    <w:rsid w:val="00DA6F36"/>
    <w:rsid w:val="00DB596E"/>
    <w:rsid w:val="00DB7773"/>
    <w:rsid w:val="00DC00EA"/>
    <w:rsid w:val="00DC3802"/>
    <w:rsid w:val="00E07D87"/>
    <w:rsid w:val="00E143E0"/>
    <w:rsid w:val="00E32F7E"/>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45372"/>
    <w:rsid w:val="00F560F7"/>
    <w:rsid w:val="00F6334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5CBD249-282F-45BB-8314-3FD88D0A0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6D3"/>
    <w:pPr>
      <w:jc w:val="both"/>
    </w:pPr>
    <w:rPr>
      <w:rFonts w:ascii="Arial" w:hAnsi="Arial"/>
      <w:lang w:val="fr-FR"/>
    </w:rPr>
  </w:style>
  <w:style w:type="paragraph" w:styleId="Heading1">
    <w:name w:val="heading 1"/>
    <w:next w:val="Normal"/>
    <w:link w:val="Heading1Char"/>
    <w:autoRedefine/>
    <w:qFormat/>
    <w:rsid w:val="00A22802"/>
    <w:pPr>
      <w:keepNext/>
      <w:jc w:val="both"/>
      <w:outlineLvl w:val="0"/>
    </w:pPr>
    <w:rPr>
      <w:rFonts w:ascii="Arial" w:hAnsi="Arial"/>
      <w:caps/>
      <w:lang w:val="fr-CH"/>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F3D68"/>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F3D68"/>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1355D3"/>
    <w:pPr>
      <w:tabs>
        <w:tab w:val="right" w:leader="dot" w:pos="9639"/>
      </w:tabs>
      <w:ind w:left="568" w:right="851" w:hanging="284"/>
      <w:contextualSpacing/>
      <w:jc w:val="left"/>
    </w:pPr>
    <w:rPr>
      <w:sz w:val="18"/>
    </w:rPr>
  </w:style>
  <w:style w:type="paragraph" w:styleId="TOC3">
    <w:name w:val="toc 3"/>
    <w:next w:val="Normal"/>
    <w:autoRedefine/>
    <w:uiPriority w:val="39"/>
    <w:rsid w:val="001355D3"/>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1355D3"/>
    <w:pPr>
      <w:tabs>
        <w:tab w:val="right" w:leader="dot" w:pos="9639"/>
      </w:tabs>
      <w:spacing w:before="60"/>
      <w:ind w:right="1418"/>
      <w:contextualSpacing/>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A22802"/>
    <w:rPr>
      <w:rFonts w:ascii="Arial" w:hAnsi="Arial"/>
      <w:caps/>
      <w:lang w:val="fr-CH"/>
    </w:rPr>
  </w:style>
  <w:style w:type="character" w:customStyle="1" w:styleId="FootnoteTextChar">
    <w:name w:val="Footnote Text Char"/>
    <w:basedOn w:val="DefaultParagraphFont"/>
    <w:link w:val="FootnoteText"/>
    <w:rsid w:val="005C008D"/>
    <w:rPr>
      <w:rFonts w:ascii="Arial" w:hAnsi="Arial"/>
      <w:sz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95628-A099-4E46-AE74-C777A894B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1484</Words>
  <Characters>9629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TC/56</vt:lpstr>
    </vt:vector>
  </TitlesOfParts>
  <Company>UPOV</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dc:title>
  <dc:creator>ROURE Cécile</dc:creator>
  <cp:lastModifiedBy>MAY Jessica</cp:lastModifiedBy>
  <cp:revision>13</cp:revision>
  <cp:lastPrinted>2016-11-22T15:41:00Z</cp:lastPrinted>
  <dcterms:created xsi:type="dcterms:W3CDTF">2020-10-22T07:48:00Z</dcterms:created>
  <dcterms:modified xsi:type="dcterms:W3CDTF">2020-11-11T13:07:00Z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d0a68836-048a-48eb-9b2a-3cf260046db4</vt:lpwstr>
  </property>
</Properties>
</file>