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C736DF" w:rsidRPr="00815738" w:rsidTr="00950B54">
        <w:tc>
          <w:tcPr>
            <w:tcW w:w="6522" w:type="dxa"/>
          </w:tcPr>
          <w:p w:rsidR="00C736DF" w:rsidRPr="00AC2883" w:rsidRDefault="00C736DF" w:rsidP="00950B54">
            <w:bookmarkStart w:id="0" w:name="TitleOfDoc"/>
            <w:bookmarkEnd w:id="0"/>
            <w:r w:rsidRPr="00D250C5">
              <w:rPr>
                <w:noProof/>
              </w:rPr>
              <w:drawing>
                <wp:inline distT="0" distB="0" distL="0" distR="0" wp14:anchorId="4DF05D8C" wp14:editId="1941B0A8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C736DF" w:rsidRPr="007C1D92" w:rsidRDefault="00C736DF" w:rsidP="00950B54">
            <w:pPr>
              <w:pStyle w:val="Lettrine"/>
            </w:pPr>
            <w:r>
              <w:t>F</w:t>
            </w:r>
          </w:p>
        </w:tc>
      </w:tr>
      <w:tr w:rsidR="00C736DF" w:rsidRPr="00E728BA" w:rsidTr="00950B54">
        <w:trPr>
          <w:trHeight w:val="219"/>
        </w:trPr>
        <w:tc>
          <w:tcPr>
            <w:tcW w:w="6522" w:type="dxa"/>
          </w:tcPr>
          <w:p w:rsidR="00C736DF" w:rsidRPr="00C736DF" w:rsidRDefault="00C736DF" w:rsidP="00950B54">
            <w:pPr>
              <w:pStyle w:val="upove"/>
              <w:rPr>
                <w:lang w:val="fr-CH"/>
              </w:rPr>
            </w:pPr>
            <w:r w:rsidRPr="00C736DF">
              <w:rPr>
                <w:lang w:val="fr-CH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C736DF" w:rsidRPr="00C736DF" w:rsidRDefault="00C736DF" w:rsidP="00950B54">
            <w:pPr>
              <w:rPr>
                <w:lang w:val="fr-CH"/>
              </w:rPr>
            </w:pPr>
          </w:p>
        </w:tc>
      </w:tr>
    </w:tbl>
    <w:p w:rsidR="00C736DF" w:rsidRPr="00C736DF" w:rsidRDefault="00C736DF" w:rsidP="00C736DF">
      <w:pPr>
        <w:rPr>
          <w:lang w:val="fr-CH"/>
        </w:rPr>
      </w:pPr>
    </w:p>
    <w:p w:rsidR="00C736DF" w:rsidRPr="00C736DF" w:rsidRDefault="00C736DF" w:rsidP="00C736DF">
      <w:pPr>
        <w:rPr>
          <w:lang w:val="fr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C736DF" w:rsidRPr="00E728BA" w:rsidTr="00950B54">
        <w:tc>
          <w:tcPr>
            <w:tcW w:w="6512" w:type="dxa"/>
          </w:tcPr>
          <w:p w:rsidR="00C736DF" w:rsidRPr="00C736DF" w:rsidRDefault="00C736DF" w:rsidP="00950B54">
            <w:pPr>
              <w:pStyle w:val="Sessiontc"/>
              <w:spacing w:line="240" w:lineRule="auto"/>
              <w:rPr>
                <w:lang w:val="fr-CH"/>
              </w:rPr>
            </w:pPr>
            <w:r w:rsidRPr="00C736DF">
              <w:rPr>
                <w:lang w:val="fr-CH"/>
              </w:rPr>
              <w:t>Comité technique</w:t>
            </w:r>
          </w:p>
          <w:p w:rsidR="00C736DF" w:rsidRPr="00C736DF" w:rsidRDefault="00C736DF" w:rsidP="00950B54">
            <w:pPr>
              <w:pStyle w:val="Sessiontcplacedate"/>
              <w:rPr>
                <w:sz w:val="22"/>
                <w:lang w:val="fr-CH"/>
              </w:rPr>
            </w:pPr>
            <w:r w:rsidRPr="00C736DF">
              <w:rPr>
                <w:lang w:val="fr-CH"/>
              </w:rPr>
              <w:t>Cinquante-cinquième session</w:t>
            </w:r>
            <w:r w:rsidRPr="00C736DF">
              <w:rPr>
                <w:lang w:val="fr-CH"/>
              </w:rPr>
              <w:br/>
              <w:t>Genève, 28 et 29 octobre 2019</w:t>
            </w:r>
          </w:p>
        </w:tc>
        <w:tc>
          <w:tcPr>
            <w:tcW w:w="3127" w:type="dxa"/>
          </w:tcPr>
          <w:p w:rsidR="00C736DF" w:rsidRPr="00D43969" w:rsidRDefault="00C736DF" w:rsidP="00950B54">
            <w:pPr>
              <w:pStyle w:val="Doccode"/>
              <w:rPr>
                <w:lang w:val="fr-CH"/>
              </w:rPr>
            </w:pPr>
            <w:r w:rsidRPr="00D43969">
              <w:rPr>
                <w:lang w:val="fr-CH"/>
              </w:rPr>
              <w:t>TC/55/</w:t>
            </w:r>
            <w:r>
              <w:rPr>
                <w:lang w:val="fr-CH"/>
              </w:rPr>
              <w:t>9</w:t>
            </w:r>
          </w:p>
          <w:p w:rsidR="00C736DF" w:rsidRPr="00C736DF" w:rsidRDefault="00C736DF" w:rsidP="00950B54">
            <w:pPr>
              <w:pStyle w:val="Docoriginal"/>
              <w:rPr>
                <w:lang w:val="fr-CH"/>
              </w:rPr>
            </w:pPr>
            <w:r w:rsidRPr="00C736DF">
              <w:rPr>
                <w:lang w:val="fr-CH"/>
              </w:rPr>
              <w:t>Original :</w:t>
            </w:r>
            <w:r w:rsidRPr="00C736DF">
              <w:rPr>
                <w:b w:val="0"/>
                <w:spacing w:val="0"/>
                <w:lang w:val="fr-CH"/>
              </w:rPr>
              <w:t xml:space="preserve"> anglais</w:t>
            </w:r>
          </w:p>
          <w:p w:rsidR="00C736DF" w:rsidRPr="00C736DF" w:rsidRDefault="00C736DF" w:rsidP="00950B54">
            <w:pPr>
              <w:pStyle w:val="Docoriginal"/>
              <w:rPr>
                <w:lang w:val="fr-CH"/>
              </w:rPr>
            </w:pPr>
            <w:r w:rsidRPr="00C736DF">
              <w:rPr>
                <w:lang w:val="fr-CH"/>
              </w:rPr>
              <w:t>Date :</w:t>
            </w:r>
            <w:r w:rsidRPr="00C736DF">
              <w:rPr>
                <w:b w:val="0"/>
                <w:spacing w:val="0"/>
                <w:lang w:val="fr-CH"/>
              </w:rPr>
              <w:t xml:space="preserve"> </w:t>
            </w:r>
            <w:r w:rsidR="00E728BA" w:rsidRPr="00E728BA">
              <w:rPr>
                <w:b w:val="0"/>
                <w:spacing w:val="0"/>
                <w:lang w:val="fr-CH"/>
              </w:rPr>
              <w:t>12</w:t>
            </w:r>
            <w:r w:rsidRPr="00E728BA">
              <w:rPr>
                <w:b w:val="0"/>
                <w:spacing w:val="0"/>
                <w:lang w:val="fr-CH"/>
              </w:rPr>
              <w:t> octobre 2019</w:t>
            </w:r>
          </w:p>
        </w:tc>
      </w:tr>
    </w:tbl>
    <w:p w:rsidR="007C5A8F" w:rsidRPr="007C5A8F" w:rsidRDefault="007C5A8F" w:rsidP="007C5A8F">
      <w:pPr>
        <w:pStyle w:val="Titleofdoc0"/>
        <w:rPr>
          <w:lang w:val="fr-CH"/>
        </w:rPr>
      </w:pPr>
      <w:r w:rsidRPr="007C5A8F">
        <w:rPr>
          <w:color w:val="000000"/>
          <w:lang w:val="fr-CH"/>
        </w:rPr>
        <w:t>ATELIERS PRÉPARATOIRES</w:t>
      </w:r>
    </w:p>
    <w:p w:rsidR="007C5A8F" w:rsidRPr="00BB3EB2" w:rsidRDefault="007C5A8F" w:rsidP="007C5A8F">
      <w:pPr>
        <w:pStyle w:val="preparedby1"/>
        <w:jc w:val="left"/>
        <w:rPr>
          <w:lang w:val="fr-CH"/>
        </w:rPr>
      </w:pPr>
      <w:bookmarkStart w:id="1" w:name="Prepared"/>
      <w:bookmarkEnd w:id="1"/>
      <w:r w:rsidRPr="00BB3EB2">
        <w:rPr>
          <w:lang w:val="fr-CH"/>
        </w:rPr>
        <w:t>Document établi par le Bureau de l</w:t>
      </w:r>
      <w:r w:rsidR="001E6289">
        <w:rPr>
          <w:lang w:val="fr-CH"/>
        </w:rPr>
        <w:t>’</w:t>
      </w:r>
      <w:r w:rsidRPr="00BB3EB2">
        <w:rPr>
          <w:lang w:val="fr-CH"/>
        </w:rPr>
        <w:t>Union</w:t>
      </w:r>
    </w:p>
    <w:p w:rsidR="007C5A8F" w:rsidRPr="000B5EC7" w:rsidRDefault="007C5A8F" w:rsidP="007C5A8F">
      <w:pPr>
        <w:pStyle w:val="Disclaimer"/>
        <w:rPr>
          <w:lang w:val="fr-CH"/>
        </w:rPr>
      </w:pPr>
      <w:r w:rsidRPr="000B5EC7">
        <w:rPr>
          <w:lang w:val="fr-CH"/>
        </w:rPr>
        <w:t>Avertissement</w:t>
      </w:r>
      <w:r w:rsidR="001E6289">
        <w:rPr>
          <w:lang w:val="fr-CH"/>
        </w:rPr>
        <w:t> :</w:t>
      </w:r>
      <w:r w:rsidRPr="000B5EC7">
        <w:rPr>
          <w:lang w:val="fr-CH"/>
        </w:rPr>
        <w:t xml:space="preserve"> le présent document ne représente pas les principes ou les orientations de l</w:t>
      </w:r>
      <w:r w:rsidR="001E6289">
        <w:rPr>
          <w:lang w:val="fr-CH"/>
        </w:rPr>
        <w:t>’</w:t>
      </w:r>
      <w:r w:rsidRPr="000B5EC7">
        <w:rPr>
          <w:lang w:val="fr-CH"/>
        </w:rPr>
        <w:t>UPOV</w:t>
      </w:r>
    </w:p>
    <w:p w:rsidR="007C5A8F" w:rsidRPr="000B5EC7" w:rsidRDefault="007C5A8F" w:rsidP="00A5782F">
      <w:pPr>
        <w:pStyle w:val="Heading1"/>
      </w:pPr>
      <w:bookmarkStart w:id="2" w:name="_Toc22655578"/>
      <w:r w:rsidRPr="000B5EC7">
        <w:t>RÉSUMÉ</w:t>
      </w:r>
      <w:bookmarkEnd w:id="2"/>
    </w:p>
    <w:p w:rsidR="007C5A8F" w:rsidRPr="000B5EC7" w:rsidRDefault="007C5A8F" w:rsidP="00814CDC">
      <w:pPr>
        <w:autoSpaceDE w:val="0"/>
        <w:autoSpaceDN w:val="0"/>
        <w:adjustRightInd w:val="0"/>
        <w:rPr>
          <w:rFonts w:cs="Arial"/>
          <w:lang w:val="fr-CH"/>
        </w:rPr>
      </w:pPr>
    </w:p>
    <w:p w:rsidR="007C5A8F" w:rsidRPr="000B5EC7" w:rsidRDefault="00814CDC" w:rsidP="007C5A8F">
      <w:pPr>
        <w:rPr>
          <w:rFonts w:cs="Arial"/>
          <w:lang w:val="fr-CH"/>
        </w:rPr>
      </w:pPr>
      <w:r w:rsidRPr="000B5EC7">
        <w:rPr>
          <w:rFonts w:cs="Arial"/>
        </w:rPr>
        <w:fldChar w:fldCharType="begin"/>
      </w:r>
      <w:r w:rsidRPr="000B5EC7">
        <w:rPr>
          <w:rFonts w:cs="Arial"/>
          <w:lang w:val="fr-CH"/>
        </w:rPr>
        <w:instrText xml:space="preserve"> AUTONUM  </w:instrText>
      </w:r>
      <w:r w:rsidRPr="000B5EC7">
        <w:rPr>
          <w:rFonts w:cs="Arial"/>
        </w:rPr>
        <w:fldChar w:fldCharType="end"/>
      </w:r>
      <w:r w:rsidRPr="000B5EC7">
        <w:rPr>
          <w:rFonts w:cs="Arial"/>
          <w:lang w:val="fr-CH"/>
        </w:rPr>
        <w:tab/>
      </w:r>
      <w:r w:rsidR="007C5A8F" w:rsidRPr="000B5EC7">
        <w:rPr>
          <w:rFonts w:cs="Arial"/>
          <w:lang w:val="fr-CH"/>
        </w:rPr>
        <w:t>Le présent document a pour objet de rendre compte des ateliers préparatoires tenus en</w:t>
      </w:r>
      <w:r w:rsidR="000B5EC7" w:rsidRPr="000B5EC7">
        <w:rPr>
          <w:rFonts w:cs="Arial"/>
          <w:lang w:val="fr-CH"/>
        </w:rPr>
        <w:t> </w:t>
      </w:r>
      <w:r w:rsidR="007C5A8F" w:rsidRPr="000B5EC7">
        <w:rPr>
          <w:rFonts w:cs="Arial"/>
          <w:lang w:val="fr-CH"/>
        </w:rPr>
        <w:t>2019 et de présenter les propositions pour</w:t>
      </w:r>
      <w:r w:rsidR="000B5EC7" w:rsidRPr="000B5EC7">
        <w:rPr>
          <w:rFonts w:cs="Arial"/>
          <w:lang w:val="fr-CH"/>
        </w:rPr>
        <w:t> </w:t>
      </w:r>
      <w:r w:rsidR="007C5A8F" w:rsidRPr="000B5EC7">
        <w:rPr>
          <w:rFonts w:cs="Arial"/>
          <w:lang w:val="fr-CH"/>
        </w:rPr>
        <w:t>2020.</w:t>
      </w:r>
    </w:p>
    <w:p w:rsidR="007C5A8F" w:rsidRPr="000B5EC7" w:rsidRDefault="007C5A8F" w:rsidP="00814CDC">
      <w:pPr>
        <w:autoSpaceDE w:val="0"/>
        <w:autoSpaceDN w:val="0"/>
        <w:adjustRightInd w:val="0"/>
        <w:rPr>
          <w:rFonts w:cs="Arial"/>
          <w:lang w:val="fr-CH"/>
        </w:rPr>
      </w:pPr>
    </w:p>
    <w:p w:rsidR="007C5A8F" w:rsidRPr="000B5EC7" w:rsidRDefault="00AC69BE" w:rsidP="007C5A8F">
      <w:pPr>
        <w:pStyle w:val="DecisionParagraphs"/>
        <w:tabs>
          <w:tab w:val="left" w:pos="567"/>
          <w:tab w:val="left" w:pos="1134"/>
        </w:tabs>
        <w:ind w:left="0"/>
        <w:rPr>
          <w:rFonts w:cs="Arial"/>
          <w:i w:val="0"/>
          <w:lang w:val="fr-CH"/>
        </w:rPr>
      </w:pPr>
      <w:r w:rsidRPr="000B5EC7">
        <w:rPr>
          <w:rFonts w:cs="Arial"/>
          <w:i w:val="0"/>
        </w:rPr>
        <w:fldChar w:fldCharType="begin"/>
      </w:r>
      <w:r w:rsidRPr="000B5EC7">
        <w:rPr>
          <w:rFonts w:cs="Arial"/>
          <w:i w:val="0"/>
          <w:lang w:val="fr-CH"/>
        </w:rPr>
        <w:instrText xml:space="preserve"> AUTONUM  </w:instrText>
      </w:r>
      <w:r w:rsidRPr="000B5EC7">
        <w:rPr>
          <w:rFonts w:cs="Arial"/>
          <w:i w:val="0"/>
        </w:rPr>
        <w:fldChar w:fldCharType="end"/>
      </w:r>
      <w:r w:rsidRPr="000B5EC7">
        <w:rPr>
          <w:rFonts w:cs="Arial"/>
          <w:i w:val="0"/>
          <w:lang w:val="fr-CH"/>
        </w:rPr>
        <w:tab/>
      </w:r>
      <w:r w:rsidR="007C5A8F" w:rsidRPr="000B5EC7">
        <w:rPr>
          <w:rFonts w:cs="Arial"/>
          <w:i w:val="0"/>
          <w:lang w:val="fr-CH"/>
        </w:rPr>
        <w:t>Le</w:t>
      </w:r>
      <w:r w:rsidR="001E6289">
        <w:rPr>
          <w:rFonts w:cs="Arial"/>
          <w:i w:val="0"/>
          <w:lang w:val="fr-CH"/>
        </w:rPr>
        <w:t> TC</w:t>
      </w:r>
      <w:r w:rsidR="007C5A8F" w:rsidRPr="000B5EC7">
        <w:rPr>
          <w:rFonts w:cs="Arial"/>
          <w:i w:val="0"/>
          <w:lang w:val="fr-CH"/>
        </w:rPr>
        <w:t xml:space="preserve"> est invité à</w:t>
      </w:r>
    </w:p>
    <w:p w:rsidR="007C5A8F" w:rsidRPr="000B5EC7" w:rsidRDefault="007C5A8F" w:rsidP="00AC69BE">
      <w:pPr>
        <w:pStyle w:val="DecisionParagraphs"/>
        <w:tabs>
          <w:tab w:val="left" w:pos="567"/>
          <w:tab w:val="left" w:pos="1134"/>
        </w:tabs>
        <w:ind w:left="0"/>
        <w:rPr>
          <w:rFonts w:cs="Arial"/>
          <w:i w:val="0"/>
          <w:lang w:val="fr-CH"/>
        </w:rPr>
      </w:pPr>
    </w:p>
    <w:p w:rsidR="001E6289" w:rsidRDefault="007C5A8F" w:rsidP="000B5EC7">
      <w:pPr>
        <w:pStyle w:val="ListParagraph"/>
        <w:numPr>
          <w:ilvl w:val="0"/>
          <w:numId w:val="18"/>
        </w:numPr>
        <w:tabs>
          <w:tab w:val="left" w:pos="567"/>
          <w:tab w:val="left" w:pos="1134"/>
        </w:tabs>
        <w:rPr>
          <w:rFonts w:cs="Arial"/>
          <w:lang w:val="fr-CH"/>
        </w:rPr>
      </w:pPr>
      <w:proofErr w:type="gramStart"/>
      <w:r w:rsidRPr="000B5EC7">
        <w:rPr>
          <w:rFonts w:cs="Arial"/>
          <w:lang w:val="fr-CH"/>
        </w:rPr>
        <w:t>prendre</w:t>
      </w:r>
      <w:proofErr w:type="gramEnd"/>
      <w:r w:rsidRPr="000B5EC7">
        <w:rPr>
          <w:rFonts w:cs="Arial"/>
          <w:lang w:val="fr-CH"/>
        </w:rPr>
        <w:t xml:space="preserve"> note du compte rendu de l</w:t>
      </w:r>
      <w:r w:rsidR="001E6289">
        <w:rPr>
          <w:rFonts w:cs="Arial"/>
          <w:lang w:val="fr-CH"/>
        </w:rPr>
        <w:t>’</w:t>
      </w:r>
      <w:r w:rsidRPr="000B5EC7">
        <w:rPr>
          <w:rFonts w:cs="Arial"/>
          <w:lang w:val="fr-CH"/>
        </w:rPr>
        <w:t>atelier préparatoire tenu par</w:t>
      </w:r>
      <w:r w:rsidR="001E6289" w:rsidRPr="000B5EC7">
        <w:rPr>
          <w:rFonts w:cs="Arial"/>
          <w:lang w:val="fr-CH"/>
        </w:rPr>
        <w:t xml:space="preserve"> le</w:t>
      </w:r>
      <w:r w:rsidR="001E6289">
        <w:rPr>
          <w:rFonts w:cs="Arial"/>
          <w:lang w:val="fr-CH"/>
        </w:rPr>
        <w:t> </w:t>
      </w:r>
      <w:r w:rsidR="001E6289" w:rsidRPr="000B5EC7">
        <w:rPr>
          <w:rFonts w:cs="Arial"/>
          <w:lang w:val="fr-CH"/>
        </w:rPr>
        <w:t>TWO</w:t>
      </w:r>
      <w:r w:rsidRPr="000B5EC7">
        <w:rPr>
          <w:rFonts w:cs="Arial"/>
          <w:lang w:val="fr-CH"/>
        </w:rPr>
        <w:t xml:space="preserve"> en</w:t>
      </w:r>
      <w:r w:rsidR="000B5EC7" w:rsidRPr="000B5EC7">
        <w:rPr>
          <w:rFonts w:cs="Arial"/>
          <w:lang w:val="fr-CH"/>
        </w:rPr>
        <w:t> </w:t>
      </w:r>
      <w:r w:rsidRPr="000B5EC7">
        <w:rPr>
          <w:rFonts w:cs="Arial"/>
          <w:lang w:val="fr-CH"/>
        </w:rPr>
        <w:t>2019;</w:t>
      </w:r>
    </w:p>
    <w:p w:rsidR="007C5A8F" w:rsidRPr="000B5EC7" w:rsidRDefault="007C5A8F" w:rsidP="00D917FD">
      <w:pPr>
        <w:tabs>
          <w:tab w:val="left" w:pos="567"/>
          <w:tab w:val="left" w:pos="1134"/>
        </w:tabs>
        <w:ind w:firstLine="567"/>
        <w:rPr>
          <w:rFonts w:cs="Arial"/>
          <w:lang w:val="fr-CH"/>
        </w:rPr>
      </w:pPr>
    </w:p>
    <w:p w:rsidR="001E6289" w:rsidRDefault="003E588B" w:rsidP="000B5EC7">
      <w:pPr>
        <w:pStyle w:val="ListParagraph"/>
        <w:numPr>
          <w:ilvl w:val="0"/>
          <w:numId w:val="18"/>
        </w:numPr>
        <w:tabs>
          <w:tab w:val="left" w:pos="567"/>
          <w:tab w:val="left" w:pos="1134"/>
        </w:tabs>
        <w:rPr>
          <w:rFonts w:cs="Arial"/>
          <w:lang w:val="fr-CH"/>
        </w:rPr>
      </w:pPr>
      <w:proofErr w:type="gramStart"/>
      <w:r w:rsidRPr="000B5EC7">
        <w:rPr>
          <w:rFonts w:cs="Arial"/>
          <w:lang w:val="fr-CH"/>
        </w:rPr>
        <w:t>noter</w:t>
      </w:r>
      <w:proofErr w:type="gramEnd"/>
      <w:r w:rsidRPr="000B5EC7">
        <w:rPr>
          <w:rFonts w:cs="Arial"/>
          <w:lang w:val="fr-CH"/>
        </w:rPr>
        <w:t xml:space="preserve"> que les éléments à examiner lors des ateliers préparatoires</w:t>
      </w:r>
      <w:r w:rsidR="001E6289" w:rsidRPr="000B5EC7">
        <w:rPr>
          <w:rFonts w:cs="Arial"/>
          <w:lang w:val="fr-CH"/>
        </w:rPr>
        <w:t xml:space="preserve"> du</w:t>
      </w:r>
      <w:r w:rsidR="001E6289">
        <w:rPr>
          <w:rFonts w:cs="Arial"/>
          <w:lang w:val="fr-CH"/>
        </w:rPr>
        <w:t> </w:t>
      </w:r>
      <w:r w:rsidR="001E6289" w:rsidRPr="000B5EC7">
        <w:rPr>
          <w:rFonts w:cs="Arial"/>
          <w:lang w:val="fr-CH"/>
        </w:rPr>
        <w:t>TWA</w:t>
      </w:r>
      <w:r w:rsidRPr="000B5EC7">
        <w:rPr>
          <w:rFonts w:cs="Arial"/>
          <w:lang w:val="fr-CH"/>
        </w:rPr>
        <w:t>,</w:t>
      </w:r>
      <w:r w:rsidR="001E6289" w:rsidRPr="000B5EC7">
        <w:rPr>
          <w:rFonts w:cs="Arial"/>
          <w:lang w:val="fr-CH"/>
        </w:rPr>
        <w:t xml:space="preserve"> du</w:t>
      </w:r>
      <w:r w:rsidR="001E6289">
        <w:rPr>
          <w:rFonts w:cs="Arial"/>
          <w:lang w:val="fr-CH"/>
        </w:rPr>
        <w:t> </w:t>
      </w:r>
      <w:r w:rsidR="001E6289" w:rsidRPr="000B5EC7">
        <w:rPr>
          <w:rFonts w:cs="Arial"/>
          <w:lang w:val="fr-CH"/>
        </w:rPr>
        <w:t>TWC</w:t>
      </w:r>
      <w:r w:rsidRPr="000B5EC7">
        <w:rPr>
          <w:rFonts w:cs="Arial"/>
          <w:lang w:val="fr-CH"/>
        </w:rPr>
        <w:t>,</w:t>
      </w:r>
      <w:r w:rsidR="001E6289" w:rsidRPr="000B5EC7">
        <w:rPr>
          <w:rFonts w:cs="Arial"/>
          <w:lang w:val="fr-CH"/>
        </w:rPr>
        <w:t xml:space="preserve"> du</w:t>
      </w:r>
      <w:r w:rsidR="001E6289">
        <w:rPr>
          <w:rFonts w:cs="Arial"/>
          <w:lang w:val="fr-CH"/>
        </w:rPr>
        <w:t> </w:t>
      </w:r>
      <w:r w:rsidR="001E6289" w:rsidRPr="000B5EC7">
        <w:rPr>
          <w:rFonts w:cs="Arial"/>
          <w:lang w:val="fr-CH"/>
        </w:rPr>
        <w:t>TWF</w:t>
      </w:r>
      <w:r w:rsidRPr="000B5EC7">
        <w:rPr>
          <w:rFonts w:cs="Arial"/>
          <w:lang w:val="fr-CH"/>
        </w:rPr>
        <w:t>,</w:t>
      </w:r>
      <w:r w:rsidR="001E6289" w:rsidRPr="000B5EC7">
        <w:rPr>
          <w:rFonts w:cs="Arial"/>
          <w:lang w:val="fr-CH"/>
        </w:rPr>
        <w:t xml:space="preserve"> du</w:t>
      </w:r>
      <w:r w:rsidR="001E6289">
        <w:rPr>
          <w:rFonts w:cs="Arial"/>
          <w:lang w:val="fr-CH"/>
        </w:rPr>
        <w:t> </w:t>
      </w:r>
      <w:r w:rsidR="001E6289" w:rsidRPr="000B5EC7">
        <w:rPr>
          <w:rFonts w:cs="Arial"/>
          <w:lang w:val="fr-CH"/>
        </w:rPr>
        <w:t>TWV</w:t>
      </w:r>
      <w:r w:rsidRPr="000B5EC7">
        <w:rPr>
          <w:rFonts w:cs="Arial"/>
          <w:lang w:val="fr-CH"/>
        </w:rPr>
        <w:t xml:space="preserve"> et</w:t>
      </w:r>
      <w:r w:rsidR="001E6289" w:rsidRPr="000B5EC7">
        <w:rPr>
          <w:rFonts w:cs="Arial"/>
          <w:lang w:val="fr-CH"/>
        </w:rPr>
        <w:t xml:space="preserve"> du</w:t>
      </w:r>
      <w:r w:rsidR="001E6289">
        <w:rPr>
          <w:rFonts w:cs="Arial"/>
          <w:lang w:val="fr-CH"/>
        </w:rPr>
        <w:t> </w:t>
      </w:r>
      <w:r w:rsidR="001E6289" w:rsidRPr="000B5EC7">
        <w:rPr>
          <w:rFonts w:cs="Arial"/>
          <w:lang w:val="fr-CH"/>
        </w:rPr>
        <w:t>BMT</w:t>
      </w:r>
      <w:r w:rsidRPr="000B5EC7">
        <w:rPr>
          <w:rFonts w:cs="Arial"/>
          <w:lang w:val="fr-CH"/>
        </w:rPr>
        <w:t xml:space="preserve"> ont été présentés comme une introduction aux points de l</w:t>
      </w:r>
      <w:r w:rsidR="001E6289">
        <w:rPr>
          <w:rFonts w:cs="Arial"/>
          <w:lang w:val="fr-CH"/>
        </w:rPr>
        <w:t>’</w:t>
      </w:r>
      <w:r w:rsidRPr="000B5EC7">
        <w:rPr>
          <w:rFonts w:cs="Arial"/>
          <w:lang w:val="fr-CH"/>
        </w:rPr>
        <w:t>ordre du jour correspondants durant le déroulement normal des sessions;</w:t>
      </w:r>
    </w:p>
    <w:p w:rsidR="007C5A8F" w:rsidRPr="000B5EC7" w:rsidRDefault="007C5A8F" w:rsidP="00D917FD">
      <w:pPr>
        <w:tabs>
          <w:tab w:val="left" w:pos="567"/>
          <w:tab w:val="left" w:pos="1134"/>
        </w:tabs>
        <w:ind w:firstLine="567"/>
        <w:rPr>
          <w:rFonts w:cs="Arial"/>
          <w:lang w:val="fr-CH"/>
        </w:rPr>
      </w:pPr>
    </w:p>
    <w:p w:rsidR="007C5A8F" w:rsidRPr="000B5EC7" w:rsidRDefault="003E588B" w:rsidP="000B5EC7">
      <w:pPr>
        <w:pStyle w:val="ListParagraph"/>
        <w:numPr>
          <w:ilvl w:val="0"/>
          <w:numId w:val="18"/>
        </w:numPr>
        <w:tabs>
          <w:tab w:val="left" w:pos="567"/>
          <w:tab w:val="left" w:pos="1134"/>
        </w:tabs>
        <w:rPr>
          <w:rFonts w:cs="Arial"/>
          <w:lang w:val="fr-CH"/>
        </w:rPr>
      </w:pPr>
      <w:proofErr w:type="gramStart"/>
      <w:r w:rsidRPr="000B5EC7">
        <w:rPr>
          <w:rFonts w:cs="Arial"/>
          <w:lang w:val="fr-CH"/>
        </w:rPr>
        <w:t>examiner</w:t>
      </w:r>
      <w:proofErr w:type="gramEnd"/>
      <w:r w:rsidRPr="000B5EC7">
        <w:rPr>
          <w:rFonts w:cs="Arial"/>
          <w:lang w:val="fr-CH"/>
        </w:rPr>
        <w:t xml:space="preserve"> le programme proposé pour les travaux préparatoires prévus en</w:t>
      </w:r>
      <w:r w:rsidR="000B5EC7" w:rsidRPr="000B5EC7">
        <w:rPr>
          <w:rFonts w:cs="Arial"/>
          <w:lang w:val="fr-CH"/>
        </w:rPr>
        <w:t> </w:t>
      </w:r>
      <w:r w:rsidRPr="000B5EC7">
        <w:rPr>
          <w:rFonts w:cs="Arial"/>
          <w:lang w:val="fr-CH"/>
        </w:rPr>
        <w:t xml:space="preserve">2020, indiqué aux </w:t>
      </w:r>
      <w:r w:rsidRPr="00E728BA">
        <w:rPr>
          <w:rFonts w:cs="Arial"/>
          <w:lang w:val="fr-CH"/>
        </w:rPr>
        <w:t>paragraphes</w:t>
      </w:r>
      <w:r w:rsidR="000B5EC7" w:rsidRPr="00E728BA">
        <w:rPr>
          <w:rFonts w:cs="Arial"/>
          <w:lang w:val="fr-CH"/>
        </w:rPr>
        <w:t> </w:t>
      </w:r>
      <w:r w:rsidRPr="00E728BA">
        <w:rPr>
          <w:rFonts w:cs="Arial"/>
          <w:lang w:val="fr-CH"/>
        </w:rPr>
        <w:t>11</w:t>
      </w:r>
      <w:r w:rsidR="000B5EC7" w:rsidRPr="00E728BA">
        <w:rPr>
          <w:rFonts w:cs="Arial"/>
          <w:lang w:val="fr-CH"/>
        </w:rPr>
        <w:t> </w:t>
      </w:r>
      <w:r w:rsidRPr="00E728BA">
        <w:rPr>
          <w:rFonts w:cs="Arial"/>
          <w:lang w:val="fr-CH"/>
        </w:rPr>
        <w:t>et</w:t>
      </w:r>
      <w:r w:rsidR="000B5EC7" w:rsidRPr="00E728BA">
        <w:rPr>
          <w:rFonts w:cs="Arial"/>
          <w:lang w:val="fr-CH"/>
        </w:rPr>
        <w:t> </w:t>
      </w:r>
      <w:r w:rsidRPr="00E728BA">
        <w:rPr>
          <w:rFonts w:cs="Arial"/>
          <w:lang w:val="fr-CH"/>
        </w:rPr>
        <w:t>12 du présent</w:t>
      </w:r>
      <w:r w:rsidRPr="000B5EC7">
        <w:rPr>
          <w:rFonts w:cs="Arial"/>
          <w:lang w:val="fr-CH"/>
        </w:rPr>
        <w:t xml:space="preserve"> document;  et</w:t>
      </w:r>
    </w:p>
    <w:p w:rsidR="007C5A8F" w:rsidRPr="000B5EC7" w:rsidRDefault="007C5A8F" w:rsidP="00D917FD">
      <w:pPr>
        <w:tabs>
          <w:tab w:val="left" w:pos="567"/>
          <w:tab w:val="left" w:pos="1134"/>
        </w:tabs>
        <w:ind w:firstLine="567"/>
        <w:rPr>
          <w:rFonts w:cs="Arial"/>
          <w:lang w:val="fr-CH"/>
        </w:rPr>
      </w:pPr>
    </w:p>
    <w:p w:rsidR="001E6289" w:rsidRDefault="00BC72B5" w:rsidP="000B5EC7">
      <w:pPr>
        <w:pStyle w:val="ListParagraph"/>
        <w:numPr>
          <w:ilvl w:val="0"/>
          <w:numId w:val="18"/>
        </w:numPr>
        <w:tabs>
          <w:tab w:val="left" w:pos="567"/>
          <w:tab w:val="left" w:pos="1134"/>
        </w:tabs>
        <w:rPr>
          <w:rFonts w:cs="Arial"/>
          <w:lang w:val="fr-CH"/>
        </w:rPr>
      </w:pPr>
      <w:proofErr w:type="gramStart"/>
      <w:r w:rsidRPr="000B5EC7">
        <w:rPr>
          <w:rFonts w:cs="Arial"/>
          <w:lang w:val="fr-CH"/>
        </w:rPr>
        <w:t>prier</w:t>
      </w:r>
      <w:proofErr w:type="gramEnd"/>
      <w:r w:rsidRPr="000B5EC7">
        <w:rPr>
          <w:rFonts w:cs="Arial"/>
          <w:lang w:val="fr-CH"/>
        </w:rPr>
        <w:t xml:space="preserve"> le Bureau de l</w:t>
      </w:r>
      <w:r w:rsidR="001E6289">
        <w:rPr>
          <w:rFonts w:cs="Arial"/>
          <w:lang w:val="fr-CH"/>
        </w:rPr>
        <w:t>’</w:t>
      </w:r>
      <w:r w:rsidRPr="000B5EC7">
        <w:rPr>
          <w:rFonts w:cs="Arial"/>
          <w:lang w:val="fr-CH"/>
        </w:rPr>
        <w:t>Union de présenter des propositions sur la manière de planifier les travaux préparatoires dans le cadre</w:t>
      </w:r>
      <w:r w:rsidR="001E6289" w:rsidRPr="000B5EC7">
        <w:rPr>
          <w:rFonts w:cs="Arial"/>
          <w:lang w:val="fr-CH"/>
        </w:rPr>
        <w:t xml:space="preserve"> des</w:t>
      </w:r>
      <w:r w:rsidR="001E6289">
        <w:rPr>
          <w:rFonts w:cs="Arial"/>
          <w:lang w:val="fr-CH"/>
        </w:rPr>
        <w:t> </w:t>
      </w:r>
      <w:r w:rsidR="001E6289" w:rsidRPr="000B5EC7">
        <w:rPr>
          <w:rFonts w:cs="Arial"/>
          <w:lang w:val="fr-CH"/>
        </w:rPr>
        <w:t>TWP</w:t>
      </w:r>
      <w:r w:rsidRPr="000B5EC7">
        <w:rPr>
          <w:rFonts w:cs="Arial"/>
          <w:lang w:val="fr-CH"/>
        </w:rPr>
        <w:t xml:space="preserve"> pour l</w:t>
      </w:r>
      <w:r w:rsidR="001E6289">
        <w:rPr>
          <w:rFonts w:cs="Arial"/>
          <w:lang w:val="fr-CH"/>
        </w:rPr>
        <w:t>’</w:t>
      </w:r>
      <w:r w:rsidRPr="000B5EC7">
        <w:rPr>
          <w:rFonts w:cs="Arial"/>
          <w:lang w:val="fr-CH"/>
        </w:rPr>
        <w:t>avenir et d</w:t>
      </w:r>
      <w:r w:rsidR="001E6289">
        <w:rPr>
          <w:rFonts w:cs="Arial"/>
          <w:lang w:val="fr-CH"/>
        </w:rPr>
        <w:t>’</w:t>
      </w:r>
      <w:r w:rsidRPr="000B5EC7">
        <w:rPr>
          <w:rFonts w:cs="Arial"/>
          <w:lang w:val="fr-CH"/>
        </w:rPr>
        <w:t>en rendre compte, à la cinquante</w:t>
      </w:r>
      <w:r w:rsidR="00E728BA">
        <w:rPr>
          <w:rFonts w:cs="Arial"/>
          <w:lang w:val="fr-CH"/>
        </w:rPr>
        <w:noBreakHyphen/>
      </w:r>
      <w:r w:rsidRPr="000B5EC7">
        <w:rPr>
          <w:rFonts w:cs="Arial"/>
          <w:lang w:val="fr-CH"/>
        </w:rPr>
        <w:t>six</w:t>
      </w:r>
      <w:r w:rsidR="001E6289">
        <w:rPr>
          <w:rFonts w:cs="Arial"/>
          <w:lang w:val="fr-CH"/>
        </w:rPr>
        <w:t>ième session</w:t>
      </w:r>
      <w:r w:rsidRPr="000B5EC7">
        <w:rPr>
          <w:rFonts w:cs="Arial"/>
          <w:lang w:val="fr-CH"/>
        </w:rPr>
        <w:t xml:space="preserve"> du</w:t>
      </w:r>
      <w:r w:rsidR="001E6289">
        <w:rPr>
          <w:rFonts w:cs="Arial"/>
          <w:lang w:val="fr-CH"/>
        </w:rPr>
        <w:t> TC</w:t>
      </w:r>
      <w:r w:rsidRPr="000B5EC7">
        <w:rPr>
          <w:rFonts w:cs="Arial"/>
          <w:lang w:val="fr-CH"/>
        </w:rPr>
        <w:t>.</w:t>
      </w:r>
    </w:p>
    <w:p w:rsidR="007C5A8F" w:rsidRPr="000B5EC7" w:rsidRDefault="007C5A8F" w:rsidP="00AC69BE">
      <w:pPr>
        <w:tabs>
          <w:tab w:val="left" w:pos="567"/>
          <w:tab w:val="left" w:pos="1134"/>
        </w:tabs>
        <w:rPr>
          <w:rFonts w:cs="Arial"/>
          <w:lang w:val="fr-CH"/>
        </w:rPr>
      </w:pPr>
    </w:p>
    <w:p w:rsidR="007C5A8F" w:rsidRPr="000B5EC7" w:rsidRDefault="00814CDC" w:rsidP="00BC72B5">
      <w:pPr>
        <w:rPr>
          <w:rFonts w:cs="Arial"/>
          <w:lang w:val="fr-CH"/>
        </w:rPr>
      </w:pPr>
      <w:r w:rsidRPr="000B5EC7">
        <w:rPr>
          <w:rFonts w:cs="Arial"/>
        </w:rPr>
        <w:fldChar w:fldCharType="begin"/>
      </w:r>
      <w:r w:rsidRPr="000B5EC7">
        <w:rPr>
          <w:rFonts w:cs="Arial"/>
          <w:lang w:val="fr-CH"/>
        </w:rPr>
        <w:instrText xml:space="preserve"> AUTONUM  </w:instrText>
      </w:r>
      <w:r w:rsidRPr="000B5EC7">
        <w:rPr>
          <w:rFonts w:cs="Arial"/>
        </w:rPr>
        <w:fldChar w:fldCharType="end"/>
      </w:r>
      <w:r w:rsidRPr="000B5EC7">
        <w:rPr>
          <w:rFonts w:cs="Arial"/>
          <w:lang w:val="fr-CH"/>
        </w:rPr>
        <w:tab/>
      </w:r>
      <w:r w:rsidR="00BC72B5" w:rsidRPr="000B5EC7">
        <w:rPr>
          <w:rFonts w:cs="Arial"/>
          <w:lang w:val="fr-CH"/>
        </w:rPr>
        <w:t>Les abréviations suivantes sont utilisées dans le présent document</w:t>
      </w:r>
      <w:r w:rsidR="001E6289">
        <w:rPr>
          <w:rFonts w:cs="Arial"/>
          <w:lang w:val="fr-CH"/>
        </w:rPr>
        <w:t> :</w:t>
      </w:r>
    </w:p>
    <w:p w:rsidR="007C5A8F" w:rsidRPr="000B5EC7" w:rsidRDefault="007C5A8F" w:rsidP="00814CDC">
      <w:pPr>
        <w:rPr>
          <w:rFonts w:cs="Arial"/>
          <w:lang w:val="fr-CH"/>
        </w:rPr>
      </w:pPr>
    </w:p>
    <w:p w:rsidR="007C5A8F" w:rsidRPr="00D61C48" w:rsidRDefault="00BC72B5" w:rsidP="00BC72B5">
      <w:pPr>
        <w:tabs>
          <w:tab w:val="left" w:pos="567"/>
        </w:tabs>
        <w:spacing w:after="60"/>
        <w:ind w:left="1418" w:hanging="851"/>
        <w:rPr>
          <w:rFonts w:cs="Arial"/>
          <w:lang w:val="fr-CH"/>
        </w:rPr>
      </w:pPr>
      <w:r w:rsidRPr="00D61C48">
        <w:rPr>
          <w:rFonts w:cs="Arial"/>
          <w:lang w:val="fr-CH"/>
        </w:rPr>
        <w:t>TC</w:t>
      </w:r>
      <w:r w:rsidR="001E6289">
        <w:rPr>
          <w:rFonts w:cs="Arial"/>
          <w:lang w:val="fr-CH"/>
        </w:rPr>
        <w:t> :</w:t>
      </w:r>
      <w:r w:rsidRPr="00D61C48">
        <w:rPr>
          <w:rFonts w:cs="Arial"/>
          <w:lang w:val="fr-CH"/>
        </w:rPr>
        <w:t xml:space="preserve"> </w:t>
      </w:r>
      <w:r w:rsidR="00215634">
        <w:rPr>
          <w:rFonts w:cs="Arial"/>
          <w:lang w:val="fr-CH"/>
        </w:rPr>
        <w:tab/>
      </w:r>
      <w:r w:rsidRPr="00D61C48">
        <w:rPr>
          <w:rFonts w:cs="Arial"/>
          <w:lang w:val="fr-CH"/>
        </w:rPr>
        <w:t>Comité technique</w:t>
      </w:r>
    </w:p>
    <w:p w:rsidR="007C5A8F" w:rsidRPr="00D61C48" w:rsidRDefault="00BC72B5" w:rsidP="00BC72B5">
      <w:pPr>
        <w:tabs>
          <w:tab w:val="left" w:pos="567"/>
        </w:tabs>
        <w:spacing w:after="60"/>
        <w:ind w:left="1418" w:hanging="851"/>
        <w:rPr>
          <w:rFonts w:cs="Arial"/>
          <w:lang w:val="fr-CH"/>
        </w:rPr>
      </w:pPr>
      <w:r w:rsidRPr="00D61C48">
        <w:rPr>
          <w:rFonts w:cs="Arial"/>
          <w:lang w:val="fr-CH"/>
        </w:rPr>
        <w:t>TWA</w:t>
      </w:r>
      <w:r w:rsidR="001E6289">
        <w:rPr>
          <w:rFonts w:cs="Arial"/>
          <w:lang w:val="fr-CH"/>
        </w:rPr>
        <w:t> :</w:t>
      </w:r>
      <w:r w:rsidRPr="00D61C48">
        <w:rPr>
          <w:rFonts w:cs="Arial"/>
          <w:lang w:val="fr-CH"/>
        </w:rPr>
        <w:t xml:space="preserve"> </w:t>
      </w:r>
      <w:r w:rsidR="00215634">
        <w:rPr>
          <w:rFonts w:cs="Arial"/>
          <w:lang w:val="fr-CH"/>
        </w:rPr>
        <w:tab/>
      </w:r>
      <w:r w:rsidRPr="00D61C48">
        <w:rPr>
          <w:rFonts w:cs="Arial"/>
          <w:lang w:val="fr-CH"/>
        </w:rPr>
        <w:t>Groupe de travail technique sur les plantes agricoles</w:t>
      </w:r>
    </w:p>
    <w:p w:rsidR="007C5A8F" w:rsidRPr="00D61C48" w:rsidRDefault="00BC72B5" w:rsidP="00BC72B5">
      <w:pPr>
        <w:spacing w:after="60"/>
        <w:ind w:left="1418" w:hanging="851"/>
        <w:rPr>
          <w:rFonts w:cs="Arial"/>
          <w:lang w:val="fr-CH"/>
        </w:rPr>
      </w:pPr>
      <w:r w:rsidRPr="00D61C48">
        <w:rPr>
          <w:rFonts w:cs="Arial"/>
          <w:lang w:val="fr-CH"/>
        </w:rPr>
        <w:t>TWC</w:t>
      </w:r>
      <w:r w:rsidR="001E6289">
        <w:rPr>
          <w:rFonts w:cs="Arial"/>
          <w:lang w:val="fr-CH"/>
        </w:rPr>
        <w:t> :</w:t>
      </w:r>
      <w:r w:rsidRPr="00D61C48">
        <w:rPr>
          <w:rFonts w:cs="Arial"/>
          <w:lang w:val="fr-CH"/>
        </w:rPr>
        <w:t xml:space="preserve"> </w:t>
      </w:r>
      <w:r w:rsidR="00215634">
        <w:rPr>
          <w:rFonts w:cs="Arial"/>
          <w:lang w:val="fr-CH"/>
        </w:rPr>
        <w:tab/>
      </w:r>
      <w:r w:rsidRPr="00D61C48">
        <w:rPr>
          <w:rFonts w:cs="Arial"/>
          <w:lang w:val="fr-CH"/>
        </w:rPr>
        <w:t>Groupe de travail technique sur les systèmes d</w:t>
      </w:r>
      <w:r w:rsidR="001E6289">
        <w:rPr>
          <w:rFonts w:cs="Arial"/>
          <w:lang w:val="fr-CH"/>
        </w:rPr>
        <w:t>’</w:t>
      </w:r>
      <w:r w:rsidRPr="00D61C48">
        <w:rPr>
          <w:rFonts w:cs="Arial"/>
          <w:lang w:val="fr-CH"/>
        </w:rPr>
        <w:t>automatisation et les programmes d</w:t>
      </w:r>
      <w:r w:rsidR="001E6289">
        <w:rPr>
          <w:rFonts w:cs="Arial"/>
          <w:lang w:val="fr-CH"/>
        </w:rPr>
        <w:t>’</w:t>
      </w:r>
      <w:r w:rsidRPr="00D61C48">
        <w:rPr>
          <w:rFonts w:cs="Arial"/>
          <w:lang w:val="fr-CH"/>
        </w:rPr>
        <w:t>ordinateur</w:t>
      </w:r>
    </w:p>
    <w:p w:rsidR="007C5A8F" w:rsidRPr="00D61C48" w:rsidRDefault="00BC72B5" w:rsidP="00BC72B5">
      <w:pPr>
        <w:spacing w:after="60"/>
        <w:ind w:left="1418" w:hanging="851"/>
        <w:rPr>
          <w:rFonts w:cs="Arial"/>
          <w:lang w:val="fr-CH"/>
        </w:rPr>
      </w:pPr>
      <w:r w:rsidRPr="00D61C48">
        <w:rPr>
          <w:rFonts w:cs="Arial"/>
          <w:lang w:val="fr-CH"/>
        </w:rPr>
        <w:t>TWF</w:t>
      </w:r>
      <w:r w:rsidR="001E6289">
        <w:rPr>
          <w:rFonts w:cs="Arial"/>
          <w:lang w:val="fr-CH"/>
        </w:rPr>
        <w:t> :</w:t>
      </w:r>
      <w:r w:rsidRPr="00D61C48">
        <w:rPr>
          <w:rFonts w:cs="Arial"/>
          <w:lang w:val="fr-CH"/>
        </w:rPr>
        <w:t xml:space="preserve"> </w:t>
      </w:r>
      <w:r w:rsidR="00215634">
        <w:rPr>
          <w:rFonts w:cs="Arial"/>
          <w:lang w:val="fr-CH"/>
        </w:rPr>
        <w:tab/>
      </w:r>
      <w:r w:rsidRPr="00D61C48">
        <w:rPr>
          <w:rFonts w:cs="Arial"/>
          <w:lang w:val="fr-CH"/>
        </w:rPr>
        <w:t>Groupe de travail technique sur les plantes fruitières</w:t>
      </w:r>
    </w:p>
    <w:p w:rsidR="007C5A8F" w:rsidRPr="00D61C48" w:rsidRDefault="00BC72B5" w:rsidP="00BC72B5">
      <w:pPr>
        <w:spacing w:after="60"/>
        <w:ind w:left="1418" w:hanging="851"/>
        <w:rPr>
          <w:rFonts w:cs="Arial"/>
          <w:lang w:val="fr-CH"/>
        </w:rPr>
      </w:pPr>
      <w:r w:rsidRPr="00D61C48">
        <w:rPr>
          <w:rFonts w:cs="Arial"/>
          <w:lang w:val="fr-CH"/>
        </w:rPr>
        <w:t>TWO</w:t>
      </w:r>
      <w:r w:rsidR="001E6289">
        <w:rPr>
          <w:rFonts w:cs="Arial"/>
          <w:lang w:val="fr-CH"/>
        </w:rPr>
        <w:t> :</w:t>
      </w:r>
      <w:r w:rsidRPr="00D61C48">
        <w:rPr>
          <w:rFonts w:cs="Arial"/>
          <w:lang w:val="fr-CH"/>
        </w:rPr>
        <w:t xml:space="preserve"> </w:t>
      </w:r>
      <w:r w:rsidR="00215634">
        <w:rPr>
          <w:rFonts w:cs="Arial"/>
          <w:lang w:val="fr-CH"/>
        </w:rPr>
        <w:tab/>
      </w:r>
      <w:r w:rsidRPr="00D61C48">
        <w:rPr>
          <w:rFonts w:cs="Arial"/>
          <w:lang w:val="fr-CH"/>
        </w:rPr>
        <w:t>Groupe de travail technique sur les plantes ornementales et les arbres forestiers</w:t>
      </w:r>
    </w:p>
    <w:p w:rsidR="007C5A8F" w:rsidRPr="00D61C48" w:rsidRDefault="00BC72B5" w:rsidP="00BC72B5">
      <w:pPr>
        <w:spacing w:after="60"/>
        <w:ind w:left="1418" w:hanging="851"/>
        <w:rPr>
          <w:rFonts w:cs="Arial"/>
          <w:lang w:val="fr-CH"/>
        </w:rPr>
      </w:pPr>
      <w:r w:rsidRPr="00D61C48">
        <w:rPr>
          <w:rFonts w:cs="Arial"/>
          <w:lang w:val="fr-CH"/>
        </w:rPr>
        <w:t>TWV</w:t>
      </w:r>
      <w:r w:rsidR="001E6289">
        <w:rPr>
          <w:rFonts w:cs="Arial"/>
          <w:lang w:val="fr-CH"/>
        </w:rPr>
        <w:t> :</w:t>
      </w:r>
      <w:r w:rsidRPr="00D61C48">
        <w:rPr>
          <w:rFonts w:cs="Arial"/>
          <w:lang w:val="fr-CH"/>
        </w:rPr>
        <w:t xml:space="preserve"> </w:t>
      </w:r>
      <w:r w:rsidR="00215634">
        <w:rPr>
          <w:rFonts w:cs="Arial"/>
          <w:lang w:val="fr-CH"/>
        </w:rPr>
        <w:tab/>
      </w:r>
      <w:r w:rsidRPr="00D61C48">
        <w:rPr>
          <w:rFonts w:cs="Arial"/>
          <w:lang w:val="fr-CH"/>
        </w:rPr>
        <w:t>Groupe de travail technique sur les plantes potagères</w:t>
      </w:r>
    </w:p>
    <w:p w:rsidR="007C5A8F" w:rsidRPr="00D61C48" w:rsidRDefault="00BC72B5" w:rsidP="00BC72B5">
      <w:pPr>
        <w:pStyle w:val="BodyTextIndent3"/>
        <w:tabs>
          <w:tab w:val="left" w:pos="567"/>
        </w:tabs>
        <w:spacing w:after="60"/>
        <w:ind w:left="1418" w:hanging="851"/>
        <w:rPr>
          <w:rFonts w:ascii="Arial" w:hAnsi="Arial" w:cs="Arial"/>
          <w:color w:val="auto"/>
          <w:sz w:val="20"/>
          <w:szCs w:val="20"/>
          <w:lang w:val="fr-CH"/>
        </w:rPr>
      </w:pPr>
      <w:r w:rsidRPr="00D61C48">
        <w:rPr>
          <w:rFonts w:ascii="Arial" w:hAnsi="Arial" w:cs="Arial"/>
          <w:color w:val="auto"/>
          <w:sz w:val="20"/>
          <w:szCs w:val="20"/>
          <w:lang w:val="fr-CH"/>
        </w:rPr>
        <w:t>BMT</w:t>
      </w:r>
      <w:r w:rsidR="001E6289">
        <w:rPr>
          <w:rFonts w:ascii="Arial" w:hAnsi="Arial" w:cs="Arial"/>
          <w:color w:val="auto"/>
          <w:sz w:val="20"/>
          <w:szCs w:val="20"/>
          <w:lang w:val="fr-CH"/>
        </w:rPr>
        <w:t> :</w:t>
      </w:r>
      <w:r w:rsidRPr="00D61C48">
        <w:rPr>
          <w:rFonts w:ascii="Arial" w:hAnsi="Arial" w:cs="Arial"/>
          <w:color w:val="auto"/>
          <w:sz w:val="20"/>
          <w:szCs w:val="20"/>
          <w:lang w:val="fr-CH"/>
        </w:rPr>
        <w:t xml:space="preserve"> </w:t>
      </w:r>
      <w:r w:rsidR="00215634">
        <w:rPr>
          <w:rFonts w:ascii="Arial" w:hAnsi="Arial" w:cs="Arial"/>
          <w:color w:val="auto"/>
          <w:sz w:val="20"/>
          <w:szCs w:val="20"/>
          <w:lang w:val="fr-CH"/>
        </w:rPr>
        <w:tab/>
      </w:r>
      <w:r w:rsidRPr="00D61C48">
        <w:rPr>
          <w:rFonts w:ascii="Arial" w:hAnsi="Arial" w:cs="Arial"/>
          <w:color w:val="auto"/>
          <w:sz w:val="20"/>
          <w:szCs w:val="20"/>
          <w:lang w:val="fr-CH"/>
        </w:rPr>
        <w:t>Groupe de travail sur les techniques biochimiques et moléculaires, notamment les profils d</w:t>
      </w:r>
      <w:r w:rsidR="001E6289">
        <w:rPr>
          <w:rFonts w:ascii="Arial" w:hAnsi="Arial" w:cs="Arial"/>
          <w:color w:val="auto"/>
          <w:sz w:val="20"/>
          <w:szCs w:val="20"/>
          <w:lang w:val="fr-CH"/>
        </w:rPr>
        <w:t>’</w:t>
      </w:r>
      <w:r w:rsidRPr="00D61C48">
        <w:rPr>
          <w:rFonts w:ascii="Arial" w:hAnsi="Arial" w:cs="Arial"/>
          <w:color w:val="auto"/>
          <w:sz w:val="20"/>
          <w:szCs w:val="20"/>
          <w:lang w:val="fr-CH"/>
        </w:rPr>
        <w:t>ADN</w:t>
      </w:r>
    </w:p>
    <w:p w:rsidR="007C5A8F" w:rsidRPr="00D61C48" w:rsidRDefault="00BC72B5" w:rsidP="00BC72B5">
      <w:pPr>
        <w:pStyle w:val="BodyTextIndent3"/>
        <w:tabs>
          <w:tab w:val="left" w:pos="567"/>
        </w:tabs>
        <w:ind w:left="1418" w:hanging="851"/>
        <w:rPr>
          <w:rFonts w:ascii="Arial" w:hAnsi="Arial" w:cs="Arial"/>
          <w:color w:val="auto"/>
          <w:sz w:val="20"/>
          <w:szCs w:val="20"/>
          <w:lang w:val="fr-CH"/>
        </w:rPr>
      </w:pPr>
      <w:r w:rsidRPr="00D61C48">
        <w:rPr>
          <w:rFonts w:ascii="Arial" w:hAnsi="Arial" w:cs="Arial"/>
          <w:color w:val="auto"/>
          <w:sz w:val="20"/>
          <w:szCs w:val="20"/>
          <w:lang w:val="fr-CH"/>
        </w:rPr>
        <w:t>TWP</w:t>
      </w:r>
      <w:r w:rsidR="001E6289">
        <w:rPr>
          <w:rFonts w:ascii="Arial" w:hAnsi="Arial" w:cs="Arial"/>
          <w:color w:val="auto"/>
          <w:sz w:val="20"/>
          <w:szCs w:val="20"/>
          <w:lang w:val="fr-CH"/>
        </w:rPr>
        <w:t> :</w:t>
      </w:r>
      <w:r w:rsidRPr="00D61C48">
        <w:rPr>
          <w:rFonts w:ascii="Arial" w:hAnsi="Arial" w:cs="Arial"/>
          <w:color w:val="auto"/>
          <w:sz w:val="20"/>
          <w:szCs w:val="20"/>
          <w:lang w:val="fr-CH"/>
        </w:rPr>
        <w:t xml:space="preserve"> </w:t>
      </w:r>
      <w:r w:rsidR="00215634">
        <w:rPr>
          <w:rFonts w:ascii="Arial" w:hAnsi="Arial" w:cs="Arial"/>
          <w:color w:val="auto"/>
          <w:sz w:val="20"/>
          <w:szCs w:val="20"/>
          <w:lang w:val="fr-CH"/>
        </w:rPr>
        <w:tab/>
      </w:r>
      <w:r w:rsidRPr="00D61C48">
        <w:rPr>
          <w:rFonts w:ascii="Arial" w:hAnsi="Arial" w:cs="Arial"/>
          <w:color w:val="auto"/>
          <w:sz w:val="20"/>
          <w:szCs w:val="20"/>
          <w:lang w:val="fr-CH"/>
        </w:rPr>
        <w:t>Groupe(s) de travail technique(s)</w:t>
      </w:r>
    </w:p>
    <w:p w:rsidR="007C5A8F" w:rsidRPr="00D61C48" w:rsidRDefault="007C5A8F" w:rsidP="00FE593E">
      <w:pPr>
        <w:autoSpaceDE w:val="0"/>
        <w:autoSpaceDN w:val="0"/>
        <w:adjustRightInd w:val="0"/>
        <w:rPr>
          <w:rFonts w:cs="Arial"/>
          <w:snapToGrid w:val="0"/>
          <w:lang w:val="fr-CH"/>
        </w:rPr>
      </w:pPr>
    </w:p>
    <w:p w:rsidR="007C5A8F" w:rsidRPr="00D61C48" w:rsidRDefault="00FE593E" w:rsidP="00BC72B5">
      <w:pPr>
        <w:autoSpaceDE w:val="0"/>
        <w:autoSpaceDN w:val="0"/>
        <w:adjustRightInd w:val="0"/>
        <w:rPr>
          <w:rFonts w:cs="Arial"/>
          <w:snapToGrid w:val="0"/>
          <w:lang w:val="fr-CH" w:eastAsia="ja-JP"/>
        </w:rPr>
      </w:pPr>
      <w:r w:rsidRPr="00D61C48">
        <w:rPr>
          <w:rFonts w:cs="Arial"/>
          <w:snapToGrid w:val="0"/>
        </w:rPr>
        <w:fldChar w:fldCharType="begin"/>
      </w:r>
      <w:r w:rsidRPr="00D61C48">
        <w:rPr>
          <w:rFonts w:cs="Arial"/>
          <w:snapToGrid w:val="0"/>
          <w:lang w:val="fr-CH"/>
        </w:rPr>
        <w:instrText xml:space="preserve"> AUTONUM  </w:instrText>
      </w:r>
      <w:r w:rsidRPr="00D61C48">
        <w:rPr>
          <w:rFonts w:cs="Arial"/>
          <w:snapToGrid w:val="0"/>
        </w:rPr>
        <w:fldChar w:fldCharType="end"/>
      </w:r>
      <w:r w:rsidRPr="00D61C48">
        <w:rPr>
          <w:rFonts w:cs="Arial"/>
          <w:snapToGrid w:val="0"/>
          <w:lang w:val="fr-CH"/>
        </w:rPr>
        <w:tab/>
      </w:r>
      <w:r w:rsidR="00BC72B5" w:rsidRPr="00D61C48">
        <w:rPr>
          <w:rFonts w:cs="Arial"/>
          <w:snapToGrid w:val="0"/>
          <w:lang w:val="fr-CH"/>
        </w:rPr>
        <w:t>Le présent document est structuré comme suit</w:t>
      </w:r>
      <w:r w:rsidR="001E6289">
        <w:rPr>
          <w:rFonts w:cs="Arial"/>
          <w:snapToGrid w:val="0"/>
          <w:lang w:val="fr-CH"/>
        </w:rPr>
        <w:t> :</w:t>
      </w:r>
    </w:p>
    <w:p w:rsidR="007C5A8F" w:rsidRPr="00BC72B5" w:rsidRDefault="007C5A8F" w:rsidP="00FE593E">
      <w:pPr>
        <w:autoSpaceDE w:val="0"/>
        <w:autoSpaceDN w:val="0"/>
        <w:adjustRightInd w:val="0"/>
        <w:rPr>
          <w:rFonts w:cs="Arial"/>
          <w:snapToGrid w:val="0"/>
          <w:lang w:val="fr-CH" w:eastAsia="ja-JP"/>
        </w:rPr>
      </w:pPr>
    </w:p>
    <w:p w:rsidR="00215634" w:rsidRDefault="00FE593E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CH" w:eastAsia="fr-CH"/>
        </w:rPr>
      </w:pPr>
      <w:r>
        <w:rPr>
          <w:rFonts w:eastAsiaTheme="minorEastAsia"/>
          <w:bCs/>
          <w:noProof/>
          <w:snapToGrid w:val="0"/>
          <w:lang w:eastAsia="ja-JP"/>
        </w:rPr>
        <w:fldChar w:fldCharType="begin"/>
      </w:r>
      <w:r>
        <w:rPr>
          <w:snapToGrid w:val="0"/>
        </w:rPr>
        <w:instrText xml:space="preserve"> TOC \o "1-3" \h \z \u </w:instrText>
      </w:r>
      <w:r>
        <w:rPr>
          <w:rFonts w:eastAsiaTheme="minorEastAsia"/>
          <w:bCs/>
          <w:noProof/>
          <w:snapToGrid w:val="0"/>
          <w:lang w:eastAsia="ja-JP"/>
        </w:rPr>
        <w:fldChar w:fldCharType="separate"/>
      </w:r>
      <w:hyperlink w:anchor="_Toc22655578" w:history="1">
        <w:r w:rsidR="00215634" w:rsidRPr="00F97BF0">
          <w:rPr>
            <w:rStyle w:val="Hyperlink"/>
            <w:noProof/>
          </w:rPr>
          <w:t>RÉSUMÉ</w:t>
        </w:r>
        <w:r w:rsidR="00215634">
          <w:rPr>
            <w:noProof/>
            <w:webHidden/>
          </w:rPr>
          <w:tab/>
        </w:r>
        <w:r w:rsidR="00215634">
          <w:rPr>
            <w:noProof/>
            <w:webHidden/>
          </w:rPr>
          <w:fldChar w:fldCharType="begin"/>
        </w:r>
        <w:r w:rsidR="00215634">
          <w:rPr>
            <w:noProof/>
            <w:webHidden/>
          </w:rPr>
          <w:instrText xml:space="preserve"> PAGEREF _Toc22655578 \h </w:instrText>
        </w:r>
        <w:r w:rsidR="00215634">
          <w:rPr>
            <w:noProof/>
            <w:webHidden/>
          </w:rPr>
        </w:r>
        <w:r w:rsidR="00215634">
          <w:rPr>
            <w:noProof/>
            <w:webHidden/>
          </w:rPr>
          <w:fldChar w:fldCharType="separate"/>
        </w:r>
        <w:r w:rsidR="00215634">
          <w:rPr>
            <w:noProof/>
            <w:webHidden/>
          </w:rPr>
          <w:t>1</w:t>
        </w:r>
        <w:r w:rsidR="00215634">
          <w:rPr>
            <w:noProof/>
            <w:webHidden/>
          </w:rPr>
          <w:fldChar w:fldCharType="end"/>
        </w:r>
      </w:hyperlink>
    </w:p>
    <w:p w:rsidR="00215634" w:rsidRDefault="005C1F0D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CH" w:eastAsia="fr-CH"/>
        </w:rPr>
      </w:pPr>
      <w:hyperlink w:anchor="_Toc22655579" w:history="1">
        <w:r w:rsidR="00215634" w:rsidRPr="00F97BF0">
          <w:rPr>
            <w:rStyle w:val="Hyperlink"/>
            <w:noProof/>
          </w:rPr>
          <w:t>RAPPEL</w:t>
        </w:r>
        <w:r w:rsidR="00215634">
          <w:rPr>
            <w:noProof/>
            <w:webHidden/>
          </w:rPr>
          <w:tab/>
        </w:r>
        <w:r w:rsidR="00215634">
          <w:rPr>
            <w:noProof/>
            <w:webHidden/>
          </w:rPr>
          <w:fldChar w:fldCharType="begin"/>
        </w:r>
        <w:r w:rsidR="00215634">
          <w:rPr>
            <w:noProof/>
            <w:webHidden/>
          </w:rPr>
          <w:instrText xml:space="preserve"> PAGEREF _Toc22655579 \h </w:instrText>
        </w:r>
        <w:r w:rsidR="00215634">
          <w:rPr>
            <w:noProof/>
            <w:webHidden/>
          </w:rPr>
        </w:r>
        <w:r w:rsidR="00215634">
          <w:rPr>
            <w:noProof/>
            <w:webHidden/>
          </w:rPr>
          <w:fldChar w:fldCharType="separate"/>
        </w:r>
        <w:r w:rsidR="00215634">
          <w:rPr>
            <w:noProof/>
            <w:webHidden/>
          </w:rPr>
          <w:t>2</w:t>
        </w:r>
        <w:r w:rsidR="00215634">
          <w:rPr>
            <w:noProof/>
            <w:webHidden/>
          </w:rPr>
          <w:fldChar w:fldCharType="end"/>
        </w:r>
      </w:hyperlink>
    </w:p>
    <w:p w:rsidR="00215634" w:rsidRDefault="005C1F0D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CH" w:eastAsia="fr-CH"/>
        </w:rPr>
      </w:pPr>
      <w:hyperlink w:anchor="_Toc22655580" w:history="1">
        <w:r w:rsidR="00215634" w:rsidRPr="00F97BF0">
          <w:rPr>
            <w:rStyle w:val="Hyperlink"/>
            <w:noProof/>
          </w:rPr>
          <w:t>RAPPORT SUR LES ATELIERS PRÉPARATOIRES TENUS EN 2019</w:t>
        </w:r>
        <w:r w:rsidR="00215634">
          <w:rPr>
            <w:noProof/>
            <w:webHidden/>
          </w:rPr>
          <w:tab/>
        </w:r>
        <w:r w:rsidR="00215634">
          <w:rPr>
            <w:noProof/>
            <w:webHidden/>
          </w:rPr>
          <w:fldChar w:fldCharType="begin"/>
        </w:r>
        <w:r w:rsidR="00215634">
          <w:rPr>
            <w:noProof/>
            <w:webHidden/>
          </w:rPr>
          <w:instrText xml:space="preserve"> PAGEREF _Toc22655580 \h </w:instrText>
        </w:r>
        <w:r w:rsidR="00215634">
          <w:rPr>
            <w:noProof/>
            <w:webHidden/>
          </w:rPr>
        </w:r>
        <w:r w:rsidR="00215634">
          <w:rPr>
            <w:noProof/>
            <w:webHidden/>
          </w:rPr>
          <w:fldChar w:fldCharType="separate"/>
        </w:r>
        <w:r w:rsidR="00215634">
          <w:rPr>
            <w:noProof/>
            <w:webHidden/>
          </w:rPr>
          <w:t>2</w:t>
        </w:r>
        <w:r w:rsidR="00215634">
          <w:rPr>
            <w:noProof/>
            <w:webHidden/>
          </w:rPr>
          <w:fldChar w:fldCharType="end"/>
        </w:r>
      </w:hyperlink>
    </w:p>
    <w:p w:rsidR="00215634" w:rsidRDefault="005C1F0D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CH" w:eastAsia="fr-CH"/>
        </w:rPr>
      </w:pPr>
      <w:hyperlink w:anchor="_Toc22655581" w:history="1">
        <w:r w:rsidR="00215634" w:rsidRPr="00F97BF0">
          <w:rPr>
            <w:rStyle w:val="Hyperlink"/>
            <w:noProof/>
          </w:rPr>
          <w:t>PROGRAMME DES TRAVAUX PRÉPARATOIRES EN 2020</w:t>
        </w:r>
        <w:r w:rsidR="00215634">
          <w:rPr>
            <w:noProof/>
            <w:webHidden/>
          </w:rPr>
          <w:tab/>
        </w:r>
        <w:r w:rsidR="00215634">
          <w:rPr>
            <w:noProof/>
            <w:webHidden/>
          </w:rPr>
          <w:fldChar w:fldCharType="begin"/>
        </w:r>
        <w:r w:rsidR="00215634">
          <w:rPr>
            <w:noProof/>
            <w:webHidden/>
          </w:rPr>
          <w:instrText xml:space="preserve"> PAGEREF _Toc22655581 \h </w:instrText>
        </w:r>
        <w:r w:rsidR="00215634">
          <w:rPr>
            <w:noProof/>
            <w:webHidden/>
          </w:rPr>
        </w:r>
        <w:r w:rsidR="00215634">
          <w:rPr>
            <w:noProof/>
            <w:webHidden/>
          </w:rPr>
          <w:fldChar w:fldCharType="separate"/>
        </w:r>
        <w:r w:rsidR="00215634">
          <w:rPr>
            <w:noProof/>
            <w:webHidden/>
          </w:rPr>
          <w:t>2</w:t>
        </w:r>
        <w:r w:rsidR="00215634">
          <w:rPr>
            <w:noProof/>
            <w:webHidden/>
          </w:rPr>
          <w:fldChar w:fldCharType="end"/>
        </w:r>
      </w:hyperlink>
    </w:p>
    <w:p w:rsidR="007C5A8F" w:rsidRPr="00D61C48" w:rsidRDefault="00FE593E" w:rsidP="00814CDC">
      <w:pPr>
        <w:rPr>
          <w:rFonts w:cs="Arial"/>
          <w:snapToGrid w:val="0"/>
          <w:sz w:val="18"/>
          <w:szCs w:val="18"/>
          <w:lang w:val="fr-CH"/>
        </w:rPr>
      </w:pPr>
      <w:r>
        <w:rPr>
          <w:rFonts w:cs="Arial"/>
          <w:snapToGrid w:val="0"/>
        </w:rPr>
        <w:fldChar w:fldCharType="end"/>
      </w:r>
      <w:r w:rsidR="001E68CF" w:rsidRPr="00D61C48">
        <w:rPr>
          <w:rFonts w:cs="Arial"/>
          <w:snapToGrid w:val="0"/>
          <w:color w:val="000000"/>
          <w:sz w:val="18"/>
          <w:szCs w:val="18"/>
          <w:lang w:val="fr-CH"/>
        </w:rPr>
        <w:t>ANNEXE</w:t>
      </w:r>
      <w:r w:rsidR="001E68CF" w:rsidRPr="001E68CF">
        <w:rPr>
          <w:rFonts w:cs="Arial"/>
          <w:snapToGrid w:val="0"/>
          <w:color w:val="000000"/>
          <w:lang w:val="fr-CH"/>
        </w:rPr>
        <w:tab/>
      </w:r>
      <w:r w:rsidR="001E68CF" w:rsidRPr="00D61C48">
        <w:rPr>
          <w:rFonts w:cs="Arial"/>
          <w:snapToGrid w:val="0"/>
          <w:sz w:val="18"/>
          <w:szCs w:val="18"/>
          <w:lang w:val="fr-CH"/>
        </w:rPr>
        <w:t>Programme des ateliers préparatoires en</w:t>
      </w:r>
      <w:r w:rsidR="00D61C48" w:rsidRPr="00D61C48">
        <w:rPr>
          <w:rFonts w:cs="Arial"/>
          <w:snapToGrid w:val="0"/>
          <w:sz w:val="18"/>
          <w:szCs w:val="18"/>
          <w:lang w:val="fr-CH"/>
        </w:rPr>
        <w:t> </w:t>
      </w:r>
      <w:r w:rsidR="001E68CF" w:rsidRPr="00D61C48">
        <w:rPr>
          <w:rFonts w:cs="Arial"/>
          <w:snapToGrid w:val="0"/>
          <w:sz w:val="18"/>
          <w:szCs w:val="18"/>
          <w:lang w:val="fr-CH"/>
        </w:rPr>
        <w:t>2019</w:t>
      </w:r>
    </w:p>
    <w:p w:rsidR="007C5A8F" w:rsidRPr="00D61C48" w:rsidRDefault="007C5A8F" w:rsidP="00814CDC">
      <w:pPr>
        <w:rPr>
          <w:rFonts w:cs="Arial"/>
          <w:snapToGrid w:val="0"/>
          <w:sz w:val="18"/>
          <w:szCs w:val="18"/>
          <w:lang w:val="fr-CH"/>
        </w:rPr>
      </w:pPr>
    </w:p>
    <w:p w:rsidR="007C5A8F" w:rsidRPr="001E68CF" w:rsidRDefault="007C5A8F" w:rsidP="00814CDC">
      <w:pPr>
        <w:rPr>
          <w:lang w:val="fr-CH"/>
        </w:rPr>
      </w:pPr>
    </w:p>
    <w:p w:rsidR="007C5A8F" w:rsidRPr="001E68CF" w:rsidRDefault="007C5A8F" w:rsidP="00814CDC">
      <w:pPr>
        <w:rPr>
          <w:lang w:val="fr-CH"/>
        </w:rPr>
      </w:pPr>
    </w:p>
    <w:p w:rsidR="007C5A8F" w:rsidRPr="001E68CF" w:rsidRDefault="007C5A8F" w:rsidP="00814CDC">
      <w:pPr>
        <w:rPr>
          <w:lang w:val="fr-CH"/>
        </w:rPr>
      </w:pPr>
    </w:p>
    <w:p w:rsidR="007C5A8F" w:rsidRPr="00D61C48" w:rsidRDefault="001E68CF" w:rsidP="00A5782F">
      <w:pPr>
        <w:pStyle w:val="Heading1"/>
      </w:pPr>
      <w:bookmarkStart w:id="3" w:name="_Toc22655579"/>
      <w:r w:rsidRPr="00D61C48">
        <w:lastRenderedPageBreak/>
        <w:t>RAPPEL</w:t>
      </w:r>
      <w:bookmarkEnd w:id="3"/>
    </w:p>
    <w:p w:rsidR="007C5A8F" w:rsidRPr="00D61C48" w:rsidRDefault="007C5A8F" w:rsidP="00814CDC">
      <w:pPr>
        <w:rPr>
          <w:lang w:val="fr-CH"/>
        </w:rPr>
      </w:pPr>
    </w:p>
    <w:p w:rsidR="007C5A8F" w:rsidRPr="00D61C48" w:rsidRDefault="00814CDC" w:rsidP="00E04A25">
      <w:pPr>
        <w:autoSpaceDE w:val="0"/>
        <w:autoSpaceDN w:val="0"/>
        <w:adjustRightInd w:val="0"/>
        <w:rPr>
          <w:rFonts w:cs="Arial"/>
          <w:snapToGrid w:val="0"/>
          <w:lang w:val="fr-CH"/>
        </w:rPr>
      </w:pPr>
      <w:r w:rsidRPr="00D61C48">
        <w:rPr>
          <w:rFonts w:cs="Arial"/>
        </w:rPr>
        <w:fldChar w:fldCharType="begin"/>
      </w:r>
      <w:r w:rsidRPr="00D61C48">
        <w:rPr>
          <w:rFonts w:cs="Arial"/>
          <w:lang w:val="fr-CH"/>
        </w:rPr>
        <w:instrText xml:space="preserve"> AUTONUM  </w:instrText>
      </w:r>
      <w:r w:rsidRPr="00D61C48">
        <w:rPr>
          <w:rFonts w:cs="Arial"/>
        </w:rPr>
        <w:fldChar w:fldCharType="end"/>
      </w:r>
      <w:r w:rsidRPr="00D61C48">
        <w:rPr>
          <w:rFonts w:cs="Arial"/>
          <w:lang w:val="fr-CH"/>
        </w:rPr>
        <w:tab/>
      </w:r>
      <w:r w:rsidR="00E04A25" w:rsidRPr="00D61C48">
        <w:rPr>
          <w:rFonts w:cs="Arial"/>
          <w:lang w:val="fr-CH"/>
        </w:rPr>
        <w:t>À</w:t>
      </w:r>
      <w:r w:rsidR="00D61C48" w:rsidRPr="00D61C48">
        <w:rPr>
          <w:rFonts w:cs="Arial"/>
          <w:lang w:val="fr-CH"/>
        </w:rPr>
        <w:t> </w:t>
      </w:r>
      <w:r w:rsidR="00E04A25" w:rsidRPr="00D61C48">
        <w:rPr>
          <w:rFonts w:cs="Arial"/>
          <w:lang w:val="fr-CH"/>
        </w:rPr>
        <w:t>sa trente</w:t>
      </w:r>
      <w:r w:rsidR="001E6289">
        <w:rPr>
          <w:rFonts w:cs="Arial"/>
          <w:lang w:val="fr-CH"/>
        </w:rPr>
        <w:t>-</w:t>
      </w:r>
      <w:r w:rsidR="00E04A25" w:rsidRPr="00D61C48">
        <w:rPr>
          <w:rFonts w:cs="Arial"/>
          <w:lang w:val="fr-CH"/>
        </w:rPr>
        <w:t>huit</w:t>
      </w:r>
      <w:r w:rsidR="001E6289">
        <w:rPr>
          <w:rFonts w:cs="Arial"/>
          <w:lang w:val="fr-CH"/>
        </w:rPr>
        <w:t>ième session</w:t>
      </w:r>
      <w:r w:rsidR="00E04A25" w:rsidRPr="00D61C48">
        <w:rPr>
          <w:rFonts w:cs="Arial"/>
          <w:lang w:val="fr-CH"/>
        </w:rPr>
        <w:t>, tenue à Genève du 15</w:t>
      </w:r>
      <w:r w:rsidR="00D61C48" w:rsidRPr="00D61C48">
        <w:rPr>
          <w:rFonts w:cs="Arial"/>
          <w:lang w:val="fr-CH"/>
        </w:rPr>
        <w:t> </w:t>
      </w:r>
      <w:r w:rsidR="00E04A25" w:rsidRPr="00D61C48">
        <w:rPr>
          <w:rFonts w:cs="Arial"/>
          <w:lang w:val="fr-CH"/>
        </w:rPr>
        <w:t>au</w:t>
      </w:r>
      <w:r w:rsidR="00D61C48" w:rsidRPr="00D61C48">
        <w:rPr>
          <w:rFonts w:cs="Arial"/>
          <w:lang w:val="fr-CH"/>
        </w:rPr>
        <w:t> </w:t>
      </w:r>
      <w:r w:rsidR="00E04A25" w:rsidRPr="00D61C48">
        <w:rPr>
          <w:rFonts w:cs="Arial"/>
          <w:lang w:val="fr-CH"/>
        </w:rPr>
        <w:t>17</w:t>
      </w:r>
      <w:r w:rsidR="00D61C48" w:rsidRPr="00D61C48">
        <w:rPr>
          <w:rFonts w:cs="Arial"/>
          <w:lang w:val="fr-CH"/>
        </w:rPr>
        <w:t> </w:t>
      </w:r>
      <w:r w:rsidR="00E04A25" w:rsidRPr="00D61C48">
        <w:rPr>
          <w:rFonts w:cs="Arial"/>
          <w:lang w:val="fr-CH"/>
        </w:rPr>
        <w:t>avril</w:t>
      </w:r>
      <w:r w:rsidR="00D61C48" w:rsidRPr="00D61C48">
        <w:rPr>
          <w:rFonts w:cs="Arial"/>
          <w:lang w:val="fr-CH"/>
        </w:rPr>
        <w:t> </w:t>
      </w:r>
      <w:r w:rsidR="00E04A25" w:rsidRPr="00D61C48">
        <w:rPr>
          <w:rFonts w:cs="Arial"/>
          <w:lang w:val="fr-CH"/>
        </w:rPr>
        <w:t xml:space="preserve">2002, le Comité technique (TC) a décidé, sur la base du </w:t>
      </w:r>
      <w:r w:rsidR="001E6289" w:rsidRPr="00D61C48">
        <w:rPr>
          <w:rFonts w:cs="Arial"/>
          <w:lang w:val="fr-CH"/>
        </w:rPr>
        <w:t>document</w:t>
      </w:r>
      <w:r w:rsidR="00C736DF">
        <w:rPr>
          <w:rFonts w:cs="Arial"/>
          <w:lang w:val="fr-CH"/>
        </w:rPr>
        <w:t> </w:t>
      </w:r>
      <w:r w:rsidR="001E6289">
        <w:rPr>
          <w:rFonts w:cs="Arial"/>
          <w:lang w:val="fr-CH"/>
        </w:rPr>
        <w:t>TC</w:t>
      </w:r>
      <w:r w:rsidR="00E04A25" w:rsidRPr="00D61C48">
        <w:rPr>
          <w:rFonts w:cs="Arial"/>
          <w:lang w:val="fr-CH"/>
        </w:rPr>
        <w:t>/38/12, de la tenue d</w:t>
      </w:r>
      <w:r w:rsidR="001E6289">
        <w:rPr>
          <w:rFonts w:cs="Arial"/>
          <w:lang w:val="fr-CH"/>
        </w:rPr>
        <w:t>’</w:t>
      </w:r>
      <w:r w:rsidR="00E04A25" w:rsidRPr="00D61C48">
        <w:rPr>
          <w:rFonts w:cs="Arial"/>
          <w:lang w:val="fr-CH"/>
        </w:rPr>
        <w:t>un atelier préparatoire avant chaque réunion d</w:t>
      </w:r>
      <w:r w:rsidR="001E6289">
        <w:rPr>
          <w:rFonts w:cs="Arial"/>
          <w:lang w:val="fr-CH"/>
        </w:rPr>
        <w:t>’</w:t>
      </w:r>
      <w:r w:rsidR="00E04A25" w:rsidRPr="00D61C48">
        <w:rPr>
          <w:rFonts w:cs="Arial"/>
          <w:lang w:val="fr-CH"/>
        </w:rPr>
        <w:t>un groupe de travail technique (TWP), afin d</w:t>
      </w:r>
      <w:r w:rsidR="001E6289">
        <w:rPr>
          <w:rFonts w:cs="Arial"/>
          <w:lang w:val="fr-CH"/>
        </w:rPr>
        <w:t>’</w:t>
      </w:r>
      <w:r w:rsidR="00E04A25" w:rsidRPr="00D61C48">
        <w:rPr>
          <w:rFonts w:cs="Arial"/>
          <w:lang w:val="fr-CH"/>
        </w:rPr>
        <w:t>aider certains des délégués à participer plus activement à la réunion (voir les paragraphes</w:t>
      </w:r>
      <w:r w:rsidR="00D61C48" w:rsidRPr="00D61C48">
        <w:rPr>
          <w:rFonts w:cs="Arial"/>
          <w:lang w:val="fr-CH"/>
        </w:rPr>
        <w:t> </w:t>
      </w:r>
      <w:r w:rsidR="00E04A25" w:rsidRPr="00D61C48">
        <w:rPr>
          <w:rFonts w:cs="Arial"/>
          <w:lang w:val="fr-CH"/>
        </w:rPr>
        <w:t>215</w:t>
      </w:r>
      <w:r w:rsidR="00D61C48" w:rsidRPr="00D61C48">
        <w:rPr>
          <w:rFonts w:cs="Arial"/>
          <w:lang w:val="fr-CH"/>
        </w:rPr>
        <w:t> </w:t>
      </w:r>
      <w:r w:rsidR="00E04A25" w:rsidRPr="00D61C48">
        <w:rPr>
          <w:rFonts w:cs="Arial"/>
          <w:lang w:val="fr-CH"/>
        </w:rPr>
        <w:t>à</w:t>
      </w:r>
      <w:r w:rsidR="00D61C48" w:rsidRPr="00D61C48">
        <w:rPr>
          <w:rFonts w:cs="Arial"/>
          <w:lang w:val="fr-CH"/>
        </w:rPr>
        <w:t> </w:t>
      </w:r>
      <w:r w:rsidR="00E04A25" w:rsidRPr="00D61C48">
        <w:rPr>
          <w:rFonts w:cs="Arial"/>
          <w:lang w:val="fr-CH"/>
        </w:rPr>
        <w:t xml:space="preserve">218 du </w:t>
      </w:r>
      <w:r w:rsidR="001E6289" w:rsidRPr="00D61C48">
        <w:rPr>
          <w:rFonts w:cs="Arial"/>
          <w:lang w:val="fr-CH"/>
        </w:rPr>
        <w:t>document</w:t>
      </w:r>
      <w:r w:rsidR="00C736DF">
        <w:rPr>
          <w:rFonts w:cs="Arial"/>
          <w:lang w:val="fr-CH"/>
        </w:rPr>
        <w:t> </w:t>
      </w:r>
      <w:r w:rsidR="001E6289">
        <w:rPr>
          <w:rFonts w:cs="Arial"/>
          <w:lang w:val="fr-CH"/>
        </w:rPr>
        <w:t>TC</w:t>
      </w:r>
      <w:r w:rsidR="00E04A25" w:rsidRPr="00D61C48">
        <w:rPr>
          <w:rFonts w:cs="Arial"/>
          <w:lang w:val="fr-CH"/>
        </w:rPr>
        <w:t xml:space="preserve">/38/16 </w:t>
      </w:r>
      <w:r w:rsidR="000B5EC7" w:rsidRPr="00D61C48">
        <w:rPr>
          <w:rFonts w:cs="Arial"/>
          <w:lang w:val="fr-CH"/>
        </w:rPr>
        <w:t>“</w:t>
      </w:r>
      <w:r w:rsidR="00E04A25" w:rsidRPr="00D61C48">
        <w:rPr>
          <w:rFonts w:cs="Arial"/>
          <w:lang w:val="fr-CH"/>
        </w:rPr>
        <w:t>Compte rendu</w:t>
      </w:r>
      <w:r w:rsidR="000B5EC7" w:rsidRPr="00D61C48">
        <w:rPr>
          <w:rFonts w:cs="Arial"/>
          <w:lang w:val="fr-CH"/>
        </w:rPr>
        <w:t>”</w:t>
      </w:r>
      <w:r w:rsidR="00E04A25" w:rsidRPr="00D61C48">
        <w:rPr>
          <w:rFonts w:cs="Arial"/>
          <w:lang w:val="fr-CH"/>
        </w:rPr>
        <w:t>).</w:t>
      </w:r>
    </w:p>
    <w:p w:rsidR="007C5A8F" w:rsidRPr="00D61C48" w:rsidRDefault="007C5A8F" w:rsidP="00F03BC7">
      <w:pPr>
        <w:ind w:left="567" w:hanging="567"/>
        <w:rPr>
          <w:rFonts w:cs="Arial"/>
          <w:snapToGrid w:val="0"/>
          <w:lang w:val="fr-CH"/>
        </w:rPr>
      </w:pPr>
    </w:p>
    <w:p w:rsidR="007C5A8F" w:rsidRPr="00D61C48" w:rsidRDefault="00F03BC7" w:rsidP="00850F3F">
      <w:pPr>
        <w:keepNext/>
        <w:keepLines/>
        <w:rPr>
          <w:rFonts w:cs="Arial"/>
          <w:lang w:val="fr-CH"/>
        </w:rPr>
      </w:pPr>
      <w:r w:rsidRPr="00D61C48">
        <w:rPr>
          <w:snapToGrid w:val="0"/>
        </w:rPr>
        <w:fldChar w:fldCharType="begin"/>
      </w:r>
      <w:r w:rsidRPr="00D61C48">
        <w:rPr>
          <w:snapToGrid w:val="0"/>
          <w:lang w:val="fr-CH"/>
        </w:rPr>
        <w:instrText xml:space="preserve"> AUTONUM  </w:instrText>
      </w:r>
      <w:r w:rsidRPr="00D61C48">
        <w:rPr>
          <w:snapToGrid w:val="0"/>
        </w:rPr>
        <w:fldChar w:fldCharType="end"/>
      </w:r>
      <w:r w:rsidR="00AC7873" w:rsidRPr="00D61C48">
        <w:rPr>
          <w:snapToGrid w:val="0"/>
          <w:lang w:val="fr-CH"/>
        </w:rPr>
        <w:tab/>
      </w:r>
      <w:r w:rsidR="00E04A25" w:rsidRPr="00D61C48">
        <w:rPr>
          <w:snapToGrid w:val="0"/>
          <w:lang w:val="fr-CH"/>
        </w:rPr>
        <w:t>À</w:t>
      </w:r>
      <w:r w:rsidR="00D61C48" w:rsidRPr="00D61C48">
        <w:rPr>
          <w:snapToGrid w:val="0"/>
          <w:lang w:val="fr-CH"/>
        </w:rPr>
        <w:t> </w:t>
      </w:r>
      <w:r w:rsidR="00E04A25" w:rsidRPr="00D61C48">
        <w:rPr>
          <w:snapToGrid w:val="0"/>
          <w:lang w:val="fr-CH"/>
        </w:rPr>
        <w:t>sa cinquante</w:t>
      </w:r>
      <w:r w:rsidR="001E6289">
        <w:rPr>
          <w:snapToGrid w:val="0"/>
          <w:lang w:val="fr-CH"/>
        </w:rPr>
        <w:t>-</w:t>
      </w:r>
      <w:r w:rsidR="00E04A25" w:rsidRPr="00D61C48">
        <w:rPr>
          <w:snapToGrid w:val="0"/>
          <w:lang w:val="fr-CH"/>
        </w:rPr>
        <w:t>quatr</w:t>
      </w:r>
      <w:r w:rsidR="001E6289">
        <w:rPr>
          <w:snapToGrid w:val="0"/>
          <w:lang w:val="fr-CH"/>
        </w:rPr>
        <w:t>ième session</w:t>
      </w:r>
      <w:r w:rsidR="00E04A25" w:rsidRPr="00D61C48">
        <w:rPr>
          <w:snapToGrid w:val="0"/>
          <w:lang w:val="fr-CH"/>
        </w:rPr>
        <w:t>, tenue à Genève les 29</w:t>
      </w:r>
      <w:r w:rsidR="00D61C48" w:rsidRPr="00D61C48">
        <w:rPr>
          <w:snapToGrid w:val="0"/>
          <w:lang w:val="fr-CH"/>
        </w:rPr>
        <w:t> </w:t>
      </w:r>
      <w:r w:rsidR="00E04A25" w:rsidRPr="00D61C48">
        <w:rPr>
          <w:snapToGrid w:val="0"/>
          <w:lang w:val="fr-CH"/>
        </w:rPr>
        <w:t>et</w:t>
      </w:r>
      <w:r w:rsidR="00D61C48" w:rsidRPr="00D61C48">
        <w:rPr>
          <w:snapToGrid w:val="0"/>
          <w:lang w:val="fr-CH"/>
        </w:rPr>
        <w:t> </w:t>
      </w:r>
      <w:r w:rsidR="00E04A25" w:rsidRPr="00D61C48">
        <w:rPr>
          <w:snapToGrid w:val="0"/>
          <w:lang w:val="fr-CH"/>
        </w:rPr>
        <w:t>30</w:t>
      </w:r>
      <w:r w:rsidR="00D61C48" w:rsidRPr="00D61C48">
        <w:rPr>
          <w:snapToGrid w:val="0"/>
          <w:lang w:val="fr-CH"/>
        </w:rPr>
        <w:t> </w:t>
      </w:r>
      <w:r w:rsidR="00E04A25" w:rsidRPr="00D61C48">
        <w:rPr>
          <w:snapToGrid w:val="0"/>
          <w:lang w:val="fr-CH"/>
        </w:rPr>
        <w:t>octobre</w:t>
      </w:r>
      <w:r w:rsidR="00D61C48" w:rsidRPr="00D61C48">
        <w:rPr>
          <w:snapToGrid w:val="0"/>
          <w:lang w:val="fr-CH"/>
        </w:rPr>
        <w:t> </w:t>
      </w:r>
      <w:r w:rsidR="00E04A25" w:rsidRPr="00D61C48">
        <w:rPr>
          <w:snapToGrid w:val="0"/>
          <w:lang w:val="fr-CH"/>
        </w:rPr>
        <w:t>2019, le</w:t>
      </w:r>
      <w:r w:rsidR="001E6289">
        <w:rPr>
          <w:snapToGrid w:val="0"/>
          <w:lang w:val="fr-CH"/>
        </w:rPr>
        <w:t> TC</w:t>
      </w:r>
      <w:r w:rsidR="00E04A25" w:rsidRPr="00D61C48">
        <w:rPr>
          <w:snapToGrid w:val="0"/>
          <w:lang w:val="fr-CH"/>
        </w:rPr>
        <w:t xml:space="preserve"> a approuvé le programme des ateliers préparatoires pour</w:t>
      </w:r>
      <w:r w:rsidR="00D61C48" w:rsidRPr="00D61C48">
        <w:rPr>
          <w:snapToGrid w:val="0"/>
          <w:lang w:val="fr-CH"/>
        </w:rPr>
        <w:t> </w:t>
      </w:r>
      <w:r w:rsidR="00E04A25" w:rsidRPr="00D61C48">
        <w:rPr>
          <w:snapToGrid w:val="0"/>
          <w:lang w:val="fr-CH"/>
        </w:rPr>
        <w:t xml:space="preserve">2019, qui figure </w:t>
      </w:r>
      <w:r w:rsidR="00E04A25" w:rsidRPr="00E728BA">
        <w:rPr>
          <w:snapToGrid w:val="0"/>
          <w:lang w:val="fr-CH"/>
        </w:rPr>
        <w:t>dans l</w:t>
      </w:r>
      <w:r w:rsidR="001E6289" w:rsidRPr="00E728BA">
        <w:rPr>
          <w:snapToGrid w:val="0"/>
          <w:lang w:val="fr-CH"/>
        </w:rPr>
        <w:t>’</w:t>
      </w:r>
      <w:r w:rsidR="00E04A25" w:rsidRPr="00E728BA">
        <w:rPr>
          <w:snapToGrid w:val="0"/>
          <w:lang w:val="fr-CH"/>
        </w:rPr>
        <w:t>annexe du présent document</w:t>
      </w:r>
      <w:r w:rsidR="00E04A25" w:rsidRPr="00D61C48">
        <w:rPr>
          <w:snapToGrid w:val="0"/>
          <w:lang w:val="fr-CH"/>
        </w:rPr>
        <w:t>.</w:t>
      </w:r>
      <w:r w:rsidRPr="00D61C48">
        <w:rPr>
          <w:rFonts w:cs="Arial"/>
          <w:lang w:val="fr-CH"/>
        </w:rPr>
        <w:t xml:space="preserve">  </w:t>
      </w:r>
      <w:r w:rsidR="00850F3F" w:rsidRPr="00D61C48">
        <w:rPr>
          <w:rFonts w:cs="Arial"/>
          <w:lang w:val="fr-CH"/>
        </w:rPr>
        <w:t>Le</w:t>
      </w:r>
      <w:r w:rsidR="001E6289">
        <w:rPr>
          <w:rFonts w:cs="Arial"/>
          <w:lang w:val="fr-CH"/>
        </w:rPr>
        <w:t> TC</w:t>
      </w:r>
      <w:r w:rsidR="00850F3F" w:rsidRPr="00D61C48">
        <w:rPr>
          <w:rFonts w:cs="Arial"/>
          <w:lang w:val="fr-CH"/>
        </w:rPr>
        <w:t xml:space="preserve"> est convenu que les éléments ci</w:t>
      </w:r>
      <w:r w:rsidR="001E6289">
        <w:rPr>
          <w:rFonts w:cs="Arial"/>
          <w:lang w:val="fr-CH"/>
        </w:rPr>
        <w:t>-</w:t>
      </w:r>
      <w:r w:rsidR="00850F3F" w:rsidRPr="00D61C48">
        <w:rPr>
          <w:rFonts w:cs="Arial"/>
          <w:lang w:val="fr-CH"/>
        </w:rPr>
        <w:t>après devaient être ajoutés concernant les ateliers préparatoires (voir les paragraphes</w:t>
      </w:r>
      <w:r w:rsidR="00D61C48" w:rsidRPr="00D61C48">
        <w:rPr>
          <w:rFonts w:cs="Arial"/>
          <w:lang w:val="fr-CH"/>
        </w:rPr>
        <w:t> </w:t>
      </w:r>
      <w:r w:rsidR="00850F3F" w:rsidRPr="00D61C48">
        <w:rPr>
          <w:rFonts w:cs="Arial"/>
          <w:lang w:val="fr-CH"/>
        </w:rPr>
        <w:t>323</w:t>
      </w:r>
      <w:r w:rsidR="00D61C48" w:rsidRPr="00D61C48">
        <w:rPr>
          <w:rFonts w:cs="Arial"/>
          <w:lang w:val="fr-CH"/>
        </w:rPr>
        <w:t> </w:t>
      </w:r>
      <w:r w:rsidR="00850F3F" w:rsidRPr="00D61C48">
        <w:rPr>
          <w:rFonts w:cs="Arial"/>
          <w:lang w:val="fr-CH"/>
        </w:rPr>
        <w:t>à</w:t>
      </w:r>
      <w:r w:rsidR="00D61C48" w:rsidRPr="00D61C48">
        <w:rPr>
          <w:rFonts w:cs="Arial"/>
          <w:lang w:val="fr-CH"/>
        </w:rPr>
        <w:t> </w:t>
      </w:r>
      <w:r w:rsidR="00850F3F" w:rsidRPr="00D61C48">
        <w:rPr>
          <w:rFonts w:cs="Arial"/>
          <w:lang w:val="fr-CH"/>
        </w:rPr>
        <w:t xml:space="preserve">327 du </w:t>
      </w:r>
      <w:r w:rsidR="001E6289" w:rsidRPr="00D61C48">
        <w:rPr>
          <w:rFonts w:cs="Arial"/>
          <w:lang w:val="fr-CH"/>
        </w:rPr>
        <w:t>document</w:t>
      </w:r>
      <w:r w:rsidR="00C736DF">
        <w:rPr>
          <w:rFonts w:cs="Arial"/>
          <w:lang w:val="fr-CH"/>
        </w:rPr>
        <w:t> </w:t>
      </w:r>
      <w:r w:rsidR="001E6289">
        <w:rPr>
          <w:rFonts w:cs="Arial"/>
          <w:lang w:val="fr-CH"/>
        </w:rPr>
        <w:t>TC</w:t>
      </w:r>
      <w:r w:rsidR="00850F3F" w:rsidRPr="00D61C48">
        <w:rPr>
          <w:rFonts w:cs="Arial"/>
          <w:lang w:val="fr-CH"/>
        </w:rPr>
        <w:t xml:space="preserve">/54/31 </w:t>
      </w:r>
      <w:r w:rsidR="000B5EC7" w:rsidRPr="00D61C48">
        <w:rPr>
          <w:rFonts w:cs="Arial"/>
          <w:lang w:val="fr-CH"/>
        </w:rPr>
        <w:t>“</w:t>
      </w:r>
      <w:r w:rsidR="00850F3F" w:rsidRPr="00D61C48">
        <w:rPr>
          <w:rFonts w:cs="Arial"/>
          <w:lang w:val="fr-CH"/>
        </w:rPr>
        <w:t>Compte rendu</w:t>
      </w:r>
      <w:r w:rsidR="000B5EC7" w:rsidRPr="00D61C48">
        <w:rPr>
          <w:rFonts w:cs="Arial"/>
          <w:lang w:val="fr-CH"/>
        </w:rPr>
        <w:t>”</w:t>
      </w:r>
      <w:r w:rsidR="00850F3F" w:rsidRPr="00D61C48">
        <w:rPr>
          <w:rFonts w:cs="Arial"/>
          <w:lang w:val="fr-CH"/>
        </w:rPr>
        <w:t>)</w:t>
      </w:r>
      <w:r w:rsidR="001E6289">
        <w:rPr>
          <w:rFonts w:cs="Arial"/>
          <w:lang w:val="fr-CH"/>
        </w:rPr>
        <w:t> :</w:t>
      </w:r>
    </w:p>
    <w:p w:rsidR="007C5A8F" w:rsidRPr="00D61C48" w:rsidRDefault="007C5A8F" w:rsidP="003512F2">
      <w:pPr>
        <w:keepNext/>
        <w:keepLines/>
        <w:rPr>
          <w:rFonts w:cs="Arial"/>
          <w:lang w:val="fr-CH"/>
        </w:rPr>
      </w:pPr>
    </w:p>
    <w:p w:rsidR="007C5A8F" w:rsidRPr="00D61C48" w:rsidRDefault="00850F3F" w:rsidP="00850F3F">
      <w:pPr>
        <w:pStyle w:val="ListParagraph"/>
        <w:keepNext/>
        <w:keepLines/>
        <w:numPr>
          <w:ilvl w:val="0"/>
          <w:numId w:val="1"/>
        </w:numPr>
        <w:rPr>
          <w:rFonts w:cs="Arial"/>
          <w:lang w:val="fr-CH"/>
        </w:rPr>
      </w:pPr>
      <w:r w:rsidRPr="00D61C48">
        <w:rPr>
          <w:rFonts w:cs="Arial"/>
          <w:lang w:val="fr-CH"/>
        </w:rPr>
        <w:t>Procédure d</w:t>
      </w:r>
      <w:r w:rsidR="001E6289">
        <w:rPr>
          <w:rFonts w:cs="Arial"/>
          <w:lang w:val="fr-CH"/>
        </w:rPr>
        <w:t>’</w:t>
      </w:r>
      <w:r w:rsidRPr="00D61C48">
        <w:rPr>
          <w:rFonts w:cs="Arial"/>
          <w:lang w:val="fr-CH"/>
        </w:rPr>
        <w:t>adoption des principes directeurs d</w:t>
      </w:r>
      <w:r w:rsidR="001E6289">
        <w:rPr>
          <w:rFonts w:cs="Arial"/>
          <w:lang w:val="fr-CH"/>
        </w:rPr>
        <w:t>’</w:t>
      </w:r>
      <w:r w:rsidRPr="00D61C48">
        <w:rPr>
          <w:rFonts w:cs="Arial"/>
          <w:lang w:val="fr-CH"/>
        </w:rPr>
        <w:t>examen par correspondance</w:t>
      </w:r>
    </w:p>
    <w:p w:rsidR="007C5A8F" w:rsidRPr="00D61C48" w:rsidRDefault="00850F3F" w:rsidP="00850F3F">
      <w:pPr>
        <w:pStyle w:val="ListParagraph"/>
        <w:keepNext/>
        <w:keepLines/>
        <w:numPr>
          <w:ilvl w:val="0"/>
          <w:numId w:val="1"/>
        </w:numPr>
        <w:rPr>
          <w:rFonts w:cs="Arial"/>
          <w:lang w:val="fr-CH"/>
        </w:rPr>
      </w:pPr>
      <w:r w:rsidRPr="00D61C48">
        <w:rPr>
          <w:rFonts w:cs="Arial"/>
          <w:lang w:val="fr-CH"/>
        </w:rPr>
        <w:t>Rôle de l</w:t>
      </w:r>
      <w:r w:rsidR="001E6289">
        <w:rPr>
          <w:rFonts w:cs="Arial"/>
          <w:lang w:val="fr-CH"/>
        </w:rPr>
        <w:t>’</w:t>
      </w:r>
      <w:r w:rsidRPr="00D61C48">
        <w:rPr>
          <w:rFonts w:cs="Arial"/>
          <w:lang w:val="fr-CH"/>
        </w:rPr>
        <w:t>expert principal qui rédige les principes directeurs d</w:t>
      </w:r>
      <w:r w:rsidR="001E6289">
        <w:rPr>
          <w:rFonts w:cs="Arial"/>
          <w:lang w:val="fr-CH"/>
        </w:rPr>
        <w:t>’</w:t>
      </w:r>
      <w:r w:rsidRPr="00D61C48">
        <w:rPr>
          <w:rFonts w:cs="Arial"/>
          <w:lang w:val="fr-CH"/>
        </w:rPr>
        <w:t>examen et informations sur sa participation en qualité d</w:t>
      </w:r>
      <w:r w:rsidR="001E6289">
        <w:rPr>
          <w:rFonts w:cs="Arial"/>
          <w:lang w:val="fr-CH"/>
        </w:rPr>
        <w:t>’</w:t>
      </w:r>
      <w:r w:rsidRPr="00D61C48">
        <w:rPr>
          <w:rFonts w:cs="Arial"/>
          <w:lang w:val="fr-CH"/>
        </w:rPr>
        <w:t>expert intéressé</w:t>
      </w:r>
    </w:p>
    <w:p w:rsidR="007C5A8F" w:rsidRPr="00D61C48" w:rsidRDefault="00850F3F" w:rsidP="00850F3F">
      <w:pPr>
        <w:pStyle w:val="ListParagraph"/>
        <w:keepNext/>
        <w:keepLines/>
        <w:numPr>
          <w:ilvl w:val="0"/>
          <w:numId w:val="1"/>
        </w:numPr>
        <w:rPr>
          <w:rFonts w:cs="Arial"/>
          <w:lang w:val="fr-CH"/>
        </w:rPr>
      </w:pPr>
      <w:r w:rsidRPr="00D61C48">
        <w:rPr>
          <w:rFonts w:cs="Arial"/>
          <w:lang w:val="fr-CH"/>
        </w:rPr>
        <w:t>Possibilités de coopération internationale en matière d</w:t>
      </w:r>
      <w:r w:rsidR="001E6289">
        <w:rPr>
          <w:rFonts w:cs="Arial"/>
          <w:lang w:val="fr-CH"/>
        </w:rPr>
        <w:t>’</w:t>
      </w:r>
      <w:r w:rsidRPr="00D61C48">
        <w:rPr>
          <w:rFonts w:cs="Arial"/>
          <w:lang w:val="fr-CH"/>
        </w:rPr>
        <w:t>examen</w:t>
      </w:r>
      <w:r w:rsidR="00C75DC8">
        <w:rPr>
          <w:rFonts w:cs="Arial"/>
          <w:lang w:val="fr-CH"/>
        </w:rPr>
        <w:t> </w:t>
      </w:r>
      <w:r w:rsidRPr="00D61C48">
        <w:rPr>
          <w:rFonts w:cs="Arial"/>
          <w:lang w:val="fr-CH"/>
        </w:rPr>
        <w:t>DHS</w:t>
      </w:r>
    </w:p>
    <w:p w:rsidR="007C5A8F" w:rsidRPr="00850F3F" w:rsidRDefault="007C5A8F" w:rsidP="00F03BC7">
      <w:pPr>
        <w:rPr>
          <w:rFonts w:cs="Arial"/>
          <w:lang w:val="fr-CH"/>
        </w:rPr>
      </w:pPr>
    </w:p>
    <w:p w:rsidR="007C5A8F" w:rsidRPr="00A5782F" w:rsidRDefault="00F03BC7" w:rsidP="00EE53CB">
      <w:pPr>
        <w:rPr>
          <w:snapToGrid w:val="0"/>
          <w:lang w:val="fr-CH"/>
        </w:rPr>
      </w:pPr>
      <w:r>
        <w:rPr>
          <w:snapToGrid w:val="0"/>
        </w:rPr>
        <w:fldChar w:fldCharType="begin"/>
      </w:r>
      <w:r w:rsidRPr="00EE53CB">
        <w:rPr>
          <w:snapToGrid w:val="0"/>
          <w:lang w:val="fr-CH"/>
        </w:rPr>
        <w:instrText xml:space="preserve"> AUTONUM  </w:instrText>
      </w:r>
      <w:r>
        <w:rPr>
          <w:snapToGrid w:val="0"/>
        </w:rPr>
        <w:fldChar w:fldCharType="end"/>
      </w:r>
      <w:r w:rsidRPr="00EE53CB">
        <w:rPr>
          <w:snapToGrid w:val="0"/>
          <w:lang w:val="fr-CH"/>
        </w:rPr>
        <w:tab/>
      </w:r>
      <w:r w:rsidR="00EE53CB" w:rsidRPr="00A5782F">
        <w:rPr>
          <w:snapToGrid w:val="0"/>
          <w:lang w:val="fr-CH"/>
        </w:rPr>
        <w:t>Le</w:t>
      </w:r>
      <w:r w:rsidR="001E6289">
        <w:rPr>
          <w:snapToGrid w:val="0"/>
          <w:lang w:val="fr-CH"/>
        </w:rPr>
        <w:t> TC</w:t>
      </w:r>
      <w:r w:rsidR="00EE53CB" w:rsidRPr="00A5782F">
        <w:rPr>
          <w:snapToGrid w:val="0"/>
          <w:lang w:val="fr-CH"/>
        </w:rPr>
        <w:t xml:space="preserve"> est convenu que les éléments à examiner lors de l</w:t>
      </w:r>
      <w:r w:rsidR="001E6289">
        <w:rPr>
          <w:snapToGrid w:val="0"/>
          <w:lang w:val="fr-CH"/>
        </w:rPr>
        <w:t>’</w:t>
      </w:r>
      <w:r w:rsidR="00EE53CB" w:rsidRPr="00A5782F">
        <w:rPr>
          <w:snapToGrid w:val="0"/>
          <w:lang w:val="fr-CH"/>
        </w:rPr>
        <w:t>atelier préparatoire pourraient être présentés comme une introduction aux points de l</w:t>
      </w:r>
      <w:r w:rsidR="001E6289">
        <w:rPr>
          <w:snapToGrid w:val="0"/>
          <w:lang w:val="fr-CH"/>
        </w:rPr>
        <w:t>’</w:t>
      </w:r>
      <w:r w:rsidR="00EE53CB" w:rsidRPr="00A5782F">
        <w:rPr>
          <w:snapToGrid w:val="0"/>
          <w:lang w:val="fr-CH"/>
        </w:rPr>
        <w:t>ordre du jour correspondants durant le déroulement normal des sessions</w:t>
      </w:r>
      <w:r w:rsidR="001E6289" w:rsidRPr="00A5782F">
        <w:rPr>
          <w:snapToGrid w:val="0"/>
          <w:lang w:val="fr-CH"/>
        </w:rPr>
        <w:t xml:space="preserve"> des</w:t>
      </w:r>
      <w:r w:rsidR="001E6289">
        <w:rPr>
          <w:snapToGrid w:val="0"/>
          <w:lang w:val="fr-CH"/>
        </w:rPr>
        <w:t> </w:t>
      </w:r>
      <w:r w:rsidR="001E6289" w:rsidRPr="00A5782F">
        <w:rPr>
          <w:snapToGrid w:val="0"/>
          <w:lang w:val="fr-CH"/>
        </w:rPr>
        <w:t>TWP</w:t>
      </w:r>
      <w:r w:rsidR="00EE53CB" w:rsidRPr="00A5782F">
        <w:rPr>
          <w:snapToGrid w:val="0"/>
          <w:lang w:val="fr-CH"/>
        </w:rPr>
        <w:t xml:space="preserve"> et</w:t>
      </w:r>
      <w:r w:rsidR="001E6289" w:rsidRPr="00A5782F">
        <w:rPr>
          <w:snapToGrid w:val="0"/>
          <w:lang w:val="fr-CH"/>
        </w:rPr>
        <w:t xml:space="preserve"> du</w:t>
      </w:r>
      <w:r w:rsidR="001E6289">
        <w:rPr>
          <w:snapToGrid w:val="0"/>
          <w:lang w:val="fr-CH"/>
        </w:rPr>
        <w:t> </w:t>
      </w:r>
      <w:r w:rsidR="001E6289" w:rsidRPr="00A5782F">
        <w:rPr>
          <w:snapToGrid w:val="0"/>
          <w:lang w:val="fr-CH"/>
        </w:rPr>
        <w:t>BMT</w:t>
      </w:r>
      <w:r w:rsidR="00EE53CB" w:rsidRPr="00A5782F">
        <w:rPr>
          <w:snapToGrid w:val="0"/>
          <w:lang w:val="fr-CH"/>
        </w:rPr>
        <w:t>.  Il est également convenu que les exercices de groupe devraient se poursuivre et qu</w:t>
      </w:r>
      <w:r w:rsidR="001E6289">
        <w:rPr>
          <w:snapToGrid w:val="0"/>
          <w:lang w:val="fr-CH"/>
        </w:rPr>
        <w:t>’</w:t>
      </w:r>
      <w:r w:rsidR="00EE53CB" w:rsidRPr="00A5782F">
        <w:rPr>
          <w:snapToGrid w:val="0"/>
          <w:lang w:val="fr-CH"/>
        </w:rPr>
        <w:t>un atelier national pourrait être organisé la veille des sessions</w:t>
      </w:r>
      <w:r w:rsidR="001E6289" w:rsidRPr="00A5782F">
        <w:rPr>
          <w:snapToGrid w:val="0"/>
          <w:lang w:val="fr-CH"/>
        </w:rPr>
        <w:t xml:space="preserve"> des</w:t>
      </w:r>
      <w:r w:rsidR="001E6289">
        <w:rPr>
          <w:snapToGrid w:val="0"/>
          <w:lang w:val="fr-CH"/>
        </w:rPr>
        <w:t> </w:t>
      </w:r>
      <w:r w:rsidR="001E6289" w:rsidRPr="00A5782F">
        <w:rPr>
          <w:snapToGrid w:val="0"/>
          <w:lang w:val="fr-CH"/>
        </w:rPr>
        <w:t>TWP</w:t>
      </w:r>
      <w:r w:rsidR="00EE53CB" w:rsidRPr="00A5782F">
        <w:rPr>
          <w:snapToGrid w:val="0"/>
          <w:lang w:val="fr-CH"/>
        </w:rPr>
        <w:t xml:space="preserve"> à l</w:t>
      </w:r>
      <w:r w:rsidR="001E6289">
        <w:rPr>
          <w:snapToGrid w:val="0"/>
          <w:lang w:val="fr-CH"/>
        </w:rPr>
        <w:t>’</w:t>
      </w:r>
      <w:r w:rsidR="00EE53CB" w:rsidRPr="00A5782F">
        <w:rPr>
          <w:snapToGrid w:val="0"/>
          <w:lang w:val="fr-CH"/>
        </w:rPr>
        <w:t>intention des experts locaux.</w:t>
      </w:r>
    </w:p>
    <w:p w:rsidR="007C5A8F" w:rsidRPr="00A5782F" w:rsidRDefault="007C5A8F" w:rsidP="00F03BC7">
      <w:pPr>
        <w:rPr>
          <w:snapToGrid w:val="0"/>
          <w:lang w:val="fr-CH"/>
        </w:rPr>
      </w:pPr>
    </w:p>
    <w:p w:rsidR="007C5A8F" w:rsidRPr="00A5782F" w:rsidRDefault="00F03BC7" w:rsidP="00EE53CB">
      <w:pPr>
        <w:rPr>
          <w:snapToGrid w:val="0"/>
          <w:lang w:val="fr-CH"/>
        </w:rPr>
      </w:pPr>
      <w:r w:rsidRPr="00A5782F">
        <w:rPr>
          <w:snapToGrid w:val="0"/>
        </w:rPr>
        <w:fldChar w:fldCharType="begin"/>
      </w:r>
      <w:r w:rsidRPr="00A5782F">
        <w:rPr>
          <w:snapToGrid w:val="0"/>
          <w:lang w:val="fr-CH"/>
        </w:rPr>
        <w:instrText xml:space="preserve"> AUTONUM  </w:instrText>
      </w:r>
      <w:r w:rsidRPr="00A5782F">
        <w:rPr>
          <w:snapToGrid w:val="0"/>
        </w:rPr>
        <w:fldChar w:fldCharType="end"/>
      </w:r>
      <w:r w:rsidRPr="00A5782F">
        <w:rPr>
          <w:snapToGrid w:val="0"/>
          <w:lang w:val="fr-CH"/>
        </w:rPr>
        <w:tab/>
      </w:r>
      <w:r w:rsidR="00EE53CB" w:rsidRPr="00A5782F">
        <w:rPr>
          <w:snapToGrid w:val="0"/>
          <w:lang w:val="fr-CH"/>
        </w:rPr>
        <w:t>Le</w:t>
      </w:r>
      <w:r w:rsidR="001E6289">
        <w:rPr>
          <w:snapToGrid w:val="0"/>
          <w:lang w:val="fr-CH"/>
        </w:rPr>
        <w:t> TC</w:t>
      </w:r>
      <w:r w:rsidR="00EE53CB" w:rsidRPr="00A5782F">
        <w:rPr>
          <w:snapToGrid w:val="0"/>
          <w:lang w:val="fr-CH"/>
        </w:rPr>
        <w:t xml:space="preserve"> est convenu que les présidents</w:t>
      </w:r>
      <w:r w:rsidR="001E6289" w:rsidRPr="00A5782F">
        <w:rPr>
          <w:snapToGrid w:val="0"/>
          <w:lang w:val="fr-CH"/>
        </w:rPr>
        <w:t xml:space="preserve"> des</w:t>
      </w:r>
      <w:r w:rsidR="001E6289">
        <w:rPr>
          <w:snapToGrid w:val="0"/>
          <w:lang w:val="fr-CH"/>
        </w:rPr>
        <w:t> </w:t>
      </w:r>
      <w:r w:rsidR="001E6289" w:rsidRPr="00A5782F">
        <w:rPr>
          <w:snapToGrid w:val="0"/>
          <w:lang w:val="fr-CH"/>
        </w:rPr>
        <w:t>TWP</w:t>
      </w:r>
      <w:r w:rsidR="00EE53CB" w:rsidRPr="00A5782F">
        <w:rPr>
          <w:snapToGrid w:val="0"/>
          <w:lang w:val="fr-CH"/>
        </w:rPr>
        <w:t xml:space="preserve"> devraient examiner la procédure applicable aux cas particuliers, en collaboration avec les organisateurs, le président du</w:t>
      </w:r>
      <w:r w:rsidR="001E6289">
        <w:rPr>
          <w:snapToGrid w:val="0"/>
          <w:lang w:val="fr-CH"/>
        </w:rPr>
        <w:t> TC</w:t>
      </w:r>
      <w:r w:rsidR="00EE53CB" w:rsidRPr="00A5782F">
        <w:rPr>
          <w:snapToGrid w:val="0"/>
          <w:lang w:val="fr-CH"/>
        </w:rPr>
        <w:t xml:space="preserve"> et le Bureau de l</w:t>
      </w:r>
      <w:r w:rsidR="001E6289">
        <w:rPr>
          <w:snapToGrid w:val="0"/>
          <w:lang w:val="fr-CH"/>
        </w:rPr>
        <w:t>’</w:t>
      </w:r>
      <w:r w:rsidR="00EE53CB" w:rsidRPr="00A5782F">
        <w:rPr>
          <w:snapToGrid w:val="0"/>
          <w:lang w:val="fr-CH"/>
        </w:rPr>
        <w:t>Union.</w:t>
      </w:r>
    </w:p>
    <w:p w:rsidR="007C5A8F" w:rsidRDefault="007C5A8F" w:rsidP="00F03BC7">
      <w:pPr>
        <w:rPr>
          <w:lang w:val="fr-CH"/>
        </w:rPr>
      </w:pPr>
    </w:p>
    <w:p w:rsidR="00E728BA" w:rsidRPr="00EE53CB" w:rsidRDefault="00E728BA" w:rsidP="00F03BC7">
      <w:pPr>
        <w:rPr>
          <w:lang w:val="fr-CH"/>
        </w:rPr>
      </w:pPr>
    </w:p>
    <w:p w:rsidR="007C5A8F" w:rsidRPr="00A5782F" w:rsidRDefault="00EA7469" w:rsidP="00A5782F">
      <w:pPr>
        <w:pStyle w:val="Heading1"/>
      </w:pPr>
      <w:bookmarkStart w:id="4" w:name="_Toc22655580"/>
      <w:r w:rsidRPr="00A5782F">
        <w:t>RAPPORT SUR LES ATELIERS PRÉPARATOIRES TENUS EN</w:t>
      </w:r>
      <w:r w:rsidR="00A5782F">
        <w:t> </w:t>
      </w:r>
      <w:r w:rsidRPr="00A5782F">
        <w:t>2019</w:t>
      </w:r>
      <w:bookmarkEnd w:id="4"/>
    </w:p>
    <w:p w:rsidR="007C5A8F" w:rsidRPr="00B16D4A" w:rsidRDefault="007C5A8F" w:rsidP="00C428E1">
      <w:pPr>
        <w:rPr>
          <w:rFonts w:cs="Arial"/>
          <w:lang w:val="fr-CH"/>
        </w:rPr>
      </w:pPr>
    </w:p>
    <w:p w:rsidR="001E6289" w:rsidRDefault="00C428E1" w:rsidP="00092F2A">
      <w:pPr>
        <w:rPr>
          <w:rFonts w:cs="Arial"/>
          <w:lang w:val="fr-CH"/>
        </w:rPr>
      </w:pPr>
      <w:r>
        <w:rPr>
          <w:rFonts w:cs="Arial"/>
        </w:rPr>
        <w:fldChar w:fldCharType="begin"/>
      </w:r>
      <w:r w:rsidRPr="00EE53CB">
        <w:rPr>
          <w:rFonts w:cs="Arial"/>
          <w:lang w:val="fr-CH"/>
        </w:rPr>
        <w:instrText xml:space="preserve"> AUTONUM  </w:instrText>
      </w:r>
      <w:r>
        <w:rPr>
          <w:rFonts w:cs="Arial"/>
        </w:rPr>
        <w:fldChar w:fldCharType="end"/>
      </w:r>
      <w:r w:rsidRPr="00EE53CB">
        <w:rPr>
          <w:rFonts w:cs="Arial"/>
          <w:lang w:val="fr-CH"/>
        </w:rPr>
        <w:tab/>
      </w:r>
      <w:r w:rsidR="00EE53CB" w:rsidRPr="00B16D4A">
        <w:rPr>
          <w:rFonts w:cs="Arial"/>
          <w:lang w:val="fr-CH"/>
        </w:rPr>
        <w:t>Le TWO a tenu sa cinquante</w:t>
      </w:r>
      <w:r w:rsidR="001E6289">
        <w:rPr>
          <w:rFonts w:cs="Arial"/>
          <w:lang w:val="fr-CH"/>
        </w:rPr>
        <w:t> et unième session</w:t>
      </w:r>
      <w:r w:rsidR="00EE53CB" w:rsidRPr="00B16D4A">
        <w:rPr>
          <w:rFonts w:cs="Arial"/>
          <w:lang w:val="fr-CH"/>
        </w:rPr>
        <w:t xml:space="preserve"> à Christchurch (Nouvelle</w:t>
      </w:r>
      <w:r w:rsidR="001E6289">
        <w:rPr>
          <w:rFonts w:cs="Arial"/>
          <w:lang w:val="fr-CH"/>
        </w:rPr>
        <w:t>-</w:t>
      </w:r>
      <w:r w:rsidR="00EE53CB" w:rsidRPr="00B16D4A">
        <w:rPr>
          <w:rFonts w:cs="Arial"/>
          <w:lang w:val="fr-CH"/>
        </w:rPr>
        <w:t>Zélande) du 18</w:t>
      </w:r>
      <w:r w:rsidR="00B16D4A">
        <w:rPr>
          <w:rFonts w:cs="Arial"/>
          <w:lang w:val="fr-CH"/>
        </w:rPr>
        <w:t> </w:t>
      </w:r>
      <w:r w:rsidR="00EE53CB" w:rsidRPr="00B16D4A">
        <w:rPr>
          <w:rFonts w:cs="Arial"/>
          <w:lang w:val="fr-CH"/>
        </w:rPr>
        <w:t>au</w:t>
      </w:r>
      <w:r w:rsidR="00B16D4A">
        <w:rPr>
          <w:rFonts w:cs="Arial"/>
          <w:lang w:val="fr-CH"/>
        </w:rPr>
        <w:t> </w:t>
      </w:r>
      <w:r w:rsidR="00EE53CB" w:rsidRPr="00B16D4A">
        <w:rPr>
          <w:rFonts w:cs="Arial"/>
          <w:lang w:val="fr-CH"/>
        </w:rPr>
        <w:t>22</w:t>
      </w:r>
      <w:r w:rsidR="00B16D4A">
        <w:rPr>
          <w:rFonts w:cs="Arial"/>
          <w:lang w:val="fr-CH"/>
        </w:rPr>
        <w:t> </w:t>
      </w:r>
      <w:r w:rsidR="00EE53CB" w:rsidRPr="00B16D4A">
        <w:rPr>
          <w:rFonts w:cs="Arial"/>
          <w:lang w:val="fr-CH"/>
        </w:rPr>
        <w:t>février</w:t>
      </w:r>
      <w:r w:rsidR="00B16D4A">
        <w:rPr>
          <w:rFonts w:cs="Arial"/>
          <w:lang w:val="fr-CH"/>
        </w:rPr>
        <w:t> </w:t>
      </w:r>
      <w:r w:rsidR="00EE53CB" w:rsidRPr="00B16D4A">
        <w:rPr>
          <w:rFonts w:cs="Arial"/>
          <w:lang w:val="fr-CH"/>
        </w:rPr>
        <w:t>2019.</w:t>
      </w:r>
      <w:r w:rsidR="008B3448" w:rsidRPr="00B16D4A">
        <w:rPr>
          <w:rFonts w:cs="Arial"/>
          <w:lang w:val="fr-CH"/>
        </w:rPr>
        <w:t xml:space="preserve"> </w:t>
      </w:r>
      <w:r w:rsidR="001E6289" w:rsidRPr="00B16D4A">
        <w:rPr>
          <w:rFonts w:cs="Arial"/>
          <w:lang w:val="fr-CH"/>
        </w:rPr>
        <w:t xml:space="preserve"> Le</w:t>
      </w:r>
      <w:r w:rsidR="001E6289">
        <w:rPr>
          <w:rFonts w:cs="Arial"/>
          <w:lang w:val="fr-CH"/>
        </w:rPr>
        <w:t> </w:t>
      </w:r>
      <w:r w:rsidR="001E6289" w:rsidRPr="00B16D4A">
        <w:rPr>
          <w:rFonts w:cs="Arial"/>
          <w:lang w:val="fr-CH"/>
        </w:rPr>
        <w:t>TWO</w:t>
      </w:r>
      <w:r w:rsidR="00092F2A" w:rsidRPr="00B16D4A">
        <w:rPr>
          <w:rFonts w:cs="Arial"/>
          <w:lang w:val="fr-CH"/>
        </w:rPr>
        <w:t xml:space="preserve"> a tenu un atelier préparatoire d</w:t>
      </w:r>
      <w:r w:rsidR="001E6289">
        <w:rPr>
          <w:rFonts w:cs="Arial"/>
          <w:lang w:val="fr-CH"/>
        </w:rPr>
        <w:t>’</w:t>
      </w:r>
      <w:r w:rsidR="00092F2A" w:rsidRPr="00B16D4A">
        <w:rPr>
          <w:rFonts w:cs="Arial"/>
          <w:lang w:val="fr-CH"/>
        </w:rPr>
        <w:t>une demi</w:t>
      </w:r>
      <w:r w:rsidR="001E6289">
        <w:rPr>
          <w:rFonts w:cs="Arial"/>
          <w:lang w:val="fr-CH"/>
        </w:rPr>
        <w:t>-</w:t>
      </w:r>
      <w:r w:rsidR="00092F2A" w:rsidRPr="00B16D4A">
        <w:rPr>
          <w:rFonts w:cs="Arial"/>
          <w:lang w:val="fr-CH"/>
        </w:rPr>
        <w:t>journée le jour précédant l</w:t>
      </w:r>
      <w:r w:rsidR="001E6289">
        <w:rPr>
          <w:rFonts w:cs="Arial"/>
          <w:lang w:val="fr-CH"/>
        </w:rPr>
        <w:t>’</w:t>
      </w:r>
      <w:r w:rsidR="00092F2A" w:rsidRPr="00B16D4A">
        <w:rPr>
          <w:rFonts w:cs="Arial"/>
          <w:lang w:val="fr-CH"/>
        </w:rPr>
        <w:t>ouverture de la session.</w:t>
      </w:r>
      <w:r w:rsidR="00322B1F" w:rsidRPr="00B16D4A">
        <w:rPr>
          <w:rFonts w:cs="Arial"/>
          <w:lang w:val="fr-CH"/>
        </w:rPr>
        <w:t xml:space="preserve"> </w:t>
      </w:r>
      <w:r w:rsidR="0002258B" w:rsidRPr="00B16D4A">
        <w:rPr>
          <w:rFonts w:cs="Arial"/>
          <w:lang w:val="fr-CH"/>
        </w:rPr>
        <w:t xml:space="preserve"> </w:t>
      </w:r>
      <w:r w:rsidR="00092F2A" w:rsidRPr="00B16D4A">
        <w:rPr>
          <w:rFonts w:cs="Arial"/>
          <w:lang w:val="fr-CH"/>
        </w:rPr>
        <w:t>L</w:t>
      </w:r>
      <w:r w:rsidR="001E6289">
        <w:rPr>
          <w:rFonts w:cs="Arial"/>
          <w:lang w:val="fr-CH"/>
        </w:rPr>
        <w:t>’</w:t>
      </w:r>
      <w:r w:rsidR="00092F2A" w:rsidRPr="00B16D4A">
        <w:rPr>
          <w:rFonts w:cs="Arial"/>
          <w:lang w:val="fr-CH"/>
        </w:rPr>
        <w:t>atelier préparatoire a réuni 18</w:t>
      </w:r>
      <w:r w:rsidR="00B16D4A">
        <w:rPr>
          <w:rFonts w:cs="Arial"/>
          <w:lang w:val="fr-CH"/>
        </w:rPr>
        <w:t> </w:t>
      </w:r>
      <w:r w:rsidR="00092F2A" w:rsidRPr="00B16D4A">
        <w:rPr>
          <w:rFonts w:cs="Arial"/>
          <w:lang w:val="fr-CH"/>
        </w:rPr>
        <w:t>participants représentant 10</w:t>
      </w:r>
      <w:r w:rsidR="00B16D4A">
        <w:rPr>
          <w:rFonts w:cs="Arial"/>
          <w:lang w:val="fr-CH"/>
        </w:rPr>
        <w:t> </w:t>
      </w:r>
      <w:r w:rsidR="00092F2A" w:rsidRPr="00B16D4A">
        <w:rPr>
          <w:rFonts w:cs="Arial"/>
          <w:lang w:val="fr-CH"/>
        </w:rPr>
        <w:t>membres de l</w:t>
      </w:r>
      <w:r w:rsidR="001E6289">
        <w:rPr>
          <w:rFonts w:cs="Arial"/>
          <w:lang w:val="fr-CH"/>
        </w:rPr>
        <w:t>’</w:t>
      </w:r>
      <w:r w:rsidR="00092F2A" w:rsidRPr="00B16D4A">
        <w:rPr>
          <w:rFonts w:cs="Arial"/>
          <w:lang w:val="fr-CH"/>
        </w:rPr>
        <w:t>Union et une organisation ayant le statut d</w:t>
      </w:r>
      <w:r w:rsidR="001E6289">
        <w:rPr>
          <w:rFonts w:cs="Arial"/>
          <w:lang w:val="fr-CH"/>
        </w:rPr>
        <w:t>’</w:t>
      </w:r>
      <w:r w:rsidR="00092F2A" w:rsidRPr="00B16D4A">
        <w:rPr>
          <w:rFonts w:cs="Arial"/>
          <w:lang w:val="fr-CH"/>
        </w:rPr>
        <w:t>observateur.</w:t>
      </w:r>
      <w:r w:rsidR="007B1D57" w:rsidRPr="00B16D4A">
        <w:rPr>
          <w:rFonts w:cs="Arial"/>
          <w:lang w:val="fr-CH"/>
        </w:rPr>
        <w:t xml:space="preserve">  </w:t>
      </w:r>
      <w:r w:rsidR="00092F2A" w:rsidRPr="00B16D4A">
        <w:rPr>
          <w:rFonts w:cs="Arial"/>
          <w:lang w:val="fr-CH"/>
        </w:rPr>
        <w:t xml:space="preserve">Les points traités sont </w:t>
      </w:r>
      <w:r w:rsidR="00092F2A" w:rsidRPr="00E728BA">
        <w:rPr>
          <w:rFonts w:cs="Arial"/>
          <w:lang w:val="fr-CH"/>
        </w:rPr>
        <w:t>reproduits dans l</w:t>
      </w:r>
      <w:r w:rsidR="001E6289" w:rsidRPr="00E728BA">
        <w:rPr>
          <w:rFonts w:cs="Arial"/>
          <w:lang w:val="fr-CH"/>
        </w:rPr>
        <w:t>’</w:t>
      </w:r>
      <w:r w:rsidR="00092F2A" w:rsidRPr="00E728BA">
        <w:rPr>
          <w:rFonts w:cs="Arial"/>
          <w:lang w:val="fr-CH"/>
        </w:rPr>
        <w:t>annexe du</w:t>
      </w:r>
      <w:r w:rsidR="00092F2A" w:rsidRPr="00B16D4A">
        <w:rPr>
          <w:rFonts w:cs="Arial"/>
          <w:lang w:val="fr-CH"/>
        </w:rPr>
        <w:t xml:space="preserve"> présent document.</w:t>
      </w:r>
    </w:p>
    <w:p w:rsidR="007C5A8F" w:rsidRPr="00B16D4A" w:rsidRDefault="007C5A8F" w:rsidP="00050E16">
      <w:pPr>
        <w:rPr>
          <w:snapToGrid w:val="0"/>
          <w:lang w:val="fr-CH"/>
        </w:rPr>
      </w:pPr>
    </w:p>
    <w:p w:rsidR="007C5A8F" w:rsidRPr="00B16D4A" w:rsidRDefault="008B3448" w:rsidP="00EA7469">
      <w:pPr>
        <w:rPr>
          <w:snapToGrid w:val="0"/>
          <w:lang w:val="fr-CH"/>
        </w:rPr>
      </w:pPr>
      <w:r w:rsidRPr="00B16D4A">
        <w:rPr>
          <w:snapToGrid w:val="0"/>
        </w:rPr>
        <w:fldChar w:fldCharType="begin"/>
      </w:r>
      <w:r w:rsidRPr="00B16D4A">
        <w:rPr>
          <w:snapToGrid w:val="0"/>
          <w:lang w:val="fr-CH"/>
        </w:rPr>
        <w:instrText xml:space="preserve"> AUTONUM  </w:instrText>
      </w:r>
      <w:r w:rsidRPr="00B16D4A">
        <w:rPr>
          <w:snapToGrid w:val="0"/>
        </w:rPr>
        <w:fldChar w:fldCharType="end"/>
      </w:r>
      <w:r w:rsidRPr="00B16D4A">
        <w:rPr>
          <w:snapToGrid w:val="0"/>
          <w:lang w:val="fr-CH"/>
        </w:rPr>
        <w:tab/>
      </w:r>
      <w:r w:rsidR="00092F2A" w:rsidRPr="00B16D4A">
        <w:rPr>
          <w:snapToGrid w:val="0"/>
          <w:lang w:val="fr-CH"/>
        </w:rPr>
        <w:t>Le TWA,</w:t>
      </w:r>
      <w:r w:rsidR="001E6289" w:rsidRPr="00B16D4A">
        <w:rPr>
          <w:snapToGrid w:val="0"/>
          <w:lang w:val="fr-CH"/>
        </w:rPr>
        <w:t xml:space="preserve"> le</w:t>
      </w:r>
      <w:r w:rsidR="001E6289">
        <w:rPr>
          <w:snapToGrid w:val="0"/>
          <w:lang w:val="fr-CH"/>
        </w:rPr>
        <w:t> </w:t>
      </w:r>
      <w:r w:rsidR="001E6289" w:rsidRPr="00B16D4A">
        <w:rPr>
          <w:snapToGrid w:val="0"/>
          <w:lang w:val="fr-CH"/>
        </w:rPr>
        <w:t>TWC</w:t>
      </w:r>
      <w:r w:rsidR="00092F2A" w:rsidRPr="00B16D4A">
        <w:rPr>
          <w:snapToGrid w:val="0"/>
          <w:lang w:val="fr-CH"/>
        </w:rPr>
        <w:t>,</w:t>
      </w:r>
      <w:r w:rsidR="001E6289" w:rsidRPr="00B16D4A">
        <w:rPr>
          <w:snapToGrid w:val="0"/>
          <w:lang w:val="fr-CH"/>
        </w:rPr>
        <w:t xml:space="preserve"> le</w:t>
      </w:r>
      <w:r w:rsidR="001E6289">
        <w:rPr>
          <w:snapToGrid w:val="0"/>
          <w:lang w:val="fr-CH"/>
        </w:rPr>
        <w:t> </w:t>
      </w:r>
      <w:r w:rsidR="001E6289" w:rsidRPr="00B16D4A">
        <w:rPr>
          <w:snapToGrid w:val="0"/>
          <w:lang w:val="fr-CH"/>
        </w:rPr>
        <w:t>TWF</w:t>
      </w:r>
      <w:r w:rsidR="00092F2A" w:rsidRPr="00B16D4A">
        <w:rPr>
          <w:snapToGrid w:val="0"/>
          <w:lang w:val="fr-CH"/>
        </w:rPr>
        <w:t>,</w:t>
      </w:r>
      <w:r w:rsidR="001E6289" w:rsidRPr="00B16D4A">
        <w:rPr>
          <w:snapToGrid w:val="0"/>
          <w:lang w:val="fr-CH"/>
        </w:rPr>
        <w:t xml:space="preserve"> le</w:t>
      </w:r>
      <w:r w:rsidR="001E6289">
        <w:rPr>
          <w:snapToGrid w:val="0"/>
          <w:lang w:val="fr-CH"/>
        </w:rPr>
        <w:t> </w:t>
      </w:r>
      <w:r w:rsidR="001E6289" w:rsidRPr="00B16D4A">
        <w:rPr>
          <w:snapToGrid w:val="0"/>
          <w:lang w:val="fr-CH"/>
        </w:rPr>
        <w:t>TWV</w:t>
      </w:r>
      <w:r w:rsidR="00092F2A" w:rsidRPr="00B16D4A">
        <w:rPr>
          <w:snapToGrid w:val="0"/>
          <w:lang w:val="fr-CH"/>
        </w:rPr>
        <w:t xml:space="preserve"> et</w:t>
      </w:r>
      <w:r w:rsidR="001E6289" w:rsidRPr="00B16D4A">
        <w:rPr>
          <w:snapToGrid w:val="0"/>
          <w:lang w:val="fr-CH"/>
        </w:rPr>
        <w:t xml:space="preserve"> le</w:t>
      </w:r>
      <w:r w:rsidR="001E6289">
        <w:rPr>
          <w:snapToGrid w:val="0"/>
          <w:lang w:val="fr-CH"/>
        </w:rPr>
        <w:t> </w:t>
      </w:r>
      <w:r w:rsidR="001E6289" w:rsidRPr="00B16D4A">
        <w:rPr>
          <w:snapToGrid w:val="0"/>
          <w:lang w:val="fr-CH"/>
        </w:rPr>
        <w:t>BMT</w:t>
      </w:r>
      <w:r w:rsidR="00092F2A" w:rsidRPr="00B16D4A">
        <w:rPr>
          <w:snapToGrid w:val="0"/>
          <w:lang w:val="fr-CH"/>
        </w:rPr>
        <w:t xml:space="preserve"> n</w:t>
      </w:r>
      <w:r w:rsidR="001E6289">
        <w:rPr>
          <w:snapToGrid w:val="0"/>
          <w:lang w:val="fr-CH"/>
        </w:rPr>
        <w:t>’</w:t>
      </w:r>
      <w:r w:rsidR="00092F2A" w:rsidRPr="00B16D4A">
        <w:rPr>
          <w:snapToGrid w:val="0"/>
          <w:lang w:val="fr-CH"/>
        </w:rPr>
        <w:t>ont pas organisé d</w:t>
      </w:r>
      <w:r w:rsidR="001E6289">
        <w:rPr>
          <w:snapToGrid w:val="0"/>
          <w:lang w:val="fr-CH"/>
        </w:rPr>
        <w:t>’</w:t>
      </w:r>
      <w:r w:rsidR="00092F2A" w:rsidRPr="00B16D4A">
        <w:rPr>
          <w:snapToGrid w:val="0"/>
          <w:lang w:val="fr-CH"/>
        </w:rPr>
        <w:t>atelier préparatoire à leurs sessions en</w:t>
      </w:r>
      <w:r w:rsidR="00B16D4A">
        <w:rPr>
          <w:snapToGrid w:val="0"/>
          <w:lang w:val="fr-CH"/>
        </w:rPr>
        <w:t> </w:t>
      </w:r>
      <w:r w:rsidR="00092F2A" w:rsidRPr="00B16D4A">
        <w:rPr>
          <w:snapToGrid w:val="0"/>
          <w:lang w:val="fr-CH"/>
        </w:rPr>
        <w:t>2019.</w:t>
      </w:r>
      <w:r w:rsidRPr="00B16D4A">
        <w:rPr>
          <w:snapToGrid w:val="0"/>
          <w:lang w:val="fr-CH"/>
        </w:rPr>
        <w:t xml:space="preserve">  </w:t>
      </w:r>
      <w:r w:rsidR="00EA7469" w:rsidRPr="00B16D4A">
        <w:rPr>
          <w:snapToGrid w:val="0"/>
          <w:lang w:val="fr-CH"/>
        </w:rPr>
        <w:t>Les éléments à examiner lors des ateliers préparatoires ont été présentés comme une introduction aux points de l</w:t>
      </w:r>
      <w:r w:rsidR="001E6289">
        <w:rPr>
          <w:snapToGrid w:val="0"/>
          <w:lang w:val="fr-CH"/>
        </w:rPr>
        <w:t>’</w:t>
      </w:r>
      <w:r w:rsidR="00EA7469" w:rsidRPr="00B16D4A">
        <w:rPr>
          <w:snapToGrid w:val="0"/>
          <w:lang w:val="fr-CH"/>
        </w:rPr>
        <w:t>ordre du jour correspondants durant le déroulement normal des sessions.</w:t>
      </w:r>
    </w:p>
    <w:p w:rsidR="007C5A8F" w:rsidRDefault="007C5A8F" w:rsidP="008B3448">
      <w:pPr>
        <w:rPr>
          <w:lang w:val="fr-CH"/>
        </w:rPr>
      </w:pPr>
    </w:p>
    <w:p w:rsidR="00E728BA" w:rsidRPr="00B16D4A" w:rsidRDefault="00E728BA" w:rsidP="008B3448">
      <w:pPr>
        <w:rPr>
          <w:lang w:val="fr-CH"/>
        </w:rPr>
      </w:pPr>
    </w:p>
    <w:p w:rsidR="007C5A8F" w:rsidRPr="00B16D4A" w:rsidRDefault="00EA7469" w:rsidP="00A5782F">
      <w:pPr>
        <w:pStyle w:val="Heading1"/>
        <w:rPr>
          <w:color w:val="auto"/>
        </w:rPr>
      </w:pPr>
      <w:bookmarkStart w:id="5" w:name="_Toc22655581"/>
      <w:r w:rsidRPr="00B16D4A">
        <w:rPr>
          <w:color w:val="auto"/>
        </w:rPr>
        <w:t>PROGRAMME DES TRAVAUX PRÉPARATOIRES EN</w:t>
      </w:r>
      <w:r w:rsidR="006932C1" w:rsidRPr="00B16D4A">
        <w:rPr>
          <w:color w:val="auto"/>
        </w:rPr>
        <w:t> </w:t>
      </w:r>
      <w:r w:rsidRPr="00B16D4A">
        <w:rPr>
          <w:color w:val="auto"/>
        </w:rPr>
        <w:t>2020</w:t>
      </w:r>
      <w:bookmarkEnd w:id="5"/>
    </w:p>
    <w:p w:rsidR="007C5A8F" w:rsidRPr="00B16D4A" w:rsidRDefault="007C5A8F" w:rsidP="008B3448">
      <w:pPr>
        <w:rPr>
          <w:rFonts w:cs="Arial"/>
          <w:lang w:val="fr-CH"/>
        </w:rPr>
      </w:pPr>
    </w:p>
    <w:p w:rsidR="001E6289" w:rsidRDefault="008B3448" w:rsidP="00EA7469">
      <w:pPr>
        <w:rPr>
          <w:rFonts w:cs="Arial"/>
          <w:lang w:val="fr-CH"/>
        </w:rPr>
      </w:pPr>
      <w:r w:rsidRPr="00B16D4A">
        <w:rPr>
          <w:rFonts w:cs="Arial"/>
        </w:rPr>
        <w:fldChar w:fldCharType="begin"/>
      </w:r>
      <w:r w:rsidRPr="00B16D4A">
        <w:rPr>
          <w:rFonts w:cs="Arial"/>
          <w:lang w:val="fr-CH"/>
        </w:rPr>
        <w:instrText xml:space="preserve"> AUTONUM  </w:instrText>
      </w:r>
      <w:r w:rsidRPr="00B16D4A">
        <w:rPr>
          <w:rFonts w:cs="Arial"/>
        </w:rPr>
        <w:fldChar w:fldCharType="end"/>
      </w:r>
      <w:r w:rsidRPr="00B16D4A">
        <w:rPr>
          <w:rFonts w:cs="Arial"/>
          <w:lang w:val="fr-CH"/>
        </w:rPr>
        <w:tab/>
      </w:r>
      <w:r w:rsidR="00EA7469" w:rsidRPr="00B16D4A">
        <w:rPr>
          <w:rFonts w:cs="Arial"/>
          <w:lang w:val="fr-CH"/>
        </w:rPr>
        <w:t>Il est proposé que les éléments ci</w:t>
      </w:r>
      <w:r w:rsidR="001E6289">
        <w:rPr>
          <w:rFonts w:cs="Arial"/>
          <w:lang w:val="fr-CH"/>
        </w:rPr>
        <w:t>-</w:t>
      </w:r>
      <w:r w:rsidR="00EA7469" w:rsidRPr="00B16D4A">
        <w:rPr>
          <w:rFonts w:cs="Arial"/>
          <w:lang w:val="fr-CH"/>
        </w:rPr>
        <w:t>après soient présentés comme une introduction aux points de l</w:t>
      </w:r>
      <w:r w:rsidR="001E6289">
        <w:rPr>
          <w:rFonts w:cs="Arial"/>
          <w:lang w:val="fr-CH"/>
        </w:rPr>
        <w:t>’</w:t>
      </w:r>
      <w:r w:rsidR="00EA7469" w:rsidRPr="00B16D4A">
        <w:rPr>
          <w:rFonts w:cs="Arial"/>
          <w:lang w:val="fr-CH"/>
        </w:rPr>
        <w:t>ordre du jour correspondants durant le déroulement normal des sessions</w:t>
      </w:r>
      <w:r w:rsidR="001E6289" w:rsidRPr="00B16D4A">
        <w:rPr>
          <w:rFonts w:cs="Arial"/>
          <w:lang w:val="fr-CH"/>
        </w:rPr>
        <w:t xml:space="preserve"> du</w:t>
      </w:r>
      <w:r w:rsidR="001E6289">
        <w:rPr>
          <w:rFonts w:cs="Arial"/>
          <w:lang w:val="fr-CH"/>
        </w:rPr>
        <w:t> </w:t>
      </w:r>
      <w:r w:rsidR="001E6289" w:rsidRPr="00B16D4A">
        <w:rPr>
          <w:rFonts w:cs="Arial"/>
          <w:lang w:val="fr-CH"/>
        </w:rPr>
        <w:t>TWA</w:t>
      </w:r>
      <w:r w:rsidR="00EA7469" w:rsidRPr="00B16D4A">
        <w:rPr>
          <w:rFonts w:cs="Arial"/>
          <w:lang w:val="fr-CH"/>
        </w:rPr>
        <w:t>,</w:t>
      </w:r>
      <w:r w:rsidR="001E6289" w:rsidRPr="00B16D4A">
        <w:rPr>
          <w:rFonts w:cs="Arial"/>
          <w:lang w:val="fr-CH"/>
        </w:rPr>
        <w:t xml:space="preserve"> du</w:t>
      </w:r>
      <w:r w:rsidR="001E6289">
        <w:rPr>
          <w:rFonts w:cs="Arial"/>
          <w:lang w:val="fr-CH"/>
        </w:rPr>
        <w:t> </w:t>
      </w:r>
      <w:r w:rsidR="001E6289" w:rsidRPr="00B16D4A">
        <w:rPr>
          <w:rFonts w:cs="Arial"/>
          <w:lang w:val="fr-CH"/>
        </w:rPr>
        <w:t>TWF</w:t>
      </w:r>
      <w:r w:rsidR="00EA7469" w:rsidRPr="00B16D4A">
        <w:rPr>
          <w:rFonts w:cs="Arial"/>
          <w:lang w:val="fr-CH"/>
        </w:rPr>
        <w:t>,</w:t>
      </w:r>
      <w:r w:rsidR="001E6289" w:rsidRPr="00B16D4A">
        <w:rPr>
          <w:rFonts w:cs="Arial"/>
          <w:lang w:val="fr-CH"/>
        </w:rPr>
        <w:t xml:space="preserve"> du</w:t>
      </w:r>
      <w:r w:rsidR="001E6289">
        <w:rPr>
          <w:rFonts w:cs="Arial"/>
          <w:lang w:val="fr-CH"/>
        </w:rPr>
        <w:t> </w:t>
      </w:r>
      <w:r w:rsidR="001E6289" w:rsidRPr="00B16D4A">
        <w:rPr>
          <w:rFonts w:cs="Arial"/>
          <w:lang w:val="fr-CH"/>
        </w:rPr>
        <w:t>TWO</w:t>
      </w:r>
      <w:r w:rsidR="00EA7469" w:rsidRPr="00B16D4A">
        <w:rPr>
          <w:rFonts w:cs="Arial"/>
          <w:lang w:val="fr-CH"/>
        </w:rPr>
        <w:t xml:space="preserve"> et</w:t>
      </w:r>
      <w:r w:rsidR="001E6289" w:rsidRPr="00B16D4A">
        <w:rPr>
          <w:rFonts w:cs="Arial"/>
          <w:lang w:val="fr-CH"/>
        </w:rPr>
        <w:t xml:space="preserve"> du</w:t>
      </w:r>
      <w:r w:rsidR="001E6289">
        <w:rPr>
          <w:rFonts w:cs="Arial"/>
          <w:lang w:val="fr-CH"/>
        </w:rPr>
        <w:t> </w:t>
      </w:r>
      <w:r w:rsidR="001E6289" w:rsidRPr="00B16D4A">
        <w:rPr>
          <w:rFonts w:cs="Arial"/>
          <w:lang w:val="fr-CH"/>
        </w:rPr>
        <w:t>TWV</w:t>
      </w:r>
      <w:r w:rsidR="00EA7469" w:rsidRPr="00B16D4A">
        <w:rPr>
          <w:rFonts w:cs="Arial"/>
          <w:lang w:val="fr-CH"/>
        </w:rPr>
        <w:t xml:space="preserve"> en</w:t>
      </w:r>
      <w:r w:rsidR="00B16D4A">
        <w:rPr>
          <w:rFonts w:cs="Arial"/>
          <w:lang w:val="fr-CH"/>
        </w:rPr>
        <w:t> </w:t>
      </w:r>
      <w:r w:rsidR="00EA7469" w:rsidRPr="00B16D4A">
        <w:rPr>
          <w:rFonts w:cs="Arial"/>
          <w:lang w:val="fr-CH"/>
        </w:rPr>
        <w:t>2020</w:t>
      </w:r>
      <w:r w:rsidR="001E6289">
        <w:rPr>
          <w:rFonts w:cs="Arial"/>
          <w:lang w:val="fr-CH"/>
        </w:rPr>
        <w:t> :</w:t>
      </w:r>
    </w:p>
    <w:p w:rsidR="007C5A8F" w:rsidRPr="00B16D4A" w:rsidRDefault="007C5A8F" w:rsidP="008B3448">
      <w:pPr>
        <w:rPr>
          <w:rFonts w:cs="Arial"/>
          <w:lang w:val="fr-CH"/>
        </w:rPr>
      </w:pPr>
    </w:p>
    <w:p w:rsidR="007C5A8F" w:rsidRPr="00B16D4A" w:rsidRDefault="00EA7469" w:rsidP="00EA7469">
      <w:pPr>
        <w:numPr>
          <w:ilvl w:val="0"/>
          <w:numId w:val="13"/>
        </w:numPr>
        <w:spacing w:line="276" w:lineRule="auto"/>
        <w:rPr>
          <w:rFonts w:cs="Arial"/>
          <w:lang w:val="fr-CH"/>
        </w:rPr>
      </w:pPr>
      <w:r w:rsidRPr="00B16D4A">
        <w:rPr>
          <w:rFonts w:cs="Arial"/>
          <w:lang w:val="fr-CH"/>
        </w:rPr>
        <w:t>Présentation de l</w:t>
      </w:r>
      <w:r w:rsidR="001E6289">
        <w:rPr>
          <w:rFonts w:cs="Arial"/>
          <w:lang w:val="fr-CH"/>
        </w:rPr>
        <w:t>’</w:t>
      </w:r>
      <w:r w:rsidRPr="00B16D4A">
        <w:rPr>
          <w:rFonts w:cs="Arial"/>
          <w:lang w:val="fr-CH"/>
        </w:rPr>
        <w:t>UPOV et du rôle des groupes de travail techniques (TWP)</w:t>
      </w:r>
    </w:p>
    <w:p w:rsidR="007C5A8F" w:rsidRPr="00B16D4A" w:rsidRDefault="00EA7469" w:rsidP="00EA7469">
      <w:pPr>
        <w:numPr>
          <w:ilvl w:val="0"/>
          <w:numId w:val="13"/>
        </w:numPr>
        <w:spacing w:line="276" w:lineRule="auto"/>
        <w:rPr>
          <w:rFonts w:cs="Arial"/>
          <w:lang w:val="fr-CH"/>
        </w:rPr>
      </w:pPr>
      <w:r w:rsidRPr="00B16D4A">
        <w:rPr>
          <w:rFonts w:cs="Arial"/>
          <w:lang w:val="fr-CH"/>
        </w:rPr>
        <w:t>Aperçu de l</w:t>
      </w:r>
      <w:r w:rsidR="001E6289">
        <w:rPr>
          <w:rFonts w:cs="Arial"/>
          <w:lang w:val="fr-CH"/>
        </w:rPr>
        <w:t>’</w:t>
      </w:r>
      <w:r w:rsidRPr="00B16D4A">
        <w:rPr>
          <w:rFonts w:cs="Arial"/>
          <w:lang w:val="fr-CH"/>
        </w:rPr>
        <w:t>introduction générale (document</w:t>
      </w:r>
      <w:r w:rsidR="00C736DF">
        <w:rPr>
          <w:rFonts w:cs="Arial"/>
          <w:lang w:val="fr-CH"/>
        </w:rPr>
        <w:t> </w:t>
      </w:r>
      <w:r w:rsidRPr="00B16D4A">
        <w:rPr>
          <w:rFonts w:cs="Arial"/>
          <w:lang w:val="fr-CH"/>
        </w:rPr>
        <w:t>TG/1/3 et documents TGP)</w:t>
      </w:r>
    </w:p>
    <w:p w:rsidR="007C5A8F" w:rsidRPr="00B16D4A" w:rsidRDefault="00EA7469" w:rsidP="00EA7469">
      <w:pPr>
        <w:numPr>
          <w:ilvl w:val="0"/>
          <w:numId w:val="3"/>
        </w:numPr>
        <w:spacing w:line="276" w:lineRule="auto"/>
        <w:rPr>
          <w:rFonts w:cs="Arial"/>
          <w:lang w:val="fr-CH"/>
        </w:rPr>
      </w:pPr>
      <w:r w:rsidRPr="00B16D4A">
        <w:rPr>
          <w:rFonts w:cs="Arial"/>
          <w:lang w:val="fr-CH"/>
        </w:rPr>
        <w:t>Les caractères comme base de l</w:t>
      </w:r>
      <w:r w:rsidR="001E6289">
        <w:rPr>
          <w:rFonts w:cs="Arial"/>
          <w:lang w:val="fr-CH"/>
        </w:rPr>
        <w:t>’</w:t>
      </w:r>
      <w:r w:rsidRPr="00B16D4A">
        <w:rPr>
          <w:rFonts w:cs="Arial"/>
          <w:lang w:val="fr-CH"/>
        </w:rPr>
        <w:t>examen</w:t>
      </w:r>
      <w:r w:rsidR="00C75DC8">
        <w:rPr>
          <w:rFonts w:cs="Arial"/>
          <w:lang w:val="fr-CH"/>
        </w:rPr>
        <w:t> </w:t>
      </w:r>
      <w:r w:rsidRPr="00B16D4A">
        <w:rPr>
          <w:rFonts w:cs="Arial"/>
          <w:lang w:val="fr-CH"/>
        </w:rPr>
        <w:t>DHS et sélection des caractères</w:t>
      </w:r>
    </w:p>
    <w:p w:rsidR="001E6289" w:rsidRDefault="00EA7469" w:rsidP="00EA7469">
      <w:pPr>
        <w:numPr>
          <w:ilvl w:val="0"/>
          <w:numId w:val="13"/>
        </w:numPr>
        <w:spacing w:line="276" w:lineRule="auto"/>
        <w:rPr>
          <w:rFonts w:cs="Arial"/>
          <w:lang w:val="fr-CH"/>
        </w:rPr>
      </w:pPr>
      <w:r w:rsidRPr="00B16D4A">
        <w:rPr>
          <w:rFonts w:cs="Arial"/>
          <w:lang w:val="fr-CH"/>
        </w:rPr>
        <w:t>Conseils pour l</w:t>
      </w:r>
      <w:r w:rsidR="001E6289">
        <w:rPr>
          <w:rFonts w:cs="Arial"/>
          <w:lang w:val="fr-CH"/>
        </w:rPr>
        <w:t>’</w:t>
      </w:r>
      <w:r w:rsidRPr="00B16D4A">
        <w:rPr>
          <w:rFonts w:cs="Arial"/>
          <w:lang w:val="fr-CH"/>
        </w:rPr>
        <w:t>élaboration des principes directeurs d</w:t>
      </w:r>
      <w:r w:rsidR="001E6289">
        <w:rPr>
          <w:rFonts w:cs="Arial"/>
          <w:lang w:val="fr-CH"/>
        </w:rPr>
        <w:t>’</w:t>
      </w:r>
      <w:r w:rsidRPr="00B16D4A">
        <w:rPr>
          <w:rFonts w:cs="Arial"/>
          <w:lang w:val="fr-CH"/>
        </w:rPr>
        <w:t>examen (document TGP/7)</w:t>
      </w:r>
    </w:p>
    <w:p w:rsidR="007C5A8F" w:rsidRPr="00B16D4A" w:rsidRDefault="00EA7469" w:rsidP="00EA7469">
      <w:pPr>
        <w:numPr>
          <w:ilvl w:val="0"/>
          <w:numId w:val="14"/>
        </w:numPr>
        <w:spacing w:line="276" w:lineRule="auto"/>
        <w:rPr>
          <w:rFonts w:cs="Arial"/>
          <w:lang w:val="fr-CH"/>
        </w:rPr>
      </w:pPr>
      <w:r w:rsidRPr="00B16D4A">
        <w:rPr>
          <w:rFonts w:cs="Arial"/>
          <w:lang w:val="fr-CH"/>
        </w:rPr>
        <w:t>Objet des principes directeurs d</w:t>
      </w:r>
      <w:r w:rsidR="001E6289">
        <w:rPr>
          <w:rFonts w:cs="Arial"/>
          <w:lang w:val="fr-CH"/>
        </w:rPr>
        <w:t>’</w:t>
      </w:r>
      <w:r w:rsidRPr="00B16D4A">
        <w:rPr>
          <w:rFonts w:cs="Arial"/>
          <w:lang w:val="fr-CH"/>
        </w:rPr>
        <w:t>examen, matériel requis et méthode d</w:t>
      </w:r>
      <w:r w:rsidR="001E6289">
        <w:rPr>
          <w:rFonts w:cs="Arial"/>
          <w:lang w:val="fr-CH"/>
        </w:rPr>
        <w:t>’</w:t>
      </w:r>
      <w:r w:rsidRPr="00B16D4A">
        <w:rPr>
          <w:rFonts w:cs="Arial"/>
          <w:lang w:val="fr-CH"/>
        </w:rPr>
        <w:t>examen;</w:t>
      </w:r>
    </w:p>
    <w:p w:rsidR="007C5A8F" w:rsidRPr="00B16D4A" w:rsidRDefault="00EA7469" w:rsidP="00EA7469">
      <w:pPr>
        <w:numPr>
          <w:ilvl w:val="0"/>
          <w:numId w:val="14"/>
        </w:numPr>
        <w:spacing w:line="276" w:lineRule="auto"/>
        <w:rPr>
          <w:rFonts w:cs="Arial"/>
          <w:lang w:val="fr-CH"/>
        </w:rPr>
      </w:pPr>
      <w:r w:rsidRPr="00B16D4A">
        <w:rPr>
          <w:rFonts w:cs="Arial"/>
          <w:lang w:val="fr-CH"/>
        </w:rPr>
        <w:t>Méthode d</w:t>
      </w:r>
      <w:r w:rsidR="001E6289">
        <w:rPr>
          <w:rFonts w:cs="Arial"/>
          <w:lang w:val="fr-CH"/>
        </w:rPr>
        <w:t>’</w:t>
      </w:r>
      <w:r w:rsidRPr="00B16D4A">
        <w:rPr>
          <w:rFonts w:cs="Arial"/>
          <w:lang w:val="fr-CH"/>
        </w:rPr>
        <w:t>observation (MS, MG, VS, VG);</w:t>
      </w:r>
    </w:p>
    <w:p w:rsidR="007C5A8F" w:rsidRPr="00B16D4A" w:rsidRDefault="00EA7469" w:rsidP="00EA7469">
      <w:pPr>
        <w:numPr>
          <w:ilvl w:val="0"/>
          <w:numId w:val="14"/>
        </w:num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spacing w:line="276" w:lineRule="auto"/>
        <w:rPr>
          <w:rFonts w:cs="Arial"/>
          <w:lang w:val="fr-CH"/>
        </w:rPr>
      </w:pPr>
      <w:r w:rsidRPr="00B16D4A">
        <w:rPr>
          <w:rFonts w:cs="Arial"/>
          <w:lang w:val="fr-CH"/>
        </w:rPr>
        <w:t>Types d</w:t>
      </w:r>
      <w:r w:rsidR="001E6289">
        <w:rPr>
          <w:rFonts w:cs="Arial"/>
          <w:lang w:val="fr-CH"/>
        </w:rPr>
        <w:t>’</w:t>
      </w:r>
      <w:r w:rsidRPr="00B16D4A">
        <w:rPr>
          <w:rFonts w:cs="Arial"/>
          <w:lang w:val="fr-CH"/>
        </w:rPr>
        <w:t>expression (QL, PQ, QN), notes et distinction;</w:t>
      </w:r>
    </w:p>
    <w:p w:rsidR="007C5A8F" w:rsidRPr="00B16D4A" w:rsidRDefault="00EA7469" w:rsidP="00EA7469">
      <w:pPr>
        <w:numPr>
          <w:ilvl w:val="0"/>
          <w:numId w:val="14"/>
        </w:numPr>
        <w:spacing w:line="276" w:lineRule="auto"/>
        <w:rPr>
          <w:rFonts w:cs="Arial"/>
          <w:lang w:val="fr-CH"/>
        </w:rPr>
      </w:pPr>
      <w:r w:rsidRPr="00B16D4A">
        <w:rPr>
          <w:rFonts w:cs="Arial"/>
          <w:lang w:val="fr-CH"/>
        </w:rPr>
        <w:t>Caractères de forme et de couleur;</w:t>
      </w:r>
    </w:p>
    <w:p w:rsidR="007C5A8F" w:rsidRPr="00B16D4A" w:rsidRDefault="00C667F1" w:rsidP="00C667F1">
      <w:pPr>
        <w:numPr>
          <w:ilvl w:val="0"/>
          <w:numId w:val="14"/>
        </w:numPr>
        <w:spacing w:line="276" w:lineRule="auto"/>
        <w:rPr>
          <w:rFonts w:cs="Arial"/>
          <w:lang w:val="fr-CH"/>
        </w:rPr>
      </w:pPr>
      <w:r w:rsidRPr="00B16D4A">
        <w:rPr>
          <w:rFonts w:cs="Arial"/>
          <w:lang w:val="fr-CH"/>
        </w:rPr>
        <w:t>Variétés indiquées à titre d</w:t>
      </w:r>
      <w:r w:rsidR="001E6289">
        <w:rPr>
          <w:rFonts w:cs="Arial"/>
          <w:lang w:val="fr-CH"/>
        </w:rPr>
        <w:t>’</w:t>
      </w:r>
      <w:r w:rsidRPr="00B16D4A">
        <w:rPr>
          <w:rFonts w:cs="Arial"/>
          <w:lang w:val="fr-CH"/>
        </w:rPr>
        <w:t>exemple;</w:t>
      </w:r>
    </w:p>
    <w:p w:rsidR="007C5A8F" w:rsidRPr="00B16D4A" w:rsidRDefault="00C667F1" w:rsidP="00C667F1">
      <w:pPr>
        <w:numPr>
          <w:ilvl w:val="0"/>
          <w:numId w:val="14"/>
        </w:numPr>
        <w:spacing w:line="276" w:lineRule="auto"/>
        <w:rPr>
          <w:rFonts w:cs="Arial"/>
          <w:lang w:val="fr-CH"/>
        </w:rPr>
      </w:pPr>
      <w:r w:rsidRPr="00B16D4A">
        <w:rPr>
          <w:rFonts w:cs="Arial"/>
          <w:lang w:val="fr-CH"/>
        </w:rPr>
        <w:t>Processus d</w:t>
      </w:r>
      <w:r w:rsidR="001E6289">
        <w:rPr>
          <w:rFonts w:cs="Arial"/>
          <w:lang w:val="fr-CH"/>
        </w:rPr>
        <w:t>’</w:t>
      </w:r>
      <w:r w:rsidRPr="00B16D4A">
        <w:rPr>
          <w:rFonts w:cs="Arial"/>
          <w:lang w:val="fr-CH"/>
        </w:rPr>
        <w:t>élaboration des principes directeurs d</w:t>
      </w:r>
      <w:r w:rsidR="001E6289">
        <w:rPr>
          <w:rFonts w:cs="Arial"/>
          <w:lang w:val="fr-CH"/>
        </w:rPr>
        <w:t>’</w:t>
      </w:r>
      <w:r w:rsidRPr="00B16D4A">
        <w:rPr>
          <w:rFonts w:cs="Arial"/>
          <w:lang w:val="fr-CH"/>
        </w:rPr>
        <w:t xml:space="preserve">examen, </w:t>
      </w:r>
      <w:r w:rsidR="001E6289">
        <w:rPr>
          <w:rFonts w:cs="Arial"/>
          <w:lang w:val="fr-CH"/>
        </w:rPr>
        <w:t>y compris</w:t>
      </w:r>
      <w:r w:rsidRPr="00B16D4A">
        <w:rPr>
          <w:rFonts w:cs="Arial"/>
          <w:lang w:val="fr-CH"/>
        </w:rPr>
        <w:t xml:space="preserve"> modèle de principes directeurs d</w:t>
      </w:r>
      <w:r w:rsidR="001E6289">
        <w:rPr>
          <w:rFonts w:cs="Arial"/>
          <w:lang w:val="fr-CH"/>
        </w:rPr>
        <w:t>’</w:t>
      </w:r>
      <w:r w:rsidRPr="00B16D4A">
        <w:rPr>
          <w:rFonts w:cs="Arial"/>
          <w:lang w:val="fr-CH"/>
        </w:rPr>
        <w:t xml:space="preserve">examen fondé sur le </w:t>
      </w:r>
      <w:proofErr w:type="gramStart"/>
      <w:r w:rsidRPr="00B16D4A">
        <w:rPr>
          <w:rFonts w:cs="Arial"/>
          <w:lang w:val="fr-CH"/>
        </w:rPr>
        <w:t>Web;  texte</w:t>
      </w:r>
      <w:proofErr w:type="gramEnd"/>
      <w:r w:rsidRPr="00B16D4A">
        <w:rPr>
          <w:rFonts w:cs="Arial"/>
          <w:lang w:val="fr-CH"/>
        </w:rPr>
        <w:t xml:space="preserve"> standard supplé</w:t>
      </w:r>
      <w:r w:rsidR="00DD73DD">
        <w:rPr>
          <w:rFonts w:cs="Arial"/>
          <w:lang w:val="fr-CH"/>
        </w:rPr>
        <w:t>mentaire;  et notes indicatives;</w:t>
      </w:r>
    </w:p>
    <w:p w:rsidR="007C5A8F" w:rsidRPr="00B16D4A" w:rsidRDefault="00C667F1" w:rsidP="00C667F1">
      <w:pPr>
        <w:numPr>
          <w:ilvl w:val="0"/>
          <w:numId w:val="13"/>
        </w:numPr>
        <w:spacing w:line="276" w:lineRule="auto"/>
        <w:rPr>
          <w:rFonts w:cs="Arial"/>
          <w:lang w:val="fr-CH"/>
        </w:rPr>
      </w:pPr>
      <w:r w:rsidRPr="00B16D4A">
        <w:rPr>
          <w:rFonts w:cs="Arial"/>
          <w:lang w:val="fr-CH"/>
        </w:rPr>
        <w:t>Procédure d</w:t>
      </w:r>
      <w:r w:rsidR="001E6289">
        <w:rPr>
          <w:rFonts w:cs="Arial"/>
          <w:lang w:val="fr-CH"/>
        </w:rPr>
        <w:t>’</w:t>
      </w:r>
      <w:r w:rsidRPr="00B16D4A">
        <w:rPr>
          <w:rFonts w:cs="Arial"/>
          <w:lang w:val="fr-CH"/>
        </w:rPr>
        <w:t>adoption des principes directeurs d</w:t>
      </w:r>
      <w:r w:rsidR="001E6289">
        <w:rPr>
          <w:rFonts w:cs="Arial"/>
          <w:lang w:val="fr-CH"/>
        </w:rPr>
        <w:t>’</w:t>
      </w:r>
      <w:r w:rsidRPr="00B16D4A">
        <w:rPr>
          <w:rFonts w:cs="Arial"/>
          <w:lang w:val="fr-CH"/>
        </w:rPr>
        <w:t>examen par correspondance</w:t>
      </w:r>
    </w:p>
    <w:p w:rsidR="007C5A8F" w:rsidRPr="00B16D4A" w:rsidRDefault="00C667F1" w:rsidP="00C667F1">
      <w:pPr>
        <w:numPr>
          <w:ilvl w:val="0"/>
          <w:numId w:val="13"/>
        </w:numPr>
        <w:spacing w:line="276" w:lineRule="auto"/>
        <w:rPr>
          <w:rFonts w:cs="Arial"/>
          <w:lang w:val="fr-CH"/>
        </w:rPr>
      </w:pPr>
      <w:r w:rsidRPr="00B16D4A">
        <w:rPr>
          <w:rFonts w:cs="Arial"/>
          <w:lang w:val="fr-CH"/>
        </w:rPr>
        <w:t>Rôle de l</w:t>
      </w:r>
      <w:r w:rsidR="001E6289">
        <w:rPr>
          <w:rFonts w:cs="Arial"/>
          <w:lang w:val="fr-CH"/>
        </w:rPr>
        <w:t>’</w:t>
      </w:r>
      <w:r w:rsidRPr="00B16D4A">
        <w:rPr>
          <w:rFonts w:cs="Arial"/>
          <w:lang w:val="fr-CH"/>
        </w:rPr>
        <w:t>expert principal qui rédige les principes directeurs d</w:t>
      </w:r>
      <w:r w:rsidR="001E6289">
        <w:rPr>
          <w:rFonts w:cs="Arial"/>
          <w:lang w:val="fr-CH"/>
        </w:rPr>
        <w:t>’</w:t>
      </w:r>
      <w:r w:rsidRPr="00B16D4A">
        <w:rPr>
          <w:rFonts w:cs="Arial"/>
          <w:lang w:val="fr-CH"/>
        </w:rPr>
        <w:t>examen et informations sur sa participation en qualité d</w:t>
      </w:r>
      <w:r w:rsidR="001E6289">
        <w:rPr>
          <w:rFonts w:cs="Arial"/>
          <w:lang w:val="fr-CH"/>
        </w:rPr>
        <w:t>’</w:t>
      </w:r>
      <w:r w:rsidRPr="00B16D4A">
        <w:rPr>
          <w:rFonts w:cs="Arial"/>
          <w:lang w:val="fr-CH"/>
        </w:rPr>
        <w:t>expert intéressé</w:t>
      </w:r>
    </w:p>
    <w:p w:rsidR="007C5A8F" w:rsidRPr="00B16D4A" w:rsidRDefault="00C667F1" w:rsidP="00C667F1">
      <w:pPr>
        <w:numPr>
          <w:ilvl w:val="0"/>
          <w:numId w:val="13"/>
        </w:numPr>
        <w:spacing w:line="276" w:lineRule="auto"/>
        <w:rPr>
          <w:rFonts w:cs="Arial"/>
          <w:lang w:val="fr-CH"/>
        </w:rPr>
      </w:pPr>
      <w:r w:rsidRPr="00B16D4A">
        <w:rPr>
          <w:rFonts w:cs="Arial"/>
          <w:lang w:val="fr-CH"/>
        </w:rPr>
        <w:lastRenderedPageBreak/>
        <w:t>Possibilités de coopération internationale en matière d</w:t>
      </w:r>
      <w:r w:rsidR="001E6289">
        <w:rPr>
          <w:rFonts w:cs="Arial"/>
          <w:lang w:val="fr-CH"/>
        </w:rPr>
        <w:t>’</w:t>
      </w:r>
      <w:r w:rsidRPr="00B16D4A">
        <w:rPr>
          <w:rFonts w:cs="Arial"/>
          <w:lang w:val="fr-CH"/>
        </w:rPr>
        <w:t>examen</w:t>
      </w:r>
      <w:r w:rsidR="00C75DC8">
        <w:rPr>
          <w:rFonts w:cs="Arial"/>
          <w:lang w:val="fr-CH"/>
        </w:rPr>
        <w:t> </w:t>
      </w:r>
      <w:r w:rsidRPr="00B16D4A">
        <w:rPr>
          <w:rFonts w:cs="Arial"/>
          <w:lang w:val="fr-CH"/>
        </w:rPr>
        <w:t>DHS</w:t>
      </w:r>
    </w:p>
    <w:p w:rsidR="007C5A8F" w:rsidRPr="00B16D4A" w:rsidRDefault="00C667F1" w:rsidP="00C667F1">
      <w:pPr>
        <w:numPr>
          <w:ilvl w:val="0"/>
          <w:numId w:val="13"/>
        </w:numPr>
        <w:spacing w:line="276" w:lineRule="auto"/>
        <w:rPr>
          <w:rFonts w:cs="Arial"/>
          <w:lang w:val="fr-CH"/>
        </w:rPr>
      </w:pPr>
      <w:r w:rsidRPr="00B16D4A">
        <w:rPr>
          <w:rFonts w:cs="Arial"/>
          <w:lang w:val="fr-CH"/>
        </w:rPr>
        <w:t>Ordre du jour de la session</w:t>
      </w:r>
      <w:r w:rsidR="001E6289" w:rsidRPr="00B16D4A">
        <w:rPr>
          <w:rFonts w:cs="Arial"/>
          <w:lang w:val="fr-CH"/>
        </w:rPr>
        <w:t xml:space="preserve"> du</w:t>
      </w:r>
      <w:r w:rsidR="001E6289">
        <w:rPr>
          <w:rFonts w:cs="Arial"/>
          <w:lang w:val="fr-CH"/>
        </w:rPr>
        <w:t> </w:t>
      </w:r>
      <w:r w:rsidR="001E6289" w:rsidRPr="00B16D4A">
        <w:rPr>
          <w:rFonts w:cs="Arial"/>
          <w:lang w:val="fr-CH"/>
        </w:rPr>
        <w:t>TWP</w:t>
      </w:r>
    </w:p>
    <w:p w:rsidR="007C5A8F" w:rsidRPr="00DD73DD" w:rsidRDefault="00C667F1" w:rsidP="00C667F1">
      <w:pPr>
        <w:numPr>
          <w:ilvl w:val="0"/>
          <w:numId w:val="13"/>
        </w:numPr>
        <w:spacing w:line="276" w:lineRule="auto"/>
        <w:rPr>
          <w:rFonts w:cs="Arial"/>
        </w:rPr>
      </w:pPr>
      <w:r w:rsidRPr="00DD73DD">
        <w:rPr>
          <w:rFonts w:cs="Arial"/>
          <w:lang w:val="fr-CH"/>
        </w:rPr>
        <w:t>Réactions</w:t>
      </w:r>
      <w:r w:rsidRPr="00DD73DD">
        <w:rPr>
          <w:rFonts w:cs="Arial"/>
        </w:rPr>
        <w:t xml:space="preserve"> des participants</w:t>
      </w:r>
    </w:p>
    <w:p w:rsidR="007C5A8F" w:rsidRPr="00DD73DD" w:rsidRDefault="007C5A8F" w:rsidP="008B3448">
      <w:pPr>
        <w:rPr>
          <w:rFonts w:cs="Arial"/>
        </w:rPr>
      </w:pPr>
    </w:p>
    <w:p w:rsidR="007C5A8F" w:rsidRPr="00DD73DD" w:rsidRDefault="008B3448" w:rsidP="00C667F1">
      <w:pPr>
        <w:keepNext/>
        <w:keepLines/>
        <w:rPr>
          <w:rFonts w:cs="Arial"/>
          <w:lang w:val="fr-CH"/>
        </w:rPr>
      </w:pPr>
      <w:r w:rsidRPr="00DD73DD">
        <w:rPr>
          <w:rFonts w:cs="Arial"/>
        </w:rPr>
        <w:fldChar w:fldCharType="begin"/>
      </w:r>
      <w:r w:rsidRPr="00DD73DD">
        <w:rPr>
          <w:rFonts w:cs="Arial"/>
          <w:lang w:val="fr-CH"/>
        </w:rPr>
        <w:instrText xml:space="preserve"> AUTONUM  </w:instrText>
      </w:r>
      <w:r w:rsidRPr="00DD73DD">
        <w:rPr>
          <w:rFonts w:cs="Arial"/>
        </w:rPr>
        <w:fldChar w:fldCharType="end"/>
      </w:r>
      <w:r w:rsidRPr="00DD73DD">
        <w:rPr>
          <w:rFonts w:cs="Arial"/>
          <w:lang w:val="fr-CH"/>
        </w:rPr>
        <w:tab/>
      </w:r>
      <w:r w:rsidR="00C667F1" w:rsidRPr="00DD73DD">
        <w:rPr>
          <w:rFonts w:cs="Arial"/>
          <w:lang w:val="fr-CH"/>
        </w:rPr>
        <w:t>Il est proposé que les éléments ci</w:t>
      </w:r>
      <w:r w:rsidR="001E6289">
        <w:rPr>
          <w:rFonts w:cs="Arial"/>
          <w:lang w:val="fr-CH"/>
        </w:rPr>
        <w:t>-</w:t>
      </w:r>
      <w:r w:rsidR="00C667F1" w:rsidRPr="00DD73DD">
        <w:rPr>
          <w:rFonts w:cs="Arial"/>
          <w:lang w:val="fr-CH"/>
        </w:rPr>
        <w:t>après soient présentés comme une introduction aux points de l</w:t>
      </w:r>
      <w:r w:rsidR="001E6289">
        <w:rPr>
          <w:rFonts w:cs="Arial"/>
          <w:lang w:val="fr-CH"/>
        </w:rPr>
        <w:t>’</w:t>
      </w:r>
      <w:r w:rsidR="00C667F1" w:rsidRPr="00DD73DD">
        <w:rPr>
          <w:rFonts w:cs="Arial"/>
          <w:lang w:val="fr-CH"/>
        </w:rPr>
        <w:t>ordre du jour correspondants au cours du déroulement normal des sessions</w:t>
      </w:r>
      <w:r w:rsidR="001E6289" w:rsidRPr="00DD73DD">
        <w:rPr>
          <w:rFonts w:cs="Arial"/>
          <w:lang w:val="fr-CH"/>
        </w:rPr>
        <w:t xml:space="preserve"> du</w:t>
      </w:r>
      <w:r w:rsidR="001E6289">
        <w:rPr>
          <w:rFonts w:cs="Arial"/>
          <w:lang w:val="fr-CH"/>
        </w:rPr>
        <w:t> </w:t>
      </w:r>
      <w:r w:rsidR="001E6289" w:rsidRPr="00DD73DD">
        <w:rPr>
          <w:rFonts w:cs="Arial"/>
          <w:lang w:val="fr-CH"/>
        </w:rPr>
        <w:t>TWC</w:t>
      </w:r>
      <w:r w:rsidR="00C667F1" w:rsidRPr="00DD73DD">
        <w:rPr>
          <w:rFonts w:cs="Arial"/>
          <w:lang w:val="fr-CH"/>
        </w:rPr>
        <w:t xml:space="preserve"> et</w:t>
      </w:r>
      <w:r w:rsidR="001E6289" w:rsidRPr="00DD73DD">
        <w:rPr>
          <w:rFonts w:cs="Arial"/>
          <w:lang w:val="fr-CH"/>
        </w:rPr>
        <w:t xml:space="preserve"> du</w:t>
      </w:r>
      <w:r w:rsidR="001E6289">
        <w:rPr>
          <w:rFonts w:cs="Arial"/>
          <w:lang w:val="fr-CH"/>
        </w:rPr>
        <w:t> </w:t>
      </w:r>
      <w:r w:rsidR="001E6289" w:rsidRPr="00DD73DD">
        <w:rPr>
          <w:rFonts w:cs="Arial"/>
          <w:lang w:val="fr-CH"/>
        </w:rPr>
        <w:t>BMT</w:t>
      </w:r>
      <w:r w:rsidR="00C667F1" w:rsidRPr="00DD73DD">
        <w:rPr>
          <w:rFonts w:cs="Arial"/>
          <w:lang w:val="fr-CH"/>
        </w:rPr>
        <w:t xml:space="preserve"> en</w:t>
      </w:r>
      <w:r w:rsidR="00DD73DD">
        <w:rPr>
          <w:rFonts w:cs="Arial"/>
          <w:lang w:val="fr-CH"/>
        </w:rPr>
        <w:t> </w:t>
      </w:r>
      <w:r w:rsidR="00C667F1" w:rsidRPr="00DD73DD">
        <w:rPr>
          <w:rFonts w:cs="Arial"/>
          <w:lang w:val="fr-CH"/>
        </w:rPr>
        <w:t>2020</w:t>
      </w:r>
      <w:r w:rsidR="001E6289">
        <w:rPr>
          <w:rFonts w:cs="Arial"/>
          <w:lang w:val="fr-CH"/>
        </w:rPr>
        <w:t> :</w:t>
      </w:r>
    </w:p>
    <w:p w:rsidR="007C5A8F" w:rsidRPr="00DD73DD" w:rsidRDefault="007C5A8F" w:rsidP="00271E0A">
      <w:pPr>
        <w:keepNext/>
        <w:keepLines/>
        <w:rPr>
          <w:rFonts w:cs="Arial"/>
          <w:lang w:val="fr-CH"/>
        </w:rPr>
      </w:pPr>
    </w:p>
    <w:p w:rsidR="007C5A8F" w:rsidRPr="00DD73DD" w:rsidRDefault="00C667F1" w:rsidP="00C667F1">
      <w:pPr>
        <w:keepNext/>
        <w:keepLines/>
        <w:numPr>
          <w:ilvl w:val="0"/>
          <w:numId w:val="11"/>
        </w:numPr>
        <w:spacing w:line="276" w:lineRule="auto"/>
        <w:rPr>
          <w:rFonts w:cs="Arial"/>
          <w:lang w:val="fr-CH"/>
        </w:rPr>
      </w:pPr>
      <w:r w:rsidRPr="00DD73DD">
        <w:rPr>
          <w:rFonts w:cs="Arial"/>
          <w:lang w:val="fr-CH"/>
        </w:rPr>
        <w:t>Présentation de l</w:t>
      </w:r>
      <w:r w:rsidR="001E6289">
        <w:rPr>
          <w:rFonts w:cs="Arial"/>
          <w:lang w:val="fr-CH"/>
        </w:rPr>
        <w:t>’</w:t>
      </w:r>
      <w:r w:rsidRPr="00DD73DD">
        <w:rPr>
          <w:rFonts w:cs="Arial"/>
          <w:lang w:val="fr-CH"/>
        </w:rPr>
        <w:t>UPOV et du rôle</w:t>
      </w:r>
      <w:r w:rsidR="001E6289" w:rsidRPr="00DD73DD">
        <w:rPr>
          <w:rFonts w:cs="Arial"/>
          <w:lang w:val="fr-CH"/>
        </w:rPr>
        <w:t xml:space="preserve"> des</w:t>
      </w:r>
      <w:r w:rsidR="001E6289">
        <w:rPr>
          <w:rFonts w:cs="Arial"/>
          <w:lang w:val="fr-CH"/>
        </w:rPr>
        <w:t> </w:t>
      </w:r>
      <w:r w:rsidR="001E6289" w:rsidRPr="00DD73DD">
        <w:rPr>
          <w:rFonts w:cs="Arial"/>
          <w:lang w:val="fr-CH"/>
        </w:rPr>
        <w:t>TWP</w:t>
      </w:r>
      <w:r w:rsidRPr="00DD73DD">
        <w:rPr>
          <w:rFonts w:cs="Arial"/>
          <w:lang w:val="fr-CH"/>
        </w:rPr>
        <w:t xml:space="preserve"> et</w:t>
      </w:r>
      <w:r w:rsidR="001E6289" w:rsidRPr="00DD73DD">
        <w:rPr>
          <w:rFonts w:cs="Arial"/>
          <w:lang w:val="fr-CH"/>
        </w:rPr>
        <w:t xml:space="preserve"> du</w:t>
      </w:r>
      <w:r w:rsidR="001E6289">
        <w:rPr>
          <w:rFonts w:cs="Arial"/>
          <w:lang w:val="fr-CH"/>
        </w:rPr>
        <w:t> </w:t>
      </w:r>
      <w:r w:rsidR="001E6289" w:rsidRPr="00DD73DD">
        <w:rPr>
          <w:rFonts w:cs="Arial"/>
          <w:lang w:val="fr-CH"/>
        </w:rPr>
        <w:t>BMT</w:t>
      </w:r>
    </w:p>
    <w:p w:rsidR="007C5A8F" w:rsidRPr="00DD73DD" w:rsidRDefault="00C667F1" w:rsidP="00C667F1">
      <w:pPr>
        <w:keepNext/>
        <w:keepLines/>
        <w:numPr>
          <w:ilvl w:val="0"/>
          <w:numId w:val="11"/>
        </w:numPr>
        <w:spacing w:line="276" w:lineRule="auto"/>
        <w:ind w:left="1134" w:hanging="567"/>
        <w:rPr>
          <w:rFonts w:cs="Arial"/>
          <w:lang w:val="fr-CH"/>
        </w:rPr>
      </w:pPr>
      <w:r w:rsidRPr="00DD73DD">
        <w:rPr>
          <w:rFonts w:cs="Arial"/>
          <w:lang w:val="fr-CH"/>
        </w:rPr>
        <w:t>Aperçu de l</w:t>
      </w:r>
      <w:r w:rsidR="001E6289">
        <w:rPr>
          <w:rFonts w:cs="Arial"/>
          <w:lang w:val="fr-CH"/>
        </w:rPr>
        <w:t>’</w:t>
      </w:r>
      <w:r w:rsidRPr="00DD73DD">
        <w:rPr>
          <w:rFonts w:cs="Arial"/>
          <w:lang w:val="fr-CH"/>
        </w:rPr>
        <w:t>introduction générale (document</w:t>
      </w:r>
      <w:r w:rsidR="00C736DF">
        <w:rPr>
          <w:rFonts w:cs="Arial"/>
          <w:lang w:val="fr-CH"/>
        </w:rPr>
        <w:t> </w:t>
      </w:r>
      <w:r w:rsidRPr="00DD73DD">
        <w:rPr>
          <w:rFonts w:cs="Arial"/>
          <w:lang w:val="fr-CH"/>
        </w:rPr>
        <w:t>TG/1/3 et documents TGP)</w:t>
      </w:r>
    </w:p>
    <w:p w:rsidR="007C5A8F" w:rsidRPr="00DD73DD" w:rsidRDefault="00C667F1" w:rsidP="00C667F1">
      <w:pPr>
        <w:keepNext/>
        <w:keepLines/>
        <w:numPr>
          <w:ilvl w:val="0"/>
          <w:numId w:val="11"/>
        </w:numPr>
        <w:spacing w:line="276" w:lineRule="auto"/>
        <w:ind w:left="1134" w:hanging="567"/>
        <w:rPr>
          <w:rFonts w:cs="Arial"/>
          <w:lang w:val="fr-CH"/>
        </w:rPr>
      </w:pPr>
      <w:r w:rsidRPr="00DD73DD">
        <w:rPr>
          <w:rFonts w:cs="Arial"/>
          <w:lang w:val="fr-CH"/>
        </w:rPr>
        <w:t>Aperçu des essais DHS et des principes directeurs d</w:t>
      </w:r>
      <w:r w:rsidR="001E6289">
        <w:rPr>
          <w:rFonts w:cs="Arial"/>
          <w:lang w:val="fr-CH"/>
        </w:rPr>
        <w:t>’</w:t>
      </w:r>
      <w:r w:rsidRPr="00DD73DD">
        <w:rPr>
          <w:rFonts w:cs="Arial"/>
          <w:lang w:val="fr-CH"/>
        </w:rPr>
        <w:t>examen</w:t>
      </w:r>
    </w:p>
    <w:p w:rsidR="007C5A8F" w:rsidRPr="00DD73DD" w:rsidRDefault="00C667F1" w:rsidP="00C667F1">
      <w:pPr>
        <w:keepNext/>
        <w:keepLines/>
        <w:numPr>
          <w:ilvl w:val="0"/>
          <w:numId w:val="11"/>
        </w:numPr>
        <w:spacing w:line="276" w:lineRule="auto"/>
        <w:ind w:left="1134" w:hanging="567"/>
        <w:rPr>
          <w:rFonts w:cs="Arial"/>
          <w:lang w:val="fr-CH"/>
        </w:rPr>
      </w:pPr>
      <w:r w:rsidRPr="00DD73DD">
        <w:rPr>
          <w:rFonts w:cs="Arial"/>
          <w:lang w:val="fr-CH"/>
        </w:rPr>
        <w:t>Ressources en ligne de l</w:t>
      </w:r>
      <w:r w:rsidR="001E6289">
        <w:rPr>
          <w:rFonts w:cs="Arial"/>
          <w:lang w:val="fr-CH"/>
        </w:rPr>
        <w:t>’</w:t>
      </w:r>
      <w:r w:rsidRPr="00DD73DD">
        <w:rPr>
          <w:rFonts w:cs="Arial"/>
          <w:lang w:val="fr-CH"/>
        </w:rPr>
        <w:t>UPOV</w:t>
      </w:r>
    </w:p>
    <w:p w:rsidR="007C5A8F" w:rsidRPr="00DD73DD" w:rsidRDefault="00C667F1" w:rsidP="00C667F1">
      <w:pPr>
        <w:numPr>
          <w:ilvl w:val="2"/>
          <w:numId w:val="12"/>
        </w:numPr>
        <w:spacing w:line="276" w:lineRule="auto"/>
        <w:ind w:left="1701" w:hanging="567"/>
        <w:rPr>
          <w:rFonts w:cs="Arial"/>
          <w:lang w:val="fr-CH"/>
        </w:rPr>
      </w:pPr>
      <w:r w:rsidRPr="00DD73DD">
        <w:rPr>
          <w:rFonts w:cs="Arial"/>
          <w:lang w:val="fr-CH"/>
        </w:rPr>
        <w:t>Législations des membres de l</w:t>
      </w:r>
      <w:r w:rsidR="001E6289">
        <w:rPr>
          <w:rFonts w:cs="Arial"/>
          <w:lang w:val="fr-CH"/>
        </w:rPr>
        <w:t>’</w:t>
      </w:r>
      <w:r w:rsidRPr="00DD73DD">
        <w:rPr>
          <w:rFonts w:cs="Arial"/>
          <w:lang w:val="fr-CH"/>
        </w:rPr>
        <w:t>UPOV</w:t>
      </w:r>
      <w:r w:rsidR="001E6289">
        <w:rPr>
          <w:rFonts w:cs="Arial"/>
          <w:lang w:val="fr-CH"/>
        </w:rPr>
        <w:t> :</w:t>
      </w:r>
      <w:r w:rsidRPr="00DD73DD">
        <w:rPr>
          <w:rFonts w:cs="Arial"/>
          <w:lang w:val="fr-CH"/>
        </w:rPr>
        <w:t xml:space="preserve"> UPOV </w:t>
      </w:r>
      <w:proofErr w:type="spellStart"/>
      <w:r w:rsidRPr="00DD73DD">
        <w:rPr>
          <w:rFonts w:cs="Arial"/>
          <w:lang w:val="fr-CH"/>
        </w:rPr>
        <w:t>Lex</w:t>
      </w:r>
      <w:proofErr w:type="spellEnd"/>
      <w:r w:rsidRPr="00DD73DD">
        <w:rPr>
          <w:rFonts w:cs="Arial"/>
          <w:lang w:val="fr-CH"/>
        </w:rPr>
        <w:t>, base de données GENIE</w:t>
      </w:r>
      <w:r w:rsidR="00DD73DD">
        <w:rPr>
          <w:rFonts w:cs="Arial"/>
          <w:lang w:val="fr-CH"/>
        </w:rPr>
        <w:t>;</w:t>
      </w:r>
    </w:p>
    <w:p w:rsidR="007C5A8F" w:rsidRPr="00DD73DD" w:rsidRDefault="00C667F1" w:rsidP="00C667F1">
      <w:pPr>
        <w:numPr>
          <w:ilvl w:val="2"/>
          <w:numId w:val="12"/>
        </w:numPr>
        <w:spacing w:line="276" w:lineRule="auto"/>
        <w:ind w:left="1701" w:hanging="567"/>
        <w:rPr>
          <w:rFonts w:cs="Arial"/>
          <w:spacing w:val="-2"/>
          <w:lang w:val="fr-CH"/>
        </w:rPr>
      </w:pPr>
      <w:r w:rsidRPr="00DD73DD">
        <w:rPr>
          <w:rFonts w:cs="Arial"/>
          <w:spacing w:val="-2"/>
          <w:lang w:val="fr-CH"/>
        </w:rPr>
        <w:t>Demandes de droit d</w:t>
      </w:r>
      <w:r w:rsidR="001E6289">
        <w:rPr>
          <w:rFonts w:cs="Arial"/>
          <w:spacing w:val="-2"/>
          <w:lang w:val="fr-CH"/>
        </w:rPr>
        <w:t>’</w:t>
      </w:r>
      <w:r w:rsidRPr="00DD73DD">
        <w:rPr>
          <w:rFonts w:cs="Arial"/>
          <w:spacing w:val="-2"/>
          <w:lang w:val="fr-CH"/>
        </w:rPr>
        <w:t>obtenteur</w:t>
      </w:r>
      <w:r w:rsidR="001E6289">
        <w:rPr>
          <w:rFonts w:cs="Arial"/>
          <w:spacing w:val="-2"/>
          <w:lang w:val="fr-CH"/>
        </w:rPr>
        <w:t> :</w:t>
      </w:r>
      <w:r w:rsidRPr="00DD73DD">
        <w:rPr>
          <w:rFonts w:cs="Arial"/>
          <w:spacing w:val="-2"/>
          <w:lang w:val="fr-CH"/>
        </w:rPr>
        <w:t xml:space="preserve"> l</w:t>
      </w:r>
      <w:r w:rsidR="001E6289">
        <w:rPr>
          <w:rFonts w:cs="Arial"/>
          <w:spacing w:val="-2"/>
          <w:lang w:val="fr-CH"/>
        </w:rPr>
        <w:t>’</w:t>
      </w:r>
      <w:r w:rsidRPr="00DD73DD">
        <w:rPr>
          <w:rFonts w:cs="Arial"/>
          <w:spacing w:val="-2"/>
          <w:lang w:val="fr-CH"/>
        </w:rPr>
        <w:t>outil de demande de droit d</w:t>
      </w:r>
      <w:r w:rsidR="001E6289">
        <w:rPr>
          <w:rFonts w:cs="Arial"/>
          <w:spacing w:val="-2"/>
          <w:lang w:val="fr-CH"/>
        </w:rPr>
        <w:t>’</w:t>
      </w:r>
      <w:r w:rsidRPr="00DD73DD">
        <w:rPr>
          <w:rFonts w:cs="Arial"/>
          <w:spacing w:val="-2"/>
          <w:lang w:val="fr-CH"/>
        </w:rPr>
        <w:t>obtenteur UPOV PRISMA</w:t>
      </w:r>
      <w:r w:rsidR="00DD73DD">
        <w:rPr>
          <w:rFonts w:cs="Arial"/>
          <w:spacing w:val="-2"/>
          <w:lang w:val="fr-CH"/>
        </w:rPr>
        <w:t>;</w:t>
      </w:r>
    </w:p>
    <w:p w:rsidR="007C5A8F" w:rsidRPr="00DD73DD" w:rsidRDefault="00C667F1" w:rsidP="00C667F1">
      <w:pPr>
        <w:numPr>
          <w:ilvl w:val="2"/>
          <w:numId w:val="12"/>
        </w:numPr>
        <w:spacing w:line="276" w:lineRule="auto"/>
        <w:ind w:left="1701" w:hanging="567"/>
        <w:rPr>
          <w:rFonts w:cs="Arial"/>
          <w:spacing w:val="-2"/>
          <w:lang w:val="fr-CH"/>
        </w:rPr>
      </w:pPr>
      <w:r w:rsidRPr="00DD73DD">
        <w:rPr>
          <w:rFonts w:cs="Arial"/>
          <w:spacing w:val="-2"/>
          <w:lang w:val="fr-CH"/>
        </w:rPr>
        <w:t>Examen DHS</w:t>
      </w:r>
      <w:r w:rsidR="001E6289">
        <w:rPr>
          <w:rFonts w:cs="Arial"/>
          <w:spacing w:val="-2"/>
          <w:lang w:val="fr-CH"/>
        </w:rPr>
        <w:t> :</w:t>
      </w:r>
      <w:r w:rsidRPr="00DD73DD">
        <w:rPr>
          <w:rFonts w:cs="Arial"/>
          <w:spacing w:val="-2"/>
          <w:lang w:val="fr-CH"/>
        </w:rPr>
        <w:t xml:space="preserve"> base de données GENIE, modèle de principes directeurs d</w:t>
      </w:r>
      <w:r w:rsidR="001E6289">
        <w:rPr>
          <w:rFonts w:cs="Arial"/>
          <w:spacing w:val="-2"/>
          <w:lang w:val="fr-CH"/>
        </w:rPr>
        <w:t>’</w:t>
      </w:r>
      <w:r w:rsidRPr="00DD73DD">
        <w:rPr>
          <w:rFonts w:cs="Arial"/>
          <w:spacing w:val="-2"/>
          <w:lang w:val="fr-CH"/>
        </w:rPr>
        <w:t>examen fondé sur le Web, Code UPOV</w:t>
      </w:r>
      <w:r w:rsidR="00DD73DD">
        <w:rPr>
          <w:rFonts w:cs="Arial"/>
          <w:spacing w:val="-2"/>
          <w:lang w:val="fr-CH"/>
        </w:rPr>
        <w:t>;</w:t>
      </w:r>
    </w:p>
    <w:p w:rsidR="007C5A8F" w:rsidRPr="00DD73DD" w:rsidRDefault="00C667F1" w:rsidP="00C667F1">
      <w:pPr>
        <w:numPr>
          <w:ilvl w:val="2"/>
          <w:numId w:val="12"/>
        </w:numPr>
        <w:spacing w:line="276" w:lineRule="auto"/>
        <w:ind w:left="1701" w:hanging="567"/>
        <w:rPr>
          <w:rFonts w:cs="Arial"/>
          <w:spacing w:val="-2"/>
          <w:lang w:val="fr-CH"/>
        </w:rPr>
      </w:pPr>
      <w:r w:rsidRPr="00DD73DD">
        <w:rPr>
          <w:rFonts w:cs="Arial"/>
          <w:spacing w:val="-2"/>
          <w:lang w:val="fr-CH"/>
        </w:rPr>
        <w:t>Dénomination variétale/nouveauté</w:t>
      </w:r>
      <w:r w:rsidR="001E6289">
        <w:rPr>
          <w:rFonts w:cs="Arial"/>
          <w:spacing w:val="-2"/>
          <w:lang w:val="fr-CH"/>
        </w:rPr>
        <w:t> :</w:t>
      </w:r>
      <w:r w:rsidRPr="00DD73DD">
        <w:rPr>
          <w:rFonts w:cs="Arial"/>
          <w:spacing w:val="-2"/>
          <w:lang w:val="fr-CH"/>
        </w:rPr>
        <w:t xml:space="preserve"> base de données PLUTO</w:t>
      </w:r>
      <w:r w:rsidR="00DD73DD">
        <w:rPr>
          <w:rFonts w:cs="Arial"/>
          <w:spacing w:val="-2"/>
          <w:lang w:val="fr-CH"/>
        </w:rPr>
        <w:t>;</w:t>
      </w:r>
    </w:p>
    <w:p w:rsidR="007C5A8F" w:rsidRPr="00DD73DD" w:rsidRDefault="00C667F1" w:rsidP="00C667F1">
      <w:pPr>
        <w:keepNext/>
        <w:numPr>
          <w:ilvl w:val="0"/>
          <w:numId w:val="11"/>
        </w:numPr>
        <w:spacing w:line="276" w:lineRule="auto"/>
        <w:rPr>
          <w:rFonts w:cs="Arial"/>
          <w:lang w:val="fr-CH"/>
        </w:rPr>
      </w:pPr>
      <w:r w:rsidRPr="00DD73DD">
        <w:rPr>
          <w:rFonts w:cs="Arial"/>
          <w:lang w:val="fr-CH"/>
        </w:rPr>
        <w:t>Situation à l</w:t>
      </w:r>
      <w:r w:rsidR="001E6289">
        <w:rPr>
          <w:rFonts w:cs="Arial"/>
          <w:lang w:val="fr-CH"/>
        </w:rPr>
        <w:t>’</w:t>
      </w:r>
      <w:r w:rsidRPr="00DD73DD">
        <w:rPr>
          <w:rFonts w:cs="Arial"/>
          <w:lang w:val="fr-CH"/>
        </w:rPr>
        <w:t>UPOV concernant l</w:t>
      </w:r>
      <w:r w:rsidR="001E6289">
        <w:rPr>
          <w:rFonts w:cs="Arial"/>
          <w:lang w:val="fr-CH"/>
        </w:rPr>
        <w:t>’</w:t>
      </w:r>
      <w:r w:rsidRPr="00DD73DD">
        <w:rPr>
          <w:rFonts w:cs="Arial"/>
          <w:lang w:val="fr-CH"/>
        </w:rPr>
        <w:t>utilisation éventuelle de techniques moléculaires dans l</w:t>
      </w:r>
      <w:r w:rsidR="001E6289">
        <w:rPr>
          <w:rFonts w:cs="Arial"/>
          <w:lang w:val="fr-CH"/>
        </w:rPr>
        <w:t>’</w:t>
      </w:r>
      <w:r w:rsidRPr="00DD73DD">
        <w:rPr>
          <w:rFonts w:cs="Arial"/>
          <w:lang w:val="fr-CH"/>
        </w:rPr>
        <w:t>examen</w:t>
      </w:r>
      <w:r w:rsidR="00C75DC8">
        <w:rPr>
          <w:rFonts w:cs="Arial"/>
          <w:lang w:val="fr-CH"/>
        </w:rPr>
        <w:t> </w:t>
      </w:r>
      <w:r w:rsidRPr="00DD73DD">
        <w:rPr>
          <w:rFonts w:cs="Arial"/>
          <w:lang w:val="fr-CH"/>
        </w:rPr>
        <w:t>DHS</w:t>
      </w:r>
    </w:p>
    <w:p w:rsidR="007C5A8F" w:rsidRPr="00DD73DD" w:rsidRDefault="00C667F1" w:rsidP="00C667F1">
      <w:pPr>
        <w:keepNext/>
        <w:numPr>
          <w:ilvl w:val="0"/>
          <w:numId w:val="11"/>
        </w:numPr>
        <w:spacing w:line="276" w:lineRule="auto"/>
        <w:rPr>
          <w:rFonts w:cs="Arial"/>
          <w:lang w:val="fr-CH"/>
        </w:rPr>
      </w:pPr>
      <w:r w:rsidRPr="00DD73DD">
        <w:rPr>
          <w:rFonts w:cs="Arial"/>
          <w:lang w:val="fr-CH"/>
        </w:rPr>
        <w:t>La notion de variétés essentiellement dérivées</w:t>
      </w:r>
    </w:p>
    <w:p w:rsidR="007C5A8F" w:rsidRPr="00DD73DD" w:rsidRDefault="00C667F1" w:rsidP="00C667F1">
      <w:pPr>
        <w:keepNext/>
        <w:numPr>
          <w:ilvl w:val="0"/>
          <w:numId w:val="11"/>
        </w:numPr>
        <w:spacing w:line="276" w:lineRule="auto"/>
        <w:rPr>
          <w:rFonts w:cs="Arial"/>
          <w:lang w:val="fr-CH"/>
        </w:rPr>
      </w:pPr>
      <w:r w:rsidRPr="00DD73DD">
        <w:rPr>
          <w:rFonts w:cs="Arial"/>
          <w:lang w:val="fr-CH"/>
        </w:rPr>
        <w:t>Le rôle de l</w:t>
      </w:r>
      <w:r w:rsidR="001E6289">
        <w:rPr>
          <w:rFonts w:cs="Arial"/>
          <w:lang w:val="fr-CH"/>
        </w:rPr>
        <w:t>’</w:t>
      </w:r>
      <w:r w:rsidRPr="00DD73DD">
        <w:rPr>
          <w:rFonts w:cs="Arial"/>
          <w:lang w:val="fr-CH"/>
        </w:rPr>
        <w:t>UPOV dans l</w:t>
      </w:r>
      <w:r w:rsidR="001E6289">
        <w:rPr>
          <w:rFonts w:cs="Arial"/>
          <w:lang w:val="fr-CH"/>
        </w:rPr>
        <w:t>’</w:t>
      </w:r>
      <w:r w:rsidRPr="00DD73DD">
        <w:rPr>
          <w:rFonts w:cs="Arial"/>
          <w:lang w:val="fr-CH"/>
        </w:rPr>
        <w:t>identification des variétés</w:t>
      </w:r>
    </w:p>
    <w:p w:rsidR="007C5A8F" w:rsidRPr="00DD73DD" w:rsidRDefault="00C667F1" w:rsidP="00C667F1">
      <w:pPr>
        <w:numPr>
          <w:ilvl w:val="0"/>
          <w:numId w:val="11"/>
        </w:numPr>
        <w:spacing w:line="276" w:lineRule="auto"/>
        <w:rPr>
          <w:rFonts w:cs="Arial"/>
          <w:lang w:val="fr-CH"/>
        </w:rPr>
      </w:pPr>
      <w:r w:rsidRPr="00DD73DD">
        <w:rPr>
          <w:rFonts w:cs="Arial"/>
          <w:lang w:val="fr-CH"/>
        </w:rPr>
        <w:t>Ordre du jour des sessions</w:t>
      </w:r>
      <w:r w:rsidR="001E6289" w:rsidRPr="00DD73DD">
        <w:rPr>
          <w:rFonts w:cs="Arial"/>
          <w:lang w:val="fr-CH"/>
        </w:rPr>
        <w:t xml:space="preserve"> du</w:t>
      </w:r>
      <w:r w:rsidR="001E6289">
        <w:rPr>
          <w:rFonts w:cs="Arial"/>
          <w:lang w:val="fr-CH"/>
        </w:rPr>
        <w:t> </w:t>
      </w:r>
      <w:r w:rsidR="001E6289" w:rsidRPr="00DD73DD">
        <w:rPr>
          <w:rFonts w:cs="Arial"/>
          <w:lang w:val="fr-CH"/>
        </w:rPr>
        <w:t>TWC</w:t>
      </w:r>
      <w:r w:rsidRPr="00DD73DD">
        <w:rPr>
          <w:rFonts w:cs="Arial"/>
          <w:lang w:val="fr-CH"/>
        </w:rPr>
        <w:t xml:space="preserve"> et</w:t>
      </w:r>
      <w:r w:rsidR="001E6289" w:rsidRPr="00DD73DD">
        <w:rPr>
          <w:rFonts w:cs="Arial"/>
          <w:lang w:val="fr-CH"/>
        </w:rPr>
        <w:t xml:space="preserve"> du</w:t>
      </w:r>
      <w:r w:rsidR="001E6289">
        <w:rPr>
          <w:rFonts w:cs="Arial"/>
          <w:lang w:val="fr-CH"/>
        </w:rPr>
        <w:t> </w:t>
      </w:r>
      <w:r w:rsidR="001E6289" w:rsidRPr="00DD73DD">
        <w:rPr>
          <w:rFonts w:cs="Arial"/>
          <w:lang w:val="fr-CH"/>
        </w:rPr>
        <w:t>BMT</w:t>
      </w:r>
    </w:p>
    <w:p w:rsidR="007C5A8F" w:rsidRPr="00C667F1" w:rsidRDefault="007C5A8F" w:rsidP="008B3448">
      <w:pPr>
        <w:rPr>
          <w:rFonts w:cs="Arial"/>
          <w:lang w:val="fr-CH"/>
        </w:rPr>
      </w:pPr>
    </w:p>
    <w:p w:rsidR="007C5A8F" w:rsidRPr="00DD73DD" w:rsidRDefault="008B3448" w:rsidP="00807ED1">
      <w:pPr>
        <w:pStyle w:val="DecisionParagraphs"/>
        <w:rPr>
          <w:rFonts w:cs="Arial"/>
          <w:lang w:val="fr-CH"/>
        </w:rPr>
      </w:pPr>
      <w:r w:rsidRPr="00DD73DD">
        <w:rPr>
          <w:rFonts w:cs="Arial"/>
        </w:rPr>
        <w:fldChar w:fldCharType="begin"/>
      </w:r>
      <w:r w:rsidRPr="00DD73DD">
        <w:rPr>
          <w:rFonts w:cs="Arial"/>
          <w:lang w:val="fr-CH"/>
        </w:rPr>
        <w:instrText xml:space="preserve"> AUTONUM  </w:instrText>
      </w:r>
      <w:r w:rsidRPr="00DD73DD">
        <w:rPr>
          <w:rFonts w:cs="Arial"/>
        </w:rPr>
        <w:fldChar w:fldCharType="end"/>
      </w:r>
      <w:r w:rsidRPr="00DD73DD">
        <w:rPr>
          <w:rFonts w:cs="Arial"/>
          <w:lang w:val="fr-CH"/>
        </w:rPr>
        <w:tab/>
      </w:r>
      <w:r w:rsidR="00807ED1" w:rsidRPr="00DD73DD">
        <w:rPr>
          <w:rFonts w:cs="Arial"/>
          <w:lang w:val="fr-CH"/>
        </w:rPr>
        <w:t>Le</w:t>
      </w:r>
      <w:r w:rsidR="001E6289">
        <w:rPr>
          <w:rFonts w:cs="Arial"/>
          <w:lang w:val="fr-CH"/>
        </w:rPr>
        <w:t> TC</w:t>
      </w:r>
      <w:r w:rsidR="00807ED1" w:rsidRPr="00DD73DD">
        <w:rPr>
          <w:rFonts w:cs="Arial"/>
          <w:lang w:val="fr-CH"/>
        </w:rPr>
        <w:t xml:space="preserve"> est invité à</w:t>
      </w:r>
    </w:p>
    <w:p w:rsidR="007C5A8F" w:rsidRPr="00DD73DD" w:rsidRDefault="007C5A8F" w:rsidP="008B3448">
      <w:pPr>
        <w:pStyle w:val="DecisionParagraphs"/>
        <w:rPr>
          <w:rFonts w:cs="Arial"/>
          <w:lang w:val="fr-CH"/>
        </w:rPr>
      </w:pPr>
    </w:p>
    <w:p w:rsidR="001E6289" w:rsidRDefault="00807ED1" w:rsidP="00807ED1">
      <w:pPr>
        <w:pStyle w:val="DecisionParagraphs"/>
        <w:numPr>
          <w:ilvl w:val="0"/>
          <w:numId w:val="15"/>
        </w:numPr>
        <w:tabs>
          <w:tab w:val="clear" w:pos="5387"/>
          <w:tab w:val="clear" w:pos="5960"/>
          <w:tab w:val="num" w:pos="5954"/>
        </w:tabs>
        <w:ind w:left="4820" w:firstLine="567"/>
        <w:rPr>
          <w:rFonts w:cs="Arial"/>
          <w:lang w:val="fr-CH"/>
        </w:rPr>
      </w:pPr>
      <w:proofErr w:type="gramStart"/>
      <w:r w:rsidRPr="00DD73DD">
        <w:rPr>
          <w:rFonts w:cs="Arial"/>
          <w:lang w:val="fr-CH"/>
        </w:rPr>
        <w:t>prendre</w:t>
      </w:r>
      <w:proofErr w:type="gramEnd"/>
      <w:r w:rsidRPr="00DD73DD">
        <w:rPr>
          <w:rFonts w:cs="Arial"/>
          <w:lang w:val="fr-CH"/>
        </w:rPr>
        <w:t xml:space="preserve"> note du compte rendu de l</w:t>
      </w:r>
      <w:r w:rsidR="001E6289">
        <w:rPr>
          <w:rFonts w:cs="Arial"/>
          <w:lang w:val="fr-CH"/>
        </w:rPr>
        <w:t>’</w:t>
      </w:r>
      <w:r w:rsidRPr="00DD73DD">
        <w:rPr>
          <w:rFonts w:cs="Arial"/>
          <w:lang w:val="fr-CH"/>
        </w:rPr>
        <w:t>atelier préparatoire tenu par</w:t>
      </w:r>
      <w:r w:rsidR="001E6289" w:rsidRPr="00DD73DD">
        <w:rPr>
          <w:rFonts w:cs="Arial"/>
          <w:lang w:val="fr-CH"/>
        </w:rPr>
        <w:t xml:space="preserve"> le</w:t>
      </w:r>
      <w:r w:rsidR="001E6289">
        <w:rPr>
          <w:rFonts w:cs="Arial"/>
          <w:lang w:val="fr-CH"/>
        </w:rPr>
        <w:t> </w:t>
      </w:r>
      <w:r w:rsidR="001E6289" w:rsidRPr="00DD73DD">
        <w:rPr>
          <w:rFonts w:cs="Arial"/>
          <w:lang w:val="fr-CH"/>
        </w:rPr>
        <w:t>TWO</w:t>
      </w:r>
      <w:r w:rsidRPr="00DD73DD">
        <w:rPr>
          <w:rFonts w:cs="Arial"/>
          <w:lang w:val="fr-CH"/>
        </w:rPr>
        <w:t xml:space="preserve"> en</w:t>
      </w:r>
      <w:r w:rsidR="00DD73DD">
        <w:rPr>
          <w:rFonts w:cs="Arial"/>
          <w:lang w:val="fr-CH"/>
        </w:rPr>
        <w:t> </w:t>
      </w:r>
      <w:r w:rsidRPr="00DD73DD">
        <w:rPr>
          <w:rFonts w:cs="Arial"/>
          <w:lang w:val="fr-CH"/>
        </w:rPr>
        <w:t>2019;</w:t>
      </w:r>
    </w:p>
    <w:p w:rsidR="007C5A8F" w:rsidRPr="00DD73DD" w:rsidRDefault="007C5A8F" w:rsidP="00DE7048">
      <w:pPr>
        <w:pStyle w:val="DecisionParagraphs"/>
        <w:tabs>
          <w:tab w:val="clear" w:pos="5387"/>
        </w:tabs>
        <w:ind w:left="5387"/>
        <w:rPr>
          <w:rFonts w:cs="Arial"/>
          <w:lang w:val="fr-CH"/>
        </w:rPr>
      </w:pPr>
    </w:p>
    <w:p w:rsidR="001E6289" w:rsidRDefault="00807ED1" w:rsidP="00807ED1">
      <w:pPr>
        <w:pStyle w:val="DecisionParagraphs"/>
        <w:numPr>
          <w:ilvl w:val="0"/>
          <w:numId w:val="15"/>
        </w:numPr>
        <w:tabs>
          <w:tab w:val="clear" w:pos="5387"/>
          <w:tab w:val="clear" w:pos="5960"/>
          <w:tab w:val="num" w:pos="4820"/>
          <w:tab w:val="left" w:pos="5954"/>
        </w:tabs>
        <w:ind w:left="4820" w:firstLine="567"/>
        <w:rPr>
          <w:snapToGrid w:val="0"/>
          <w:lang w:val="fr-CH"/>
        </w:rPr>
      </w:pPr>
      <w:proofErr w:type="gramStart"/>
      <w:r w:rsidRPr="00DD73DD">
        <w:rPr>
          <w:snapToGrid w:val="0"/>
          <w:lang w:val="fr-CH"/>
        </w:rPr>
        <w:t>noter</w:t>
      </w:r>
      <w:proofErr w:type="gramEnd"/>
      <w:r w:rsidRPr="00DD73DD">
        <w:rPr>
          <w:snapToGrid w:val="0"/>
          <w:lang w:val="fr-CH"/>
        </w:rPr>
        <w:t xml:space="preserve"> que les éléments à examiner lors des ateliers préparatoires</w:t>
      </w:r>
      <w:r w:rsidR="001E6289" w:rsidRPr="00DD73DD">
        <w:rPr>
          <w:snapToGrid w:val="0"/>
          <w:lang w:val="fr-CH"/>
        </w:rPr>
        <w:t xml:space="preserve"> du</w:t>
      </w:r>
      <w:r w:rsidR="001E6289">
        <w:rPr>
          <w:snapToGrid w:val="0"/>
          <w:lang w:val="fr-CH"/>
        </w:rPr>
        <w:t> </w:t>
      </w:r>
      <w:r w:rsidR="001E6289" w:rsidRPr="00DD73DD">
        <w:rPr>
          <w:snapToGrid w:val="0"/>
          <w:lang w:val="fr-CH"/>
        </w:rPr>
        <w:t>TWA</w:t>
      </w:r>
      <w:r w:rsidRPr="00DD73DD">
        <w:rPr>
          <w:snapToGrid w:val="0"/>
          <w:lang w:val="fr-CH"/>
        </w:rPr>
        <w:t>,</w:t>
      </w:r>
      <w:r w:rsidR="001E6289" w:rsidRPr="00DD73DD">
        <w:rPr>
          <w:snapToGrid w:val="0"/>
          <w:lang w:val="fr-CH"/>
        </w:rPr>
        <w:t xml:space="preserve"> du</w:t>
      </w:r>
      <w:r w:rsidR="001E6289">
        <w:rPr>
          <w:snapToGrid w:val="0"/>
          <w:lang w:val="fr-CH"/>
        </w:rPr>
        <w:t> </w:t>
      </w:r>
      <w:r w:rsidR="001E6289" w:rsidRPr="00DD73DD">
        <w:rPr>
          <w:snapToGrid w:val="0"/>
          <w:lang w:val="fr-CH"/>
        </w:rPr>
        <w:t>TWC</w:t>
      </w:r>
      <w:r w:rsidRPr="00DD73DD">
        <w:rPr>
          <w:snapToGrid w:val="0"/>
          <w:lang w:val="fr-CH"/>
        </w:rPr>
        <w:t>,</w:t>
      </w:r>
      <w:r w:rsidR="001E6289" w:rsidRPr="00DD73DD">
        <w:rPr>
          <w:snapToGrid w:val="0"/>
          <w:lang w:val="fr-CH"/>
        </w:rPr>
        <w:t xml:space="preserve"> du</w:t>
      </w:r>
      <w:r w:rsidR="001E6289">
        <w:rPr>
          <w:snapToGrid w:val="0"/>
          <w:lang w:val="fr-CH"/>
        </w:rPr>
        <w:t> </w:t>
      </w:r>
      <w:r w:rsidR="001E6289" w:rsidRPr="00DD73DD">
        <w:rPr>
          <w:snapToGrid w:val="0"/>
          <w:lang w:val="fr-CH"/>
        </w:rPr>
        <w:t>TWF</w:t>
      </w:r>
      <w:r w:rsidRPr="00DD73DD">
        <w:rPr>
          <w:snapToGrid w:val="0"/>
          <w:lang w:val="fr-CH"/>
        </w:rPr>
        <w:t>,</w:t>
      </w:r>
      <w:r w:rsidR="001E6289" w:rsidRPr="00DD73DD">
        <w:rPr>
          <w:snapToGrid w:val="0"/>
          <w:lang w:val="fr-CH"/>
        </w:rPr>
        <w:t xml:space="preserve"> du</w:t>
      </w:r>
      <w:r w:rsidR="001E6289">
        <w:rPr>
          <w:snapToGrid w:val="0"/>
          <w:lang w:val="fr-CH"/>
        </w:rPr>
        <w:t> </w:t>
      </w:r>
      <w:r w:rsidR="001E6289" w:rsidRPr="00DD73DD">
        <w:rPr>
          <w:snapToGrid w:val="0"/>
          <w:lang w:val="fr-CH"/>
        </w:rPr>
        <w:t>TWV</w:t>
      </w:r>
      <w:r w:rsidRPr="00DD73DD">
        <w:rPr>
          <w:snapToGrid w:val="0"/>
          <w:lang w:val="fr-CH"/>
        </w:rPr>
        <w:t xml:space="preserve"> et</w:t>
      </w:r>
      <w:r w:rsidR="001E6289" w:rsidRPr="00DD73DD">
        <w:rPr>
          <w:snapToGrid w:val="0"/>
          <w:lang w:val="fr-CH"/>
        </w:rPr>
        <w:t xml:space="preserve"> du</w:t>
      </w:r>
      <w:r w:rsidR="001E6289">
        <w:rPr>
          <w:snapToGrid w:val="0"/>
          <w:lang w:val="fr-CH"/>
        </w:rPr>
        <w:t> </w:t>
      </w:r>
      <w:r w:rsidR="001E6289" w:rsidRPr="00DD73DD">
        <w:rPr>
          <w:snapToGrid w:val="0"/>
          <w:lang w:val="fr-CH"/>
        </w:rPr>
        <w:t>BMT</w:t>
      </w:r>
      <w:r w:rsidRPr="00DD73DD">
        <w:rPr>
          <w:snapToGrid w:val="0"/>
          <w:lang w:val="fr-CH"/>
        </w:rPr>
        <w:t xml:space="preserve"> ont été présentés comme une introduction aux points de l</w:t>
      </w:r>
      <w:r w:rsidR="001E6289">
        <w:rPr>
          <w:snapToGrid w:val="0"/>
          <w:lang w:val="fr-CH"/>
        </w:rPr>
        <w:t>’</w:t>
      </w:r>
      <w:r w:rsidRPr="00DD73DD">
        <w:rPr>
          <w:snapToGrid w:val="0"/>
          <w:lang w:val="fr-CH"/>
        </w:rPr>
        <w:t>ordre du jour correspondants au cours du déroulement normal des sessions;</w:t>
      </w:r>
    </w:p>
    <w:p w:rsidR="007C5A8F" w:rsidRPr="00DD73DD" w:rsidRDefault="007C5A8F" w:rsidP="008B3448">
      <w:pPr>
        <w:pStyle w:val="DecisionParagraphs"/>
        <w:tabs>
          <w:tab w:val="clear" w:pos="5387"/>
          <w:tab w:val="left" w:pos="5954"/>
        </w:tabs>
        <w:rPr>
          <w:rFonts w:cs="Arial"/>
          <w:lang w:val="fr-CH"/>
        </w:rPr>
      </w:pPr>
    </w:p>
    <w:p w:rsidR="007C5A8F" w:rsidRPr="00DD73DD" w:rsidRDefault="00807ED1" w:rsidP="00807ED1">
      <w:pPr>
        <w:pStyle w:val="DecisionParagraphs"/>
        <w:numPr>
          <w:ilvl w:val="0"/>
          <w:numId w:val="15"/>
        </w:numPr>
        <w:tabs>
          <w:tab w:val="clear" w:pos="5960"/>
          <w:tab w:val="num" w:pos="4820"/>
          <w:tab w:val="num" w:pos="5387"/>
          <w:tab w:val="left" w:pos="5954"/>
        </w:tabs>
        <w:ind w:left="4820" w:firstLine="567"/>
        <w:rPr>
          <w:rFonts w:cs="Arial"/>
          <w:lang w:val="fr-CH"/>
        </w:rPr>
      </w:pPr>
      <w:proofErr w:type="gramStart"/>
      <w:r w:rsidRPr="00DD73DD">
        <w:rPr>
          <w:rFonts w:cs="Arial"/>
          <w:lang w:val="fr-CH"/>
        </w:rPr>
        <w:t>examiner</w:t>
      </w:r>
      <w:proofErr w:type="gramEnd"/>
      <w:r w:rsidRPr="00DD73DD">
        <w:rPr>
          <w:rFonts w:cs="Arial"/>
          <w:lang w:val="fr-CH"/>
        </w:rPr>
        <w:t xml:space="preserve"> le programme proposé pour les </w:t>
      </w:r>
      <w:r w:rsidRPr="00E728BA">
        <w:rPr>
          <w:rFonts w:cs="Arial"/>
          <w:lang w:val="fr-CH"/>
        </w:rPr>
        <w:t>travaux préparatoires prévus en</w:t>
      </w:r>
      <w:r w:rsidR="00DD73DD" w:rsidRPr="00E728BA">
        <w:rPr>
          <w:rFonts w:cs="Arial"/>
          <w:lang w:val="fr-CH"/>
        </w:rPr>
        <w:t> </w:t>
      </w:r>
      <w:r w:rsidRPr="00E728BA">
        <w:rPr>
          <w:rFonts w:cs="Arial"/>
          <w:lang w:val="fr-CH"/>
        </w:rPr>
        <w:t>2020, indiqué aux paragraphes</w:t>
      </w:r>
      <w:r w:rsidR="00DD73DD" w:rsidRPr="00E728BA">
        <w:rPr>
          <w:rFonts w:cs="Arial"/>
          <w:lang w:val="fr-CH"/>
        </w:rPr>
        <w:t> </w:t>
      </w:r>
      <w:r w:rsidRPr="00E728BA">
        <w:rPr>
          <w:rFonts w:cs="Arial"/>
          <w:lang w:val="fr-CH"/>
        </w:rPr>
        <w:t>11</w:t>
      </w:r>
      <w:r w:rsidR="00DD73DD" w:rsidRPr="00E728BA">
        <w:rPr>
          <w:rFonts w:cs="Arial"/>
          <w:lang w:val="fr-CH"/>
        </w:rPr>
        <w:t> </w:t>
      </w:r>
      <w:r w:rsidRPr="00E728BA">
        <w:rPr>
          <w:rFonts w:cs="Arial"/>
          <w:lang w:val="fr-CH"/>
        </w:rPr>
        <w:t>et</w:t>
      </w:r>
      <w:r w:rsidR="00DD73DD" w:rsidRPr="00E728BA">
        <w:rPr>
          <w:rFonts w:cs="Arial"/>
          <w:lang w:val="fr-CH"/>
        </w:rPr>
        <w:t> </w:t>
      </w:r>
      <w:r w:rsidRPr="00E728BA">
        <w:rPr>
          <w:rFonts w:cs="Arial"/>
          <w:lang w:val="fr-CH"/>
        </w:rPr>
        <w:t>12</w:t>
      </w:r>
      <w:r w:rsidRPr="00DD73DD">
        <w:rPr>
          <w:rFonts w:cs="Arial"/>
          <w:lang w:val="fr-CH"/>
        </w:rPr>
        <w:t xml:space="preserve"> du présent document;  et</w:t>
      </w:r>
    </w:p>
    <w:p w:rsidR="007C5A8F" w:rsidRPr="00DD73DD" w:rsidRDefault="007C5A8F" w:rsidP="00D917FD">
      <w:pPr>
        <w:pStyle w:val="DecisionParagraphs"/>
        <w:tabs>
          <w:tab w:val="clear" w:pos="5387"/>
          <w:tab w:val="num" w:pos="5960"/>
        </w:tabs>
        <w:ind w:left="5387"/>
        <w:rPr>
          <w:rFonts w:cs="Arial"/>
          <w:lang w:val="fr-CH"/>
        </w:rPr>
      </w:pPr>
    </w:p>
    <w:p w:rsidR="001E6289" w:rsidRDefault="00807ED1" w:rsidP="00807ED1">
      <w:pPr>
        <w:pStyle w:val="DecisionParagraphs"/>
        <w:numPr>
          <w:ilvl w:val="0"/>
          <w:numId w:val="15"/>
        </w:numPr>
        <w:tabs>
          <w:tab w:val="clear" w:pos="5960"/>
          <w:tab w:val="num" w:pos="4820"/>
          <w:tab w:val="num" w:pos="5387"/>
          <w:tab w:val="left" w:pos="5954"/>
        </w:tabs>
        <w:ind w:left="4820" w:firstLine="567"/>
        <w:rPr>
          <w:rFonts w:cs="Arial"/>
          <w:lang w:val="fr-CH"/>
        </w:rPr>
      </w:pPr>
      <w:proofErr w:type="gramStart"/>
      <w:r w:rsidRPr="00DD73DD">
        <w:rPr>
          <w:rFonts w:cs="Arial"/>
          <w:lang w:val="fr-CH"/>
        </w:rPr>
        <w:t>prier</w:t>
      </w:r>
      <w:proofErr w:type="gramEnd"/>
      <w:r w:rsidRPr="00DD73DD">
        <w:rPr>
          <w:rFonts w:cs="Arial"/>
          <w:lang w:val="fr-CH"/>
        </w:rPr>
        <w:t xml:space="preserve"> le Bureau de l</w:t>
      </w:r>
      <w:r w:rsidR="001E6289">
        <w:rPr>
          <w:rFonts w:cs="Arial"/>
          <w:lang w:val="fr-CH"/>
        </w:rPr>
        <w:t>’</w:t>
      </w:r>
      <w:r w:rsidRPr="00DD73DD">
        <w:rPr>
          <w:rFonts w:cs="Arial"/>
          <w:lang w:val="fr-CH"/>
        </w:rPr>
        <w:t>Union de présenter des propositions sur la manière de planifier les travaux préparatoires dans le cadre</w:t>
      </w:r>
      <w:r w:rsidR="001E6289" w:rsidRPr="00DD73DD">
        <w:rPr>
          <w:rFonts w:cs="Arial"/>
          <w:lang w:val="fr-CH"/>
        </w:rPr>
        <w:t xml:space="preserve"> des</w:t>
      </w:r>
      <w:r w:rsidR="001E6289">
        <w:rPr>
          <w:rFonts w:cs="Arial"/>
          <w:lang w:val="fr-CH"/>
        </w:rPr>
        <w:t> </w:t>
      </w:r>
      <w:r w:rsidR="001E6289" w:rsidRPr="00DD73DD">
        <w:rPr>
          <w:rFonts w:cs="Arial"/>
          <w:lang w:val="fr-CH"/>
        </w:rPr>
        <w:t>TWP</w:t>
      </w:r>
      <w:r w:rsidRPr="00DD73DD">
        <w:rPr>
          <w:rFonts w:cs="Arial"/>
          <w:lang w:val="fr-CH"/>
        </w:rPr>
        <w:t xml:space="preserve"> pour l</w:t>
      </w:r>
      <w:r w:rsidR="001E6289">
        <w:rPr>
          <w:rFonts w:cs="Arial"/>
          <w:lang w:val="fr-CH"/>
        </w:rPr>
        <w:t>’</w:t>
      </w:r>
      <w:r w:rsidRPr="00DD73DD">
        <w:rPr>
          <w:rFonts w:cs="Arial"/>
          <w:lang w:val="fr-CH"/>
        </w:rPr>
        <w:t>avenir et d</w:t>
      </w:r>
      <w:r w:rsidR="001E6289">
        <w:rPr>
          <w:rFonts w:cs="Arial"/>
          <w:lang w:val="fr-CH"/>
        </w:rPr>
        <w:t>’</w:t>
      </w:r>
      <w:r w:rsidRPr="00DD73DD">
        <w:rPr>
          <w:rFonts w:cs="Arial"/>
          <w:lang w:val="fr-CH"/>
        </w:rPr>
        <w:t>en rendre compte, à la cinquante</w:t>
      </w:r>
      <w:r w:rsidR="001E6289">
        <w:rPr>
          <w:rFonts w:cs="Arial"/>
          <w:lang w:val="fr-CH"/>
        </w:rPr>
        <w:t>-</w:t>
      </w:r>
      <w:r w:rsidRPr="00DD73DD">
        <w:rPr>
          <w:rFonts w:cs="Arial"/>
          <w:lang w:val="fr-CH"/>
        </w:rPr>
        <w:t>six</w:t>
      </w:r>
      <w:r w:rsidR="001E6289">
        <w:rPr>
          <w:rFonts w:cs="Arial"/>
          <w:lang w:val="fr-CH"/>
        </w:rPr>
        <w:t>ième session</w:t>
      </w:r>
      <w:r w:rsidRPr="00DD73DD">
        <w:rPr>
          <w:rFonts w:cs="Arial"/>
          <w:lang w:val="fr-CH"/>
        </w:rPr>
        <w:t xml:space="preserve"> du</w:t>
      </w:r>
      <w:r w:rsidR="001E6289">
        <w:rPr>
          <w:rFonts w:cs="Arial"/>
          <w:lang w:val="fr-CH"/>
        </w:rPr>
        <w:t> TC</w:t>
      </w:r>
      <w:r w:rsidRPr="00DD73DD">
        <w:rPr>
          <w:rFonts w:cs="Arial"/>
          <w:lang w:val="fr-CH"/>
        </w:rPr>
        <w:t>.</w:t>
      </w:r>
    </w:p>
    <w:p w:rsidR="007C5A8F" w:rsidRPr="00DD73DD" w:rsidRDefault="007C5A8F" w:rsidP="00D917FD">
      <w:pPr>
        <w:pStyle w:val="DecisionParagraphs"/>
        <w:tabs>
          <w:tab w:val="clear" w:pos="5387"/>
          <w:tab w:val="num" w:pos="5960"/>
        </w:tabs>
        <w:rPr>
          <w:rFonts w:cs="Arial"/>
          <w:lang w:val="fr-CH"/>
        </w:rPr>
      </w:pPr>
    </w:p>
    <w:p w:rsidR="007C5A8F" w:rsidRPr="00DD73DD" w:rsidRDefault="007C5A8F" w:rsidP="00050E16">
      <w:pPr>
        <w:rPr>
          <w:snapToGrid w:val="0"/>
          <w:lang w:val="fr-CH"/>
        </w:rPr>
      </w:pPr>
    </w:p>
    <w:p w:rsidR="007C5A8F" w:rsidRPr="00DD73DD" w:rsidRDefault="007C5A8F" w:rsidP="00050E16">
      <w:pPr>
        <w:rPr>
          <w:snapToGrid w:val="0"/>
          <w:lang w:val="fr-CH"/>
        </w:rPr>
      </w:pPr>
    </w:p>
    <w:p w:rsidR="007C5A8F" w:rsidRPr="00DD73DD" w:rsidRDefault="007C5A8F" w:rsidP="00050E16">
      <w:pPr>
        <w:rPr>
          <w:snapToGrid w:val="0"/>
          <w:lang w:val="fr-CH"/>
        </w:rPr>
      </w:pPr>
    </w:p>
    <w:p w:rsidR="007C5A8F" w:rsidRPr="00807ED1" w:rsidRDefault="007C5A8F" w:rsidP="00050E16">
      <w:pPr>
        <w:rPr>
          <w:lang w:val="fr-CH"/>
        </w:rPr>
      </w:pPr>
    </w:p>
    <w:p w:rsidR="007C5A8F" w:rsidRPr="00807ED1" w:rsidRDefault="007C5A8F">
      <w:pPr>
        <w:jc w:val="left"/>
        <w:rPr>
          <w:lang w:val="fr-CH"/>
        </w:rPr>
      </w:pPr>
    </w:p>
    <w:p w:rsidR="00F03BC7" w:rsidRPr="00807ED1" w:rsidRDefault="00F03BC7" w:rsidP="00050E16">
      <w:pPr>
        <w:rPr>
          <w:lang w:val="fr-CH"/>
        </w:rPr>
        <w:sectPr w:rsidR="00F03BC7" w:rsidRPr="00807ED1" w:rsidSect="00906D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7C5A8F" w:rsidRPr="00807ED1" w:rsidRDefault="007C5A8F" w:rsidP="00050E16">
      <w:pPr>
        <w:rPr>
          <w:lang w:val="fr-CH"/>
        </w:rPr>
      </w:pPr>
    </w:p>
    <w:p w:rsidR="007C5A8F" w:rsidRPr="00807ED1" w:rsidRDefault="007C5A8F" w:rsidP="00050E16">
      <w:pPr>
        <w:rPr>
          <w:lang w:val="fr-CH"/>
        </w:rPr>
      </w:pPr>
    </w:p>
    <w:p w:rsidR="007C5A8F" w:rsidRPr="00DD73DD" w:rsidRDefault="00A96D3A" w:rsidP="00A96D3A">
      <w:pPr>
        <w:jc w:val="center"/>
        <w:rPr>
          <w:rFonts w:eastAsia="MS Mincho"/>
          <w:caps/>
          <w:lang w:val="fr-CH"/>
        </w:rPr>
      </w:pPr>
      <w:r w:rsidRPr="00DD73DD">
        <w:rPr>
          <w:rFonts w:eastAsia="MS Mincho"/>
          <w:caps/>
          <w:lang w:val="fr-CH"/>
        </w:rPr>
        <w:t>PROGRAMME DES ATELIERS PRÉPARATOIRES EN</w:t>
      </w:r>
      <w:r w:rsidR="00DD73DD">
        <w:rPr>
          <w:rFonts w:eastAsia="MS Mincho"/>
          <w:caps/>
          <w:lang w:val="fr-CH"/>
        </w:rPr>
        <w:t> </w:t>
      </w:r>
      <w:r w:rsidRPr="00DD73DD">
        <w:rPr>
          <w:rFonts w:eastAsia="MS Mincho"/>
          <w:caps/>
          <w:lang w:val="fr-CH"/>
        </w:rPr>
        <w:t>2019</w:t>
      </w:r>
    </w:p>
    <w:p w:rsidR="007C5A8F" w:rsidRPr="00DD73DD" w:rsidRDefault="007C5A8F" w:rsidP="00F03BC7">
      <w:pPr>
        <w:rPr>
          <w:rFonts w:cs="Arial"/>
          <w:lang w:val="fr-CH"/>
        </w:rPr>
      </w:pPr>
    </w:p>
    <w:p w:rsidR="007C5A8F" w:rsidRPr="00DD73DD" w:rsidRDefault="00E55039" w:rsidP="00A96D3A">
      <w:pPr>
        <w:rPr>
          <w:rFonts w:cs="Arial"/>
          <w:lang w:val="fr-CH"/>
        </w:rPr>
      </w:pPr>
      <w:r>
        <w:rPr>
          <w:rFonts w:cs="Arial"/>
          <w:lang w:val="fr-CH"/>
        </w:rPr>
        <w:t xml:space="preserve">Éléments </w:t>
      </w:r>
      <w:r w:rsidR="00A96D3A" w:rsidRPr="00DD73DD">
        <w:rPr>
          <w:rFonts w:cs="Arial"/>
          <w:lang w:val="fr-CH"/>
        </w:rPr>
        <w:t>fourni</w:t>
      </w:r>
      <w:r>
        <w:rPr>
          <w:rFonts w:cs="Arial"/>
          <w:lang w:val="fr-CH"/>
        </w:rPr>
        <w:t>s</w:t>
      </w:r>
      <w:r w:rsidR="001E6289" w:rsidRPr="00DD73DD">
        <w:rPr>
          <w:rFonts w:cs="Arial"/>
          <w:lang w:val="fr-CH"/>
        </w:rPr>
        <w:t xml:space="preserve"> au</w:t>
      </w:r>
      <w:r w:rsidR="001E6289">
        <w:rPr>
          <w:rFonts w:cs="Arial"/>
          <w:lang w:val="fr-CH"/>
        </w:rPr>
        <w:t> </w:t>
      </w:r>
      <w:r w:rsidR="001E6289" w:rsidRPr="00DD73DD">
        <w:rPr>
          <w:rFonts w:cs="Arial"/>
          <w:lang w:val="fr-CH"/>
        </w:rPr>
        <w:t>TWA</w:t>
      </w:r>
      <w:r w:rsidR="00A96D3A" w:rsidRPr="00DD73DD">
        <w:rPr>
          <w:rFonts w:cs="Arial"/>
          <w:lang w:val="fr-CH"/>
        </w:rPr>
        <w:t>,</w:t>
      </w:r>
      <w:r w:rsidR="001E6289" w:rsidRPr="00DD73DD">
        <w:rPr>
          <w:rFonts w:cs="Arial"/>
          <w:lang w:val="fr-CH"/>
        </w:rPr>
        <w:t xml:space="preserve"> au</w:t>
      </w:r>
      <w:r w:rsidR="001E6289">
        <w:rPr>
          <w:rFonts w:cs="Arial"/>
          <w:lang w:val="fr-CH"/>
        </w:rPr>
        <w:t> </w:t>
      </w:r>
      <w:r w:rsidR="001E6289" w:rsidRPr="00DD73DD">
        <w:rPr>
          <w:rFonts w:cs="Arial"/>
          <w:lang w:val="fr-CH"/>
        </w:rPr>
        <w:t>TWF</w:t>
      </w:r>
      <w:r w:rsidR="00A96D3A" w:rsidRPr="00DD73DD">
        <w:rPr>
          <w:rFonts w:cs="Arial"/>
          <w:lang w:val="fr-CH"/>
        </w:rPr>
        <w:t>,</w:t>
      </w:r>
      <w:r w:rsidR="001E6289" w:rsidRPr="00DD73DD">
        <w:rPr>
          <w:rFonts w:cs="Arial"/>
          <w:lang w:val="fr-CH"/>
        </w:rPr>
        <w:t xml:space="preserve"> au</w:t>
      </w:r>
      <w:r w:rsidR="001E6289">
        <w:rPr>
          <w:rFonts w:cs="Arial"/>
          <w:lang w:val="fr-CH"/>
        </w:rPr>
        <w:t> </w:t>
      </w:r>
      <w:r w:rsidR="001E6289" w:rsidRPr="00DD73DD">
        <w:rPr>
          <w:rFonts w:cs="Arial"/>
          <w:lang w:val="fr-CH"/>
        </w:rPr>
        <w:t>TWO</w:t>
      </w:r>
      <w:r w:rsidR="00A96D3A" w:rsidRPr="00DD73DD">
        <w:rPr>
          <w:rFonts w:cs="Arial"/>
          <w:lang w:val="fr-CH"/>
        </w:rPr>
        <w:t xml:space="preserve"> et</w:t>
      </w:r>
      <w:r w:rsidR="001E6289" w:rsidRPr="00DD73DD">
        <w:rPr>
          <w:rFonts w:cs="Arial"/>
          <w:lang w:val="fr-CH"/>
        </w:rPr>
        <w:t xml:space="preserve"> au</w:t>
      </w:r>
      <w:r w:rsidR="001E6289">
        <w:rPr>
          <w:rFonts w:cs="Arial"/>
          <w:lang w:val="fr-CH"/>
        </w:rPr>
        <w:t> </w:t>
      </w:r>
      <w:r w:rsidR="001E6289" w:rsidRPr="00DD73DD">
        <w:rPr>
          <w:rFonts w:cs="Arial"/>
          <w:lang w:val="fr-CH"/>
        </w:rPr>
        <w:t>TWV</w:t>
      </w:r>
      <w:r w:rsidR="001E6289">
        <w:rPr>
          <w:rFonts w:cs="Arial"/>
          <w:lang w:val="fr-CH"/>
        </w:rPr>
        <w:t> :</w:t>
      </w:r>
    </w:p>
    <w:p w:rsidR="007C5A8F" w:rsidRPr="00DD73DD" w:rsidRDefault="007C5A8F" w:rsidP="00F03BC7">
      <w:pPr>
        <w:rPr>
          <w:rFonts w:cs="Arial"/>
          <w:lang w:val="fr-CH"/>
        </w:rPr>
      </w:pPr>
    </w:p>
    <w:p w:rsidR="007C5A8F" w:rsidRPr="00DD73DD" w:rsidRDefault="00A96D3A" w:rsidP="00A96D3A">
      <w:pPr>
        <w:numPr>
          <w:ilvl w:val="0"/>
          <w:numId w:val="16"/>
        </w:numPr>
        <w:spacing w:after="120"/>
        <w:rPr>
          <w:rFonts w:cs="Arial"/>
          <w:lang w:val="fr-CH"/>
        </w:rPr>
      </w:pPr>
      <w:r w:rsidRPr="00DD73DD">
        <w:rPr>
          <w:rFonts w:cs="Arial"/>
          <w:lang w:val="fr-CH"/>
        </w:rPr>
        <w:t>Présentation de l</w:t>
      </w:r>
      <w:r w:rsidR="001E6289">
        <w:rPr>
          <w:rFonts w:cs="Arial"/>
          <w:lang w:val="fr-CH"/>
        </w:rPr>
        <w:t>’</w:t>
      </w:r>
      <w:r w:rsidRPr="00DD73DD">
        <w:rPr>
          <w:rFonts w:cs="Arial"/>
          <w:lang w:val="fr-CH"/>
        </w:rPr>
        <w:t>UPOV et du rôle des groupes de travail techniques (TWP)</w:t>
      </w:r>
    </w:p>
    <w:p w:rsidR="007C5A8F" w:rsidRPr="00DD73DD" w:rsidRDefault="00A96D3A" w:rsidP="00A96D3A">
      <w:pPr>
        <w:numPr>
          <w:ilvl w:val="0"/>
          <w:numId w:val="16"/>
        </w:numPr>
        <w:spacing w:after="120"/>
        <w:rPr>
          <w:rFonts w:cs="Arial"/>
          <w:lang w:val="fr-CH"/>
        </w:rPr>
      </w:pPr>
      <w:r w:rsidRPr="00DD73DD">
        <w:rPr>
          <w:rFonts w:cs="Arial"/>
          <w:lang w:val="fr-CH"/>
        </w:rPr>
        <w:t>Aperçu de l</w:t>
      </w:r>
      <w:r w:rsidR="001E6289">
        <w:rPr>
          <w:rFonts w:cs="Arial"/>
          <w:lang w:val="fr-CH"/>
        </w:rPr>
        <w:t>’</w:t>
      </w:r>
      <w:r w:rsidRPr="00DD73DD">
        <w:rPr>
          <w:rFonts w:cs="Arial"/>
          <w:lang w:val="fr-CH"/>
        </w:rPr>
        <w:t>introductio</w:t>
      </w:r>
      <w:r w:rsidR="00E55039">
        <w:rPr>
          <w:rFonts w:cs="Arial"/>
          <w:lang w:val="fr-CH"/>
        </w:rPr>
        <w:t>n générale (document</w:t>
      </w:r>
      <w:r w:rsidR="00C736DF">
        <w:rPr>
          <w:rFonts w:cs="Arial"/>
          <w:lang w:val="fr-CH"/>
        </w:rPr>
        <w:t> </w:t>
      </w:r>
      <w:r w:rsidR="00E55039">
        <w:rPr>
          <w:rFonts w:cs="Arial"/>
          <w:lang w:val="fr-CH"/>
        </w:rPr>
        <w:t>TG/1/3 et</w:t>
      </w:r>
      <w:r w:rsidRPr="00DD73DD">
        <w:rPr>
          <w:rFonts w:cs="Arial"/>
          <w:lang w:val="fr-CH"/>
        </w:rPr>
        <w:t xml:space="preserve"> documents TGP)</w:t>
      </w:r>
    </w:p>
    <w:p w:rsidR="007C5A8F" w:rsidRPr="00DD73DD" w:rsidRDefault="00A96D3A" w:rsidP="00A96D3A">
      <w:pPr>
        <w:numPr>
          <w:ilvl w:val="0"/>
          <w:numId w:val="3"/>
        </w:numPr>
        <w:spacing w:after="120"/>
        <w:rPr>
          <w:rFonts w:cs="Arial"/>
          <w:lang w:val="fr-CH"/>
        </w:rPr>
      </w:pPr>
      <w:r w:rsidRPr="00DD73DD">
        <w:rPr>
          <w:rFonts w:cs="Arial"/>
          <w:lang w:val="fr-CH"/>
        </w:rPr>
        <w:t>Les caractères comme base de l</w:t>
      </w:r>
      <w:r w:rsidR="001E6289">
        <w:rPr>
          <w:rFonts w:cs="Arial"/>
          <w:lang w:val="fr-CH"/>
        </w:rPr>
        <w:t>’</w:t>
      </w:r>
      <w:r w:rsidRPr="00DD73DD">
        <w:rPr>
          <w:rFonts w:cs="Arial"/>
          <w:lang w:val="fr-CH"/>
        </w:rPr>
        <w:t>examen</w:t>
      </w:r>
      <w:r w:rsidR="00C75DC8">
        <w:rPr>
          <w:rFonts w:cs="Arial"/>
          <w:lang w:val="fr-CH"/>
        </w:rPr>
        <w:t> </w:t>
      </w:r>
      <w:r w:rsidRPr="00DD73DD">
        <w:rPr>
          <w:rFonts w:cs="Arial"/>
          <w:lang w:val="fr-CH"/>
        </w:rPr>
        <w:t>DHS et sélection des caractères</w:t>
      </w:r>
    </w:p>
    <w:p w:rsidR="001E6289" w:rsidRDefault="00A96D3A" w:rsidP="00A96D3A">
      <w:pPr>
        <w:numPr>
          <w:ilvl w:val="0"/>
          <w:numId w:val="16"/>
        </w:numPr>
        <w:spacing w:after="120"/>
        <w:rPr>
          <w:rFonts w:cs="Arial"/>
          <w:lang w:val="fr-CH"/>
        </w:rPr>
      </w:pPr>
      <w:r w:rsidRPr="00DD73DD">
        <w:rPr>
          <w:rFonts w:cs="Arial"/>
          <w:lang w:val="fr-CH"/>
        </w:rPr>
        <w:t>Conseils pour l</w:t>
      </w:r>
      <w:r w:rsidR="001E6289">
        <w:rPr>
          <w:rFonts w:cs="Arial"/>
          <w:lang w:val="fr-CH"/>
        </w:rPr>
        <w:t>’</w:t>
      </w:r>
      <w:r w:rsidRPr="00DD73DD">
        <w:rPr>
          <w:rFonts w:cs="Arial"/>
          <w:lang w:val="fr-CH"/>
        </w:rPr>
        <w:t>élaboration des principes directeurs d</w:t>
      </w:r>
      <w:r w:rsidR="001E6289">
        <w:rPr>
          <w:rFonts w:cs="Arial"/>
          <w:lang w:val="fr-CH"/>
        </w:rPr>
        <w:t>’</w:t>
      </w:r>
      <w:r w:rsidRPr="00DD73DD">
        <w:rPr>
          <w:rFonts w:cs="Arial"/>
          <w:lang w:val="fr-CH"/>
        </w:rPr>
        <w:t>examen (document TGP/7)</w:t>
      </w:r>
    </w:p>
    <w:p w:rsidR="007C5A8F" w:rsidRPr="00DD73DD" w:rsidRDefault="00A96D3A" w:rsidP="00A96D3A">
      <w:pPr>
        <w:numPr>
          <w:ilvl w:val="0"/>
          <w:numId w:val="17"/>
        </w:numPr>
        <w:spacing w:before="60" w:after="60"/>
        <w:rPr>
          <w:rFonts w:cs="Arial"/>
          <w:lang w:val="fr-CH"/>
        </w:rPr>
      </w:pPr>
      <w:r w:rsidRPr="00DD73DD">
        <w:rPr>
          <w:rFonts w:cs="Arial"/>
          <w:lang w:val="fr-CH"/>
        </w:rPr>
        <w:t>Objet des principes directeurs d</w:t>
      </w:r>
      <w:r w:rsidR="001E6289">
        <w:rPr>
          <w:rFonts w:cs="Arial"/>
          <w:lang w:val="fr-CH"/>
        </w:rPr>
        <w:t>’</w:t>
      </w:r>
      <w:r w:rsidRPr="00DD73DD">
        <w:rPr>
          <w:rFonts w:cs="Arial"/>
          <w:lang w:val="fr-CH"/>
        </w:rPr>
        <w:t>examen, matériel requis et méthode d</w:t>
      </w:r>
      <w:r w:rsidR="001E6289">
        <w:rPr>
          <w:rFonts w:cs="Arial"/>
          <w:lang w:val="fr-CH"/>
        </w:rPr>
        <w:t>’</w:t>
      </w:r>
      <w:r w:rsidRPr="00DD73DD">
        <w:rPr>
          <w:rFonts w:cs="Arial"/>
          <w:lang w:val="fr-CH"/>
        </w:rPr>
        <w:t>examen;</w:t>
      </w:r>
    </w:p>
    <w:p w:rsidR="007C5A8F" w:rsidRPr="00DD73DD" w:rsidRDefault="00A96D3A" w:rsidP="00A96D3A">
      <w:pPr>
        <w:numPr>
          <w:ilvl w:val="0"/>
          <w:numId w:val="17"/>
        </w:numPr>
        <w:spacing w:before="60" w:after="60"/>
        <w:rPr>
          <w:rFonts w:cs="Arial"/>
          <w:lang w:val="fr-CH"/>
        </w:rPr>
      </w:pPr>
      <w:r w:rsidRPr="00DD73DD">
        <w:rPr>
          <w:rFonts w:cs="Arial"/>
          <w:lang w:val="fr-CH"/>
        </w:rPr>
        <w:t>Méthode d</w:t>
      </w:r>
      <w:r w:rsidR="001E6289">
        <w:rPr>
          <w:rFonts w:cs="Arial"/>
          <w:lang w:val="fr-CH"/>
        </w:rPr>
        <w:t>’</w:t>
      </w:r>
      <w:r w:rsidRPr="00DD73DD">
        <w:rPr>
          <w:rFonts w:cs="Arial"/>
          <w:lang w:val="fr-CH"/>
        </w:rPr>
        <w:t>observation (MS, MG, VS, VG);</w:t>
      </w:r>
    </w:p>
    <w:p w:rsidR="007C5A8F" w:rsidRPr="00DD73DD" w:rsidRDefault="00A96D3A" w:rsidP="00A96D3A">
      <w:pPr>
        <w:numPr>
          <w:ilvl w:val="0"/>
          <w:numId w:val="17"/>
        </w:num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spacing w:before="60" w:after="60"/>
        <w:rPr>
          <w:rFonts w:cs="Arial"/>
          <w:lang w:val="fr-CH"/>
        </w:rPr>
      </w:pPr>
      <w:r w:rsidRPr="00DD73DD">
        <w:rPr>
          <w:rFonts w:cs="Arial"/>
          <w:lang w:val="fr-CH"/>
        </w:rPr>
        <w:t>Types d</w:t>
      </w:r>
      <w:r w:rsidR="001E6289">
        <w:rPr>
          <w:rFonts w:cs="Arial"/>
          <w:lang w:val="fr-CH"/>
        </w:rPr>
        <w:t>’</w:t>
      </w:r>
      <w:r w:rsidRPr="00DD73DD">
        <w:rPr>
          <w:rFonts w:cs="Arial"/>
          <w:lang w:val="fr-CH"/>
        </w:rPr>
        <w:t>expression (QL, PQ, QN), notes et distinction;</w:t>
      </w:r>
    </w:p>
    <w:p w:rsidR="007C5A8F" w:rsidRPr="00DD73DD" w:rsidRDefault="00A96D3A" w:rsidP="00A96D3A">
      <w:pPr>
        <w:numPr>
          <w:ilvl w:val="0"/>
          <w:numId w:val="17"/>
        </w:numPr>
        <w:spacing w:before="60" w:after="60"/>
        <w:rPr>
          <w:rFonts w:cs="Arial"/>
          <w:lang w:val="fr-CH"/>
        </w:rPr>
      </w:pPr>
      <w:r w:rsidRPr="00DD73DD">
        <w:rPr>
          <w:rFonts w:cs="Arial"/>
          <w:lang w:val="fr-CH"/>
        </w:rPr>
        <w:t>Caractères de forme et de couleur;</w:t>
      </w:r>
    </w:p>
    <w:p w:rsidR="007C5A8F" w:rsidRPr="00DD73DD" w:rsidRDefault="00A96D3A" w:rsidP="00A96D3A">
      <w:pPr>
        <w:numPr>
          <w:ilvl w:val="0"/>
          <w:numId w:val="17"/>
        </w:numPr>
        <w:spacing w:before="60" w:after="60"/>
        <w:rPr>
          <w:rFonts w:cs="Arial"/>
          <w:lang w:val="fr-CH"/>
        </w:rPr>
      </w:pPr>
      <w:r w:rsidRPr="00DD73DD">
        <w:rPr>
          <w:rFonts w:cs="Arial"/>
          <w:lang w:val="fr-CH"/>
        </w:rPr>
        <w:t>Variétés indiquées à titre d</w:t>
      </w:r>
      <w:r w:rsidR="001E6289">
        <w:rPr>
          <w:rFonts w:cs="Arial"/>
          <w:lang w:val="fr-CH"/>
        </w:rPr>
        <w:t>’</w:t>
      </w:r>
      <w:r w:rsidRPr="00DD73DD">
        <w:rPr>
          <w:rFonts w:cs="Arial"/>
          <w:lang w:val="fr-CH"/>
        </w:rPr>
        <w:t>exemple</w:t>
      </w:r>
      <w:r w:rsidR="00E55039">
        <w:rPr>
          <w:rFonts w:cs="Arial"/>
          <w:lang w:val="fr-CH"/>
        </w:rPr>
        <w:t>;</w:t>
      </w:r>
    </w:p>
    <w:p w:rsidR="007C5A8F" w:rsidRPr="00DD73DD" w:rsidRDefault="00A96D3A" w:rsidP="00A96D3A">
      <w:pPr>
        <w:numPr>
          <w:ilvl w:val="0"/>
          <w:numId w:val="17"/>
        </w:numPr>
        <w:spacing w:before="60" w:after="60"/>
        <w:rPr>
          <w:rFonts w:cs="Arial"/>
          <w:lang w:val="fr-CH"/>
        </w:rPr>
      </w:pPr>
      <w:r w:rsidRPr="00DD73DD">
        <w:rPr>
          <w:rFonts w:cs="Arial"/>
          <w:lang w:val="fr-CH"/>
        </w:rPr>
        <w:t>Processus d</w:t>
      </w:r>
      <w:r w:rsidR="001E6289">
        <w:rPr>
          <w:rFonts w:cs="Arial"/>
          <w:lang w:val="fr-CH"/>
        </w:rPr>
        <w:t>’</w:t>
      </w:r>
      <w:r w:rsidRPr="00DD73DD">
        <w:rPr>
          <w:rFonts w:cs="Arial"/>
          <w:lang w:val="fr-CH"/>
        </w:rPr>
        <w:t>élaboration des principes directeurs d</w:t>
      </w:r>
      <w:r w:rsidR="001E6289">
        <w:rPr>
          <w:rFonts w:cs="Arial"/>
          <w:lang w:val="fr-CH"/>
        </w:rPr>
        <w:t>’</w:t>
      </w:r>
      <w:r w:rsidRPr="00DD73DD">
        <w:rPr>
          <w:rFonts w:cs="Arial"/>
          <w:lang w:val="fr-CH"/>
        </w:rPr>
        <w:t xml:space="preserve">examen, </w:t>
      </w:r>
      <w:r w:rsidR="001E6289">
        <w:rPr>
          <w:rFonts w:cs="Arial"/>
          <w:lang w:val="fr-CH"/>
        </w:rPr>
        <w:t>y compris</w:t>
      </w:r>
      <w:r w:rsidRPr="00DD73DD">
        <w:rPr>
          <w:rFonts w:cs="Arial"/>
          <w:lang w:val="fr-CH"/>
        </w:rPr>
        <w:t xml:space="preserve"> modèle de principes directeurs d</w:t>
      </w:r>
      <w:r w:rsidR="001E6289">
        <w:rPr>
          <w:rFonts w:cs="Arial"/>
          <w:lang w:val="fr-CH"/>
        </w:rPr>
        <w:t>’</w:t>
      </w:r>
      <w:r w:rsidRPr="00DD73DD">
        <w:rPr>
          <w:rFonts w:cs="Arial"/>
          <w:lang w:val="fr-CH"/>
        </w:rPr>
        <w:t xml:space="preserve">examen fondé sur le </w:t>
      </w:r>
      <w:proofErr w:type="gramStart"/>
      <w:r w:rsidRPr="00DD73DD">
        <w:rPr>
          <w:rFonts w:cs="Arial"/>
          <w:lang w:val="fr-CH"/>
        </w:rPr>
        <w:t>Web;  texte</w:t>
      </w:r>
      <w:proofErr w:type="gramEnd"/>
      <w:r w:rsidRPr="00DD73DD">
        <w:rPr>
          <w:rFonts w:cs="Arial"/>
          <w:lang w:val="fr-CH"/>
        </w:rPr>
        <w:t xml:space="preserve"> standard supplé</w:t>
      </w:r>
      <w:r w:rsidR="00E55039">
        <w:rPr>
          <w:rFonts w:cs="Arial"/>
          <w:lang w:val="fr-CH"/>
        </w:rPr>
        <w:t>mentaire;  et notes indicatives;</w:t>
      </w:r>
    </w:p>
    <w:p w:rsidR="007C5A8F" w:rsidRPr="00DD73DD" w:rsidRDefault="00A96D3A" w:rsidP="00A96D3A">
      <w:pPr>
        <w:numPr>
          <w:ilvl w:val="0"/>
          <w:numId w:val="16"/>
        </w:numPr>
        <w:spacing w:after="120"/>
        <w:rPr>
          <w:rFonts w:cs="Arial"/>
          <w:lang w:val="fr-CH"/>
        </w:rPr>
      </w:pPr>
      <w:r w:rsidRPr="00DD73DD">
        <w:rPr>
          <w:rFonts w:cs="Arial"/>
          <w:lang w:val="fr-CH"/>
        </w:rPr>
        <w:t>Procédure d</w:t>
      </w:r>
      <w:r w:rsidR="001E6289">
        <w:rPr>
          <w:rFonts w:cs="Arial"/>
          <w:lang w:val="fr-CH"/>
        </w:rPr>
        <w:t>’</w:t>
      </w:r>
      <w:r w:rsidRPr="00DD73DD">
        <w:rPr>
          <w:rFonts w:cs="Arial"/>
          <w:lang w:val="fr-CH"/>
        </w:rPr>
        <w:t>adoption des principes directeurs d</w:t>
      </w:r>
      <w:r w:rsidR="001E6289">
        <w:rPr>
          <w:rFonts w:cs="Arial"/>
          <w:lang w:val="fr-CH"/>
        </w:rPr>
        <w:t>’</w:t>
      </w:r>
      <w:r w:rsidRPr="00DD73DD">
        <w:rPr>
          <w:rFonts w:cs="Arial"/>
          <w:lang w:val="fr-CH"/>
        </w:rPr>
        <w:t>examen par correspondance</w:t>
      </w:r>
    </w:p>
    <w:p w:rsidR="007C5A8F" w:rsidRPr="00DD73DD" w:rsidRDefault="00A96D3A" w:rsidP="00A96D3A">
      <w:pPr>
        <w:numPr>
          <w:ilvl w:val="0"/>
          <w:numId w:val="16"/>
        </w:numPr>
        <w:spacing w:after="120"/>
        <w:rPr>
          <w:rFonts w:cs="Arial"/>
          <w:lang w:val="fr-CH"/>
        </w:rPr>
      </w:pPr>
      <w:r w:rsidRPr="00DD73DD">
        <w:rPr>
          <w:rFonts w:cs="Arial"/>
          <w:lang w:val="fr-CH"/>
        </w:rPr>
        <w:t>Rôle de l</w:t>
      </w:r>
      <w:r w:rsidR="001E6289">
        <w:rPr>
          <w:rFonts w:cs="Arial"/>
          <w:lang w:val="fr-CH"/>
        </w:rPr>
        <w:t>’</w:t>
      </w:r>
      <w:r w:rsidRPr="00DD73DD">
        <w:rPr>
          <w:rFonts w:cs="Arial"/>
          <w:lang w:val="fr-CH"/>
        </w:rPr>
        <w:t>expert principal qui rédige les principes directeurs d</w:t>
      </w:r>
      <w:r w:rsidR="001E6289">
        <w:rPr>
          <w:rFonts w:cs="Arial"/>
          <w:lang w:val="fr-CH"/>
        </w:rPr>
        <w:t>’</w:t>
      </w:r>
      <w:r w:rsidRPr="00DD73DD">
        <w:rPr>
          <w:rFonts w:cs="Arial"/>
          <w:lang w:val="fr-CH"/>
        </w:rPr>
        <w:t>examen et informations sur sa participation en qualité d</w:t>
      </w:r>
      <w:r w:rsidR="001E6289">
        <w:rPr>
          <w:rFonts w:cs="Arial"/>
          <w:lang w:val="fr-CH"/>
        </w:rPr>
        <w:t>’</w:t>
      </w:r>
      <w:r w:rsidRPr="00DD73DD">
        <w:rPr>
          <w:rFonts w:cs="Arial"/>
          <w:lang w:val="fr-CH"/>
        </w:rPr>
        <w:t>expert intéressé</w:t>
      </w:r>
    </w:p>
    <w:p w:rsidR="007C5A8F" w:rsidRPr="00DD73DD" w:rsidRDefault="00A96D3A" w:rsidP="00A96D3A">
      <w:pPr>
        <w:numPr>
          <w:ilvl w:val="0"/>
          <w:numId w:val="16"/>
        </w:numPr>
        <w:spacing w:after="120"/>
        <w:rPr>
          <w:rFonts w:cs="Arial"/>
          <w:lang w:val="fr-CH"/>
        </w:rPr>
      </w:pPr>
      <w:r w:rsidRPr="00DD73DD">
        <w:rPr>
          <w:rFonts w:cs="Arial"/>
          <w:lang w:val="fr-CH"/>
        </w:rPr>
        <w:t>Possibilités de coopération internationale en matière d</w:t>
      </w:r>
      <w:r w:rsidR="001E6289">
        <w:rPr>
          <w:rFonts w:cs="Arial"/>
          <w:lang w:val="fr-CH"/>
        </w:rPr>
        <w:t>’</w:t>
      </w:r>
      <w:r w:rsidRPr="00DD73DD">
        <w:rPr>
          <w:rFonts w:cs="Arial"/>
          <w:lang w:val="fr-CH"/>
        </w:rPr>
        <w:t>examen</w:t>
      </w:r>
      <w:r w:rsidR="00C75DC8">
        <w:rPr>
          <w:rFonts w:cs="Arial"/>
          <w:lang w:val="fr-CH"/>
        </w:rPr>
        <w:t> </w:t>
      </w:r>
      <w:r w:rsidRPr="00DD73DD">
        <w:rPr>
          <w:rFonts w:cs="Arial"/>
          <w:lang w:val="fr-CH"/>
        </w:rPr>
        <w:t>DHS</w:t>
      </w:r>
    </w:p>
    <w:p w:rsidR="007C5A8F" w:rsidRPr="00DD73DD" w:rsidRDefault="00A96D3A" w:rsidP="00A96D3A">
      <w:pPr>
        <w:numPr>
          <w:ilvl w:val="0"/>
          <w:numId w:val="16"/>
        </w:numPr>
        <w:spacing w:after="120"/>
        <w:rPr>
          <w:rFonts w:cs="Arial"/>
          <w:lang w:val="fr-CH"/>
        </w:rPr>
      </w:pPr>
      <w:r w:rsidRPr="00DD73DD">
        <w:rPr>
          <w:rFonts w:cs="Arial"/>
          <w:lang w:val="fr-CH"/>
        </w:rPr>
        <w:t>Ordre du jour de la session</w:t>
      </w:r>
      <w:r w:rsidR="001E6289" w:rsidRPr="00DD73DD">
        <w:rPr>
          <w:rFonts w:cs="Arial"/>
          <w:lang w:val="fr-CH"/>
        </w:rPr>
        <w:t xml:space="preserve"> du</w:t>
      </w:r>
      <w:r w:rsidR="001E6289">
        <w:rPr>
          <w:rFonts w:cs="Arial"/>
          <w:lang w:val="fr-CH"/>
        </w:rPr>
        <w:t> </w:t>
      </w:r>
      <w:r w:rsidR="001E6289" w:rsidRPr="00DD73DD">
        <w:rPr>
          <w:rFonts w:cs="Arial"/>
          <w:lang w:val="fr-CH"/>
        </w:rPr>
        <w:t>TWP</w:t>
      </w:r>
    </w:p>
    <w:p w:rsidR="007C5A8F" w:rsidRPr="00DD73DD" w:rsidRDefault="00A96D3A" w:rsidP="00A96D3A">
      <w:pPr>
        <w:numPr>
          <w:ilvl w:val="0"/>
          <w:numId w:val="16"/>
        </w:numPr>
        <w:rPr>
          <w:rFonts w:cs="Arial"/>
        </w:rPr>
      </w:pPr>
      <w:r w:rsidRPr="00E55039">
        <w:rPr>
          <w:rFonts w:cs="Arial"/>
          <w:lang w:val="fr-CH"/>
        </w:rPr>
        <w:t>Réactions des</w:t>
      </w:r>
      <w:r w:rsidRPr="00DD73DD">
        <w:rPr>
          <w:rFonts w:cs="Arial"/>
        </w:rPr>
        <w:t xml:space="preserve"> participants</w:t>
      </w:r>
    </w:p>
    <w:p w:rsidR="007C5A8F" w:rsidRPr="00E55039" w:rsidRDefault="007C5A8F" w:rsidP="00F03BC7">
      <w:pPr>
        <w:rPr>
          <w:rFonts w:cs="Arial"/>
        </w:rPr>
      </w:pPr>
    </w:p>
    <w:p w:rsidR="007C5A8F" w:rsidRPr="00E55039" w:rsidRDefault="00E55039" w:rsidP="002647B3">
      <w:pPr>
        <w:keepNext/>
        <w:rPr>
          <w:rFonts w:cs="Arial"/>
          <w:lang w:val="fr-CH"/>
        </w:rPr>
      </w:pPr>
      <w:r w:rsidRPr="00E55039">
        <w:rPr>
          <w:rFonts w:cs="Arial"/>
          <w:lang w:val="fr-CH"/>
        </w:rPr>
        <w:t xml:space="preserve">Éléments </w:t>
      </w:r>
      <w:r w:rsidR="002647B3" w:rsidRPr="00E55039">
        <w:rPr>
          <w:rFonts w:cs="Arial"/>
          <w:lang w:val="fr-CH"/>
        </w:rPr>
        <w:t>fourni</w:t>
      </w:r>
      <w:r w:rsidRPr="00E55039">
        <w:rPr>
          <w:rFonts w:cs="Arial"/>
          <w:lang w:val="fr-CH"/>
        </w:rPr>
        <w:t>s</w:t>
      </w:r>
      <w:r w:rsidR="001E6289" w:rsidRPr="00E55039">
        <w:rPr>
          <w:rFonts w:cs="Arial"/>
          <w:lang w:val="fr-CH"/>
        </w:rPr>
        <w:t xml:space="preserve"> au</w:t>
      </w:r>
      <w:r w:rsidR="001E6289">
        <w:rPr>
          <w:rFonts w:cs="Arial"/>
          <w:lang w:val="fr-CH"/>
        </w:rPr>
        <w:t> </w:t>
      </w:r>
      <w:r w:rsidR="001E6289" w:rsidRPr="00E55039">
        <w:rPr>
          <w:rFonts w:cs="Arial"/>
          <w:lang w:val="fr-CH"/>
        </w:rPr>
        <w:t>TWC</w:t>
      </w:r>
      <w:r w:rsidR="002647B3" w:rsidRPr="00E55039">
        <w:rPr>
          <w:rFonts w:cs="Arial"/>
          <w:lang w:val="fr-CH"/>
        </w:rPr>
        <w:t>/BMT</w:t>
      </w:r>
      <w:r w:rsidR="001E6289">
        <w:rPr>
          <w:rFonts w:cs="Arial"/>
          <w:lang w:val="fr-CH"/>
        </w:rPr>
        <w:t> :</w:t>
      </w:r>
    </w:p>
    <w:p w:rsidR="007C5A8F" w:rsidRPr="00E55039" w:rsidRDefault="007C5A8F" w:rsidP="00F03BC7">
      <w:pPr>
        <w:keepNext/>
        <w:rPr>
          <w:rFonts w:cs="Arial"/>
          <w:lang w:val="fr-CH"/>
        </w:rPr>
      </w:pPr>
    </w:p>
    <w:p w:rsidR="007C5A8F" w:rsidRPr="00E55039" w:rsidRDefault="002647B3" w:rsidP="002647B3">
      <w:pPr>
        <w:keepNext/>
        <w:numPr>
          <w:ilvl w:val="0"/>
          <w:numId w:val="5"/>
        </w:numPr>
        <w:spacing w:after="120"/>
        <w:rPr>
          <w:rFonts w:cs="Arial"/>
          <w:lang w:val="fr-CH"/>
        </w:rPr>
      </w:pPr>
      <w:r w:rsidRPr="00E55039">
        <w:rPr>
          <w:rFonts w:cs="Arial"/>
          <w:lang w:val="fr-CH"/>
        </w:rPr>
        <w:t>Présentation de l</w:t>
      </w:r>
      <w:r w:rsidR="001E6289">
        <w:rPr>
          <w:rFonts w:cs="Arial"/>
          <w:lang w:val="fr-CH"/>
        </w:rPr>
        <w:t>’</w:t>
      </w:r>
      <w:r w:rsidRPr="00E55039">
        <w:rPr>
          <w:rFonts w:cs="Arial"/>
          <w:lang w:val="fr-CH"/>
        </w:rPr>
        <w:t>UPOV et du rôle des groupes de travail techniques (TWP) et</w:t>
      </w:r>
      <w:r w:rsidR="001E6289" w:rsidRPr="00E55039">
        <w:rPr>
          <w:rFonts w:cs="Arial"/>
          <w:lang w:val="fr-CH"/>
        </w:rPr>
        <w:t xml:space="preserve"> du</w:t>
      </w:r>
      <w:r w:rsidR="001E6289">
        <w:rPr>
          <w:rFonts w:cs="Arial"/>
          <w:lang w:val="fr-CH"/>
        </w:rPr>
        <w:t> </w:t>
      </w:r>
      <w:r w:rsidR="001E6289" w:rsidRPr="00E55039">
        <w:rPr>
          <w:rFonts w:cs="Arial"/>
          <w:lang w:val="fr-CH"/>
        </w:rPr>
        <w:t>BMT</w:t>
      </w:r>
    </w:p>
    <w:p w:rsidR="007C5A8F" w:rsidRPr="00E55039" w:rsidRDefault="002647B3" w:rsidP="002647B3">
      <w:pPr>
        <w:keepNext/>
        <w:numPr>
          <w:ilvl w:val="0"/>
          <w:numId w:val="5"/>
        </w:numPr>
        <w:spacing w:after="120"/>
        <w:ind w:left="1134" w:hanging="567"/>
        <w:rPr>
          <w:rFonts w:cs="Arial"/>
          <w:lang w:val="fr-CH"/>
        </w:rPr>
      </w:pPr>
      <w:r w:rsidRPr="00E55039">
        <w:rPr>
          <w:rFonts w:cs="Arial"/>
          <w:lang w:val="fr-CH"/>
        </w:rPr>
        <w:t>Aperçu de l</w:t>
      </w:r>
      <w:r w:rsidR="001E6289">
        <w:rPr>
          <w:rFonts w:cs="Arial"/>
          <w:lang w:val="fr-CH"/>
        </w:rPr>
        <w:t>’</w:t>
      </w:r>
      <w:r w:rsidRPr="00E55039">
        <w:rPr>
          <w:rFonts w:cs="Arial"/>
          <w:lang w:val="fr-CH"/>
        </w:rPr>
        <w:t>introduction générale (document</w:t>
      </w:r>
      <w:r w:rsidR="00C736DF">
        <w:rPr>
          <w:rFonts w:cs="Arial"/>
          <w:lang w:val="fr-CH"/>
        </w:rPr>
        <w:t> </w:t>
      </w:r>
      <w:r w:rsidRPr="00E55039">
        <w:rPr>
          <w:rFonts w:cs="Arial"/>
          <w:lang w:val="fr-CH"/>
        </w:rPr>
        <w:t>TG/1/3 et documents TGP)</w:t>
      </w:r>
    </w:p>
    <w:p w:rsidR="007C5A8F" w:rsidRPr="00E55039" w:rsidRDefault="002647B3" w:rsidP="002647B3">
      <w:pPr>
        <w:numPr>
          <w:ilvl w:val="0"/>
          <w:numId w:val="5"/>
        </w:numPr>
        <w:spacing w:after="120"/>
        <w:ind w:left="1134" w:hanging="567"/>
        <w:rPr>
          <w:rFonts w:cs="Arial"/>
          <w:lang w:val="fr-CH"/>
        </w:rPr>
      </w:pPr>
      <w:r w:rsidRPr="00E55039">
        <w:rPr>
          <w:rFonts w:cs="Arial"/>
          <w:lang w:val="fr-CH"/>
        </w:rPr>
        <w:t>Aperçu des essais DHS et des principes directeurs d</w:t>
      </w:r>
      <w:r w:rsidR="001E6289">
        <w:rPr>
          <w:rFonts w:cs="Arial"/>
          <w:lang w:val="fr-CH"/>
        </w:rPr>
        <w:t>’</w:t>
      </w:r>
      <w:r w:rsidRPr="00E55039">
        <w:rPr>
          <w:rFonts w:cs="Arial"/>
          <w:lang w:val="fr-CH"/>
        </w:rPr>
        <w:t>examen</w:t>
      </w:r>
    </w:p>
    <w:p w:rsidR="007C5A8F" w:rsidRPr="00E55039" w:rsidRDefault="002647B3" w:rsidP="002647B3">
      <w:pPr>
        <w:numPr>
          <w:ilvl w:val="0"/>
          <w:numId w:val="5"/>
        </w:numPr>
        <w:spacing w:after="120"/>
        <w:ind w:left="1134" w:hanging="567"/>
        <w:rPr>
          <w:rFonts w:cs="Arial"/>
          <w:lang w:val="fr-CH"/>
        </w:rPr>
      </w:pPr>
      <w:r w:rsidRPr="00E55039">
        <w:rPr>
          <w:rFonts w:cs="Arial"/>
          <w:lang w:val="fr-CH"/>
        </w:rPr>
        <w:t>Ressources en ligne de l</w:t>
      </w:r>
      <w:r w:rsidR="001E6289">
        <w:rPr>
          <w:rFonts w:cs="Arial"/>
          <w:lang w:val="fr-CH"/>
        </w:rPr>
        <w:t>’</w:t>
      </w:r>
      <w:r w:rsidRPr="00E55039">
        <w:rPr>
          <w:rFonts w:cs="Arial"/>
          <w:lang w:val="fr-CH"/>
        </w:rPr>
        <w:t>UPOV</w:t>
      </w:r>
    </w:p>
    <w:p w:rsidR="007C5A8F" w:rsidRPr="00E55039" w:rsidRDefault="002647B3" w:rsidP="002647B3">
      <w:pPr>
        <w:numPr>
          <w:ilvl w:val="2"/>
          <w:numId w:val="16"/>
        </w:numPr>
        <w:spacing w:after="120"/>
        <w:ind w:left="1701" w:hanging="567"/>
        <w:rPr>
          <w:rFonts w:cs="Arial"/>
          <w:lang w:val="fr-CH"/>
        </w:rPr>
      </w:pPr>
      <w:r w:rsidRPr="00E55039">
        <w:rPr>
          <w:rFonts w:cs="Arial"/>
          <w:lang w:val="fr-CH"/>
        </w:rPr>
        <w:t>Législations des membres de l</w:t>
      </w:r>
      <w:r w:rsidR="001E6289">
        <w:rPr>
          <w:rFonts w:cs="Arial"/>
          <w:lang w:val="fr-CH"/>
        </w:rPr>
        <w:t>’</w:t>
      </w:r>
      <w:r w:rsidRPr="00E55039">
        <w:rPr>
          <w:rFonts w:cs="Arial"/>
          <w:lang w:val="fr-CH"/>
        </w:rPr>
        <w:t>UPOV</w:t>
      </w:r>
      <w:r w:rsidR="001E6289">
        <w:rPr>
          <w:rFonts w:cs="Arial"/>
          <w:lang w:val="fr-CH"/>
        </w:rPr>
        <w:t> :</w:t>
      </w:r>
      <w:r w:rsidRPr="00E55039">
        <w:rPr>
          <w:rFonts w:cs="Arial"/>
          <w:lang w:val="fr-CH"/>
        </w:rPr>
        <w:t xml:space="preserve"> UPOV </w:t>
      </w:r>
      <w:proofErr w:type="spellStart"/>
      <w:r w:rsidRPr="00E55039">
        <w:rPr>
          <w:rFonts w:cs="Arial"/>
          <w:lang w:val="fr-CH"/>
        </w:rPr>
        <w:t>Lex</w:t>
      </w:r>
      <w:proofErr w:type="spellEnd"/>
      <w:r w:rsidRPr="00E55039">
        <w:rPr>
          <w:rFonts w:cs="Arial"/>
          <w:lang w:val="fr-CH"/>
        </w:rPr>
        <w:t>, base de données GENIE</w:t>
      </w:r>
      <w:r w:rsidR="00E55039">
        <w:rPr>
          <w:rFonts w:cs="Arial"/>
          <w:lang w:val="fr-CH"/>
        </w:rPr>
        <w:t>;</w:t>
      </w:r>
    </w:p>
    <w:p w:rsidR="007C5A8F" w:rsidRPr="00E55039" w:rsidRDefault="002647B3" w:rsidP="002647B3">
      <w:pPr>
        <w:numPr>
          <w:ilvl w:val="2"/>
          <w:numId w:val="16"/>
        </w:numPr>
        <w:spacing w:after="120"/>
        <w:ind w:left="1701" w:hanging="567"/>
        <w:rPr>
          <w:rFonts w:cs="Arial"/>
          <w:spacing w:val="-2"/>
          <w:lang w:val="fr-CH"/>
        </w:rPr>
      </w:pPr>
      <w:r w:rsidRPr="00E55039">
        <w:rPr>
          <w:rFonts w:cs="Arial"/>
          <w:spacing w:val="-2"/>
          <w:lang w:val="fr-CH"/>
        </w:rPr>
        <w:t>Demandes de droit d</w:t>
      </w:r>
      <w:r w:rsidR="001E6289">
        <w:rPr>
          <w:rFonts w:cs="Arial"/>
          <w:spacing w:val="-2"/>
          <w:lang w:val="fr-CH"/>
        </w:rPr>
        <w:t>’</w:t>
      </w:r>
      <w:r w:rsidRPr="00E55039">
        <w:rPr>
          <w:rFonts w:cs="Arial"/>
          <w:spacing w:val="-2"/>
          <w:lang w:val="fr-CH"/>
        </w:rPr>
        <w:t>obtenteur</w:t>
      </w:r>
      <w:r w:rsidR="001E6289">
        <w:rPr>
          <w:rFonts w:cs="Arial"/>
          <w:spacing w:val="-2"/>
          <w:lang w:val="fr-CH"/>
        </w:rPr>
        <w:t> :</w:t>
      </w:r>
      <w:r w:rsidRPr="00E55039">
        <w:rPr>
          <w:rFonts w:cs="Arial"/>
          <w:spacing w:val="-2"/>
          <w:lang w:val="fr-CH"/>
        </w:rPr>
        <w:t xml:space="preserve"> l</w:t>
      </w:r>
      <w:r w:rsidR="001E6289">
        <w:rPr>
          <w:rFonts w:cs="Arial"/>
          <w:spacing w:val="-2"/>
          <w:lang w:val="fr-CH"/>
        </w:rPr>
        <w:t>’</w:t>
      </w:r>
      <w:r w:rsidRPr="00E55039">
        <w:rPr>
          <w:rFonts w:cs="Arial"/>
          <w:spacing w:val="-2"/>
          <w:lang w:val="fr-CH"/>
        </w:rPr>
        <w:t>outil de demande de droit d</w:t>
      </w:r>
      <w:r w:rsidR="001E6289">
        <w:rPr>
          <w:rFonts w:cs="Arial"/>
          <w:spacing w:val="-2"/>
          <w:lang w:val="fr-CH"/>
        </w:rPr>
        <w:t>’</w:t>
      </w:r>
      <w:r w:rsidRPr="00E55039">
        <w:rPr>
          <w:rFonts w:cs="Arial"/>
          <w:spacing w:val="-2"/>
          <w:lang w:val="fr-CH"/>
        </w:rPr>
        <w:t>obtenteur UPOV PRISMA</w:t>
      </w:r>
      <w:r w:rsidR="00E55039">
        <w:rPr>
          <w:rFonts w:cs="Arial"/>
          <w:spacing w:val="-2"/>
          <w:lang w:val="fr-CH"/>
        </w:rPr>
        <w:t>;</w:t>
      </w:r>
    </w:p>
    <w:p w:rsidR="007C5A8F" w:rsidRPr="00E55039" w:rsidRDefault="002647B3" w:rsidP="002647B3">
      <w:pPr>
        <w:numPr>
          <w:ilvl w:val="2"/>
          <w:numId w:val="16"/>
        </w:numPr>
        <w:spacing w:after="120"/>
        <w:ind w:left="1701" w:hanging="567"/>
        <w:rPr>
          <w:rFonts w:cs="Arial"/>
          <w:spacing w:val="-2"/>
          <w:lang w:val="fr-CH"/>
        </w:rPr>
      </w:pPr>
      <w:r w:rsidRPr="00E55039">
        <w:rPr>
          <w:rFonts w:cs="Arial"/>
          <w:spacing w:val="-2"/>
          <w:lang w:val="fr-CH"/>
        </w:rPr>
        <w:t>Examen DHS</w:t>
      </w:r>
      <w:r w:rsidR="001E6289">
        <w:rPr>
          <w:rFonts w:cs="Arial"/>
          <w:spacing w:val="-2"/>
          <w:lang w:val="fr-CH"/>
        </w:rPr>
        <w:t> :</w:t>
      </w:r>
      <w:r w:rsidRPr="00E55039">
        <w:rPr>
          <w:rFonts w:cs="Arial"/>
          <w:spacing w:val="-2"/>
          <w:lang w:val="fr-CH"/>
        </w:rPr>
        <w:t xml:space="preserve"> base de données GENIE, modèle de principes directeurs d</w:t>
      </w:r>
      <w:r w:rsidR="001E6289">
        <w:rPr>
          <w:rFonts w:cs="Arial"/>
          <w:spacing w:val="-2"/>
          <w:lang w:val="fr-CH"/>
        </w:rPr>
        <w:t>’</w:t>
      </w:r>
      <w:r w:rsidRPr="00E55039">
        <w:rPr>
          <w:rFonts w:cs="Arial"/>
          <w:spacing w:val="-2"/>
          <w:lang w:val="fr-CH"/>
        </w:rPr>
        <w:t>examen fondé sur le Web, Code UPOV</w:t>
      </w:r>
      <w:r w:rsidR="00E55039">
        <w:rPr>
          <w:rFonts w:cs="Arial"/>
          <w:spacing w:val="-2"/>
          <w:lang w:val="fr-CH"/>
        </w:rPr>
        <w:t>;</w:t>
      </w:r>
    </w:p>
    <w:p w:rsidR="007C5A8F" w:rsidRPr="00E55039" w:rsidRDefault="002647B3" w:rsidP="002647B3">
      <w:pPr>
        <w:numPr>
          <w:ilvl w:val="2"/>
          <w:numId w:val="16"/>
        </w:numPr>
        <w:spacing w:after="120"/>
        <w:ind w:left="1701" w:hanging="567"/>
        <w:rPr>
          <w:rFonts w:cs="Arial"/>
          <w:spacing w:val="-2"/>
          <w:lang w:val="fr-CH"/>
        </w:rPr>
      </w:pPr>
      <w:r w:rsidRPr="00E55039">
        <w:rPr>
          <w:rFonts w:cs="Arial"/>
          <w:spacing w:val="-2"/>
          <w:lang w:val="fr-CH"/>
        </w:rPr>
        <w:t>Dénomination variétale/nouveauté</w:t>
      </w:r>
      <w:r w:rsidR="001E6289">
        <w:rPr>
          <w:rFonts w:cs="Arial"/>
          <w:spacing w:val="-2"/>
          <w:lang w:val="fr-CH"/>
        </w:rPr>
        <w:t> :</w:t>
      </w:r>
      <w:r w:rsidRPr="00E55039">
        <w:rPr>
          <w:rFonts w:cs="Arial"/>
          <w:spacing w:val="-2"/>
          <w:lang w:val="fr-CH"/>
        </w:rPr>
        <w:t xml:space="preserve"> base de données PLUTO</w:t>
      </w:r>
      <w:r w:rsidR="00E55039">
        <w:rPr>
          <w:rFonts w:cs="Arial"/>
          <w:spacing w:val="-2"/>
          <w:lang w:val="fr-CH"/>
        </w:rPr>
        <w:t>;</w:t>
      </w:r>
    </w:p>
    <w:p w:rsidR="007C5A8F" w:rsidRPr="00E55039" w:rsidRDefault="002647B3" w:rsidP="002647B3">
      <w:pPr>
        <w:keepNext/>
        <w:numPr>
          <w:ilvl w:val="0"/>
          <w:numId w:val="5"/>
        </w:numPr>
        <w:spacing w:after="120"/>
        <w:rPr>
          <w:rFonts w:cs="Arial"/>
          <w:lang w:val="fr-CH"/>
        </w:rPr>
      </w:pPr>
      <w:r w:rsidRPr="00E55039">
        <w:rPr>
          <w:rFonts w:cs="Arial"/>
          <w:lang w:val="fr-CH"/>
        </w:rPr>
        <w:t>Situation à l</w:t>
      </w:r>
      <w:r w:rsidR="001E6289">
        <w:rPr>
          <w:rFonts w:cs="Arial"/>
          <w:lang w:val="fr-CH"/>
        </w:rPr>
        <w:t>’</w:t>
      </w:r>
      <w:r w:rsidRPr="00E55039">
        <w:rPr>
          <w:rFonts w:cs="Arial"/>
          <w:lang w:val="fr-CH"/>
        </w:rPr>
        <w:t>UPOV concernant l</w:t>
      </w:r>
      <w:r w:rsidR="001E6289">
        <w:rPr>
          <w:rFonts w:cs="Arial"/>
          <w:lang w:val="fr-CH"/>
        </w:rPr>
        <w:t>’</w:t>
      </w:r>
      <w:r w:rsidRPr="00E55039">
        <w:rPr>
          <w:rFonts w:cs="Arial"/>
          <w:lang w:val="fr-CH"/>
        </w:rPr>
        <w:t>utilisation éventuelle de techniques moléculaires dans l</w:t>
      </w:r>
      <w:r w:rsidR="001E6289">
        <w:rPr>
          <w:rFonts w:cs="Arial"/>
          <w:lang w:val="fr-CH"/>
        </w:rPr>
        <w:t>’</w:t>
      </w:r>
      <w:r w:rsidRPr="00E55039">
        <w:rPr>
          <w:rFonts w:cs="Arial"/>
          <w:lang w:val="fr-CH"/>
        </w:rPr>
        <w:t>examen</w:t>
      </w:r>
      <w:r w:rsidR="00C75DC8">
        <w:rPr>
          <w:rFonts w:cs="Arial"/>
          <w:lang w:val="fr-CH"/>
        </w:rPr>
        <w:t> </w:t>
      </w:r>
      <w:r w:rsidRPr="00E55039">
        <w:rPr>
          <w:rFonts w:cs="Arial"/>
          <w:lang w:val="fr-CH"/>
        </w:rPr>
        <w:t>DHS</w:t>
      </w:r>
    </w:p>
    <w:p w:rsidR="007C5A8F" w:rsidRPr="00E55039" w:rsidRDefault="002647B3" w:rsidP="002647B3">
      <w:pPr>
        <w:keepNext/>
        <w:numPr>
          <w:ilvl w:val="0"/>
          <w:numId w:val="5"/>
        </w:numPr>
        <w:spacing w:after="120"/>
        <w:rPr>
          <w:rFonts w:cs="Arial"/>
          <w:lang w:val="fr-CH"/>
        </w:rPr>
      </w:pPr>
      <w:r w:rsidRPr="00E55039">
        <w:rPr>
          <w:rFonts w:cs="Arial"/>
          <w:lang w:val="fr-CH"/>
        </w:rPr>
        <w:t>La notion de variétés essentiellement dérivées</w:t>
      </w:r>
    </w:p>
    <w:p w:rsidR="007C5A8F" w:rsidRPr="00E55039" w:rsidRDefault="002647B3" w:rsidP="002647B3">
      <w:pPr>
        <w:keepNext/>
        <w:numPr>
          <w:ilvl w:val="0"/>
          <w:numId w:val="5"/>
        </w:numPr>
        <w:spacing w:after="120"/>
        <w:rPr>
          <w:rFonts w:cs="Arial"/>
          <w:lang w:val="fr-CH"/>
        </w:rPr>
      </w:pPr>
      <w:r w:rsidRPr="00E55039">
        <w:rPr>
          <w:rFonts w:cs="Arial"/>
          <w:lang w:val="fr-CH"/>
        </w:rPr>
        <w:t>Le rôle de l</w:t>
      </w:r>
      <w:r w:rsidR="001E6289">
        <w:rPr>
          <w:rFonts w:cs="Arial"/>
          <w:lang w:val="fr-CH"/>
        </w:rPr>
        <w:t>’</w:t>
      </w:r>
      <w:r w:rsidRPr="00E55039">
        <w:rPr>
          <w:rFonts w:cs="Arial"/>
          <w:lang w:val="fr-CH"/>
        </w:rPr>
        <w:t>UPOV dans l</w:t>
      </w:r>
      <w:r w:rsidR="001E6289">
        <w:rPr>
          <w:rFonts w:cs="Arial"/>
          <w:lang w:val="fr-CH"/>
        </w:rPr>
        <w:t>’</w:t>
      </w:r>
      <w:r w:rsidRPr="00E55039">
        <w:rPr>
          <w:rFonts w:cs="Arial"/>
          <w:lang w:val="fr-CH"/>
        </w:rPr>
        <w:t>identification des variétés</w:t>
      </w:r>
    </w:p>
    <w:p w:rsidR="007C5A8F" w:rsidRPr="00E55039" w:rsidRDefault="002647B3" w:rsidP="002647B3">
      <w:pPr>
        <w:numPr>
          <w:ilvl w:val="0"/>
          <w:numId w:val="5"/>
        </w:numPr>
        <w:spacing w:after="120"/>
        <w:rPr>
          <w:rFonts w:cs="Arial"/>
          <w:lang w:val="fr-CH"/>
        </w:rPr>
      </w:pPr>
      <w:r w:rsidRPr="00E55039">
        <w:rPr>
          <w:rFonts w:cs="Arial"/>
          <w:lang w:val="fr-CH"/>
        </w:rPr>
        <w:t>Ordre du jour des sessions</w:t>
      </w:r>
      <w:r w:rsidR="001E6289" w:rsidRPr="00E55039">
        <w:rPr>
          <w:rFonts w:cs="Arial"/>
          <w:lang w:val="fr-CH"/>
        </w:rPr>
        <w:t xml:space="preserve"> du</w:t>
      </w:r>
      <w:r w:rsidR="001E6289">
        <w:rPr>
          <w:rFonts w:cs="Arial"/>
          <w:lang w:val="fr-CH"/>
        </w:rPr>
        <w:t> </w:t>
      </w:r>
      <w:r w:rsidR="001E6289" w:rsidRPr="00E55039">
        <w:rPr>
          <w:rFonts w:cs="Arial"/>
          <w:lang w:val="fr-CH"/>
        </w:rPr>
        <w:t>TWC</w:t>
      </w:r>
      <w:r w:rsidRPr="00E55039">
        <w:rPr>
          <w:rFonts w:cs="Arial"/>
          <w:lang w:val="fr-CH"/>
        </w:rPr>
        <w:t xml:space="preserve"> et</w:t>
      </w:r>
      <w:r w:rsidR="001E6289" w:rsidRPr="00E55039">
        <w:rPr>
          <w:rFonts w:cs="Arial"/>
          <w:lang w:val="fr-CH"/>
        </w:rPr>
        <w:t xml:space="preserve"> du</w:t>
      </w:r>
      <w:r w:rsidR="001E6289">
        <w:rPr>
          <w:rFonts w:cs="Arial"/>
          <w:lang w:val="fr-CH"/>
        </w:rPr>
        <w:t> </w:t>
      </w:r>
      <w:r w:rsidR="001E6289" w:rsidRPr="00E55039">
        <w:rPr>
          <w:rFonts w:cs="Arial"/>
          <w:lang w:val="fr-CH"/>
        </w:rPr>
        <w:t>BMT</w:t>
      </w:r>
    </w:p>
    <w:p w:rsidR="007C5A8F" w:rsidRPr="00E55039" w:rsidRDefault="007C5A8F" w:rsidP="00F03BC7">
      <w:pPr>
        <w:rPr>
          <w:rFonts w:cs="Arial"/>
          <w:lang w:val="fr-CH"/>
        </w:rPr>
      </w:pPr>
    </w:p>
    <w:p w:rsidR="007C5A8F" w:rsidRPr="00E55039" w:rsidRDefault="007C5A8F" w:rsidP="00F03BC7">
      <w:pPr>
        <w:rPr>
          <w:rFonts w:cs="Arial"/>
          <w:lang w:val="fr-CH"/>
        </w:rPr>
      </w:pPr>
    </w:p>
    <w:p w:rsidR="007C5A8F" w:rsidRPr="00E55039" w:rsidRDefault="007C5A8F" w:rsidP="00050E16">
      <w:pPr>
        <w:rPr>
          <w:lang w:val="fr-CH"/>
        </w:rPr>
      </w:pPr>
    </w:p>
    <w:p w:rsidR="007C5A8F" w:rsidRPr="00E55039" w:rsidRDefault="002647B3" w:rsidP="002647B3">
      <w:pPr>
        <w:jc w:val="right"/>
      </w:pPr>
      <w:r w:rsidRPr="00E55039">
        <w:rPr>
          <w:lang w:val="fr-CH"/>
        </w:rPr>
        <w:t xml:space="preserve">[Fin </w:t>
      </w:r>
      <w:r w:rsidR="005C1F0D">
        <w:rPr>
          <w:lang w:val="fr-CH"/>
        </w:rPr>
        <w:t xml:space="preserve">de l’annexe et </w:t>
      </w:r>
      <w:bookmarkStart w:id="6" w:name="_GoBack"/>
      <w:bookmarkEnd w:id="6"/>
      <w:r w:rsidRPr="00E55039">
        <w:rPr>
          <w:lang w:val="fr-CH"/>
        </w:rPr>
        <w:t>du document]</w:t>
      </w:r>
    </w:p>
    <w:p w:rsidR="007C5A8F" w:rsidRPr="00E55039" w:rsidRDefault="007C5A8F" w:rsidP="009B440E">
      <w:pPr>
        <w:jc w:val="left"/>
      </w:pPr>
    </w:p>
    <w:p w:rsidR="00050E16" w:rsidRPr="00E55039" w:rsidRDefault="00050E16" w:rsidP="009B440E">
      <w:pPr>
        <w:jc w:val="left"/>
      </w:pPr>
    </w:p>
    <w:sectPr w:rsidR="00050E16" w:rsidRPr="00E55039" w:rsidSect="00906DDC">
      <w:headerReference w:type="first" r:id="rId14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A26" w:rsidRDefault="00A04A26" w:rsidP="006655D3">
      <w:r>
        <w:separator/>
      </w:r>
    </w:p>
    <w:p w:rsidR="00A04A26" w:rsidRDefault="00A04A26" w:rsidP="006655D3"/>
    <w:p w:rsidR="00A04A26" w:rsidRDefault="00A04A26" w:rsidP="006655D3"/>
  </w:endnote>
  <w:endnote w:type="continuationSeparator" w:id="0">
    <w:p w:rsidR="00A04A26" w:rsidRDefault="00A04A26" w:rsidP="006655D3">
      <w:r>
        <w:separator/>
      </w:r>
    </w:p>
    <w:p w:rsidR="00A04A26" w:rsidRPr="00294751" w:rsidRDefault="00A04A2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04A26" w:rsidRPr="00294751" w:rsidRDefault="00A04A26" w:rsidP="006655D3">
      <w:pPr>
        <w:rPr>
          <w:lang w:val="fr-FR"/>
        </w:rPr>
      </w:pPr>
    </w:p>
    <w:p w:rsidR="00A04A26" w:rsidRPr="00294751" w:rsidRDefault="00A04A26" w:rsidP="006655D3">
      <w:pPr>
        <w:rPr>
          <w:lang w:val="fr-FR"/>
        </w:rPr>
      </w:pPr>
    </w:p>
  </w:endnote>
  <w:endnote w:type="continuationNotice" w:id="1">
    <w:p w:rsidR="00A04A26" w:rsidRPr="00294751" w:rsidRDefault="00A04A2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04A26" w:rsidRPr="00294751" w:rsidRDefault="00A04A26" w:rsidP="006655D3">
      <w:pPr>
        <w:rPr>
          <w:lang w:val="fr-FR"/>
        </w:rPr>
      </w:pPr>
    </w:p>
    <w:p w:rsidR="00A04A26" w:rsidRPr="00294751" w:rsidRDefault="00A04A2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6DF" w:rsidRDefault="00C736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6DF" w:rsidRDefault="00C736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6DF" w:rsidRDefault="00C736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A26" w:rsidRDefault="00A04A26" w:rsidP="006655D3">
      <w:r>
        <w:separator/>
      </w:r>
    </w:p>
  </w:footnote>
  <w:footnote w:type="continuationSeparator" w:id="0">
    <w:p w:rsidR="00A04A26" w:rsidRDefault="00A04A26" w:rsidP="006655D3">
      <w:r>
        <w:separator/>
      </w:r>
    </w:p>
  </w:footnote>
  <w:footnote w:type="continuationNotice" w:id="1">
    <w:p w:rsidR="00A04A26" w:rsidRPr="00AB530F" w:rsidRDefault="00A04A2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6DF" w:rsidRDefault="00C736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6D743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</w:t>
    </w:r>
    <w:r w:rsidR="003D41CD">
      <w:rPr>
        <w:rStyle w:val="PageNumber"/>
        <w:lang w:val="en-US"/>
      </w:rPr>
      <w:t>55/9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C1F0D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6DF" w:rsidRDefault="00C736D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2E4" w:rsidRDefault="002402E4">
    <w:pPr>
      <w:pStyle w:val="Header"/>
      <w:rPr>
        <w:lang w:val="en-US"/>
      </w:rPr>
    </w:pPr>
    <w:r>
      <w:rPr>
        <w:lang w:val="en-US"/>
      </w:rPr>
      <w:t>TC/55/9</w:t>
    </w:r>
  </w:p>
  <w:p w:rsidR="002402E4" w:rsidRDefault="002402E4">
    <w:pPr>
      <w:pStyle w:val="Header"/>
      <w:rPr>
        <w:lang w:val="en-US"/>
      </w:rPr>
    </w:pPr>
  </w:p>
  <w:p w:rsidR="002402E4" w:rsidRPr="002402E4" w:rsidRDefault="002402E4">
    <w:pPr>
      <w:pStyle w:val="Header"/>
      <w:rPr>
        <w:lang w:val="en-US"/>
      </w:rPr>
    </w:pPr>
    <w:r>
      <w:rPr>
        <w:lang w:val="en-US"/>
      </w:rPr>
      <w:t>ANNEX</w:t>
    </w:r>
    <w:r w:rsidR="00DD73DD">
      <w:rPr>
        <w:lang w:val="en-US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4DE7"/>
    <w:multiLevelType w:val="hybridMultilevel"/>
    <w:tmpl w:val="BDEA3952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</w:lvl>
    <w:lvl w:ilvl="1" w:tplc="0409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18B05CE6">
      <w:start w:val="1"/>
      <w:numFmt w:val="lowerLetter"/>
      <w:lvlText w:val="(%3)"/>
      <w:lvlJc w:val="left"/>
      <w:pPr>
        <w:tabs>
          <w:tab w:val="num" w:pos="2535"/>
        </w:tabs>
        <w:ind w:left="2535" w:hanging="555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C63A5"/>
    <w:multiLevelType w:val="hybridMultilevel"/>
    <w:tmpl w:val="78E0AFEA"/>
    <w:lvl w:ilvl="0" w:tplc="66FC4678">
      <w:start w:val="1"/>
      <w:numFmt w:val="decimal"/>
      <w:lvlText w:val="%1."/>
      <w:lvlJc w:val="left"/>
      <w:pPr>
        <w:tabs>
          <w:tab w:val="num" w:pos="1138"/>
        </w:tabs>
        <w:ind w:left="1138" w:hanging="57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2742"/>
        </w:tabs>
        <w:ind w:left="2742" w:hanging="555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10C45FFF"/>
    <w:multiLevelType w:val="hybridMultilevel"/>
    <w:tmpl w:val="AF7EFEA0"/>
    <w:lvl w:ilvl="0" w:tplc="81BA62BC">
      <w:start w:val="1"/>
      <w:numFmt w:val="lowerLetter"/>
      <w:lvlText w:val="(%1)"/>
      <w:lvlJc w:val="left"/>
      <w:pPr>
        <w:tabs>
          <w:tab w:val="num" w:pos="5960"/>
        </w:tabs>
        <w:ind w:left="5960" w:hanging="114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773"/>
        </w:tabs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493"/>
        </w:tabs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13"/>
        </w:tabs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933"/>
        </w:tabs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653"/>
        </w:tabs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373"/>
        </w:tabs>
        <w:ind w:left="10373" w:hanging="360"/>
      </w:pPr>
      <w:rPr>
        <w:rFonts w:ascii="Wingdings" w:hAnsi="Wingdings" w:hint="default"/>
      </w:rPr>
    </w:lvl>
  </w:abstractNum>
  <w:abstractNum w:abstractNumId="3" w15:restartNumberingAfterBreak="0">
    <w:nsid w:val="176124EA"/>
    <w:multiLevelType w:val="hybridMultilevel"/>
    <w:tmpl w:val="4DFE730C"/>
    <w:lvl w:ilvl="0" w:tplc="66FC4678">
      <w:start w:val="1"/>
      <w:numFmt w:val="decimal"/>
      <w:lvlText w:val="%1."/>
      <w:lvlJc w:val="left"/>
      <w:pPr>
        <w:tabs>
          <w:tab w:val="num" w:pos="1138"/>
        </w:tabs>
        <w:ind w:left="1138" w:hanging="57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2742"/>
        </w:tabs>
        <w:ind w:left="2742" w:hanging="555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212C5DC7"/>
    <w:multiLevelType w:val="hybridMultilevel"/>
    <w:tmpl w:val="EBD8747E"/>
    <w:lvl w:ilvl="0" w:tplc="E4E4BC3E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0151A4"/>
    <w:multiLevelType w:val="hybridMultilevel"/>
    <w:tmpl w:val="73088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B5F12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5EEB339F"/>
    <w:multiLevelType w:val="hybridMultilevel"/>
    <w:tmpl w:val="F8B2605C"/>
    <w:lvl w:ilvl="0" w:tplc="04090017">
      <w:start w:val="1"/>
      <w:numFmt w:val="lowerLetter"/>
      <w:lvlText w:val="%1)"/>
      <w:lvlJc w:val="left"/>
      <w:pPr>
        <w:tabs>
          <w:tab w:val="num" w:pos="5960"/>
        </w:tabs>
        <w:ind w:left="5960" w:hanging="114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773"/>
        </w:tabs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493"/>
        </w:tabs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13"/>
        </w:tabs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933"/>
        </w:tabs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653"/>
        </w:tabs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373"/>
        </w:tabs>
        <w:ind w:left="10373" w:hanging="360"/>
      </w:pPr>
      <w:rPr>
        <w:rFonts w:ascii="Wingdings" w:hAnsi="Wingdings" w:hint="default"/>
      </w:rPr>
    </w:lvl>
  </w:abstractNum>
  <w:abstractNum w:abstractNumId="8" w15:restartNumberingAfterBreak="0">
    <w:nsid w:val="65972CEA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8"/>
        </w:tabs>
        <w:ind w:left="1138" w:hanging="57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670B63C3"/>
    <w:multiLevelType w:val="hybridMultilevel"/>
    <w:tmpl w:val="EBD8747E"/>
    <w:lvl w:ilvl="0" w:tplc="E4E4BC3E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C2B99"/>
    <w:multiLevelType w:val="hybridMultilevel"/>
    <w:tmpl w:val="C4E87970"/>
    <w:lvl w:ilvl="0" w:tplc="36B0582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99D0B31"/>
    <w:multiLevelType w:val="hybridMultilevel"/>
    <w:tmpl w:val="3996AD22"/>
    <w:lvl w:ilvl="0" w:tplc="04090017">
      <w:start w:val="1"/>
      <w:numFmt w:val="lowerLetter"/>
      <w:lvlText w:val="%1)"/>
      <w:lvlJc w:val="left"/>
      <w:pPr>
        <w:tabs>
          <w:tab w:val="num" w:pos="1689"/>
        </w:tabs>
        <w:ind w:left="1689" w:hanging="55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522896"/>
    <w:multiLevelType w:val="hybridMultilevel"/>
    <w:tmpl w:val="5B8A29D2"/>
    <w:lvl w:ilvl="0" w:tplc="A49C906C">
      <w:start w:val="1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3" w15:restartNumberingAfterBreak="0">
    <w:nsid w:val="7FCB6BCF"/>
    <w:multiLevelType w:val="hybridMultilevel"/>
    <w:tmpl w:val="F56A6A82"/>
    <w:lvl w:ilvl="0" w:tplc="04090017">
      <w:start w:val="1"/>
      <w:numFmt w:val="lowerLetter"/>
      <w:lvlText w:val="%1)"/>
      <w:lvlJc w:val="left"/>
      <w:pPr>
        <w:tabs>
          <w:tab w:val="num" w:pos="1689"/>
        </w:tabs>
        <w:ind w:left="1689" w:hanging="55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4"/>
  </w:num>
  <w:num w:numId="11">
    <w:abstractNumId w:val="0"/>
  </w:num>
  <w:num w:numId="12">
    <w:abstractNumId w:val="3"/>
  </w:num>
  <w:num w:numId="13">
    <w:abstractNumId w:val="8"/>
  </w:num>
  <w:num w:numId="14">
    <w:abstractNumId w:val="11"/>
  </w:num>
  <w:num w:numId="15">
    <w:abstractNumId w:val="7"/>
  </w:num>
  <w:num w:numId="16">
    <w:abstractNumId w:val="1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UPOV\TGs|TextBase TMs\WorkspaceFTS\UPOV\UPOV|Team Server TMs\French|TextBase TMs\WorkspaceFTS\Ad-hoc\Assemblies|TextBase TMs\WorkspaceFTS\Administration &amp; Finance\Administration|TextBase TMs\WorkspaceFTS\Administration &amp; Finance\PBC|TextBase TMs\WorkspaceFTS\Patents &amp; Innovation\Patents|TextBase TMs\WorkspaceFTS\Patents &amp; Innovation\Budapest|TextBase TMs\WorkspaceFTS\Brands, Designs &amp; DN\Lisbon|TextBase TMs\WorkspaceFTS\Brands, Designs &amp; DN\AMC|TextBase TMs\WorkspaceFTS\Brands, Designs &amp; DN\Brands|TextBase TMs\WorkspaceFTS\Brands, Designs &amp; DN\Madrid|TextBase TMs\WorkspaceFTS\Treaties &amp; Laws\WIPO Lex|TextBase TMs\WorkspaceFTS\xLegacy\Budget and Finance|TextBase TMs\WorkspaceFTS\Patents &amp; Innovation\CWS|TextBase TMs\WorkspaceFTS\xLegacy\Copyright|TextBase TMs\WorkspaceFTS\Patents &amp; Innovation\IPC|TextBase TMs\WorkspaceFTS\GRTKF\GRTKF|TextBase TMs\WorkspaceFTS\Treaties &amp; Laws\WIPO Treaties|TextBase TMs\WorkspaceFTS\Development\Development|TextBase TMs\WorkspaceFTS\Outreach\Academy|TextBase TMs\WorkspaceFTS\Outreach\Outreach|TextBase TMs\WorkspaceFTS\Outreach\ACE|TextBase TMs\WorkspaceFTS\Outreach\Communications|TextBase TMs\WorkspaceFTS\Outreach\Publications|TextBase TMs\WorkspaceFTS\xLegacy\Patents|TextBase TMs\WorkspaceFTS\Patents &amp; Innovation\PCT|TextBase TMs\WorkspaceFTS\Patents &amp; Innovation\SCP|TextBase TMs\WorkspaceFTS\xLegacy\Academy|TextBase TMs\WorkspaceFTS\xLegacy\Administrative|TextBase TMs\WorkspaceFTS\xLegacy\IP_Press_Other|TextBase TMs\WorkspaceFTS\xLegacy\Trademarks|TextBase TMs\WorkspaceFTS\xLegacy\Treaties|Team Server TMs\French|TextBase TMs\WorkspaceFTS\xLegacy\UPOV"/>
    <w:docVar w:name="TextBaseURL" w:val="empty"/>
    <w:docVar w:name="UILng" w:val="en"/>
  </w:docVars>
  <w:rsids>
    <w:rsidRoot w:val="00A04A26"/>
    <w:rsid w:val="00010CF3"/>
    <w:rsid w:val="00011E27"/>
    <w:rsid w:val="000148BC"/>
    <w:rsid w:val="0002258B"/>
    <w:rsid w:val="00024AB8"/>
    <w:rsid w:val="00030854"/>
    <w:rsid w:val="00036028"/>
    <w:rsid w:val="00044642"/>
    <w:rsid w:val="000446B9"/>
    <w:rsid w:val="00047E21"/>
    <w:rsid w:val="00050E16"/>
    <w:rsid w:val="00085505"/>
    <w:rsid w:val="00092F2A"/>
    <w:rsid w:val="000B5EC7"/>
    <w:rsid w:val="000C4E25"/>
    <w:rsid w:val="000C7021"/>
    <w:rsid w:val="000D6AFA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A473A"/>
    <w:rsid w:val="001C1FE5"/>
    <w:rsid w:val="001D36AC"/>
    <w:rsid w:val="001E6289"/>
    <w:rsid w:val="001E68CF"/>
    <w:rsid w:val="0021332C"/>
    <w:rsid w:val="00213982"/>
    <w:rsid w:val="00215634"/>
    <w:rsid w:val="002402E4"/>
    <w:rsid w:val="0024416D"/>
    <w:rsid w:val="002647B3"/>
    <w:rsid w:val="00270DA4"/>
    <w:rsid w:val="0027101D"/>
    <w:rsid w:val="00271911"/>
    <w:rsid w:val="00271E0A"/>
    <w:rsid w:val="002800A0"/>
    <w:rsid w:val="002801B3"/>
    <w:rsid w:val="00281060"/>
    <w:rsid w:val="002940E8"/>
    <w:rsid w:val="00294751"/>
    <w:rsid w:val="002A6E50"/>
    <w:rsid w:val="002B4298"/>
    <w:rsid w:val="002C256A"/>
    <w:rsid w:val="00304827"/>
    <w:rsid w:val="00305A7F"/>
    <w:rsid w:val="003152FE"/>
    <w:rsid w:val="00321EDE"/>
    <w:rsid w:val="00322B1F"/>
    <w:rsid w:val="00327436"/>
    <w:rsid w:val="00331935"/>
    <w:rsid w:val="00344BD6"/>
    <w:rsid w:val="003512F2"/>
    <w:rsid w:val="0035528D"/>
    <w:rsid w:val="00361821"/>
    <w:rsid w:val="00361E9E"/>
    <w:rsid w:val="00382007"/>
    <w:rsid w:val="003C1E17"/>
    <w:rsid w:val="003C7FBE"/>
    <w:rsid w:val="003D227C"/>
    <w:rsid w:val="003D2B4D"/>
    <w:rsid w:val="003D41CD"/>
    <w:rsid w:val="003E588B"/>
    <w:rsid w:val="003E646B"/>
    <w:rsid w:val="00444A88"/>
    <w:rsid w:val="00474DA4"/>
    <w:rsid w:val="00475F60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36FFD"/>
    <w:rsid w:val="0054281C"/>
    <w:rsid w:val="00544581"/>
    <w:rsid w:val="0055268D"/>
    <w:rsid w:val="00553B11"/>
    <w:rsid w:val="00576BE4"/>
    <w:rsid w:val="005A322A"/>
    <w:rsid w:val="005A400A"/>
    <w:rsid w:val="005B46E9"/>
    <w:rsid w:val="005C1F0D"/>
    <w:rsid w:val="005C6ED2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32C1"/>
    <w:rsid w:val="00695669"/>
    <w:rsid w:val="00695C56"/>
    <w:rsid w:val="006A5CDE"/>
    <w:rsid w:val="006A644A"/>
    <w:rsid w:val="006B17D2"/>
    <w:rsid w:val="006C224E"/>
    <w:rsid w:val="006D7435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9105E"/>
    <w:rsid w:val="007A2854"/>
    <w:rsid w:val="007B1D57"/>
    <w:rsid w:val="007C1D92"/>
    <w:rsid w:val="007C4CB9"/>
    <w:rsid w:val="007C5A8F"/>
    <w:rsid w:val="007D0B9D"/>
    <w:rsid w:val="007D19B0"/>
    <w:rsid w:val="007F498F"/>
    <w:rsid w:val="0080679D"/>
    <w:rsid w:val="00807ED1"/>
    <w:rsid w:val="008108B0"/>
    <w:rsid w:val="00811B20"/>
    <w:rsid w:val="00814CDC"/>
    <w:rsid w:val="008211B5"/>
    <w:rsid w:val="0082296E"/>
    <w:rsid w:val="00824099"/>
    <w:rsid w:val="00846D7C"/>
    <w:rsid w:val="00850F3F"/>
    <w:rsid w:val="00867AC1"/>
    <w:rsid w:val="00890DF8"/>
    <w:rsid w:val="008A31C9"/>
    <w:rsid w:val="008A743F"/>
    <w:rsid w:val="008B3448"/>
    <w:rsid w:val="008B6E60"/>
    <w:rsid w:val="008C0970"/>
    <w:rsid w:val="008D0BC5"/>
    <w:rsid w:val="008D2CF7"/>
    <w:rsid w:val="008D7E86"/>
    <w:rsid w:val="00900C26"/>
    <w:rsid w:val="00900C6F"/>
    <w:rsid w:val="0090197F"/>
    <w:rsid w:val="00906DDC"/>
    <w:rsid w:val="00934E09"/>
    <w:rsid w:val="00936253"/>
    <w:rsid w:val="00940D46"/>
    <w:rsid w:val="00952DD4"/>
    <w:rsid w:val="00965AE7"/>
    <w:rsid w:val="00970FED"/>
    <w:rsid w:val="00983ED6"/>
    <w:rsid w:val="00992D82"/>
    <w:rsid w:val="00997029"/>
    <w:rsid w:val="009A7339"/>
    <w:rsid w:val="009B440E"/>
    <w:rsid w:val="009D690D"/>
    <w:rsid w:val="009E65B6"/>
    <w:rsid w:val="00A04A26"/>
    <w:rsid w:val="00A24C10"/>
    <w:rsid w:val="00A37C2B"/>
    <w:rsid w:val="00A42AC3"/>
    <w:rsid w:val="00A430CF"/>
    <w:rsid w:val="00A54309"/>
    <w:rsid w:val="00A5782F"/>
    <w:rsid w:val="00A96D3A"/>
    <w:rsid w:val="00AB2B93"/>
    <w:rsid w:val="00AB530F"/>
    <w:rsid w:val="00AB7E5B"/>
    <w:rsid w:val="00AC2883"/>
    <w:rsid w:val="00AC69BE"/>
    <w:rsid w:val="00AC7873"/>
    <w:rsid w:val="00AE0EF1"/>
    <w:rsid w:val="00AE2937"/>
    <w:rsid w:val="00AE62FF"/>
    <w:rsid w:val="00B07301"/>
    <w:rsid w:val="00B11F3E"/>
    <w:rsid w:val="00B16D4A"/>
    <w:rsid w:val="00B224DE"/>
    <w:rsid w:val="00B324D4"/>
    <w:rsid w:val="00B435FA"/>
    <w:rsid w:val="00B46575"/>
    <w:rsid w:val="00B61777"/>
    <w:rsid w:val="00B84BBD"/>
    <w:rsid w:val="00BA0FB4"/>
    <w:rsid w:val="00BA43FB"/>
    <w:rsid w:val="00BB3EB2"/>
    <w:rsid w:val="00BC127D"/>
    <w:rsid w:val="00BC1FE6"/>
    <w:rsid w:val="00BC72B5"/>
    <w:rsid w:val="00C061B6"/>
    <w:rsid w:val="00C2446C"/>
    <w:rsid w:val="00C36AE5"/>
    <w:rsid w:val="00C41F17"/>
    <w:rsid w:val="00C428E1"/>
    <w:rsid w:val="00C527FA"/>
    <w:rsid w:val="00C5280D"/>
    <w:rsid w:val="00C53EB3"/>
    <w:rsid w:val="00C5791C"/>
    <w:rsid w:val="00C66290"/>
    <w:rsid w:val="00C667F1"/>
    <w:rsid w:val="00C72B7A"/>
    <w:rsid w:val="00C736DF"/>
    <w:rsid w:val="00C73775"/>
    <w:rsid w:val="00C75DC8"/>
    <w:rsid w:val="00C973F2"/>
    <w:rsid w:val="00CA1405"/>
    <w:rsid w:val="00CA304C"/>
    <w:rsid w:val="00CA774A"/>
    <w:rsid w:val="00CC11B0"/>
    <w:rsid w:val="00CC2841"/>
    <w:rsid w:val="00CF1330"/>
    <w:rsid w:val="00CF7E36"/>
    <w:rsid w:val="00D326F9"/>
    <w:rsid w:val="00D3708D"/>
    <w:rsid w:val="00D40426"/>
    <w:rsid w:val="00D4673F"/>
    <w:rsid w:val="00D57C96"/>
    <w:rsid w:val="00D57D18"/>
    <w:rsid w:val="00D61C48"/>
    <w:rsid w:val="00D91203"/>
    <w:rsid w:val="00D917FD"/>
    <w:rsid w:val="00D95174"/>
    <w:rsid w:val="00DA4973"/>
    <w:rsid w:val="00DA6F36"/>
    <w:rsid w:val="00DB596E"/>
    <w:rsid w:val="00DB7773"/>
    <w:rsid w:val="00DC00EA"/>
    <w:rsid w:val="00DC018F"/>
    <w:rsid w:val="00DC3802"/>
    <w:rsid w:val="00DD73DD"/>
    <w:rsid w:val="00DE7048"/>
    <w:rsid w:val="00E002B1"/>
    <w:rsid w:val="00E04A25"/>
    <w:rsid w:val="00E07D87"/>
    <w:rsid w:val="00E2109F"/>
    <w:rsid w:val="00E32F7E"/>
    <w:rsid w:val="00E5267B"/>
    <w:rsid w:val="00E55039"/>
    <w:rsid w:val="00E63C0E"/>
    <w:rsid w:val="00E728BA"/>
    <w:rsid w:val="00E72D49"/>
    <w:rsid w:val="00E7593C"/>
    <w:rsid w:val="00E7678A"/>
    <w:rsid w:val="00E935F1"/>
    <w:rsid w:val="00E94A81"/>
    <w:rsid w:val="00EA1FFB"/>
    <w:rsid w:val="00EA7469"/>
    <w:rsid w:val="00EB048E"/>
    <w:rsid w:val="00EB4E9C"/>
    <w:rsid w:val="00EE34DF"/>
    <w:rsid w:val="00EE53CB"/>
    <w:rsid w:val="00EF2F89"/>
    <w:rsid w:val="00F03BC7"/>
    <w:rsid w:val="00F03E98"/>
    <w:rsid w:val="00F1237A"/>
    <w:rsid w:val="00F22CBD"/>
    <w:rsid w:val="00F272F1"/>
    <w:rsid w:val="00F45372"/>
    <w:rsid w:val="00F560F7"/>
    <w:rsid w:val="00F6334D"/>
    <w:rsid w:val="00FA49AB"/>
    <w:rsid w:val="00FB6BDA"/>
    <w:rsid w:val="00FE39C7"/>
    <w:rsid w:val="00FE593E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748E9AD4"/>
  <w15:docId w15:val="{B603EDB1-AA95-436E-A322-32C15F71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A5782F"/>
    <w:pPr>
      <w:keepNext/>
      <w:jc w:val="both"/>
      <w:outlineLvl w:val="0"/>
    </w:pPr>
    <w:rPr>
      <w:rFonts w:ascii="Arial" w:hAnsi="Arial"/>
      <w:caps/>
      <w:color w:val="000000"/>
      <w:lang w:val="fr-CH"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qFormat/>
    <w:rsid w:val="00DC018F"/>
    <w:pPr>
      <w:tabs>
        <w:tab w:val="right" w:leader="dot" w:pos="9639"/>
      </w:tabs>
      <w:spacing w:before="60"/>
      <w:ind w:right="1418"/>
      <w:contextualSpacing/>
      <w:jc w:val="left"/>
    </w:pPr>
    <w:rPr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F03BC7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814CDC"/>
    <w:pPr>
      <w:ind w:left="1701" w:hanging="1701"/>
    </w:pPr>
    <w:rPr>
      <w:rFonts w:ascii="Times New Roman" w:hAnsi="Times New Roman" w:cs="Angsana New"/>
      <w:color w:val="000000"/>
      <w:sz w:val="24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814CDC"/>
    <w:rPr>
      <w:rFonts w:cs="Angsana New"/>
      <w:color w:val="000000"/>
      <w:sz w:val="24"/>
      <w:szCs w:val="24"/>
      <w:lang w:eastAsia="ja-JP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1520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TC/55/9</vt:lpstr>
    </vt:vector>
  </TitlesOfParts>
  <Company>UPOV</Company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TC/55/9</dc:title>
  <dc:creator>SANCHEZ VIZCAINO GOMEZ Rosa Maria</dc:creator>
  <cp:lastModifiedBy>MAY Jessica</cp:lastModifiedBy>
  <cp:revision>4</cp:revision>
  <cp:lastPrinted>2019-10-22T07:58:00Z</cp:lastPrinted>
  <dcterms:created xsi:type="dcterms:W3CDTF">2019-10-24T12:08:00Z</dcterms:created>
  <dcterms:modified xsi:type="dcterms:W3CDTF">2019-10-24T12:14:00Z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9df4755b-8b50-409a-9e69-d9d616f0ac9e</vt:lpwstr>
  </property>
</Properties>
</file>