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1722FF" w:rsidRPr="00815738" w:rsidTr="005C4ACA">
        <w:tc>
          <w:tcPr>
            <w:tcW w:w="6522" w:type="dxa"/>
          </w:tcPr>
          <w:p w:rsidR="001722FF" w:rsidRPr="00AC2883" w:rsidRDefault="001722FF" w:rsidP="005C4ACA">
            <w:bookmarkStart w:id="0" w:name="TitleOfDoc"/>
            <w:bookmarkStart w:id="1" w:name="_Toc18604994"/>
            <w:bookmarkEnd w:id="0"/>
            <w:r w:rsidRPr="00D250C5">
              <w:rPr>
                <w:noProof/>
                <w:lang w:val="en-US"/>
              </w:rPr>
              <w:drawing>
                <wp:inline distT="0" distB="0" distL="0" distR="0" wp14:anchorId="756618F6" wp14:editId="68D88B6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1722FF" w:rsidRPr="007C1D92" w:rsidRDefault="001722FF" w:rsidP="005C4ACA">
            <w:pPr>
              <w:pStyle w:val="Lettrine"/>
            </w:pPr>
            <w:r>
              <w:t>F</w:t>
            </w:r>
          </w:p>
        </w:tc>
      </w:tr>
      <w:tr w:rsidR="001722FF" w:rsidRPr="00DA4973" w:rsidTr="005C4ACA">
        <w:trPr>
          <w:trHeight w:val="219"/>
        </w:trPr>
        <w:tc>
          <w:tcPr>
            <w:tcW w:w="6522" w:type="dxa"/>
          </w:tcPr>
          <w:p w:rsidR="001722FF" w:rsidRPr="00AC2883" w:rsidRDefault="001722FF" w:rsidP="005C4ACA">
            <w:pPr>
              <w:pStyle w:val="upove"/>
            </w:pPr>
            <w:r w:rsidRPr="00AC2883">
              <w:t xml:space="preserve">Union </w:t>
            </w:r>
            <w:r>
              <w:t>i</w:t>
            </w:r>
            <w:r w:rsidRPr="00AC2883">
              <w:t>nternational</w:t>
            </w:r>
            <w:r>
              <w:t>e</w:t>
            </w:r>
            <w:r w:rsidRPr="00AC2883">
              <w:t xml:space="preserve"> </w:t>
            </w:r>
            <w:r>
              <w:t>pour la protection des obtentions végétales</w:t>
            </w:r>
          </w:p>
        </w:tc>
        <w:tc>
          <w:tcPr>
            <w:tcW w:w="3117" w:type="dxa"/>
          </w:tcPr>
          <w:p w:rsidR="001722FF" w:rsidRPr="00DA4973" w:rsidRDefault="001722FF" w:rsidP="005C4ACA"/>
        </w:tc>
      </w:tr>
    </w:tbl>
    <w:p w:rsidR="001722FF" w:rsidRDefault="001722FF" w:rsidP="001722FF"/>
    <w:p w:rsidR="001722FF" w:rsidRPr="00365DC1" w:rsidRDefault="001722FF" w:rsidP="001722FF"/>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722FF" w:rsidRPr="00C5280D" w:rsidTr="005C4ACA">
        <w:tc>
          <w:tcPr>
            <w:tcW w:w="6512" w:type="dxa"/>
          </w:tcPr>
          <w:p w:rsidR="001722FF" w:rsidRPr="00AC2883" w:rsidRDefault="001722FF" w:rsidP="005C4ACA">
            <w:pPr>
              <w:pStyle w:val="Sessiontc"/>
              <w:spacing w:line="240" w:lineRule="auto"/>
            </w:pPr>
            <w:r>
              <w:t>Comité technique</w:t>
            </w:r>
          </w:p>
          <w:p w:rsidR="001722FF" w:rsidRPr="00DC3802" w:rsidRDefault="001722FF" w:rsidP="005C4ACA">
            <w:pPr>
              <w:pStyle w:val="Sessiontcplacedate"/>
              <w:rPr>
                <w:sz w:val="22"/>
              </w:rPr>
            </w:pPr>
            <w:r>
              <w:t>Cinquante-cinquième session</w:t>
            </w:r>
            <w:r w:rsidRPr="00DA4973">
              <w:br/>
              <w:t>Gen</w:t>
            </w:r>
            <w:r>
              <w:t>è</w:t>
            </w:r>
            <w:r w:rsidRPr="00DA4973">
              <w:t>v</w:t>
            </w:r>
            <w:r>
              <w:t>e</w:t>
            </w:r>
            <w:r w:rsidRPr="00DA4973">
              <w:t xml:space="preserve">, </w:t>
            </w:r>
            <w:r>
              <w:t>28 et 29 octobre 2019</w:t>
            </w:r>
          </w:p>
        </w:tc>
        <w:tc>
          <w:tcPr>
            <w:tcW w:w="3127" w:type="dxa"/>
          </w:tcPr>
          <w:p w:rsidR="001722FF" w:rsidRPr="003C7FBE" w:rsidRDefault="001722FF" w:rsidP="005C4ACA">
            <w:pPr>
              <w:pStyle w:val="Doccode"/>
            </w:pPr>
            <w:r>
              <w:t>TC/55</w:t>
            </w:r>
            <w:r w:rsidRPr="00AC2883">
              <w:t>/</w:t>
            </w:r>
            <w:r>
              <w:t>24</w:t>
            </w:r>
          </w:p>
          <w:p w:rsidR="001722FF" w:rsidRPr="003C7FBE" w:rsidRDefault="001722FF" w:rsidP="005C4ACA">
            <w:pPr>
              <w:pStyle w:val="Docoriginal"/>
            </w:pPr>
            <w:r w:rsidRPr="00AC2883">
              <w:t>Original</w:t>
            </w:r>
            <w:r>
              <w:t> :</w:t>
            </w:r>
            <w:r w:rsidRPr="000E636A">
              <w:rPr>
                <w:b w:val="0"/>
                <w:spacing w:val="0"/>
              </w:rPr>
              <w:t xml:space="preserve"> </w:t>
            </w:r>
            <w:r>
              <w:rPr>
                <w:b w:val="0"/>
                <w:spacing w:val="0"/>
              </w:rPr>
              <w:t>anglais</w:t>
            </w:r>
          </w:p>
          <w:p w:rsidR="001722FF" w:rsidRPr="007C1D92" w:rsidRDefault="001722FF" w:rsidP="005C4ACA">
            <w:pPr>
              <w:pStyle w:val="Docoriginal"/>
            </w:pPr>
            <w:r w:rsidRPr="00AC2883">
              <w:t>Date</w:t>
            </w:r>
            <w:r>
              <w:t> :</w:t>
            </w:r>
            <w:r>
              <w:rPr>
                <w:b w:val="0"/>
                <w:spacing w:val="0"/>
              </w:rPr>
              <w:t xml:space="preserve"> </w:t>
            </w:r>
            <w:r w:rsidRPr="005F33AD">
              <w:rPr>
                <w:b w:val="0"/>
                <w:spacing w:val="0"/>
              </w:rPr>
              <w:t>3</w:t>
            </w:r>
            <w:r>
              <w:rPr>
                <w:b w:val="0"/>
                <w:spacing w:val="0"/>
              </w:rPr>
              <w:t> </w:t>
            </w:r>
            <w:r w:rsidRPr="005F33AD">
              <w:rPr>
                <w:b w:val="0"/>
                <w:spacing w:val="0"/>
              </w:rPr>
              <w:t>octobre</w:t>
            </w:r>
            <w:r>
              <w:rPr>
                <w:b w:val="0"/>
                <w:spacing w:val="0"/>
              </w:rPr>
              <w:t> </w:t>
            </w:r>
            <w:r w:rsidRPr="005F33AD">
              <w:rPr>
                <w:b w:val="0"/>
                <w:spacing w:val="0"/>
              </w:rPr>
              <w:t>2019</w:t>
            </w:r>
          </w:p>
        </w:tc>
      </w:tr>
    </w:tbl>
    <w:p w:rsidR="000D7780" w:rsidRPr="001722FF" w:rsidRDefault="00442348" w:rsidP="008C2665">
      <w:pPr>
        <w:pStyle w:val="Titleofdoc0"/>
        <w:jc w:val="both"/>
      </w:pPr>
      <w:r w:rsidRPr="001722FF">
        <w:t>Renforcement de la participation des nouveaux membres de l</w:t>
      </w:r>
      <w:r w:rsidR="001722FF">
        <w:t>’</w:t>
      </w:r>
      <w:r w:rsidRPr="001722FF">
        <w:t>Union aux travaux du</w:t>
      </w:r>
      <w:r w:rsidR="001722FF">
        <w:t> TC</w:t>
      </w:r>
      <w:r w:rsidRPr="001722FF">
        <w:t xml:space="preserve"> et</w:t>
      </w:r>
      <w:r w:rsidR="001722FF" w:rsidRPr="001722FF">
        <w:t xml:space="preserve"> des</w:t>
      </w:r>
      <w:r w:rsidR="001722FF">
        <w:t> </w:t>
      </w:r>
      <w:bookmarkEnd w:id="1"/>
      <w:r w:rsidR="001722FF" w:rsidRPr="001722FF">
        <w:t>TWP</w:t>
      </w:r>
    </w:p>
    <w:p w:rsidR="006A644A" w:rsidRPr="00954D73" w:rsidRDefault="00AE0EF1" w:rsidP="006A644A">
      <w:pPr>
        <w:pStyle w:val="preparedby1"/>
        <w:jc w:val="left"/>
      </w:pPr>
      <w:bookmarkStart w:id="2" w:name="Prepared"/>
      <w:bookmarkEnd w:id="2"/>
      <w:r>
        <w:t>Document établi par le Bureau de l</w:t>
      </w:r>
      <w:r w:rsidR="001722FF">
        <w:t>’</w:t>
      </w:r>
      <w:r>
        <w:t>Union</w:t>
      </w:r>
    </w:p>
    <w:p w:rsidR="00ED14D8" w:rsidRPr="006A644A" w:rsidRDefault="00ED14D8" w:rsidP="00ED14D8">
      <w:pPr>
        <w:pStyle w:val="Disclaimer"/>
      </w:pPr>
      <w:r w:rsidRPr="00A706D3">
        <w:t>Avertissement : le présent document ne représente pas les principes ou les orientations de l’UPOV</w:t>
      </w:r>
    </w:p>
    <w:p w:rsidR="00954D73" w:rsidRPr="00954D73" w:rsidRDefault="00C37FFC" w:rsidP="00915F6F">
      <w:pPr>
        <w:pStyle w:val="Heading1"/>
      </w:pPr>
      <w:bookmarkStart w:id="3" w:name="_Toc22478901"/>
      <w:r>
        <w:t>RÉ</w:t>
      </w:r>
      <w:r w:rsidR="00954D73">
        <w:t>sum</w:t>
      </w:r>
      <w:r>
        <w:t>É</w:t>
      </w:r>
      <w:bookmarkEnd w:id="3"/>
    </w:p>
    <w:p w:rsidR="00954D73" w:rsidRDefault="00954D73" w:rsidP="00954D73"/>
    <w:p w:rsidR="00C64FFC" w:rsidRDefault="00C64FFC" w:rsidP="00954D73">
      <w:r w:rsidRPr="00E53F26">
        <w:fldChar w:fldCharType="begin"/>
      </w:r>
      <w:r w:rsidRPr="00E53F26">
        <w:instrText xml:space="preserve"> AUTONUM  </w:instrText>
      </w:r>
      <w:r w:rsidRPr="00E53F26">
        <w:fldChar w:fldCharType="end"/>
      </w:r>
      <w:r>
        <w:tab/>
        <w:t>L</w:t>
      </w:r>
      <w:r w:rsidR="001722FF">
        <w:t>’</w:t>
      </w:r>
      <w:r>
        <w:t>objet du présent document est d</w:t>
      </w:r>
      <w:r w:rsidR="001722FF">
        <w:t>’</w:t>
      </w:r>
      <w:r>
        <w:t>assister le Comité technique (TC) dans ses discussions concernant les améliorations pouvant être apportées aux courriers d</w:t>
      </w:r>
      <w:r w:rsidR="001722FF">
        <w:t>’</w:t>
      </w:r>
      <w:r>
        <w:t>invitation aux sessions des Groupes de travail techniques (TWP) et du</w:t>
      </w:r>
      <w:r w:rsidR="001722FF">
        <w:t> TC</w:t>
      </w:r>
      <w:r>
        <w:t xml:space="preserve"> et de rendre compte des autres propositions visant à renforcer la participation aux travaux du</w:t>
      </w:r>
      <w:r w:rsidR="001722FF">
        <w:t> TC</w:t>
      </w:r>
      <w:r>
        <w:t xml:space="preserve"> et</w:t>
      </w:r>
      <w:r w:rsidR="001722FF">
        <w:t xml:space="preserve"> des TWP</w:t>
      </w:r>
      <w:r>
        <w:t>.</w:t>
      </w:r>
    </w:p>
    <w:p w:rsidR="00C64FFC" w:rsidRDefault="00C64FFC" w:rsidP="00954D73"/>
    <w:p w:rsidR="001722FF" w:rsidRDefault="00C64FFC" w:rsidP="00954D73">
      <w:r>
        <w:fldChar w:fldCharType="begin"/>
      </w:r>
      <w:r>
        <w:instrText xml:space="preserve"> AUTONUM  </w:instrText>
      </w:r>
      <w:r>
        <w:fldChar w:fldCharType="end"/>
      </w:r>
      <w:r>
        <w:tab/>
        <w:t>Le</w:t>
      </w:r>
      <w:r w:rsidR="001722FF">
        <w:t> TC</w:t>
      </w:r>
      <w:r>
        <w:t xml:space="preserve"> est invité à</w:t>
      </w:r>
      <w:r w:rsidR="00365374">
        <w:t> :</w:t>
      </w:r>
    </w:p>
    <w:p w:rsidR="00E53F26" w:rsidRDefault="00E53F26" w:rsidP="00954D73"/>
    <w:p w:rsidR="00C64FFC" w:rsidRDefault="00E53F26" w:rsidP="00E53F26">
      <w:pPr>
        <w:ind w:firstLine="567"/>
      </w:pPr>
      <w:r>
        <w:t>a)</w:t>
      </w:r>
      <w:r>
        <w:tab/>
        <w:t>examiner les propositions visant à améliorer les courri</w:t>
      </w:r>
      <w:r w:rsidR="00C37FFC">
        <w:t>ers d</w:t>
      </w:r>
      <w:r w:rsidR="001722FF">
        <w:t>’</w:t>
      </w:r>
      <w:r w:rsidR="00C37FFC">
        <w:t>invitation aux sessions</w:t>
      </w:r>
      <w:r w:rsidR="001722FF">
        <w:t xml:space="preserve"> des TWP</w:t>
      </w:r>
      <w:r>
        <w:t xml:space="preserve"> et </w:t>
      </w:r>
      <w:r w:rsidR="00C37FFC">
        <w:t>du</w:t>
      </w:r>
      <w:r w:rsidR="001722FF">
        <w:t> TC</w:t>
      </w:r>
      <w:r>
        <w:t xml:space="preserve">, </w:t>
      </w:r>
      <w:r w:rsidR="00C37FFC">
        <w:t xml:space="preserve">qui figurent au </w:t>
      </w:r>
      <w:r w:rsidRPr="00365374">
        <w:t xml:space="preserve">paragraphe 10 et </w:t>
      </w:r>
      <w:r w:rsidR="00C37FFC" w:rsidRPr="00365374">
        <w:t>à</w:t>
      </w:r>
      <w:r w:rsidRPr="00365374">
        <w:t xml:space="preserve"> l</w:t>
      </w:r>
      <w:r w:rsidR="001722FF" w:rsidRPr="00365374">
        <w:t>’annexe</w:t>
      </w:r>
      <w:r w:rsidR="001722FF">
        <w:t> I</w:t>
      </w:r>
      <w:r w:rsidR="00ED14D8">
        <w:t>V du présent document,</w:t>
      </w:r>
    </w:p>
    <w:p w:rsidR="00E53F26" w:rsidRPr="00E53F26" w:rsidRDefault="00E53F26" w:rsidP="00E53F26">
      <w:pPr>
        <w:ind w:firstLine="567"/>
        <w:rPr>
          <w:i/>
        </w:rPr>
      </w:pPr>
    </w:p>
    <w:p w:rsidR="00E53F26" w:rsidRPr="00E53F26" w:rsidRDefault="00E53F26" w:rsidP="00E53F26">
      <w:pPr>
        <w:ind w:firstLine="567"/>
      </w:pPr>
      <w:r>
        <w:t>b)</w:t>
      </w:r>
      <w:r>
        <w:tab/>
        <w:t>examiner s</w:t>
      </w:r>
      <w:r w:rsidR="001722FF">
        <w:t>’</w:t>
      </w:r>
      <w:r>
        <w:t>il convient de fournir des orientations sur le contenu et le format du séminaire proposé afin de communiquer l</w:t>
      </w:r>
      <w:r w:rsidR="001722FF">
        <w:t>’</w:t>
      </w:r>
      <w:r>
        <w:t>importance des travaux techniques réalisés à l</w:t>
      </w:r>
      <w:r w:rsidR="001722FF">
        <w:t>’</w:t>
      </w:r>
      <w:r w:rsidR="00ED14D8">
        <w:t>UPOV</w:t>
      </w:r>
      <w:r w:rsidR="002636BB">
        <w:t xml:space="preserve"> </w:t>
      </w:r>
      <w:r>
        <w:t>et</w:t>
      </w:r>
    </w:p>
    <w:p w:rsidR="00E53F26" w:rsidRPr="00E53F26" w:rsidRDefault="00E53F26" w:rsidP="00E53F26">
      <w:pPr>
        <w:ind w:firstLine="567"/>
      </w:pPr>
    </w:p>
    <w:p w:rsidR="00E53F26" w:rsidRPr="00E53F26" w:rsidRDefault="00E53F26" w:rsidP="00E53F26">
      <w:pPr>
        <w:ind w:firstLine="567"/>
      </w:pPr>
      <w:r>
        <w:t>c)</w:t>
      </w:r>
      <w:r>
        <w:tab/>
        <w:t>noter que les invitations</w:t>
      </w:r>
      <w:r w:rsidR="001722FF">
        <w:t xml:space="preserve"> aux TWP</w:t>
      </w:r>
      <w:r>
        <w:t xml:space="preserve">, à leurs sessions </w:t>
      </w:r>
      <w:r w:rsidR="001722FF">
        <w:t>de 2019</w:t>
      </w:r>
      <w:r>
        <w:t>, ont été modifiées pour inviter les membres à indiquer les sujets auxquels ils souhaitent participer par voie électronique.</w:t>
      </w:r>
    </w:p>
    <w:p w:rsidR="00954D73" w:rsidRPr="00954D73" w:rsidRDefault="00954D73" w:rsidP="00954D73"/>
    <w:p w:rsidR="00954D73" w:rsidRDefault="00954D73" w:rsidP="00954D73">
      <w:r w:rsidRPr="00954D73">
        <w:rPr>
          <w:color w:val="000000"/>
        </w:rPr>
        <w:fldChar w:fldCharType="begin"/>
      </w:r>
      <w:r w:rsidRPr="00954D73">
        <w:rPr>
          <w:color w:val="000000"/>
        </w:rPr>
        <w:instrText xml:space="preserve"> AUTONUM  </w:instrText>
      </w:r>
      <w:r w:rsidRPr="00954D73">
        <w:rPr>
          <w:color w:val="000000"/>
        </w:rPr>
        <w:fldChar w:fldCharType="end"/>
      </w:r>
      <w:r>
        <w:rPr>
          <w:color w:val="000000"/>
        </w:rPr>
        <w:tab/>
      </w:r>
      <w:r>
        <w:t>Le présent document est structuré comme suit</w:t>
      </w:r>
      <w:r w:rsidR="002636BB">
        <w:t> </w:t>
      </w:r>
      <w:r>
        <w:t>:</w:t>
      </w:r>
    </w:p>
    <w:p w:rsidR="00805DDC" w:rsidRPr="00954D73" w:rsidRDefault="00805DDC" w:rsidP="00954D73"/>
    <w:p w:rsidR="00365374" w:rsidRDefault="00954D73">
      <w:pPr>
        <w:pStyle w:val="TOC1"/>
        <w:rPr>
          <w:rFonts w:asciiTheme="minorHAnsi" w:eastAsiaTheme="minorEastAsia" w:hAnsiTheme="minorHAnsi" w:cstheme="minorBidi"/>
          <w:caps w:val="0"/>
          <w:noProof/>
          <w:sz w:val="22"/>
          <w:szCs w:val="22"/>
          <w:lang w:val="en-US"/>
        </w:rPr>
      </w:pPr>
      <w:r w:rsidRPr="00954D73">
        <w:fldChar w:fldCharType="begin"/>
      </w:r>
      <w:r w:rsidRPr="00954D73">
        <w:instrText xml:space="preserve"> TOC \o "1-3" \h \z \u </w:instrText>
      </w:r>
      <w:r w:rsidRPr="00954D73">
        <w:fldChar w:fldCharType="separate"/>
      </w:r>
      <w:hyperlink w:anchor="_Toc22478901" w:history="1">
        <w:r w:rsidR="00365374" w:rsidRPr="005A4A0A">
          <w:rPr>
            <w:rStyle w:val="Hyperlink"/>
            <w:noProof/>
          </w:rPr>
          <w:t>RÉsumÉ</w:t>
        </w:r>
        <w:r w:rsidR="00365374">
          <w:rPr>
            <w:noProof/>
            <w:webHidden/>
          </w:rPr>
          <w:tab/>
        </w:r>
        <w:r w:rsidR="00365374">
          <w:rPr>
            <w:noProof/>
            <w:webHidden/>
          </w:rPr>
          <w:fldChar w:fldCharType="begin"/>
        </w:r>
        <w:r w:rsidR="00365374">
          <w:rPr>
            <w:noProof/>
            <w:webHidden/>
          </w:rPr>
          <w:instrText xml:space="preserve"> PAGEREF _Toc22478901 \h </w:instrText>
        </w:r>
        <w:r w:rsidR="00365374">
          <w:rPr>
            <w:noProof/>
            <w:webHidden/>
          </w:rPr>
        </w:r>
        <w:r w:rsidR="00365374">
          <w:rPr>
            <w:noProof/>
            <w:webHidden/>
          </w:rPr>
          <w:fldChar w:fldCharType="separate"/>
        </w:r>
        <w:r w:rsidR="00365374">
          <w:rPr>
            <w:noProof/>
            <w:webHidden/>
          </w:rPr>
          <w:t>1</w:t>
        </w:r>
        <w:r w:rsidR="00365374">
          <w:rPr>
            <w:noProof/>
            <w:webHidden/>
          </w:rPr>
          <w:fldChar w:fldCharType="end"/>
        </w:r>
      </w:hyperlink>
    </w:p>
    <w:p w:rsidR="00365374" w:rsidRDefault="00365374">
      <w:pPr>
        <w:pStyle w:val="TOC1"/>
        <w:rPr>
          <w:rFonts w:asciiTheme="minorHAnsi" w:eastAsiaTheme="minorEastAsia" w:hAnsiTheme="minorHAnsi" w:cstheme="minorBidi"/>
          <w:caps w:val="0"/>
          <w:noProof/>
          <w:sz w:val="22"/>
          <w:szCs w:val="22"/>
          <w:lang w:val="en-US"/>
        </w:rPr>
      </w:pPr>
      <w:hyperlink w:anchor="_Toc22478902" w:history="1">
        <w:r w:rsidRPr="005A4A0A">
          <w:rPr>
            <w:rStyle w:val="Hyperlink"/>
            <w:noProof/>
          </w:rPr>
          <w:t>Am</w:t>
        </w:r>
        <w:r w:rsidRPr="005A4A0A">
          <w:rPr>
            <w:rStyle w:val="Hyperlink"/>
            <w:rFonts w:cs="Arial"/>
            <w:noProof/>
          </w:rPr>
          <w:t>É</w:t>
        </w:r>
        <w:r w:rsidRPr="005A4A0A">
          <w:rPr>
            <w:rStyle w:val="Hyperlink"/>
            <w:noProof/>
          </w:rPr>
          <w:t>lioration des courriers d’invitation aux r</w:t>
        </w:r>
        <w:r w:rsidRPr="005A4A0A">
          <w:rPr>
            <w:rStyle w:val="Hyperlink"/>
            <w:rFonts w:cs="Arial"/>
            <w:noProof/>
          </w:rPr>
          <w:t>É</w:t>
        </w:r>
        <w:r w:rsidRPr="005A4A0A">
          <w:rPr>
            <w:rStyle w:val="Hyperlink"/>
            <w:noProof/>
          </w:rPr>
          <w:t>unions du TC et des TWP</w:t>
        </w:r>
        <w:r>
          <w:rPr>
            <w:noProof/>
            <w:webHidden/>
          </w:rPr>
          <w:tab/>
        </w:r>
        <w:r>
          <w:rPr>
            <w:noProof/>
            <w:webHidden/>
          </w:rPr>
          <w:fldChar w:fldCharType="begin"/>
        </w:r>
        <w:r>
          <w:rPr>
            <w:noProof/>
            <w:webHidden/>
          </w:rPr>
          <w:instrText xml:space="preserve"> PAGEREF _Toc22478902 \h </w:instrText>
        </w:r>
        <w:r>
          <w:rPr>
            <w:noProof/>
            <w:webHidden/>
          </w:rPr>
        </w:r>
        <w:r>
          <w:rPr>
            <w:noProof/>
            <w:webHidden/>
          </w:rPr>
          <w:fldChar w:fldCharType="separate"/>
        </w:r>
        <w:r>
          <w:rPr>
            <w:noProof/>
            <w:webHidden/>
          </w:rPr>
          <w:t>2</w:t>
        </w:r>
        <w:r>
          <w:rPr>
            <w:noProof/>
            <w:webHidden/>
          </w:rPr>
          <w:fldChar w:fldCharType="end"/>
        </w:r>
      </w:hyperlink>
    </w:p>
    <w:p w:rsidR="00365374" w:rsidRDefault="00365374">
      <w:pPr>
        <w:pStyle w:val="TOC2"/>
        <w:rPr>
          <w:rFonts w:asciiTheme="minorHAnsi" w:eastAsiaTheme="minorEastAsia" w:hAnsiTheme="minorHAnsi" w:cstheme="minorBidi"/>
          <w:noProof/>
          <w:sz w:val="22"/>
          <w:szCs w:val="22"/>
          <w:lang w:val="en-US"/>
        </w:rPr>
      </w:pPr>
      <w:hyperlink w:anchor="_Toc22478903" w:history="1">
        <w:r w:rsidRPr="005A4A0A">
          <w:rPr>
            <w:rStyle w:val="Hyperlink"/>
            <w:noProof/>
          </w:rPr>
          <w:t>Rappel</w:t>
        </w:r>
        <w:r>
          <w:rPr>
            <w:noProof/>
            <w:webHidden/>
          </w:rPr>
          <w:tab/>
        </w:r>
        <w:r>
          <w:rPr>
            <w:noProof/>
            <w:webHidden/>
          </w:rPr>
          <w:fldChar w:fldCharType="begin"/>
        </w:r>
        <w:r>
          <w:rPr>
            <w:noProof/>
            <w:webHidden/>
          </w:rPr>
          <w:instrText xml:space="preserve"> PAGEREF _Toc22478903 \h </w:instrText>
        </w:r>
        <w:r>
          <w:rPr>
            <w:noProof/>
            <w:webHidden/>
          </w:rPr>
        </w:r>
        <w:r>
          <w:rPr>
            <w:noProof/>
            <w:webHidden/>
          </w:rPr>
          <w:fldChar w:fldCharType="separate"/>
        </w:r>
        <w:r>
          <w:rPr>
            <w:noProof/>
            <w:webHidden/>
          </w:rPr>
          <w:t>2</w:t>
        </w:r>
        <w:r>
          <w:rPr>
            <w:noProof/>
            <w:webHidden/>
          </w:rPr>
          <w:fldChar w:fldCharType="end"/>
        </w:r>
      </w:hyperlink>
    </w:p>
    <w:p w:rsidR="00365374" w:rsidRDefault="00365374">
      <w:pPr>
        <w:pStyle w:val="TOC2"/>
        <w:rPr>
          <w:rFonts w:asciiTheme="minorHAnsi" w:eastAsiaTheme="minorEastAsia" w:hAnsiTheme="minorHAnsi" w:cstheme="minorBidi"/>
          <w:noProof/>
          <w:sz w:val="22"/>
          <w:szCs w:val="22"/>
          <w:lang w:val="en-US"/>
        </w:rPr>
      </w:pPr>
      <w:hyperlink w:anchor="_Toc22478904" w:history="1">
        <w:r w:rsidRPr="005A4A0A">
          <w:rPr>
            <w:rStyle w:val="Hyperlink"/>
            <w:noProof/>
          </w:rPr>
          <w:t>Procédures actuelles et améliorations possibles</w:t>
        </w:r>
        <w:r>
          <w:rPr>
            <w:noProof/>
            <w:webHidden/>
          </w:rPr>
          <w:tab/>
        </w:r>
        <w:r>
          <w:rPr>
            <w:noProof/>
            <w:webHidden/>
          </w:rPr>
          <w:fldChar w:fldCharType="begin"/>
        </w:r>
        <w:r>
          <w:rPr>
            <w:noProof/>
            <w:webHidden/>
          </w:rPr>
          <w:instrText xml:space="preserve"> PAGEREF _Toc22478904 \h </w:instrText>
        </w:r>
        <w:r>
          <w:rPr>
            <w:noProof/>
            <w:webHidden/>
          </w:rPr>
        </w:r>
        <w:r>
          <w:rPr>
            <w:noProof/>
            <w:webHidden/>
          </w:rPr>
          <w:fldChar w:fldCharType="separate"/>
        </w:r>
        <w:r>
          <w:rPr>
            <w:noProof/>
            <w:webHidden/>
          </w:rPr>
          <w:t>2</w:t>
        </w:r>
        <w:r>
          <w:rPr>
            <w:noProof/>
            <w:webHidden/>
          </w:rPr>
          <w:fldChar w:fldCharType="end"/>
        </w:r>
      </w:hyperlink>
    </w:p>
    <w:p w:rsidR="00365374" w:rsidRDefault="00365374">
      <w:pPr>
        <w:pStyle w:val="TOC3"/>
        <w:rPr>
          <w:rFonts w:asciiTheme="minorHAnsi" w:eastAsiaTheme="minorEastAsia" w:hAnsiTheme="minorHAnsi" w:cstheme="minorBidi"/>
          <w:noProof/>
          <w:sz w:val="22"/>
          <w:szCs w:val="22"/>
          <w:lang w:val="en-US"/>
        </w:rPr>
      </w:pPr>
      <w:hyperlink w:anchor="_Toc22478905" w:history="1">
        <w:r w:rsidRPr="005A4A0A">
          <w:rPr>
            <w:rStyle w:val="Hyperlink"/>
            <w:noProof/>
            <w:snapToGrid w:val="0"/>
          </w:rPr>
          <w:t>Résumé des commentaires reçus</w:t>
        </w:r>
        <w:r>
          <w:rPr>
            <w:noProof/>
            <w:webHidden/>
          </w:rPr>
          <w:tab/>
        </w:r>
        <w:r>
          <w:rPr>
            <w:noProof/>
            <w:webHidden/>
          </w:rPr>
          <w:fldChar w:fldCharType="begin"/>
        </w:r>
        <w:r>
          <w:rPr>
            <w:noProof/>
            <w:webHidden/>
          </w:rPr>
          <w:instrText xml:space="preserve"> PAGEREF _Toc22478905 \h </w:instrText>
        </w:r>
        <w:r>
          <w:rPr>
            <w:noProof/>
            <w:webHidden/>
          </w:rPr>
        </w:r>
        <w:r>
          <w:rPr>
            <w:noProof/>
            <w:webHidden/>
          </w:rPr>
          <w:fldChar w:fldCharType="separate"/>
        </w:r>
        <w:r>
          <w:rPr>
            <w:noProof/>
            <w:webHidden/>
          </w:rPr>
          <w:t>2</w:t>
        </w:r>
        <w:r>
          <w:rPr>
            <w:noProof/>
            <w:webHidden/>
          </w:rPr>
          <w:fldChar w:fldCharType="end"/>
        </w:r>
      </w:hyperlink>
    </w:p>
    <w:p w:rsidR="00365374" w:rsidRDefault="00365374">
      <w:pPr>
        <w:pStyle w:val="TOC1"/>
        <w:rPr>
          <w:rFonts w:asciiTheme="minorHAnsi" w:eastAsiaTheme="minorEastAsia" w:hAnsiTheme="minorHAnsi" w:cstheme="minorBidi"/>
          <w:caps w:val="0"/>
          <w:noProof/>
          <w:sz w:val="22"/>
          <w:szCs w:val="22"/>
          <w:lang w:val="en-US"/>
        </w:rPr>
      </w:pPr>
      <w:hyperlink w:anchor="_Toc22478906" w:history="1">
        <w:r w:rsidRPr="005A4A0A">
          <w:rPr>
            <w:rStyle w:val="Hyperlink"/>
            <w:noProof/>
          </w:rPr>
          <w:t>AUTRES PROPOSITIONS VISANT À RENFORCER LA PARTICIPATION AUX TRAVAUX DU TC ET DES TWP</w:t>
        </w:r>
        <w:r>
          <w:rPr>
            <w:noProof/>
            <w:webHidden/>
          </w:rPr>
          <w:tab/>
        </w:r>
        <w:r>
          <w:rPr>
            <w:noProof/>
            <w:webHidden/>
          </w:rPr>
          <w:fldChar w:fldCharType="begin"/>
        </w:r>
        <w:r>
          <w:rPr>
            <w:noProof/>
            <w:webHidden/>
          </w:rPr>
          <w:instrText xml:space="preserve"> PAGEREF _Toc22478906 \h </w:instrText>
        </w:r>
        <w:r>
          <w:rPr>
            <w:noProof/>
            <w:webHidden/>
          </w:rPr>
        </w:r>
        <w:r>
          <w:rPr>
            <w:noProof/>
            <w:webHidden/>
          </w:rPr>
          <w:fldChar w:fldCharType="separate"/>
        </w:r>
        <w:r>
          <w:rPr>
            <w:noProof/>
            <w:webHidden/>
          </w:rPr>
          <w:t>3</w:t>
        </w:r>
        <w:r>
          <w:rPr>
            <w:noProof/>
            <w:webHidden/>
          </w:rPr>
          <w:fldChar w:fldCharType="end"/>
        </w:r>
      </w:hyperlink>
    </w:p>
    <w:p w:rsidR="00365374" w:rsidRDefault="00365374">
      <w:pPr>
        <w:pStyle w:val="TOC2"/>
        <w:rPr>
          <w:rFonts w:asciiTheme="minorHAnsi" w:eastAsiaTheme="minorEastAsia" w:hAnsiTheme="minorHAnsi" w:cstheme="minorBidi"/>
          <w:noProof/>
          <w:sz w:val="22"/>
          <w:szCs w:val="22"/>
          <w:lang w:val="en-US"/>
        </w:rPr>
      </w:pPr>
      <w:hyperlink w:anchor="_Toc22478907" w:history="1">
        <w:r w:rsidRPr="005A4A0A">
          <w:rPr>
            <w:rStyle w:val="Hyperlink"/>
            <w:noProof/>
          </w:rPr>
          <w:t>Organisation d’un séminaire à Genève</w:t>
        </w:r>
        <w:r>
          <w:rPr>
            <w:noProof/>
            <w:webHidden/>
          </w:rPr>
          <w:tab/>
        </w:r>
        <w:r>
          <w:rPr>
            <w:noProof/>
            <w:webHidden/>
          </w:rPr>
          <w:fldChar w:fldCharType="begin"/>
        </w:r>
        <w:r>
          <w:rPr>
            <w:noProof/>
            <w:webHidden/>
          </w:rPr>
          <w:instrText xml:space="preserve"> PAGEREF _Toc22478907 \h </w:instrText>
        </w:r>
        <w:r>
          <w:rPr>
            <w:noProof/>
            <w:webHidden/>
          </w:rPr>
        </w:r>
        <w:r>
          <w:rPr>
            <w:noProof/>
            <w:webHidden/>
          </w:rPr>
          <w:fldChar w:fldCharType="separate"/>
        </w:r>
        <w:r>
          <w:rPr>
            <w:noProof/>
            <w:webHidden/>
          </w:rPr>
          <w:t>3</w:t>
        </w:r>
        <w:r>
          <w:rPr>
            <w:noProof/>
            <w:webHidden/>
          </w:rPr>
          <w:fldChar w:fldCharType="end"/>
        </w:r>
      </w:hyperlink>
    </w:p>
    <w:p w:rsidR="00365374" w:rsidRDefault="00365374">
      <w:pPr>
        <w:pStyle w:val="TOC2"/>
        <w:rPr>
          <w:rFonts w:asciiTheme="minorHAnsi" w:eastAsiaTheme="minorEastAsia" w:hAnsiTheme="minorHAnsi" w:cstheme="minorBidi"/>
          <w:noProof/>
          <w:sz w:val="22"/>
          <w:szCs w:val="22"/>
          <w:lang w:val="en-US"/>
        </w:rPr>
      </w:pPr>
      <w:hyperlink w:anchor="_Toc22478908" w:history="1">
        <w:r w:rsidRPr="005A4A0A">
          <w:rPr>
            <w:rStyle w:val="Hyperlink"/>
            <w:noProof/>
          </w:rPr>
          <w:t>Participation aux réunions du TC et des TWP par voie électronique</w:t>
        </w:r>
        <w:r>
          <w:rPr>
            <w:noProof/>
            <w:webHidden/>
          </w:rPr>
          <w:tab/>
        </w:r>
        <w:r>
          <w:rPr>
            <w:noProof/>
            <w:webHidden/>
          </w:rPr>
          <w:fldChar w:fldCharType="begin"/>
        </w:r>
        <w:r>
          <w:rPr>
            <w:noProof/>
            <w:webHidden/>
          </w:rPr>
          <w:instrText xml:space="preserve"> PAGEREF _Toc22478908 \h </w:instrText>
        </w:r>
        <w:r>
          <w:rPr>
            <w:noProof/>
            <w:webHidden/>
          </w:rPr>
        </w:r>
        <w:r>
          <w:rPr>
            <w:noProof/>
            <w:webHidden/>
          </w:rPr>
          <w:fldChar w:fldCharType="separate"/>
        </w:r>
        <w:r>
          <w:rPr>
            <w:noProof/>
            <w:webHidden/>
          </w:rPr>
          <w:t>3</w:t>
        </w:r>
        <w:r>
          <w:rPr>
            <w:noProof/>
            <w:webHidden/>
          </w:rPr>
          <w:fldChar w:fldCharType="end"/>
        </w:r>
      </w:hyperlink>
    </w:p>
    <w:p w:rsidR="00102AE0" w:rsidRPr="00102AE0" w:rsidRDefault="00954D73" w:rsidP="001722FF">
      <w:r w:rsidRPr="00954D73">
        <w:fldChar w:fldCharType="end"/>
      </w:r>
    </w:p>
    <w:p w:rsidR="00954D73" w:rsidRPr="00954D73" w:rsidRDefault="001722FF" w:rsidP="001722FF">
      <w:pPr>
        <w:ind w:left="1134" w:hanging="1134"/>
        <w:rPr>
          <w:sz w:val="18"/>
        </w:rPr>
      </w:pPr>
      <w:r>
        <w:rPr>
          <w:sz w:val="18"/>
        </w:rPr>
        <w:t>Annexe I</w:t>
      </w:r>
      <w:r w:rsidR="00954D73">
        <w:rPr>
          <w:sz w:val="18"/>
        </w:rPr>
        <w:tab/>
        <w:t>Procédure de remise des invitations aux sessions du Comité technique (TC) et des Groupes de travail techniques (TWP)</w:t>
      </w:r>
    </w:p>
    <w:p w:rsidR="00954D73" w:rsidRPr="00954D73" w:rsidRDefault="001722FF" w:rsidP="001722FF">
      <w:pPr>
        <w:ind w:left="1134" w:hanging="1134"/>
        <w:rPr>
          <w:sz w:val="18"/>
        </w:rPr>
      </w:pPr>
      <w:r>
        <w:rPr>
          <w:sz w:val="18"/>
        </w:rPr>
        <w:t>Annexe I</w:t>
      </w:r>
      <w:r w:rsidR="00954D73">
        <w:rPr>
          <w:sz w:val="18"/>
        </w:rPr>
        <w:t>I</w:t>
      </w:r>
      <w:r w:rsidR="00954D73">
        <w:rPr>
          <w:sz w:val="18"/>
        </w:rPr>
        <w:tab/>
        <w:t>Exemple de circulaire d</w:t>
      </w:r>
      <w:r>
        <w:rPr>
          <w:sz w:val="18"/>
        </w:rPr>
        <w:t>’</w:t>
      </w:r>
      <w:r w:rsidR="00954D73">
        <w:rPr>
          <w:sz w:val="18"/>
        </w:rPr>
        <w:t>invitation électronique aux sessions du</w:t>
      </w:r>
      <w:r>
        <w:rPr>
          <w:sz w:val="18"/>
        </w:rPr>
        <w:t> TC</w:t>
      </w:r>
    </w:p>
    <w:p w:rsidR="00954D73" w:rsidRPr="00954D73" w:rsidRDefault="001722FF" w:rsidP="001722FF">
      <w:pPr>
        <w:ind w:left="1134" w:hanging="1134"/>
        <w:rPr>
          <w:sz w:val="18"/>
        </w:rPr>
      </w:pPr>
      <w:r>
        <w:rPr>
          <w:sz w:val="18"/>
        </w:rPr>
        <w:t>Annexe I</w:t>
      </w:r>
      <w:r w:rsidR="00954D73">
        <w:rPr>
          <w:sz w:val="18"/>
        </w:rPr>
        <w:t>II</w:t>
      </w:r>
      <w:r w:rsidR="00954D73">
        <w:rPr>
          <w:sz w:val="18"/>
        </w:rPr>
        <w:tab/>
        <w:t>Exemple de circulaire d</w:t>
      </w:r>
      <w:r>
        <w:rPr>
          <w:sz w:val="18"/>
        </w:rPr>
        <w:t>’</w:t>
      </w:r>
      <w:r w:rsidR="00954D73">
        <w:rPr>
          <w:sz w:val="18"/>
        </w:rPr>
        <w:t>invitati</w:t>
      </w:r>
      <w:r w:rsidR="00BE46AA">
        <w:rPr>
          <w:sz w:val="18"/>
        </w:rPr>
        <w:t>on électronique à une session de</w:t>
      </w:r>
      <w:r w:rsidR="00954D73">
        <w:rPr>
          <w:sz w:val="18"/>
        </w:rPr>
        <w:t xml:space="preserve"> TWP</w:t>
      </w:r>
    </w:p>
    <w:p w:rsidR="001722FF" w:rsidRDefault="001722FF" w:rsidP="001722FF">
      <w:pPr>
        <w:ind w:left="1134" w:hanging="1134"/>
        <w:rPr>
          <w:sz w:val="18"/>
          <w:szCs w:val="18"/>
        </w:rPr>
      </w:pPr>
      <w:r>
        <w:rPr>
          <w:sz w:val="18"/>
          <w:szCs w:val="18"/>
        </w:rPr>
        <w:t>Annexe I</w:t>
      </w:r>
      <w:r w:rsidR="00954D73">
        <w:rPr>
          <w:sz w:val="18"/>
          <w:szCs w:val="18"/>
        </w:rPr>
        <w:t>V</w:t>
      </w:r>
      <w:r w:rsidR="00954D73">
        <w:rPr>
          <w:sz w:val="18"/>
          <w:szCs w:val="18"/>
        </w:rPr>
        <w:tab/>
        <w:t xml:space="preserve">Réponses à la </w:t>
      </w:r>
      <w:r w:rsidR="00561E5B">
        <w:rPr>
          <w:sz w:val="18"/>
          <w:szCs w:val="18"/>
        </w:rPr>
        <w:t>c</w:t>
      </w:r>
      <w:r w:rsidR="00954D73">
        <w:rPr>
          <w:sz w:val="18"/>
          <w:szCs w:val="18"/>
        </w:rPr>
        <w:t>irculaire E</w:t>
      </w:r>
      <w:r>
        <w:rPr>
          <w:sz w:val="18"/>
          <w:szCs w:val="18"/>
        </w:rPr>
        <w:t>-</w:t>
      </w:r>
      <w:r w:rsidR="00954D73">
        <w:rPr>
          <w:sz w:val="18"/>
          <w:szCs w:val="18"/>
        </w:rPr>
        <w:t>19/013 invitant les membres à proposer des améliorations pouvant être apportées aux courriers d</w:t>
      </w:r>
      <w:r>
        <w:rPr>
          <w:sz w:val="18"/>
          <w:szCs w:val="18"/>
        </w:rPr>
        <w:t>’</w:t>
      </w:r>
      <w:r w:rsidR="00954D73">
        <w:rPr>
          <w:sz w:val="18"/>
          <w:szCs w:val="18"/>
        </w:rPr>
        <w:t>invitation aux réunions du</w:t>
      </w:r>
      <w:r>
        <w:rPr>
          <w:sz w:val="18"/>
          <w:szCs w:val="18"/>
        </w:rPr>
        <w:t> TC</w:t>
      </w:r>
      <w:r w:rsidR="00954D73">
        <w:rPr>
          <w:sz w:val="18"/>
          <w:szCs w:val="18"/>
        </w:rPr>
        <w:t xml:space="preserve"> et</w:t>
      </w:r>
      <w:r>
        <w:rPr>
          <w:sz w:val="18"/>
          <w:szCs w:val="18"/>
        </w:rPr>
        <w:t xml:space="preserve"> des TWP</w:t>
      </w:r>
    </w:p>
    <w:p w:rsidR="009A2CEB" w:rsidRPr="00954D73" w:rsidRDefault="009A2CEB" w:rsidP="001722FF">
      <w:pPr>
        <w:ind w:left="1134" w:hanging="1134"/>
      </w:pPr>
    </w:p>
    <w:p w:rsidR="001722FF" w:rsidRDefault="001722FF">
      <w:pPr>
        <w:jc w:val="left"/>
        <w:rPr>
          <w:color w:val="000000"/>
        </w:rPr>
      </w:pPr>
      <w:r>
        <w:rPr>
          <w:color w:val="000000"/>
        </w:rPr>
        <w:br w:type="page"/>
      </w:r>
    </w:p>
    <w:p w:rsidR="009A2CEB" w:rsidRPr="00954D73" w:rsidRDefault="009A2CEB" w:rsidP="009A2CEB">
      <w:pPr>
        <w:keepNext/>
        <w:rPr>
          <w:color w:val="000000"/>
        </w:rPr>
      </w:pPr>
      <w:r w:rsidRPr="00954D73">
        <w:rPr>
          <w:color w:val="000000"/>
        </w:rPr>
        <w:lastRenderedPageBreak/>
        <w:fldChar w:fldCharType="begin"/>
      </w:r>
      <w:r w:rsidRPr="00954D73">
        <w:rPr>
          <w:color w:val="000000"/>
        </w:rPr>
        <w:instrText xml:space="preserve"> AUTONUM  </w:instrText>
      </w:r>
      <w:r w:rsidRPr="00954D73">
        <w:rPr>
          <w:color w:val="000000"/>
        </w:rPr>
        <w:fldChar w:fldCharType="end"/>
      </w:r>
      <w:r>
        <w:rPr>
          <w:color w:val="000000"/>
        </w:rPr>
        <w:tab/>
        <w:t>Les abréviations ci</w:t>
      </w:r>
      <w:r w:rsidR="001722FF">
        <w:rPr>
          <w:color w:val="000000"/>
        </w:rPr>
        <w:t>-</w:t>
      </w:r>
      <w:r>
        <w:rPr>
          <w:color w:val="000000"/>
        </w:rPr>
        <w:t>après sont utilisées dans le présent document</w:t>
      </w:r>
      <w:r w:rsidR="002636BB">
        <w:rPr>
          <w:color w:val="000000"/>
        </w:rPr>
        <w:t> </w:t>
      </w:r>
      <w:r>
        <w:rPr>
          <w:color w:val="000000"/>
        </w:rPr>
        <w:t>:</w:t>
      </w:r>
    </w:p>
    <w:p w:rsidR="009A2CEB" w:rsidRPr="00954D73" w:rsidRDefault="009A2CEB" w:rsidP="009A2CEB">
      <w:pPr>
        <w:keepNext/>
        <w:ind w:left="1692" w:hanging="1125"/>
        <w:jc w:val="left"/>
        <w:rPr>
          <w:color w:val="000000"/>
        </w:rPr>
      </w:pPr>
    </w:p>
    <w:p w:rsidR="009A2CEB" w:rsidRPr="00954D73" w:rsidRDefault="009A2CEB" w:rsidP="001722FF">
      <w:pPr>
        <w:tabs>
          <w:tab w:val="left" w:pos="567"/>
        </w:tabs>
        <w:ind w:left="1701" w:hanging="1701"/>
      </w:pPr>
      <w:r>
        <w:tab/>
        <w:t>TC</w:t>
      </w:r>
      <w:r w:rsidR="002636BB">
        <w:t xml:space="preserve"> : </w:t>
      </w:r>
      <w:r>
        <w:tab/>
        <w:t>Comité technique</w:t>
      </w:r>
    </w:p>
    <w:p w:rsidR="009A2CEB" w:rsidRPr="00954D73" w:rsidRDefault="009A2CEB" w:rsidP="001722FF">
      <w:pPr>
        <w:tabs>
          <w:tab w:val="left" w:pos="567"/>
        </w:tabs>
        <w:ind w:left="1701" w:hanging="1701"/>
        <w:rPr>
          <w:rFonts w:eastAsia="PMingLiU"/>
          <w:szCs w:val="24"/>
        </w:rPr>
      </w:pPr>
      <w:r>
        <w:tab/>
        <w:t>TWA</w:t>
      </w:r>
      <w:r w:rsidR="002636BB">
        <w:t xml:space="preserve"> : </w:t>
      </w:r>
      <w:r>
        <w:tab/>
        <w:t>Groupe de travail technique sur les plantes agricoles</w:t>
      </w:r>
    </w:p>
    <w:p w:rsidR="009A2CEB" w:rsidRPr="00954D73" w:rsidRDefault="009A2CEB" w:rsidP="001722FF">
      <w:pPr>
        <w:tabs>
          <w:tab w:val="left" w:pos="567"/>
        </w:tabs>
        <w:ind w:left="1701" w:hanging="1701"/>
        <w:rPr>
          <w:rFonts w:eastAsia="PMingLiU"/>
          <w:szCs w:val="24"/>
        </w:rPr>
      </w:pPr>
      <w:r>
        <w:tab/>
        <w:t>TWC</w:t>
      </w:r>
      <w:r w:rsidR="002636BB">
        <w:t xml:space="preserve"> : </w:t>
      </w:r>
      <w:r>
        <w:tab/>
        <w:t>Groupe de travail technique sur les systèmes d</w:t>
      </w:r>
      <w:r w:rsidR="001722FF">
        <w:t>’</w:t>
      </w:r>
      <w:r>
        <w:t>automatisation et les programmes d</w:t>
      </w:r>
      <w:r w:rsidR="001722FF">
        <w:t>’</w:t>
      </w:r>
      <w:r>
        <w:t>ordinateur</w:t>
      </w:r>
    </w:p>
    <w:p w:rsidR="009A2CEB" w:rsidRPr="00954D73" w:rsidRDefault="009A2CEB" w:rsidP="001722FF">
      <w:pPr>
        <w:tabs>
          <w:tab w:val="left" w:pos="567"/>
        </w:tabs>
        <w:ind w:left="1701" w:hanging="1701"/>
        <w:rPr>
          <w:rFonts w:eastAsia="PMingLiU"/>
          <w:szCs w:val="24"/>
        </w:rPr>
      </w:pPr>
      <w:r>
        <w:tab/>
        <w:t>TWF</w:t>
      </w:r>
      <w:r w:rsidR="002636BB">
        <w:t> </w:t>
      </w:r>
      <w:r>
        <w:t xml:space="preserve">: </w:t>
      </w:r>
      <w:r>
        <w:tab/>
        <w:t>Groupe de travail technique sur les plantes fruitières</w:t>
      </w:r>
    </w:p>
    <w:p w:rsidR="009A2CEB" w:rsidRPr="00954D73" w:rsidRDefault="009A2CEB" w:rsidP="001722FF">
      <w:pPr>
        <w:tabs>
          <w:tab w:val="left" w:pos="567"/>
        </w:tabs>
        <w:ind w:left="1701" w:hanging="1701"/>
        <w:rPr>
          <w:rFonts w:eastAsia="PMingLiU"/>
          <w:szCs w:val="24"/>
        </w:rPr>
      </w:pPr>
      <w:r>
        <w:tab/>
        <w:t>TWO</w:t>
      </w:r>
      <w:r w:rsidR="002636BB">
        <w:t xml:space="preserve"> : </w:t>
      </w:r>
      <w:r>
        <w:tab/>
        <w:t>Groupe de travail technique sur les plantes ornementales et les arbres forestiers</w:t>
      </w:r>
    </w:p>
    <w:p w:rsidR="009A2CEB" w:rsidRPr="00954D73" w:rsidRDefault="009A2CEB" w:rsidP="001722FF">
      <w:pPr>
        <w:tabs>
          <w:tab w:val="left" w:pos="567"/>
        </w:tabs>
        <w:ind w:left="1701" w:hanging="1701"/>
        <w:rPr>
          <w:rFonts w:eastAsia="PMingLiU"/>
          <w:szCs w:val="24"/>
        </w:rPr>
      </w:pPr>
      <w:r>
        <w:tab/>
        <w:t>TWP</w:t>
      </w:r>
      <w:r w:rsidR="002636BB">
        <w:t xml:space="preserve"> : </w:t>
      </w:r>
      <w:r>
        <w:tab/>
        <w:t>Groupes de travail techniques</w:t>
      </w:r>
    </w:p>
    <w:p w:rsidR="009A2CEB" w:rsidRPr="00954D73" w:rsidRDefault="009A2CEB" w:rsidP="001722FF">
      <w:pPr>
        <w:tabs>
          <w:tab w:val="left" w:pos="567"/>
        </w:tabs>
        <w:ind w:left="1701" w:hanging="1701"/>
        <w:rPr>
          <w:rFonts w:eastAsia="PMingLiU"/>
          <w:szCs w:val="24"/>
        </w:rPr>
      </w:pPr>
      <w:r>
        <w:tab/>
        <w:t>TWV</w:t>
      </w:r>
      <w:r w:rsidR="002636BB">
        <w:t xml:space="preserve"> : </w:t>
      </w:r>
      <w:r>
        <w:tab/>
        <w:t>Groupe de travail technique sur les plantes potagères</w:t>
      </w:r>
    </w:p>
    <w:p w:rsidR="009A2CEB" w:rsidRDefault="009A2CEB" w:rsidP="00954D73"/>
    <w:p w:rsidR="00E72178" w:rsidRDefault="00E72178" w:rsidP="00954D73"/>
    <w:p w:rsidR="00442348" w:rsidRPr="00915F6F" w:rsidRDefault="00915F6F" w:rsidP="00915F6F">
      <w:pPr>
        <w:pStyle w:val="Heading1"/>
      </w:pPr>
      <w:bookmarkStart w:id="4" w:name="_Toc22478902"/>
      <w:r w:rsidRPr="00915F6F">
        <w:t>Am</w:t>
      </w:r>
      <w:r w:rsidR="00365374">
        <w:rPr>
          <w:rFonts w:cs="Arial"/>
        </w:rPr>
        <w:t>É</w:t>
      </w:r>
      <w:r w:rsidRPr="00915F6F">
        <w:t>lioration des courriers d’invitation aux r</w:t>
      </w:r>
      <w:r w:rsidR="00365374">
        <w:rPr>
          <w:rFonts w:cs="Arial"/>
        </w:rPr>
        <w:t>É</w:t>
      </w:r>
      <w:r w:rsidRPr="00915F6F">
        <w:t>unions du TC et des TWP</w:t>
      </w:r>
      <w:bookmarkEnd w:id="4"/>
    </w:p>
    <w:p w:rsidR="00442348" w:rsidRPr="00954D73" w:rsidRDefault="00442348" w:rsidP="00954D73"/>
    <w:p w:rsidR="001C55E9" w:rsidRPr="00954D73" w:rsidRDefault="001C55E9" w:rsidP="00442348">
      <w:pPr>
        <w:pStyle w:val="Heading2"/>
      </w:pPr>
      <w:bookmarkStart w:id="5" w:name="_Toc22478903"/>
      <w:r>
        <w:t>Rappel</w:t>
      </w:r>
      <w:bookmarkEnd w:id="5"/>
    </w:p>
    <w:p w:rsidR="001C55E9" w:rsidRPr="00954D73" w:rsidRDefault="001C55E9" w:rsidP="00EC5C5D">
      <w:pPr>
        <w:tabs>
          <w:tab w:val="left" w:pos="567"/>
        </w:tabs>
        <w:rPr>
          <w:rFonts w:cs="Arial"/>
        </w:rPr>
      </w:pPr>
    </w:p>
    <w:p w:rsidR="00EC5C5D" w:rsidRPr="00954D73" w:rsidRDefault="00EC5C5D" w:rsidP="00EC5C5D">
      <w:pPr>
        <w:tabs>
          <w:tab w:val="left" w:pos="567"/>
        </w:tabs>
        <w:rPr>
          <w:rFonts w:cs="Arial"/>
        </w:rPr>
      </w:pPr>
      <w:r w:rsidRPr="00954D73">
        <w:rPr>
          <w:rFonts w:cs="Arial"/>
        </w:rPr>
        <w:fldChar w:fldCharType="begin"/>
      </w:r>
      <w:r w:rsidRPr="00954D73">
        <w:rPr>
          <w:rFonts w:cs="Arial"/>
        </w:rPr>
        <w:instrText xml:space="preserve"> AUTONUM  </w:instrText>
      </w:r>
      <w:r w:rsidRPr="00954D73">
        <w:rPr>
          <w:rFonts w:cs="Arial"/>
        </w:rPr>
        <w:fldChar w:fldCharType="end"/>
      </w:r>
      <w:r>
        <w:tab/>
        <w:t>À sa cinquante</w:t>
      </w:r>
      <w:r w:rsidR="001722FF">
        <w:t>-</w:t>
      </w:r>
      <w:r>
        <w:t>quatr</w:t>
      </w:r>
      <w:r w:rsidR="001722FF">
        <w:t>ième session</w:t>
      </w:r>
      <w:r>
        <w:t xml:space="preserve"> tenue à Genève les 29 et 3</w:t>
      </w:r>
      <w:r w:rsidR="001722FF">
        <w:t>0 octobre 20</w:t>
      </w:r>
      <w:r>
        <w:t>18, le Comité technique (TC) a examiné les propositions visant à renforcer la participation aux travaux du</w:t>
      </w:r>
      <w:r w:rsidR="001722FF">
        <w:t> TC</w:t>
      </w:r>
      <w:r>
        <w:t xml:space="preserve"> et</w:t>
      </w:r>
      <w:r w:rsidR="001722FF">
        <w:t xml:space="preserve"> des TWP</w:t>
      </w:r>
      <w:r>
        <w:t xml:space="preserve"> (voir les </w:t>
      </w:r>
      <w:r w:rsidR="001722FF">
        <w:t>paragraphes 1</w:t>
      </w:r>
      <w:r>
        <w:t xml:space="preserve">91 à 195 du </w:t>
      </w:r>
      <w:r w:rsidR="001722FF">
        <w:t>document TC</w:t>
      </w:r>
      <w:r>
        <w:t>/54/31 “Compte rendu”).</w:t>
      </w:r>
    </w:p>
    <w:p w:rsidR="00EC5C5D" w:rsidRPr="00954D73" w:rsidRDefault="00EC5C5D" w:rsidP="00EC5C5D"/>
    <w:p w:rsidR="001722FF" w:rsidRDefault="00EC5C5D" w:rsidP="00EC5C5D">
      <w:r w:rsidRPr="00954D73">
        <w:fldChar w:fldCharType="begin"/>
      </w:r>
      <w:r w:rsidRPr="00954D73">
        <w:instrText xml:space="preserve"> AUTONUM  </w:instrText>
      </w:r>
      <w:r w:rsidRPr="00954D73">
        <w:fldChar w:fldCharType="end"/>
      </w:r>
      <w:r>
        <w:tab/>
        <w:t>Le</w:t>
      </w:r>
      <w:r w:rsidR="001722FF">
        <w:t> TC</w:t>
      </w:r>
      <w:r>
        <w:t xml:space="preserve"> note que les invitations aux réunions de l</w:t>
      </w:r>
      <w:r w:rsidR="001722FF">
        <w:t>’</w:t>
      </w:r>
      <w:r>
        <w:t>UPOV et les autres renseignements pertinents sont envoyés aux personnes de contact désignées par le représentant auprès de l</w:t>
      </w:r>
      <w:r w:rsidR="001722FF">
        <w:t>’</w:t>
      </w:r>
      <w:r>
        <w:t>UPOV de chaque membre de l</w:t>
      </w:r>
      <w:r w:rsidR="001722FF">
        <w:t>’</w:t>
      </w:r>
      <w:r>
        <w:t>Uni</w:t>
      </w:r>
      <w:r w:rsidR="00ED14D8">
        <w:t>on.  Il</w:t>
      </w:r>
      <w:r>
        <w:t xml:space="preserve"> note également que la liste des personnes de contact peut contenir autant d</w:t>
      </w:r>
      <w:r w:rsidR="001722FF">
        <w:t>’</w:t>
      </w:r>
      <w:r>
        <w:t>experts compétents que nécessaire et que les membres peuvent mettre à jour leur liste de personnes de contact à tout moment.</w:t>
      </w:r>
    </w:p>
    <w:p w:rsidR="00EC5C5D" w:rsidRPr="00954D73" w:rsidRDefault="00EC5C5D" w:rsidP="00EC5C5D"/>
    <w:p w:rsidR="001722FF" w:rsidRDefault="00EC5C5D" w:rsidP="00EC5C5D">
      <w:r w:rsidRPr="00954D73">
        <w:fldChar w:fldCharType="begin"/>
      </w:r>
      <w:r w:rsidRPr="00954D73">
        <w:instrText xml:space="preserve"> AUTONUM  </w:instrText>
      </w:r>
      <w:r w:rsidRPr="00954D73">
        <w:fldChar w:fldCharType="end"/>
      </w:r>
      <w:r>
        <w:tab/>
        <w:t>Le</w:t>
      </w:r>
      <w:r w:rsidR="001722FF">
        <w:t> TC</w:t>
      </w:r>
      <w:r>
        <w:t xml:space="preserve"> convient d</w:t>
      </w:r>
      <w:r w:rsidR="001722FF">
        <w:t>’</w:t>
      </w:r>
      <w:r>
        <w:t>inviter les membres à tenir le Bureau de l</w:t>
      </w:r>
      <w:r w:rsidR="001722FF">
        <w:t>’</w:t>
      </w:r>
      <w:r>
        <w:t>UPOV informé des améliorations pouvant être apportées aux courriers d</w:t>
      </w:r>
      <w:r w:rsidR="001722FF">
        <w:t>’</w:t>
      </w:r>
      <w:r>
        <w:t>invitation aux réunions du</w:t>
      </w:r>
      <w:r w:rsidR="001722FF">
        <w:t> TC</w:t>
      </w:r>
      <w:r>
        <w:t xml:space="preserve"> et</w:t>
      </w:r>
      <w:r w:rsidR="001722FF">
        <w:t xml:space="preserve"> des TWP</w:t>
      </w:r>
      <w:r>
        <w:t>.</w:t>
      </w:r>
    </w:p>
    <w:p w:rsidR="00C64FFC" w:rsidRPr="00954D73" w:rsidRDefault="00C64FFC" w:rsidP="00EC5C5D"/>
    <w:p w:rsidR="00F37CA7" w:rsidRPr="00954D73" w:rsidRDefault="00F37CA7" w:rsidP="00442348">
      <w:pPr>
        <w:pStyle w:val="Heading2"/>
      </w:pPr>
      <w:bookmarkStart w:id="6" w:name="_Toc22478904"/>
      <w:r>
        <w:t>Procédures actuelles et amélioration</w:t>
      </w:r>
      <w:r w:rsidR="00BE46AA">
        <w:t>s possibles</w:t>
      </w:r>
      <w:bookmarkEnd w:id="6"/>
    </w:p>
    <w:p w:rsidR="00F37CA7" w:rsidRPr="00954D73" w:rsidRDefault="00F37CA7" w:rsidP="00EC5C5D"/>
    <w:p w:rsidR="00EC5C5D" w:rsidRPr="00954D73" w:rsidRDefault="00EC5C5D" w:rsidP="00EC5C5D">
      <w:pPr>
        <w:tabs>
          <w:tab w:val="left" w:pos="567"/>
        </w:tabs>
        <w:rPr>
          <w:rFonts w:cs="Arial"/>
        </w:rPr>
      </w:pPr>
      <w:r w:rsidRPr="00954D73">
        <w:rPr>
          <w:rFonts w:cs="Arial"/>
        </w:rPr>
        <w:fldChar w:fldCharType="begin"/>
      </w:r>
      <w:r w:rsidRPr="00954D73">
        <w:rPr>
          <w:rFonts w:cs="Arial"/>
        </w:rPr>
        <w:instrText xml:space="preserve"> AUTONUM  </w:instrText>
      </w:r>
      <w:r w:rsidRPr="00954D73">
        <w:rPr>
          <w:rFonts w:cs="Arial"/>
        </w:rPr>
        <w:fldChar w:fldCharType="end"/>
      </w:r>
      <w:r>
        <w:tab/>
        <w:t>Le 1</w:t>
      </w:r>
      <w:r w:rsidR="001722FF">
        <w:t>2 avril 20</w:t>
      </w:r>
      <w:r>
        <w:t>19, le Bureau de l</w:t>
      </w:r>
      <w:r w:rsidR="001722FF">
        <w:t>’</w:t>
      </w:r>
      <w:r>
        <w:t>Union a envoyé la Circulaire E</w:t>
      </w:r>
      <w:r w:rsidR="001722FF">
        <w:t>-</w:t>
      </w:r>
      <w:r>
        <w:t>19/013 au</w:t>
      </w:r>
      <w:r w:rsidR="001722FF">
        <w:t> TC</w:t>
      </w:r>
      <w:r>
        <w:t xml:space="preserve"> et</w:t>
      </w:r>
      <w:r w:rsidR="001722FF">
        <w:t xml:space="preserve"> aux TWP</w:t>
      </w:r>
      <w:r>
        <w:t>, invitant les membres à tenir le Bureau de l</w:t>
      </w:r>
      <w:r w:rsidR="001722FF">
        <w:t>’</w:t>
      </w:r>
      <w:r>
        <w:t>UPOV informé des améliorations pouvant être apportées aux courriers d</w:t>
      </w:r>
      <w:r w:rsidR="001722FF">
        <w:t>’</w:t>
      </w:r>
      <w:r>
        <w:t>invitation aux réunions du</w:t>
      </w:r>
      <w:r w:rsidR="001722FF">
        <w:t> TC</w:t>
      </w:r>
      <w:r>
        <w:t xml:space="preserve"> et</w:t>
      </w:r>
      <w:r w:rsidR="001722FF">
        <w:t xml:space="preserve"> des </w:t>
      </w:r>
      <w:r w:rsidR="00ED14D8">
        <w:t xml:space="preserve">TWP.  </w:t>
      </w:r>
      <w:r w:rsidR="00ED14D8" w:rsidRPr="00365374">
        <w:t>Le</w:t>
      </w:r>
      <w:r w:rsidRPr="00365374">
        <w:t>s annexes I à III</w:t>
      </w:r>
      <w:r>
        <w:t xml:space="preserve"> du présent document </w:t>
      </w:r>
      <w:r w:rsidR="00BE46AA">
        <w:t>présentent</w:t>
      </w:r>
      <w:r>
        <w:t xml:space="preserve"> les procédures actuelles et les amélioration</w:t>
      </w:r>
      <w:r w:rsidR="00BE46AA">
        <w:t>s possibles</w:t>
      </w:r>
      <w:r>
        <w:t>, accom</w:t>
      </w:r>
      <w:r w:rsidR="00BE46AA">
        <w:t>pagnées d</w:t>
      </w:r>
      <w:r w:rsidR="001722FF">
        <w:t>’</w:t>
      </w:r>
      <w:r w:rsidR="00BE46AA">
        <w:t>exemples d</w:t>
      </w:r>
      <w:r w:rsidR="001722FF">
        <w:t>’</w:t>
      </w:r>
      <w:r w:rsidR="00BE46AA">
        <w:t>invitation aux sessions du</w:t>
      </w:r>
      <w:r w:rsidR="001722FF">
        <w:t> TC</w:t>
      </w:r>
      <w:r w:rsidR="00BE46AA">
        <w:t xml:space="preserve"> et</w:t>
      </w:r>
      <w:r w:rsidR="001722FF">
        <w:t xml:space="preserve"> des TWP</w:t>
      </w:r>
      <w:r>
        <w:t>.</w:t>
      </w:r>
    </w:p>
    <w:p w:rsidR="00EC5C5D" w:rsidRPr="00954D73" w:rsidRDefault="00EC5C5D" w:rsidP="00EC5C5D">
      <w:pPr>
        <w:tabs>
          <w:tab w:val="left" w:pos="567"/>
        </w:tabs>
        <w:rPr>
          <w:rFonts w:cs="Arial"/>
          <w:snapToGrid w:val="0"/>
        </w:rPr>
      </w:pPr>
    </w:p>
    <w:p w:rsidR="00EC5C5D" w:rsidRPr="00954D73" w:rsidRDefault="00EC5C5D" w:rsidP="00EC5C5D">
      <w:pPr>
        <w:tabs>
          <w:tab w:val="left" w:pos="567"/>
        </w:tabs>
        <w:rPr>
          <w:rFonts w:cs="Arial"/>
          <w:snapToGrid w:val="0"/>
        </w:rPr>
      </w:pPr>
      <w:r w:rsidRPr="00954D73">
        <w:rPr>
          <w:rFonts w:cs="Arial"/>
          <w:snapToGrid w:val="0"/>
        </w:rPr>
        <w:fldChar w:fldCharType="begin"/>
      </w:r>
      <w:r w:rsidRPr="00954D73">
        <w:rPr>
          <w:rFonts w:cs="Arial"/>
          <w:snapToGrid w:val="0"/>
        </w:rPr>
        <w:instrText xml:space="preserve"> AUTONUM  \* Arabic </w:instrText>
      </w:r>
      <w:r w:rsidRPr="00954D73">
        <w:rPr>
          <w:rFonts w:cs="Arial"/>
          <w:snapToGrid w:val="0"/>
        </w:rPr>
        <w:fldChar w:fldCharType="end"/>
      </w:r>
      <w:r>
        <w:rPr>
          <w:snapToGrid w:val="0"/>
        </w:rPr>
        <w:tab/>
        <w:t>Les commentaires ont été reçus par les membres suivants</w:t>
      </w:r>
      <w:r w:rsidR="00BE46AA">
        <w:rPr>
          <w:snapToGrid w:val="0"/>
        </w:rPr>
        <w:t xml:space="preserve"> (par ordre alphabétique)</w:t>
      </w:r>
      <w:r>
        <w:rPr>
          <w:snapToGrid w:val="0"/>
        </w:rPr>
        <w:t xml:space="preserve">, en réponse à la circulaire </w:t>
      </w:r>
      <w:r>
        <w:t>E</w:t>
      </w:r>
      <w:r w:rsidR="001722FF">
        <w:t>-</w:t>
      </w:r>
      <w:r>
        <w:t>19/013</w:t>
      </w:r>
      <w:r w:rsidR="002636BB">
        <w:rPr>
          <w:snapToGrid w:val="0"/>
        </w:rPr>
        <w:t> </w:t>
      </w:r>
      <w:r w:rsidR="001A0646">
        <w:rPr>
          <w:snapToGrid w:val="0"/>
        </w:rPr>
        <w:t xml:space="preserve">: </w:t>
      </w:r>
      <w:r>
        <w:rPr>
          <w:snapToGrid w:val="0"/>
        </w:rPr>
        <w:t>Allemagne, Nouvelle</w:t>
      </w:r>
      <w:r w:rsidR="001722FF">
        <w:rPr>
          <w:snapToGrid w:val="0"/>
        </w:rPr>
        <w:t>-</w:t>
      </w:r>
      <w:r>
        <w:rPr>
          <w:snapToGrid w:val="0"/>
        </w:rPr>
        <w:t>Zélande, Royaume</w:t>
      </w:r>
      <w:r w:rsidR="001722FF">
        <w:rPr>
          <w:snapToGrid w:val="0"/>
        </w:rPr>
        <w:t>-</w:t>
      </w:r>
      <w:r>
        <w:rPr>
          <w:snapToGrid w:val="0"/>
        </w:rPr>
        <w:t>Uni et Union européen</w:t>
      </w:r>
      <w:r w:rsidR="00ED14D8">
        <w:rPr>
          <w:snapToGrid w:val="0"/>
        </w:rPr>
        <w:t>ne.  To</w:t>
      </w:r>
      <w:r>
        <w:rPr>
          <w:snapToGrid w:val="0"/>
        </w:rPr>
        <w:t>us les commentaires reçus figurent à l</w:t>
      </w:r>
      <w:r w:rsidR="001722FF">
        <w:rPr>
          <w:snapToGrid w:val="0"/>
        </w:rPr>
        <w:t>’annexe I</w:t>
      </w:r>
      <w:r>
        <w:rPr>
          <w:snapToGrid w:val="0"/>
        </w:rPr>
        <w:t>V du présent document.</w:t>
      </w:r>
    </w:p>
    <w:p w:rsidR="00EC5C5D" w:rsidRDefault="00EC5C5D" w:rsidP="00EC5C5D">
      <w:pPr>
        <w:tabs>
          <w:tab w:val="left" w:pos="567"/>
        </w:tabs>
        <w:rPr>
          <w:rFonts w:cs="Arial"/>
          <w:snapToGrid w:val="0"/>
        </w:rPr>
      </w:pPr>
    </w:p>
    <w:p w:rsidR="009A2CEB" w:rsidRDefault="009A2CEB" w:rsidP="009A2CEB">
      <w:pPr>
        <w:pStyle w:val="Heading3"/>
        <w:rPr>
          <w:snapToGrid w:val="0"/>
        </w:rPr>
      </w:pPr>
      <w:bookmarkStart w:id="7" w:name="_Toc22478905"/>
      <w:r>
        <w:rPr>
          <w:snapToGrid w:val="0"/>
        </w:rPr>
        <w:t>Résumé des commentaires reçus</w:t>
      </w:r>
      <w:bookmarkEnd w:id="7"/>
    </w:p>
    <w:p w:rsidR="009A2CEB" w:rsidRPr="00954D73" w:rsidRDefault="009A2CEB" w:rsidP="00EC5C5D">
      <w:pPr>
        <w:tabs>
          <w:tab w:val="left" w:pos="567"/>
        </w:tabs>
        <w:rPr>
          <w:rFonts w:cs="Arial"/>
          <w:snapToGrid w:val="0"/>
        </w:rPr>
      </w:pPr>
    </w:p>
    <w:p w:rsidR="00EC5C5D" w:rsidRPr="00954D73" w:rsidRDefault="00EC5C5D" w:rsidP="00EC5C5D">
      <w:pPr>
        <w:tabs>
          <w:tab w:val="left" w:pos="567"/>
        </w:tabs>
        <w:rPr>
          <w:rFonts w:eastAsiaTheme="minorEastAsia" w:cs="Arial"/>
          <w:snapToGrid w:val="0"/>
        </w:rPr>
      </w:pPr>
      <w:r w:rsidRPr="00954D73">
        <w:rPr>
          <w:rFonts w:eastAsiaTheme="minorEastAsia" w:cs="Arial"/>
          <w:snapToGrid w:val="0"/>
        </w:rPr>
        <w:fldChar w:fldCharType="begin"/>
      </w:r>
      <w:r w:rsidRPr="00954D73">
        <w:rPr>
          <w:rFonts w:eastAsiaTheme="minorEastAsia" w:cs="Arial"/>
          <w:snapToGrid w:val="0"/>
        </w:rPr>
        <w:instrText xml:space="preserve"> AUTONUM  </w:instrText>
      </w:r>
      <w:r w:rsidRPr="00954D73">
        <w:rPr>
          <w:rFonts w:eastAsiaTheme="minorEastAsia" w:cs="Arial"/>
          <w:snapToGrid w:val="0"/>
        </w:rPr>
        <w:fldChar w:fldCharType="end"/>
      </w:r>
      <w:r>
        <w:rPr>
          <w:snapToGrid w:val="0"/>
        </w:rPr>
        <w:tab/>
      </w:r>
      <w:r>
        <w:t>Afin de faciliter l</w:t>
      </w:r>
      <w:r w:rsidR="001722FF">
        <w:t>’</w:t>
      </w:r>
      <w:r>
        <w:t>analyse et la prise en compte de</w:t>
      </w:r>
      <w:r w:rsidR="001A0646">
        <w:t>s</w:t>
      </w:r>
      <w:r>
        <w:t xml:space="preserve"> améliorations pouvant être apportées aux courriers d</w:t>
      </w:r>
      <w:r w:rsidR="001722FF">
        <w:t>’</w:t>
      </w:r>
      <w:r>
        <w:t>invitation aux réunions du</w:t>
      </w:r>
      <w:r w:rsidR="001722FF">
        <w:t> TC</w:t>
      </w:r>
      <w:r>
        <w:t xml:space="preserve"> et</w:t>
      </w:r>
      <w:r w:rsidR="001722FF">
        <w:t xml:space="preserve"> du TWP</w:t>
      </w:r>
      <w:r>
        <w:t>, les commentaires reçus sont synthétisés comme suit</w:t>
      </w:r>
      <w:r w:rsidR="002636BB">
        <w:t> </w:t>
      </w:r>
      <w:r>
        <w:t>:</w:t>
      </w:r>
    </w:p>
    <w:p w:rsidR="00EC5C5D" w:rsidRDefault="00EC5C5D" w:rsidP="00300393">
      <w:pPr>
        <w:pStyle w:val="ListParagraph"/>
        <w:ind w:left="0"/>
        <w:rPr>
          <w:rFonts w:eastAsiaTheme="minorEastAsia" w:cs="Arial"/>
          <w:snapToGrid w:val="0"/>
          <w:lang w:eastAsia="ja-JP"/>
        </w:rPr>
      </w:pPr>
    </w:p>
    <w:p w:rsidR="00300393" w:rsidRDefault="00300393" w:rsidP="009A2CEB">
      <w:pPr>
        <w:pStyle w:val="Heading4"/>
        <w:rPr>
          <w:rFonts w:eastAsiaTheme="minorEastAsia"/>
          <w:snapToGrid w:val="0"/>
        </w:rPr>
      </w:pPr>
      <w:r>
        <w:rPr>
          <w:snapToGrid w:val="0"/>
        </w:rPr>
        <w:t>Invitations</w:t>
      </w:r>
    </w:p>
    <w:p w:rsidR="00300393" w:rsidRPr="00300393" w:rsidRDefault="00300393" w:rsidP="00300393">
      <w:pPr>
        <w:pStyle w:val="ListParagraph"/>
        <w:ind w:left="0"/>
        <w:rPr>
          <w:rFonts w:eastAsiaTheme="minorEastAsia" w:cs="Arial"/>
          <w:snapToGrid w:val="0"/>
          <w:u w:val="single"/>
          <w:lang w:eastAsia="ja-JP"/>
        </w:rPr>
      </w:pPr>
    </w:p>
    <w:p w:rsidR="00EC5C5D" w:rsidRPr="00954D73" w:rsidRDefault="00EC5C5D" w:rsidP="00300393">
      <w:pPr>
        <w:pStyle w:val="ListParagraph"/>
        <w:numPr>
          <w:ilvl w:val="0"/>
          <w:numId w:val="1"/>
        </w:numPr>
        <w:ind w:left="567" w:hanging="567"/>
        <w:rPr>
          <w:rFonts w:eastAsiaTheme="minorEastAsia" w:cs="Arial"/>
          <w:snapToGrid w:val="0"/>
        </w:rPr>
      </w:pPr>
      <w:proofErr w:type="gramStart"/>
      <w:r>
        <w:rPr>
          <w:snapToGrid w:val="0"/>
        </w:rPr>
        <w:t>envoyer</w:t>
      </w:r>
      <w:proofErr w:type="gramEnd"/>
      <w:r>
        <w:rPr>
          <w:snapToGrid w:val="0"/>
        </w:rPr>
        <w:t xml:space="preserve"> les invitations plus tôt que les trois</w:t>
      </w:r>
      <w:r w:rsidR="002636BB">
        <w:rPr>
          <w:snapToGrid w:val="0"/>
        </w:rPr>
        <w:t> </w:t>
      </w:r>
      <w:r>
        <w:rPr>
          <w:snapToGrid w:val="0"/>
        </w:rPr>
        <w:t>mois précédant les sessi</w:t>
      </w:r>
      <w:r w:rsidR="00BE46AA">
        <w:rPr>
          <w:snapToGrid w:val="0"/>
        </w:rPr>
        <w:t>ons TWP prévus actuellement (p.</w:t>
      </w:r>
      <w:r w:rsidR="002636BB">
        <w:rPr>
          <w:snapToGrid w:val="0"/>
        </w:rPr>
        <w:t> </w:t>
      </w:r>
      <w:r>
        <w:rPr>
          <w:snapToGrid w:val="0"/>
        </w:rPr>
        <w:t>ex. six</w:t>
      </w:r>
      <w:r w:rsidR="002636BB">
        <w:rPr>
          <w:snapToGrid w:val="0"/>
        </w:rPr>
        <w:t> </w:t>
      </w:r>
      <w:r>
        <w:rPr>
          <w:snapToGrid w:val="0"/>
        </w:rPr>
        <w:t>mois avant)</w:t>
      </w:r>
      <w:r w:rsidR="00BE46AA">
        <w:rPr>
          <w:snapToGrid w:val="0"/>
        </w:rPr>
        <w:t>;</w:t>
      </w:r>
    </w:p>
    <w:p w:rsidR="001722FF" w:rsidRDefault="00C64FFC" w:rsidP="00300393">
      <w:pPr>
        <w:pStyle w:val="ListParagraph"/>
        <w:numPr>
          <w:ilvl w:val="0"/>
          <w:numId w:val="1"/>
        </w:numPr>
        <w:ind w:left="567" w:hanging="567"/>
        <w:rPr>
          <w:snapToGrid w:val="0"/>
        </w:rPr>
      </w:pPr>
      <w:proofErr w:type="gramStart"/>
      <w:r>
        <w:rPr>
          <w:snapToGrid w:val="0"/>
        </w:rPr>
        <w:t>modifier</w:t>
      </w:r>
      <w:proofErr w:type="gramEnd"/>
      <w:r>
        <w:rPr>
          <w:snapToGrid w:val="0"/>
        </w:rPr>
        <w:t xml:space="preserve"> le courrier électronique de la circulaire pour améliorer la visibilité des invitations (modification de la police, de la taille de la police, de la couleur et du champ </w:t>
      </w:r>
      <w:r w:rsidR="001722FF">
        <w:rPr>
          <w:snapToGrid w:val="0"/>
        </w:rPr>
        <w:t>“</w:t>
      </w:r>
      <w:r>
        <w:rPr>
          <w:snapToGrid w:val="0"/>
        </w:rPr>
        <w:t>objet</w:t>
      </w:r>
      <w:r w:rsidR="001722FF">
        <w:rPr>
          <w:snapToGrid w:val="0"/>
        </w:rPr>
        <w:t>”</w:t>
      </w:r>
      <w:r>
        <w:rPr>
          <w:snapToGrid w:val="0"/>
        </w:rPr>
        <w:t>);</w:t>
      </w:r>
    </w:p>
    <w:p w:rsidR="00300393" w:rsidRPr="00954D73" w:rsidRDefault="00BE46AA" w:rsidP="00300393">
      <w:pPr>
        <w:pStyle w:val="ListParagraph"/>
        <w:numPr>
          <w:ilvl w:val="0"/>
          <w:numId w:val="1"/>
        </w:numPr>
        <w:ind w:left="567" w:hanging="567"/>
        <w:rPr>
          <w:rFonts w:eastAsiaTheme="minorEastAsia" w:cs="Arial"/>
          <w:snapToGrid w:val="0"/>
        </w:rPr>
      </w:pPr>
      <w:proofErr w:type="gramStart"/>
      <w:r>
        <w:rPr>
          <w:snapToGrid w:val="0"/>
        </w:rPr>
        <w:t>utiliser</w:t>
      </w:r>
      <w:proofErr w:type="gramEnd"/>
      <w:r>
        <w:rPr>
          <w:snapToGrid w:val="0"/>
        </w:rPr>
        <w:t xml:space="preserve"> des expéditeurs spécifiques et non le </w:t>
      </w:r>
      <w:r w:rsidR="00300393">
        <w:rPr>
          <w:snapToGrid w:val="0"/>
        </w:rPr>
        <w:t>compte de messagerie institutionnel de l</w:t>
      </w:r>
      <w:r w:rsidR="001722FF">
        <w:rPr>
          <w:snapToGrid w:val="0"/>
        </w:rPr>
        <w:t>’</w:t>
      </w:r>
      <w:r w:rsidR="00300393">
        <w:rPr>
          <w:snapToGrid w:val="0"/>
        </w:rPr>
        <w:t>UPOV pour délivrer les invitations;</w:t>
      </w:r>
    </w:p>
    <w:p w:rsidR="001722FF" w:rsidRDefault="00C64FFC" w:rsidP="00300393">
      <w:pPr>
        <w:pStyle w:val="ListParagraph"/>
        <w:numPr>
          <w:ilvl w:val="0"/>
          <w:numId w:val="1"/>
        </w:numPr>
        <w:ind w:left="567" w:hanging="567"/>
        <w:rPr>
          <w:snapToGrid w:val="0"/>
        </w:rPr>
      </w:pPr>
      <w:proofErr w:type="gramStart"/>
      <w:r>
        <w:rPr>
          <w:snapToGrid w:val="0"/>
        </w:rPr>
        <w:t>diffuser</w:t>
      </w:r>
      <w:proofErr w:type="gramEnd"/>
      <w:r>
        <w:rPr>
          <w:snapToGrid w:val="0"/>
        </w:rPr>
        <w:t xml:space="preserve"> les invitations sur le site Internet de l</w:t>
      </w:r>
      <w:r w:rsidR="001722FF">
        <w:rPr>
          <w:snapToGrid w:val="0"/>
        </w:rPr>
        <w:t>’</w:t>
      </w:r>
      <w:r>
        <w:rPr>
          <w:snapToGrid w:val="0"/>
        </w:rPr>
        <w:t>UPOV et demander à ce qu</w:t>
      </w:r>
      <w:r w:rsidR="001722FF">
        <w:rPr>
          <w:snapToGrid w:val="0"/>
        </w:rPr>
        <w:t>’</w:t>
      </w:r>
      <w:r>
        <w:rPr>
          <w:snapToGrid w:val="0"/>
        </w:rPr>
        <w:t xml:space="preserve">une lettre/signature </w:t>
      </w:r>
      <w:r w:rsidR="00BE46AA">
        <w:rPr>
          <w:snapToGrid w:val="0"/>
        </w:rPr>
        <w:t>de soutien</w:t>
      </w:r>
      <w:r>
        <w:rPr>
          <w:snapToGrid w:val="0"/>
        </w:rPr>
        <w:t xml:space="preserve"> soit retournée;</w:t>
      </w:r>
    </w:p>
    <w:p w:rsidR="001722FF" w:rsidRDefault="00C64FFC" w:rsidP="00300393">
      <w:pPr>
        <w:pStyle w:val="ListParagraph"/>
        <w:numPr>
          <w:ilvl w:val="0"/>
          <w:numId w:val="1"/>
        </w:numPr>
        <w:ind w:left="567" w:hanging="567"/>
        <w:rPr>
          <w:snapToGrid w:val="0"/>
        </w:rPr>
      </w:pPr>
      <w:proofErr w:type="gramStart"/>
      <w:r>
        <w:rPr>
          <w:snapToGrid w:val="0"/>
        </w:rPr>
        <w:t>publier</w:t>
      </w:r>
      <w:proofErr w:type="gramEnd"/>
      <w:r>
        <w:rPr>
          <w:snapToGrid w:val="0"/>
        </w:rPr>
        <w:t xml:space="preserve"> les invi</w:t>
      </w:r>
      <w:r w:rsidR="00BE46AA">
        <w:rPr>
          <w:snapToGrid w:val="0"/>
        </w:rPr>
        <w:t>tations sur les réseaux sociaux.</w:t>
      </w:r>
    </w:p>
    <w:p w:rsidR="00300393" w:rsidRDefault="00300393" w:rsidP="00300393">
      <w:pPr>
        <w:rPr>
          <w:rFonts w:eastAsiaTheme="minorEastAsia" w:cs="Arial"/>
          <w:snapToGrid w:val="0"/>
          <w:lang w:eastAsia="ja-JP"/>
        </w:rPr>
      </w:pPr>
    </w:p>
    <w:p w:rsidR="001722FF" w:rsidRDefault="001722FF">
      <w:pPr>
        <w:jc w:val="left"/>
        <w:rPr>
          <w:snapToGrid w:val="0"/>
          <w:u w:val="single"/>
        </w:rPr>
      </w:pPr>
      <w:r>
        <w:rPr>
          <w:snapToGrid w:val="0"/>
        </w:rPr>
        <w:br w:type="page"/>
      </w:r>
    </w:p>
    <w:p w:rsidR="00300393" w:rsidRPr="00300393" w:rsidRDefault="00300393" w:rsidP="009A2CEB">
      <w:pPr>
        <w:pStyle w:val="Heading4"/>
        <w:rPr>
          <w:rFonts w:eastAsiaTheme="minorEastAsia"/>
          <w:snapToGrid w:val="0"/>
        </w:rPr>
      </w:pPr>
      <w:r>
        <w:rPr>
          <w:snapToGrid w:val="0"/>
        </w:rPr>
        <w:lastRenderedPageBreak/>
        <w:t>Destinataires des invitations</w:t>
      </w:r>
    </w:p>
    <w:p w:rsidR="00300393" w:rsidRPr="00300393" w:rsidRDefault="00300393" w:rsidP="00300393">
      <w:pPr>
        <w:rPr>
          <w:rFonts w:eastAsiaTheme="minorEastAsia" w:cs="Arial"/>
          <w:snapToGrid w:val="0"/>
          <w:lang w:eastAsia="ja-JP"/>
        </w:rPr>
      </w:pPr>
    </w:p>
    <w:p w:rsidR="00C64FFC" w:rsidRPr="00ED14D8" w:rsidRDefault="00C64FFC" w:rsidP="00300393">
      <w:pPr>
        <w:pStyle w:val="ListParagraph"/>
        <w:numPr>
          <w:ilvl w:val="0"/>
          <w:numId w:val="1"/>
        </w:numPr>
        <w:ind w:left="567" w:hanging="567"/>
        <w:rPr>
          <w:rFonts w:ascii="ArialMT" w:eastAsia="MS Mincho" w:hAnsi="ArialMT" w:cs="ArialMT"/>
        </w:rPr>
      </w:pPr>
      <w:proofErr w:type="gramStart"/>
      <w:r>
        <w:rPr>
          <w:rFonts w:ascii="ArialMT" w:hAnsi="ArialMT"/>
        </w:rPr>
        <w:t>envoyer</w:t>
      </w:r>
      <w:proofErr w:type="gramEnd"/>
      <w:r>
        <w:rPr>
          <w:rFonts w:ascii="ArialMT" w:hAnsi="ArialMT"/>
        </w:rPr>
        <w:t xml:space="preserve"> une circulaire aux représentants au Conseil de </w:t>
      </w:r>
      <w:r w:rsidR="00BE46AA">
        <w:rPr>
          <w:rFonts w:ascii="ArialMT" w:hAnsi="ArialMT"/>
        </w:rPr>
        <w:t>chaque membre de l</w:t>
      </w:r>
      <w:r w:rsidR="001722FF">
        <w:rPr>
          <w:rFonts w:ascii="ArialMT" w:hAnsi="ArialMT"/>
        </w:rPr>
        <w:t>’</w:t>
      </w:r>
      <w:r w:rsidR="00BE46AA">
        <w:rPr>
          <w:rFonts w:ascii="ArialMT" w:hAnsi="ArialMT"/>
        </w:rPr>
        <w:t>Union afin</w:t>
      </w:r>
      <w:r w:rsidR="002636BB">
        <w:rPr>
          <w:rFonts w:ascii="ArialMT" w:hAnsi="ArialMT"/>
        </w:rPr>
        <w:t> </w:t>
      </w:r>
      <w:r>
        <w:rPr>
          <w:rFonts w:ascii="ArialMT" w:hAnsi="ArialMT"/>
        </w:rPr>
        <w:t>:</w:t>
      </w:r>
    </w:p>
    <w:p w:rsidR="00ED14D8" w:rsidRPr="00ED14D8" w:rsidRDefault="00ED14D8" w:rsidP="00ED14D8">
      <w:pPr>
        <w:rPr>
          <w:rFonts w:ascii="ArialMT" w:eastAsia="MS Mincho" w:hAnsi="ArialMT" w:cs="ArialMT"/>
        </w:rPr>
      </w:pPr>
    </w:p>
    <w:p w:rsidR="00C64FFC" w:rsidRPr="00954D73" w:rsidRDefault="00BE46AA" w:rsidP="00300393">
      <w:pPr>
        <w:pStyle w:val="ListParagraph"/>
        <w:numPr>
          <w:ilvl w:val="0"/>
          <w:numId w:val="4"/>
        </w:numPr>
        <w:ind w:left="1134" w:hanging="567"/>
        <w:rPr>
          <w:rFonts w:ascii="ArialMT" w:eastAsia="MS Mincho" w:hAnsi="ArialMT" w:cs="ArialMT"/>
        </w:rPr>
      </w:pPr>
      <w:proofErr w:type="gramStart"/>
      <w:r>
        <w:rPr>
          <w:rFonts w:ascii="ArialMT" w:hAnsi="ArialMT"/>
        </w:rPr>
        <w:t>d</w:t>
      </w:r>
      <w:r w:rsidR="001722FF">
        <w:rPr>
          <w:rFonts w:ascii="ArialMT" w:hAnsi="ArialMT"/>
        </w:rPr>
        <w:t>’</w:t>
      </w:r>
      <w:r w:rsidR="00C64FFC">
        <w:rPr>
          <w:rFonts w:ascii="ArialMT" w:hAnsi="ArialMT"/>
        </w:rPr>
        <w:t>attirer</w:t>
      </w:r>
      <w:proofErr w:type="gramEnd"/>
      <w:r w:rsidR="00C64FFC">
        <w:rPr>
          <w:rFonts w:ascii="ArialMT" w:hAnsi="ArialMT"/>
        </w:rPr>
        <w:t xml:space="preserve"> leur attention sur l</w:t>
      </w:r>
      <w:r w:rsidR="001722FF">
        <w:rPr>
          <w:rFonts w:ascii="ArialMT" w:hAnsi="ArialMT"/>
        </w:rPr>
        <w:t>’</w:t>
      </w:r>
      <w:r w:rsidR="00C64FFC">
        <w:rPr>
          <w:rFonts w:ascii="ArialMT" w:hAnsi="ArialMT"/>
        </w:rPr>
        <w:t>importance de tenir à jour les listes de personnes désignées au</w:t>
      </w:r>
      <w:r w:rsidR="001722FF">
        <w:rPr>
          <w:rFonts w:ascii="ArialMT" w:hAnsi="ArialMT"/>
        </w:rPr>
        <w:t> TC</w:t>
      </w:r>
      <w:r w:rsidR="00C64FFC">
        <w:rPr>
          <w:rFonts w:ascii="ArialMT" w:hAnsi="ArialMT"/>
        </w:rPr>
        <w:t xml:space="preserve"> et</w:t>
      </w:r>
      <w:r w:rsidR="001722FF">
        <w:rPr>
          <w:rFonts w:ascii="ArialMT" w:hAnsi="ArialMT"/>
        </w:rPr>
        <w:t xml:space="preserve"> aux TWP</w:t>
      </w:r>
      <w:r w:rsidR="00C64FFC">
        <w:rPr>
          <w:rFonts w:ascii="ArialMT" w:hAnsi="ArialMT"/>
        </w:rPr>
        <w:t>;</w:t>
      </w:r>
    </w:p>
    <w:p w:rsidR="001722FF" w:rsidRDefault="00BE46AA" w:rsidP="00300393">
      <w:pPr>
        <w:pStyle w:val="ListParagraph"/>
        <w:numPr>
          <w:ilvl w:val="0"/>
          <w:numId w:val="4"/>
        </w:numPr>
        <w:ind w:left="1134" w:hanging="567"/>
        <w:rPr>
          <w:rFonts w:ascii="ArialMT" w:hAnsi="ArialMT"/>
        </w:rPr>
      </w:pPr>
      <w:proofErr w:type="gramStart"/>
      <w:r>
        <w:rPr>
          <w:rFonts w:ascii="ArialMT" w:hAnsi="ArialMT"/>
        </w:rPr>
        <w:t>d</w:t>
      </w:r>
      <w:r w:rsidR="001722FF">
        <w:rPr>
          <w:rFonts w:ascii="ArialMT" w:hAnsi="ArialMT"/>
        </w:rPr>
        <w:t>’</w:t>
      </w:r>
      <w:r w:rsidR="00C64FFC">
        <w:rPr>
          <w:rFonts w:ascii="ArialMT" w:hAnsi="ArialMT"/>
        </w:rPr>
        <w:t>expliquer</w:t>
      </w:r>
      <w:proofErr w:type="gramEnd"/>
      <w:r w:rsidR="00C64FFC">
        <w:rPr>
          <w:rFonts w:ascii="ArialMT" w:hAnsi="ArialMT"/>
        </w:rPr>
        <w:t xml:space="preserve"> qu</w:t>
      </w:r>
      <w:r w:rsidR="001722FF">
        <w:rPr>
          <w:rFonts w:ascii="ArialMT" w:hAnsi="ArialMT"/>
        </w:rPr>
        <w:t>’</w:t>
      </w:r>
      <w:r w:rsidR="00C64FFC">
        <w:rPr>
          <w:rFonts w:ascii="ArialMT" w:hAnsi="ArialMT"/>
        </w:rPr>
        <w:t>il est possible d</w:t>
      </w:r>
      <w:r w:rsidR="001722FF">
        <w:rPr>
          <w:rFonts w:ascii="ArialMT" w:hAnsi="ArialMT"/>
        </w:rPr>
        <w:t>’</w:t>
      </w:r>
      <w:r w:rsidR="00C64FFC">
        <w:rPr>
          <w:rFonts w:ascii="ArialMT" w:hAnsi="ArialMT"/>
        </w:rPr>
        <w:t>avoir plus d</w:t>
      </w:r>
      <w:r w:rsidR="001722FF">
        <w:rPr>
          <w:rFonts w:ascii="ArialMT" w:hAnsi="ArialMT"/>
        </w:rPr>
        <w:t>’</w:t>
      </w:r>
      <w:r w:rsidR="00C64FFC">
        <w:rPr>
          <w:rFonts w:ascii="ArialMT" w:hAnsi="ArialMT"/>
        </w:rPr>
        <w:t>une personne désignée au</w:t>
      </w:r>
      <w:r w:rsidR="001722FF">
        <w:rPr>
          <w:rFonts w:ascii="ArialMT" w:hAnsi="ArialMT"/>
        </w:rPr>
        <w:t> TC</w:t>
      </w:r>
      <w:r w:rsidR="00C64FFC">
        <w:rPr>
          <w:rFonts w:ascii="ArialMT" w:hAnsi="ArialMT"/>
        </w:rPr>
        <w:t xml:space="preserve"> et</w:t>
      </w:r>
      <w:r w:rsidR="001722FF">
        <w:rPr>
          <w:rFonts w:ascii="ArialMT" w:hAnsi="ArialMT"/>
        </w:rPr>
        <w:t xml:space="preserve"> aux TWP</w:t>
      </w:r>
      <w:r w:rsidR="00C64FFC">
        <w:rPr>
          <w:rFonts w:ascii="ArialMT" w:hAnsi="ArialMT"/>
        </w:rPr>
        <w:t>.</w:t>
      </w:r>
    </w:p>
    <w:p w:rsidR="00300393" w:rsidRDefault="00300393" w:rsidP="00300393">
      <w:pPr>
        <w:rPr>
          <w:rFonts w:ascii="ArialMT" w:eastAsia="MS Mincho" w:hAnsi="ArialMT" w:cs="ArialMT"/>
        </w:rPr>
      </w:pPr>
    </w:p>
    <w:p w:rsidR="00300393" w:rsidRPr="00810727" w:rsidRDefault="00300393" w:rsidP="009A2CEB">
      <w:pPr>
        <w:pStyle w:val="Heading4"/>
        <w:rPr>
          <w:rFonts w:eastAsia="MS Mincho"/>
        </w:rPr>
      </w:pPr>
      <w:r>
        <w:t>Contenu des sessions de</w:t>
      </w:r>
      <w:r w:rsidR="001722FF">
        <w:t> TC</w:t>
      </w:r>
      <w:r>
        <w:t xml:space="preserve"> et</w:t>
      </w:r>
      <w:r w:rsidR="001722FF">
        <w:t xml:space="preserve"> des TWP</w:t>
      </w:r>
    </w:p>
    <w:p w:rsidR="00300393" w:rsidRPr="00300393" w:rsidRDefault="00300393" w:rsidP="00300393">
      <w:pPr>
        <w:rPr>
          <w:rFonts w:ascii="ArialMT" w:eastAsia="MS Mincho" w:hAnsi="ArialMT" w:cs="ArialMT"/>
        </w:rPr>
      </w:pPr>
    </w:p>
    <w:p w:rsidR="00C64FFC" w:rsidRPr="00954D73" w:rsidRDefault="00C64FFC" w:rsidP="00300393">
      <w:pPr>
        <w:pStyle w:val="ListParagraph"/>
        <w:numPr>
          <w:ilvl w:val="0"/>
          <w:numId w:val="1"/>
        </w:numPr>
        <w:ind w:left="567" w:hanging="567"/>
        <w:rPr>
          <w:rFonts w:eastAsiaTheme="minorEastAsia" w:cs="Arial"/>
          <w:snapToGrid w:val="0"/>
        </w:rPr>
      </w:pPr>
      <w:proofErr w:type="gramStart"/>
      <w:r>
        <w:t>inviter</w:t>
      </w:r>
      <w:proofErr w:type="gramEnd"/>
      <w:r>
        <w:t xml:space="preserve"> les participants à présenter des exposés sur des sujets pertinents durant la session;</w:t>
      </w:r>
    </w:p>
    <w:p w:rsidR="00EC5C5D" w:rsidRPr="00954D73" w:rsidRDefault="00BE46AA" w:rsidP="00300393">
      <w:pPr>
        <w:pStyle w:val="ListParagraph"/>
        <w:numPr>
          <w:ilvl w:val="0"/>
          <w:numId w:val="1"/>
        </w:numPr>
        <w:ind w:left="567" w:hanging="567"/>
        <w:rPr>
          <w:rFonts w:eastAsiaTheme="minorEastAsia" w:cs="Arial"/>
          <w:snapToGrid w:val="0"/>
        </w:rPr>
      </w:pPr>
      <w:proofErr w:type="gramStart"/>
      <w:r>
        <w:rPr>
          <w:snapToGrid w:val="0"/>
        </w:rPr>
        <w:t>regrouper</w:t>
      </w:r>
      <w:proofErr w:type="gramEnd"/>
      <w:r>
        <w:rPr>
          <w:snapToGrid w:val="0"/>
        </w:rPr>
        <w:t xml:space="preserve"> les sujets d</w:t>
      </w:r>
      <w:r w:rsidR="001722FF">
        <w:rPr>
          <w:snapToGrid w:val="0"/>
        </w:rPr>
        <w:t>’</w:t>
      </w:r>
      <w:r>
        <w:rPr>
          <w:snapToGrid w:val="0"/>
        </w:rPr>
        <w:t>intérêt</w:t>
      </w:r>
      <w:r w:rsidR="00EC5C5D">
        <w:rPr>
          <w:snapToGrid w:val="0"/>
        </w:rPr>
        <w:t xml:space="preserve"> pour les o</w:t>
      </w:r>
      <w:r w:rsidR="00F16ADD">
        <w:rPr>
          <w:snapToGrid w:val="0"/>
        </w:rPr>
        <w:t>btenteurs sur certains jours de</w:t>
      </w:r>
      <w:r w:rsidR="00EC5C5D">
        <w:rPr>
          <w:snapToGrid w:val="0"/>
        </w:rPr>
        <w:t xml:space="preserve"> sessions;</w:t>
      </w:r>
    </w:p>
    <w:p w:rsidR="001722FF" w:rsidRDefault="00EC5C5D" w:rsidP="00300393">
      <w:pPr>
        <w:pStyle w:val="ListParagraph"/>
        <w:numPr>
          <w:ilvl w:val="0"/>
          <w:numId w:val="1"/>
        </w:numPr>
        <w:ind w:left="567" w:hanging="567"/>
        <w:rPr>
          <w:snapToGrid w:val="0"/>
        </w:rPr>
      </w:pPr>
      <w:proofErr w:type="gramStart"/>
      <w:r>
        <w:rPr>
          <w:snapToGrid w:val="0"/>
        </w:rPr>
        <w:t>proposer</w:t>
      </w:r>
      <w:proofErr w:type="gramEnd"/>
      <w:r>
        <w:rPr>
          <w:snapToGrid w:val="0"/>
        </w:rPr>
        <w:t xml:space="preserve"> une vidéo sur le site Intern</w:t>
      </w:r>
      <w:r w:rsidR="00F16ADD">
        <w:rPr>
          <w:snapToGrid w:val="0"/>
        </w:rPr>
        <w:t>et pour présenter les avantages de la</w:t>
      </w:r>
      <w:r>
        <w:rPr>
          <w:snapToGrid w:val="0"/>
        </w:rPr>
        <w:t xml:space="preserve"> participation aux sessions de</w:t>
      </w:r>
      <w:r w:rsidR="001722FF">
        <w:rPr>
          <w:snapToGrid w:val="0"/>
        </w:rPr>
        <w:t> TC</w:t>
      </w:r>
      <w:r>
        <w:rPr>
          <w:snapToGrid w:val="0"/>
        </w:rPr>
        <w:t xml:space="preserve"> et</w:t>
      </w:r>
      <w:r w:rsidR="001722FF">
        <w:rPr>
          <w:snapToGrid w:val="0"/>
        </w:rPr>
        <w:t xml:space="preserve"> des TWP</w:t>
      </w:r>
      <w:r>
        <w:rPr>
          <w:snapToGrid w:val="0"/>
        </w:rPr>
        <w:t>.</w:t>
      </w:r>
    </w:p>
    <w:p w:rsidR="00EC5C5D" w:rsidRDefault="00EC5C5D" w:rsidP="00EC5C5D"/>
    <w:p w:rsidR="00300393" w:rsidRPr="00954D73" w:rsidRDefault="00300393" w:rsidP="00EC5C5D"/>
    <w:p w:rsidR="00EC5C5D" w:rsidRPr="00954D73" w:rsidRDefault="00EC5C5D" w:rsidP="00EC5C5D">
      <w:pPr>
        <w:tabs>
          <w:tab w:val="left" w:pos="5387"/>
        </w:tabs>
        <w:ind w:left="4820"/>
        <w:rPr>
          <w:i/>
        </w:rPr>
      </w:pPr>
      <w:r w:rsidRPr="00954D73">
        <w:rPr>
          <w:i/>
        </w:rPr>
        <w:fldChar w:fldCharType="begin"/>
      </w:r>
      <w:r w:rsidRPr="00954D73">
        <w:rPr>
          <w:i/>
        </w:rPr>
        <w:instrText xml:space="preserve"> AUTONUM  </w:instrText>
      </w:r>
      <w:r w:rsidRPr="00954D73">
        <w:rPr>
          <w:i/>
        </w:rPr>
        <w:fldChar w:fldCharType="end"/>
      </w:r>
      <w:r>
        <w:rPr>
          <w:i/>
        </w:rPr>
        <w:tab/>
        <w:t>Le</w:t>
      </w:r>
      <w:r w:rsidR="001722FF">
        <w:rPr>
          <w:i/>
        </w:rPr>
        <w:t> TC</w:t>
      </w:r>
      <w:r>
        <w:rPr>
          <w:i/>
        </w:rPr>
        <w:t xml:space="preserve"> est invité à examiner les propositions visant à améliorer les courriers d</w:t>
      </w:r>
      <w:r w:rsidR="001722FF">
        <w:rPr>
          <w:i/>
        </w:rPr>
        <w:t>’</w:t>
      </w:r>
      <w:r>
        <w:rPr>
          <w:i/>
        </w:rPr>
        <w:t>invitation aux sessions</w:t>
      </w:r>
      <w:r w:rsidR="001722FF">
        <w:rPr>
          <w:i/>
        </w:rPr>
        <w:t xml:space="preserve"> des TWP</w:t>
      </w:r>
      <w:r>
        <w:rPr>
          <w:i/>
        </w:rPr>
        <w:t xml:space="preserve"> et du</w:t>
      </w:r>
      <w:r w:rsidR="001722FF">
        <w:rPr>
          <w:i/>
        </w:rPr>
        <w:t> TC</w:t>
      </w:r>
      <w:r>
        <w:rPr>
          <w:i/>
        </w:rPr>
        <w:t xml:space="preserve">, </w:t>
      </w:r>
      <w:r w:rsidR="00F16ADD">
        <w:rPr>
          <w:i/>
        </w:rPr>
        <w:t xml:space="preserve">qui </w:t>
      </w:r>
      <w:r w:rsidR="00F16ADD" w:rsidRPr="00365374">
        <w:rPr>
          <w:i/>
        </w:rPr>
        <w:t>figurent</w:t>
      </w:r>
      <w:r w:rsidRPr="00365374">
        <w:rPr>
          <w:i/>
        </w:rPr>
        <w:t xml:space="preserve"> au </w:t>
      </w:r>
      <w:r w:rsidR="001722FF" w:rsidRPr="00365374">
        <w:rPr>
          <w:i/>
        </w:rPr>
        <w:t>paragraphe 1</w:t>
      </w:r>
      <w:r w:rsidRPr="00365374">
        <w:rPr>
          <w:i/>
        </w:rPr>
        <w:t>0 et à l</w:t>
      </w:r>
      <w:r w:rsidR="001722FF" w:rsidRPr="00365374">
        <w:rPr>
          <w:i/>
        </w:rPr>
        <w:t>’</w:t>
      </w:r>
      <w:r w:rsidRPr="00365374">
        <w:rPr>
          <w:i/>
        </w:rPr>
        <w:t>annexe IV du présent document.</w:t>
      </w:r>
    </w:p>
    <w:p w:rsidR="00BD076B" w:rsidRDefault="00BD076B" w:rsidP="00050E16">
      <w:pPr>
        <w:jc w:val="right"/>
      </w:pPr>
    </w:p>
    <w:p w:rsidR="00EA21F4" w:rsidRDefault="00EA21F4" w:rsidP="00442348"/>
    <w:p w:rsidR="00B31763" w:rsidRDefault="00B31763" w:rsidP="00442348"/>
    <w:p w:rsidR="001D7915" w:rsidRDefault="001D7915" w:rsidP="00915F6F">
      <w:pPr>
        <w:pStyle w:val="Heading1"/>
      </w:pPr>
      <w:bookmarkStart w:id="8" w:name="_Toc22478906"/>
      <w:r>
        <w:t>AUTRES PROPOSITIONS VISANT À RENFORCER LA PARTICIPATION AUX TRAVAUX DU</w:t>
      </w:r>
      <w:r w:rsidR="001722FF">
        <w:t> TC</w:t>
      </w:r>
      <w:r>
        <w:t xml:space="preserve"> ET DES TWP</w:t>
      </w:r>
      <w:bookmarkEnd w:id="8"/>
    </w:p>
    <w:p w:rsidR="001D7915" w:rsidRPr="00DB1534" w:rsidRDefault="001D7915" w:rsidP="00442348"/>
    <w:p w:rsidR="00442348" w:rsidRDefault="00442348" w:rsidP="001D7915">
      <w:pPr>
        <w:pStyle w:val="Heading2"/>
      </w:pPr>
      <w:bookmarkStart w:id="9" w:name="_Toc18604995"/>
      <w:bookmarkStart w:id="10" w:name="_Toc22478907"/>
      <w:r>
        <w:t>Organisation d</w:t>
      </w:r>
      <w:r w:rsidR="001722FF">
        <w:t>’</w:t>
      </w:r>
      <w:r>
        <w:t>un séminaire à Genève</w:t>
      </w:r>
      <w:bookmarkEnd w:id="9"/>
      <w:bookmarkEnd w:id="10"/>
    </w:p>
    <w:p w:rsidR="00442348" w:rsidRDefault="00442348" w:rsidP="00442348">
      <w:pPr>
        <w:tabs>
          <w:tab w:val="left" w:pos="567"/>
        </w:tabs>
        <w:rPr>
          <w:rFonts w:cs="Arial"/>
        </w:rPr>
      </w:pPr>
    </w:p>
    <w:p w:rsidR="00442348" w:rsidRDefault="00442348" w:rsidP="00442348">
      <w:pPr>
        <w:tabs>
          <w:tab w:val="left" w:pos="567"/>
        </w:tabs>
        <w:rPr>
          <w:rFonts w:cs="Arial"/>
        </w:rPr>
      </w:pPr>
      <w:r w:rsidRPr="00356E0F">
        <w:rPr>
          <w:rFonts w:cs="Arial"/>
        </w:rPr>
        <w:fldChar w:fldCharType="begin"/>
      </w:r>
      <w:r w:rsidRPr="00356E0F">
        <w:rPr>
          <w:rFonts w:cs="Arial"/>
        </w:rPr>
        <w:instrText xml:space="preserve"> AUTONUM  </w:instrText>
      </w:r>
      <w:r w:rsidRPr="00356E0F">
        <w:rPr>
          <w:rFonts w:cs="Arial"/>
        </w:rPr>
        <w:fldChar w:fldCharType="end"/>
      </w:r>
      <w:r>
        <w:tab/>
        <w:t>À sa cinquante</w:t>
      </w:r>
      <w:r w:rsidR="001722FF">
        <w:t>-</w:t>
      </w:r>
      <w:r>
        <w:t>quatr</w:t>
      </w:r>
      <w:r w:rsidR="001722FF">
        <w:t>ième session</w:t>
      </w:r>
      <w:r>
        <w:t xml:space="preserve"> tenue à Genève les 29 et 3</w:t>
      </w:r>
      <w:r w:rsidR="001722FF">
        <w:t>0 octobre 20</w:t>
      </w:r>
      <w:r>
        <w:t>18, le Comité technique (TC) a examiné les propositions visant à renforcer la participation aux travaux du</w:t>
      </w:r>
      <w:r w:rsidR="001722FF">
        <w:t> TC</w:t>
      </w:r>
      <w:r>
        <w:t xml:space="preserve"> et</w:t>
      </w:r>
      <w:r w:rsidR="001722FF">
        <w:t xml:space="preserve"> des TWP</w:t>
      </w:r>
      <w:r>
        <w:t xml:space="preserve"> (voir les </w:t>
      </w:r>
      <w:r w:rsidR="001722FF">
        <w:t>paragraphes 1</w:t>
      </w:r>
      <w:r>
        <w:t xml:space="preserve">91 et 192 du </w:t>
      </w:r>
      <w:r w:rsidR="001722FF">
        <w:t>document TC</w:t>
      </w:r>
      <w:r>
        <w:t>/54/31 “Compte rendu”).</w:t>
      </w:r>
    </w:p>
    <w:p w:rsidR="00442348" w:rsidRPr="00916BB5" w:rsidRDefault="00442348" w:rsidP="00442348"/>
    <w:p w:rsidR="001722FF" w:rsidRDefault="00442348" w:rsidP="00442348">
      <w:r w:rsidRPr="00916BB5">
        <w:fldChar w:fldCharType="begin"/>
      </w:r>
      <w:r w:rsidRPr="00916BB5">
        <w:instrText xml:space="preserve"> AUTONUM  </w:instrText>
      </w:r>
      <w:r w:rsidRPr="00916BB5">
        <w:fldChar w:fldCharType="end"/>
      </w:r>
      <w:r>
        <w:tab/>
        <w:t>Le</w:t>
      </w:r>
      <w:r w:rsidR="001722FF">
        <w:t> TC</w:t>
      </w:r>
      <w:r>
        <w:t xml:space="preserve"> rappelle les résultats de l</w:t>
      </w:r>
      <w:r w:rsidR="001722FF">
        <w:t>’</w:t>
      </w:r>
      <w:r>
        <w:t xml:space="preserve">enquête menée </w:t>
      </w:r>
      <w:r w:rsidR="001722FF">
        <w:t>en 2016</w:t>
      </w:r>
      <w:r>
        <w:t xml:space="preserve"> qui indiquent que les contraintes budgétaires étaient la principale raison pour laquelle un plus grand nombre de membres ne pouvaient pas participer aux réunions de l</w:t>
      </w:r>
      <w:r w:rsidR="001722FF">
        <w:t>’</w:t>
      </w:r>
      <w:r>
        <w:t>U</w:t>
      </w:r>
      <w:r w:rsidR="00ED14D8">
        <w:t>POV.  Le</w:t>
      </w:r>
      <w:r w:rsidR="001722FF">
        <w:t> TC</w:t>
      </w:r>
      <w:r>
        <w:t xml:space="preserve"> convient qu</w:t>
      </w:r>
      <w:r w:rsidR="001722FF">
        <w:t>’</w:t>
      </w:r>
      <w:r>
        <w:t>il serait utile de faire connaître l</w:t>
      </w:r>
      <w:r w:rsidR="001722FF">
        <w:t>’</w:t>
      </w:r>
      <w:r>
        <w:t>importance des activités techniques menées à l</w:t>
      </w:r>
      <w:r w:rsidR="001722FF">
        <w:t>’</w:t>
      </w:r>
      <w:r>
        <w:t>UPOV et il convient également de proposer l</w:t>
      </w:r>
      <w:r w:rsidR="001722FF">
        <w:t>’</w:t>
      </w:r>
      <w:r>
        <w:t>organisation, à Genève, d</w:t>
      </w:r>
      <w:r w:rsidR="001722FF">
        <w:t>’</w:t>
      </w:r>
      <w:r>
        <w:t>un séminaire tenu parallèlement aux sessions de l</w:t>
      </w:r>
      <w:r w:rsidR="001722FF">
        <w:t>’</w:t>
      </w:r>
      <w:r>
        <w:t>UPOV.</w:t>
      </w:r>
    </w:p>
    <w:p w:rsidR="006B3B48" w:rsidRDefault="006B3B48" w:rsidP="00442348"/>
    <w:p w:rsidR="00442348" w:rsidRPr="00916BB5" w:rsidRDefault="006B3B48" w:rsidP="00442348">
      <w:r>
        <w:fldChar w:fldCharType="begin"/>
      </w:r>
      <w:r>
        <w:instrText xml:space="preserve"> AUTONUM  </w:instrText>
      </w:r>
      <w:r>
        <w:fldChar w:fldCharType="end"/>
      </w:r>
      <w:r>
        <w:tab/>
        <w:t>En concertation avec les présidents du</w:t>
      </w:r>
      <w:r w:rsidR="001722FF">
        <w:t> TC</w:t>
      </w:r>
      <w:r>
        <w:t xml:space="preserve"> et du Comité consultatif, il est proposé que le</w:t>
      </w:r>
      <w:r w:rsidR="001722FF">
        <w:t> TC</w:t>
      </w:r>
      <w:r>
        <w:t xml:space="preserve"> fournisse des orientations sur le contenu et le format du séminaire proposé, pour permettre au Comité consultatif de les examiner.</w:t>
      </w:r>
    </w:p>
    <w:p w:rsidR="001E55BF" w:rsidRDefault="001E55BF" w:rsidP="001E55BF">
      <w:pPr>
        <w:tabs>
          <w:tab w:val="left" w:pos="5387"/>
          <w:tab w:val="left" w:pos="5954"/>
        </w:tabs>
        <w:ind w:left="4820"/>
        <w:rPr>
          <w:i/>
        </w:rPr>
      </w:pPr>
    </w:p>
    <w:p w:rsidR="001722FF" w:rsidRDefault="001E55BF" w:rsidP="001E55BF">
      <w:pPr>
        <w:tabs>
          <w:tab w:val="left" w:pos="5387"/>
          <w:tab w:val="left" w:pos="5954"/>
        </w:tabs>
        <w:ind w:left="4820"/>
        <w:rPr>
          <w:i/>
        </w:rPr>
      </w:pPr>
      <w:r w:rsidRPr="001E55BF">
        <w:rPr>
          <w:i/>
        </w:rPr>
        <w:fldChar w:fldCharType="begin"/>
      </w:r>
      <w:r w:rsidRPr="001E55BF">
        <w:rPr>
          <w:i/>
        </w:rPr>
        <w:instrText xml:space="preserve"> AUTONUM  </w:instrText>
      </w:r>
      <w:r w:rsidRPr="001E55BF">
        <w:rPr>
          <w:i/>
        </w:rPr>
        <w:fldChar w:fldCharType="end"/>
      </w:r>
      <w:r>
        <w:rPr>
          <w:i/>
        </w:rPr>
        <w:tab/>
        <w:t>Le</w:t>
      </w:r>
      <w:r w:rsidR="001722FF">
        <w:rPr>
          <w:i/>
        </w:rPr>
        <w:t> TC</w:t>
      </w:r>
      <w:r>
        <w:rPr>
          <w:i/>
        </w:rPr>
        <w:t xml:space="preserve"> est invité à examiner s</w:t>
      </w:r>
      <w:r w:rsidR="001722FF">
        <w:rPr>
          <w:i/>
        </w:rPr>
        <w:t>’</w:t>
      </w:r>
      <w:r>
        <w:rPr>
          <w:i/>
        </w:rPr>
        <w:t>il convient de fournir des orientations sur le contenu et le format du séminaire proposé afin de communiquer l</w:t>
      </w:r>
      <w:r w:rsidR="001722FF">
        <w:rPr>
          <w:i/>
        </w:rPr>
        <w:t>’</w:t>
      </w:r>
      <w:r>
        <w:rPr>
          <w:i/>
        </w:rPr>
        <w:t>importance des travaux techniques réalisés à l</w:t>
      </w:r>
      <w:r w:rsidR="001722FF">
        <w:rPr>
          <w:i/>
        </w:rPr>
        <w:t>’</w:t>
      </w:r>
      <w:r>
        <w:rPr>
          <w:i/>
        </w:rPr>
        <w:t>UPOV.</w:t>
      </w:r>
    </w:p>
    <w:p w:rsidR="001E55BF" w:rsidRPr="001D7915" w:rsidRDefault="001E55BF" w:rsidP="001E55BF">
      <w:pPr>
        <w:tabs>
          <w:tab w:val="left" w:pos="5387"/>
          <w:tab w:val="left" w:pos="5954"/>
        </w:tabs>
        <w:ind w:left="4820"/>
        <w:rPr>
          <w:i/>
        </w:rPr>
      </w:pPr>
    </w:p>
    <w:p w:rsidR="00442348" w:rsidRPr="007A4840" w:rsidRDefault="00442348" w:rsidP="00442348">
      <w:pPr>
        <w:tabs>
          <w:tab w:val="left" w:pos="5387"/>
        </w:tabs>
        <w:ind w:left="4820"/>
        <w:rPr>
          <w:i/>
        </w:rPr>
      </w:pPr>
    </w:p>
    <w:p w:rsidR="00442348" w:rsidRPr="00916BB5" w:rsidRDefault="00442348" w:rsidP="001D7915">
      <w:pPr>
        <w:pStyle w:val="Heading2"/>
      </w:pPr>
      <w:bookmarkStart w:id="11" w:name="_Toc18604996"/>
      <w:bookmarkStart w:id="12" w:name="_Toc22478908"/>
      <w:r>
        <w:t>Partic</w:t>
      </w:r>
      <w:r w:rsidR="00F16ADD">
        <w:t>ipation aux réunions du</w:t>
      </w:r>
      <w:r w:rsidR="001722FF">
        <w:t> TC</w:t>
      </w:r>
      <w:r w:rsidR="00F16ADD">
        <w:t xml:space="preserve"> et</w:t>
      </w:r>
      <w:r w:rsidR="001722FF">
        <w:t xml:space="preserve"> des TWP</w:t>
      </w:r>
      <w:r>
        <w:t xml:space="preserve"> par voie électronique</w:t>
      </w:r>
      <w:bookmarkEnd w:id="11"/>
      <w:bookmarkEnd w:id="12"/>
    </w:p>
    <w:p w:rsidR="00442348" w:rsidRPr="00916BB5" w:rsidRDefault="00442348" w:rsidP="00442348"/>
    <w:p w:rsidR="001722FF" w:rsidRDefault="00442348" w:rsidP="00442348">
      <w:r w:rsidRPr="00916BB5">
        <w:fldChar w:fldCharType="begin"/>
      </w:r>
      <w:r w:rsidRPr="00916BB5">
        <w:instrText xml:space="preserve"> AUTONUM  </w:instrText>
      </w:r>
      <w:r w:rsidRPr="00916BB5">
        <w:fldChar w:fldCharType="end"/>
      </w:r>
      <w:r>
        <w:tab/>
        <w:t>Le</w:t>
      </w:r>
      <w:r w:rsidR="001722FF">
        <w:t> TC</w:t>
      </w:r>
      <w:r>
        <w:t xml:space="preserve"> convient que la participation à ses réunions et à celles</w:t>
      </w:r>
      <w:r w:rsidR="001722FF">
        <w:t xml:space="preserve"> des TWP</w:t>
      </w:r>
      <w:r>
        <w:t xml:space="preserve"> pourrait être renforcée en rendant possible la participation par voie électronique à certains suje</w:t>
      </w:r>
      <w:r w:rsidR="00ED14D8">
        <w:t>ts.  Le</w:t>
      </w:r>
      <w:r w:rsidR="001722FF">
        <w:t> TC</w:t>
      </w:r>
      <w:r>
        <w:t xml:space="preserve"> convient d</w:t>
      </w:r>
      <w:r w:rsidR="001722FF">
        <w:t>’</w:t>
      </w:r>
      <w:r>
        <w:t>inviter les membres à indiquer les sujets qu</w:t>
      </w:r>
      <w:r w:rsidR="001722FF">
        <w:t>’</w:t>
      </w:r>
      <w:r>
        <w:t>ils souhaitent examiner par voie électronique lors des prochaines sessions du</w:t>
      </w:r>
      <w:r w:rsidR="001722FF">
        <w:t> TC</w:t>
      </w:r>
      <w:r>
        <w:t xml:space="preserve"> et</w:t>
      </w:r>
      <w:r w:rsidR="001722FF">
        <w:t xml:space="preserve"> des </w:t>
      </w:r>
      <w:r w:rsidR="00ED14D8">
        <w:t>TWP.  Le</w:t>
      </w:r>
      <w:r>
        <w:t xml:space="preserve"> président concerné, le Bureau de l</w:t>
      </w:r>
      <w:r w:rsidR="001722FF">
        <w:t>’</w:t>
      </w:r>
      <w:r>
        <w:t xml:space="preserve">Union et le pays hôte réfléchiront à la suite à donner à ces demandes (voir le </w:t>
      </w:r>
      <w:r w:rsidR="001722FF">
        <w:t>paragraphe 1</w:t>
      </w:r>
      <w:r>
        <w:t xml:space="preserve">95 du </w:t>
      </w:r>
      <w:r w:rsidR="001722FF">
        <w:t>document TC</w:t>
      </w:r>
      <w:r>
        <w:t xml:space="preserve">/54/31 </w:t>
      </w:r>
      <w:r w:rsidR="001722FF">
        <w:t>“</w:t>
      </w:r>
      <w:r>
        <w:t>Compte rendu</w:t>
      </w:r>
      <w:r w:rsidR="001722FF">
        <w:t>”</w:t>
      </w:r>
      <w:r>
        <w:t>).</w:t>
      </w:r>
    </w:p>
    <w:p w:rsidR="00442348" w:rsidRDefault="00442348" w:rsidP="00442348"/>
    <w:p w:rsidR="00442348" w:rsidRPr="009250AA" w:rsidRDefault="00442348" w:rsidP="00442348">
      <w:pPr>
        <w:rPr>
          <w:rFonts w:cs="Arial"/>
        </w:rPr>
      </w:pPr>
      <w:r>
        <w:rPr>
          <w:rFonts w:cs="Arial"/>
        </w:rPr>
        <w:fldChar w:fldCharType="begin"/>
      </w:r>
      <w:r>
        <w:rPr>
          <w:rFonts w:cs="Arial"/>
        </w:rPr>
        <w:instrText xml:space="preserve"> AUTONUM  </w:instrText>
      </w:r>
      <w:r>
        <w:rPr>
          <w:rFonts w:cs="Arial"/>
        </w:rPr>
        <w:fldChar w:fldCharType="end"/>
      </w:r>
      <w:r>
        <w:tab/>
        <w:t>Les invitations</w:t>
      </w:r>
      <w:r w:rsidR="001722FF">
        <w:t xml:space="preserve"> aux TWP</w:t>
      </w:r>
      <w:r>
        <w:t xml:space="preserve">, à leurs sessions </w:t>
      </w:r>
      <w:r w:rsidR="001722FF">
        <w:t>de 2019</w:t>
      </w:r>
      <w:r>
        <w:t>, ont été modifiées afin d</w:t>
      </w:r>
      <w:r w:rsidR="001722FF">
        <w:t>’</w:t>
      </w:r>
      <w:r>
        <w:t>inviter les membres à indiquer les sujets auxquels ils souhaitent participer par voie électroniq</w:t>
      </w:r>
      <w:r w:rsidR="00ED14D8">
        <w:t>ue.  Le</w:t>
      </w:r>
      <w:r>
        <w:t xml:space="preserve"> Bureau de l</w:t>
      </w:r>
      <w:r w:rsidR="001722FF">
        <w:t>’</w:t>
      </w:r>
      <w:r>
        <w:t>UPOV a reçu une demande de participation par voie électronique</w:t>
      </w:r>
      <w:r w:rsidR="001722FF">
        <w:t xml:space="preserve"> au BMT</w:t>
      </w:r>
      <w:r>
        <w:t xml:space="preserve"> de deux</w:t>
      </w:r>
      <w:r w:rsidR="002636BB">
        <w:t> </w:t>
      </w:r>
      <w:r>
        <w:t>organisations ayant le statut d</w:t>
      </w:r>
      <w:r w:rsidR="001722FF">
        <w:t>’</w:t>
      </w:r>
      <w:r>
        <w:t>observateur.</w:t>
      </w:r>
    </w:p>
    <w:p w:rsidR="00442348" w:rsidRDefault="00442348" w:rsidP="00442348">
      <w:pPr>
        <w:jc w:val="left"/>
      </w:pPr>
    </w:p>
    <w:p w:rsidR="00442348" w:rsidRPr="001722FF" w:rsidRDefault="001D7915" w:rsidP="00365374">
      <w:pPr>
        <w:keepNext/>
        <w:keepLines/>
        <w:tabs>
          <w:tab w:val="left" w:pos="5387"/>
          <w:tab w:val="left" w:pos="5954"/>
        </w:tabs>
        <w:ind w:left="4820"/>
        <w:rPr>
          <w:i/>
        </w:rPr>
      </w:pPr>
      <w:r w:rsidRPr="001722FF">
        <w:rPr>
          <w:i/>
        </w:rPr>
        <w:lastRenderedPageBreak/>
        <w:fldChar w:fldCharType="begin"/>
      </w:r>
      <w:r w:rsidRPr="001722FF">
        <w:rPr>
          <w:i/>
        </w:rPr>
        <w:instrText xml:space="preserve"> AUTONUM  </w:instrText>
      </w:r>
      <w:r w:rsidRPr="001722FF">
        <w:rPr>
          <w:i/>
        </w:rPr>
        <w:fldChar w:fldCharType="end"/>
      </w:r>
      <w:r w:rsidRPr="001722FF">
        <w:rPr>
          <w:i/>
        </w:rPr>
        <w:tab/>
        <w:t>Le</w:t>
      </w:r>
      <w:r w:rsidR="001722FF">
        <w:rPr>
          <w:i/>
        </w:rPr>
        <w:t> TC</w:t>
      </w:r>
      <w:r w:rsidRPr="001722FF">
        <w:rPr>
          <w:i/>
        </w:rPr>
        <w:t xml:space="preserve"> est invité à noter que les invitations aux sessions </w:t>
      </w:r>
      <w:r w:rsidR="001722FF" w:rsidRPr="001722FF">
        <w:rPr>
          <w:i/>
        </w:rPr>
        <w:t>de</w:t>
      </w:r>
      <w:r w:rsidR="001722FF">
        <w:rPr>
          <w:i/>
        </w:rPr>
        <w:t> </w:t>
      </w:r>
      <w:r w:rsidR="001722FF" w:rsidRPr="001722FF">
        <w:rPr>
          <w:i/>
        </w:rPr>
        <w:t>2019 des</w:t>
      </w:r>
      <w:r w:rsidR="001722FF">
        <w:rPr>
          <w:i/>
        </w:rPr>
        <w:t> </w:t>
      </w:r>
      <w:r w:rsidR="001722FF" w:rsidRPr="001722FF">
        <w:rPr>
          <w:i/>
        </w:rPr>
        <w:t>TWP</w:t>
      </w:r>
      <w:r w:rsidRPr="001722FF">
        <w:rPr>
          <w:i/>
        </w:rPr>
        <w:t xml:space="preserve"> ont invité les destinataires à indiquer les sujets auxquels ils souhaitent participer par voie électronique.</w:t>
      </w:r>
    </w:p>
    <w:p w:rsidR="00442348" w:rsidRPr="001722FF" w:rsidRDefault="00442348" w:rsidP="00050E16">
      <w:pPr>
        <w:jc w:val="right"/>
        <w:rPr>
          <w:i/>
        </w:rPr>
      </w:pPr>
    </w:p>
    <w:p w:rsidR="00442348" w:rsidRDefault="00442348" w:rsidP="00050E16">
      <w:pPr>
        <w:jc w:val="right"/>
      </w:pPr>
    </w:p>
    <w:p w:rsidR="00442348" w:rsidRPr="00954D73" w:rsidRDefault="00442348" w:rsidP="00050E16">
      <w:pPr>
        <w:jc w:val="right"/>
      </w:pPr>
    </w:p>
    <w:p w:rsidR="00DC35FA" w:rsidRPr="00954D73" w:rsidRDefault="00050E16" w:rsidP="00DC35FA">
      <w:pPr>
        <w:jc w:val="right"/>
        <w:sectPr w:rsidR="00DC35FA" w:rsidRPr="00954D73" w:rsidSect="00BD076B">
          <w:headerReference w:type="even" r:id="rId8"/>
          <w:headerReference w:type="default" r:id="rId9"/>
          <w:footerReference w:type="even" r:id="rId10"/>
          <w:footerReference w:type="default" r:id="rId11"/>
          <w:headerReference w:type="first" r:id="rId12"/>
          <w:footerReference w:type="first" r:id="rId13"/>
          <w:pgSz w:w="11907" w:h="16840" w:code="9"/>
          <w:pgMar w:top="510" w:right="1134" w:bottom="993" w:left="1134" w:header="510" w:footer="680" w:gutter="0"/>
          <w:cols w:space="720"/>
          <w:titlePg/>
        </w:sectPr>
      </w:pPr>
      <w:r>
        <w:t>[Les annexes suivent]</w:t>
      </w:r>
    </w:p>
    <w:p w:rsidR="00DC35FA" w:rsidRPr="00954D73" w:rsidRDefault="00DC35FA" w:rsidP="00DC35FA">
      <w:pPr>
        <w:jc w:val="center"/>
        <w:rPr>
          <w:rFonts w:ascii="ArialMT" w:eastAsia="MS Mincho" w:hAnsi="ArialMT" w:cs="ArialMT"/>
          <w:caps/>
        </w:rPr>
      </w:pPr>
      <w:r>
        <w:rPr>
          <w:rFonts w:ascii="ArialMT" w:hAnsi="ArialMT"/>
          <w:caps/>
        </w:rPr>
        <w:lastRenderedPageBreak/>
        <w:t>PROCÉDURE DE REMISE DES INVITATIONS AUX SESSIONS DU COMITÉ TECHNIQUE (TC) ET DES GROUPES DE TRAVAIL TECHNIQUES (TWP)</w:t>
      </w:r>
      <w:r w:rsidR="002636BB">
        <w:rPr>
          <w:rFonts w:ascii="ArialMT" w:hAnsi="ArialMT"/>
          <w:caps/>
        </w:rPr>
        <w:t> :</w:t>
      </w:r>
    </w:p>
    <w:p w:rsidR="00DC35FA" w:rsidRPr="00954D73" w:rsidRDefault="00DC35FA" w:rsidP="00DC35FA">
      <w:pPr>
        <w:rPr>
          <w:rFonts w:ascii="ArialMT" w:eastAsia="MS Mincho" w:hAnsi="ArialMT" w:cs="ArialMT"/>
        </w:rPr>
      </w:pPr>
    </w:p>
    <w:p w:rsidR="00DC35FA" w:rsidRPr="00954D73" w:rsidRDefault="00DC35FA" w:rsidP="00DC35FA">
      <w:pPr>
        <w:rPr>
          <w:rFonts w:ascii="ArialMT" w:eastAsia="MS Mincho" w:hAnsi="ArialMT" w:cs="ArialMT"/>
          <w:u w:val="single"/>
        </w:rPr>
      </w:pPr>
      <w:r>
        <w:rPr>
          <w:rFonts w:ascii="ArialMT" w:hAnsi="ArialMT"/>
          <w:u w:val="single"/>
        </w:rPr>
        <w:t>Délai de remise des invitations</w:t>
      </w:r>
    </w:p>
    <w:p w:rsidR="00DC35FA" w:rsidRPr="00954D73" w:rsidRDefault="00DC35FA" w:rsidP="00DC35FA">
      <w:pPr>
        <w:rPr>
          <w:rFonts w:ascii="ArialMT" w:eastAsia="MS Mincho" w:hAnsi="ArialMT" w:cs="ArialMT"/>
        </w:rPr>
      </w:pPr>
    </w:p>
    <w:p w:rsidR="00DC35FA" w:rsidRPr="00954D73" w:rsidRDefault="00DC35FA" w:rsidP="00DC35FA">
      <w:pPr>
        <w:rPr>
          <w:rFonts w:cs="Arial"/>
          <w:bCs/>
          <w:snapToGrid w:val="0"/>
        </w:rPr>
      </w:pPr>
      <w:r>
        <w:rPr>
          <w:bCs/>
          <w:snapToGrid w:val="0"/>
        </w:rPr>
        <w:t>Les circulaires d</w:t>
      </w:r>
      <w:r w:rsidR="001722FF">
        <w:rPr>
          <w:bCs/>
          <w:snapToGrid w:val="0"/>
        </w:rPr>
        <w:t>’</w:t>
      </w:r>
      <w:r>
        <w:rPr>
          <w:bCs/>
          <w:snapToGrid w:val="0"/>
        </w:rPr>
        <w:t>invitation électroniques pour les sessions du</w:t>
      </w:r>
      <w:r w:rsidR="001722FF">
        <w:rPr>
          <w:bCs/>
          <w:snapToGrid w:val="0"/>
        </w:rPr>
        <w:t> TC</w:t>
      </w:r>
      <w:r>
        <w:rPr>
          <w:bCs/>
          <w:snapToGrid w:val="0"/>
        </w:rPr>
        <w:t xml:space="preserve"> sont envoyées par courrier électronique en même temps que les invitations pour les sessions du Conseil (c</w:t>
      </w:r>
      <w:r w:rsidR="001722FF">
        <w:rPr>
          <w:bCs/>
          <w:snapToGrid w:val="0"/>
        </w:rPr>
        <w:t>’</w:t>
      </w:r>
      <w:r>
        <w:rPr>
          <w:bCs/>
          <w:snapToGrid w:val="0"/>
        </w:rPr>
        <w:t>est</w:t>
      </w:r>
      <w:r w:rsidR="001722FF">
        <w:rPr>
          <w:bCs/>
          <w:snapToGrid w:val="0"/>
        </w:rPr>
        <w:t>-</w:t>
      </w:r>
      <w:r>
        <w:rPr>
          <w:bCs/>
          <w:snapToGrid w:val="0"/>
        </w:rPr>
        <w:t>à</w:t>
      </w:r>
      <w:r w:rsidR="001722FF">
        <w:rPr>
          <w:bCs/>
          <w:snapToGrid w:val="0"/>
        </w:rPr>
        <w:t>-</w:t>
      </w:r>
      <w:r>
        <w:rPr>
          <w:bCs/>
          <w:snapToGrid w:val="0"/>
        </w:rPr>
        <w:t>dire cinq</w:t>
      </w:r>
      <w:r w:rsidR="002636BB">
        <w:rPr>
          <w:bCs/>
          <w:snapToGrid w:val="0"/>
        </w:rPr>
        <w:t> </w:t>
      </w:r>
      <w:r>
        <w:rPr>
          <w:bCs/>
          <w:snapToGrid w:val="0"/>
        </w:rPr>
        <w:t>mois avant les sessio</w:t>
      </w:r>
      <w:r w:rsidR="00ED14D8">
        <w:rPr>
          <w:bCs/>
          <w:snapToGrid w:val="0"/>
        </w:rPr>
        <w:t>ns).  Un</w:t>
      </w:r>
      <w:r>
        <w:rPr>
          <w:bCs/>
          <w:snapToGrid w:val="0"/>
        </w:rPr>
        <w:t xml:space="preserve"> exemple de circulaire d</w:t>
      </w:r>
      <w:r w:rsidR="001722FF">
        <w:rPr>
          <w:bCs/>
          <w:snapToGrid w:val="0"/>
        </w:rPr>
        <w:t>’</w:t>
      </w:r>
      <w:r>
        <w:rPr>
          <w:bCs/>
          <w:snapToGrid w:val="0"/>
        </w:rPr>
        <w:t>invitation électronique à une session du</w:t>
      </w:r>
      <w:r w:rsidR="001722FF">
        <w:rPr>
          <w:bCs/>
          <w:snapToGrid w:val="0"/>
        </w:rPr>
        <w:t> TC</w:t>
      </w:r>
      <w:r>
        <w:rPr>
          <w:bCs/>
          <w:snapToGrid w:val="0"/>
        </w:rPr>
        <w:t xml:space="preserve"> figure à l</w:t>
      </w:r>
      <w:r w:rsidR="001722FF">
        <w:rPr>
          <w:bCs/>
          <w:snapToGrid w:val="0"/>
        </w:rPr>
        <w:t>’annexe I</w:t>
      </w:r>
      <w:r>
        <w:rPr>
          <w:bCs/>
          <w:snapToGrid w:val="0"/>
        </w:rPr>
        <w:t>I du présent document.</w:t>
      </w:r>
    </w:p>
    <w:p w:rsidR="00DC35FA" w:rsidRPr="00954D73" w:rsidRDefault="00DC35FA" w:rsidP="00DC35FA">
      <w:pPr>
        <w:rPr>
          <w:rFonts w:cs="Arial"/>
          <w:bCs/>
          <w:snapToGrid w:val="0"/>
        </w:rPr>
      </w:pPr>
    </w:p>
    <w:p w:rsidR="00DC35FA" w:rsidRPr="00954D73" w:rsidRDefault="00DC35FA" w:rsidP="00DC35FA">
      <w:pPr>
        <w:rPr>
          <w:rFonts w:cs="Arial"/>
          <w:bCs/>
          <w:snapToGrid w:val="0"/>
        </w:rPr>
      </w:pPr>
      <w:r>
        <w:rPr>
          <w:bCs/>
          <w:snapToGrid w:val="0"/>
        </w:rPr>
        <w:t>Les circulaires d</w:t>
      </w:r>
      <w:r w:rsidR="001722FF">
        <w:rPr>
          <w:bCs/>
          <w:snapToGrid w:val="0"/>
        </w:rPr>
        <w:t>’</w:t>
      </w:r>
      <w:r>
        <w:rPr>
          <w:bCs/>
          <w:snapToGrid w:val="0"/>
        </w:rPr>
        <w:t>invitation électroniques aux sessions</w:t>
      </w:r>
      <w:r w:rsidR="001722FF">
        <w:rPr>
          <w:bCs/>
          <w:snapToGrid w:val="0"/>
        </w:rPr>
        <w:t xml:space="preserve"> du TWP</w:t>
      </w:r>
      <w:r>
        <w:rPr>
          <w:bCs/>
          <w:snapToGrid w:val="0"/>
        </w:rPr>
        <w:t xml:space="preserve"> sont envoyées par courrier électronique trois</w:t>
      </w:r>
      <w:r w:rsidR="002636BB">
        <w:rPr>
          <w:bCs/>
          <w:snapToGrid w:val="0"/>
        </w:rPr>
        <w:t> </w:t>
      </w:r>
      <w:r>
        <w:rPr>
          <w:bCs/>
          <w:snapToGrid w:val="0"/>
        </w:rPr>
        <w:t>mois avant les sessio</w:t>
      </w:r>
      <w:r w:rsidR="00ED14D8">
        <w:rPr>
          <w:bCs/>
          <w:snapToGrid w:val="0"/>
        </w:rPr>
        <w:t>ns.  Un</w:t>
      </w:r>
      <w:r>
        <w:rPr>
          <w:bCs/>
          <w:snapToGrid w:val="0"/>
        </w:rPr>
        <w:t xml:space="preserve"> exemple de circulaire d</w:t>
      </w:r>
      <w:r w:rsidR="001722FF">
        <w:rPr>
          <w:bCs/>
          <w:snapToGrid w:val="0"/>
        </w:rPr>
        <w:t>’</w:t>
      </w:r>
      <w:r>
        <w:rPr>
          <w:bCs/>
          <w:snapToGrid w:val="0"/>
        </w:rPr>
        <w:t>invitation électronique à une session</w:t>
      </w:r>
      <w:r w:rsidR="001722FF">
        <w:rPr>
          <w:bCs/>
          <w:snapToGrid w:val="0"/>
        </w:rPr>
        <w:t xml:space="preserve"> du TWP</w:t>
      </w:r>
      <w:r>
        <w:rPr>
          <w:bCs/>
          <w:snapToGrid w:val="0"/>
        </w:rPr>
        <w:t xml:space="preserve"> figure à l</w:t>
      </w:r>
      <w:r w:rsidR="001722FF">
        <w:rPr>
          <w:bCs/>
          <w:snapToGrid w:val="0"/>
        </w:rPr>
        <w:t>’annexe I</w:t>
      </w:r>
      <w:r>
        <w:rPr>
          <w:bCs/>
          <w:snapToGrid w:val="0"/>
        </w:rPr>
        <w:t>II du présent document.</w:t>
      </w:r>
    </w:p>
    <w:p w:rsidR="00DC35FA" w:rsidRPr="00954D73" w:rsidRDefault="00DC35FA" w:rsidP="00DC35FA">
      <w:pPr>
        <w:rPr>
          <w:rFonts w:cs="Arial"/>
          <w:bCs/>
          <w:snapToGrid w:val="0"/>
        </w:rPr>
      </w:pPr>
    </w:p>
    <w:p w:rsidR="00DC35FA" w:rsidRPr="00954D73" w:rsidRDefault="00DC35FA" w:rsidP="00DC35FA">
      <w:pPr>
        <w:rPr>
          <w:rFonts w:cs="Arial"/>
          <w:bCs/>
          <w:snapToGrid w:val="0"/>
          <w:u w:val="single"/>
        </w:rPr>
      </w:pPr>
      <w:r>
        <w:rPr>
          <w:bCs/>
          <w:snapToGrid w:val="0"/>
          <w:u w:val="single"/>
        </w:rPr>
        <w:t>Liste des personnes désignées dans les organes de l</w:t>
      </w:r>
      <w:r w:rsidR="001722FF">
        <w:rPr>
          <w:bCs/>
          <w:snapToGrid w:val="0"/>
          <w:u w:val="single"/>
        </w:rPr>
        <w:t>’</w:t>
      </w:r>
      <w:r>
        <w:rPr>
          <w:bCs/>
          <w:snapToGrid w:val="0"/>
          <w:u w:val="single"/>
        </w:rPr>
        <w:t>UPOV</w:t>
      </w:r>
    </w:p>
    <w:p w:rsidR="00DC35FA" w:rsidRPr="00954D73" w:rsidRDefault="00DC35FA" w:rsidP="00DC35FA">
      <w:pPr>
        <w:rPr>
          <w:rFonts w:cs="Arial"/>
          <w:bCs/>
          <w:snapToGrid w:val="0"/>
        </w:rPr>
      </w:pPr>
    </w:p>
    <w:p w:rsidR="001722FF" w:rsidRDefault="00DC35FA" w:rsidP="00DC35FA">
      <w:pPr>
        <w:rPr>
          <w:bCs/>
          <w:snapToGrid w:val="0"/>
        </w:rPr>
      </w:pPr>
      <w:r>
        <w:rPr>
          <w:bCs/>
          <w:snapToGrid w:val="0"/>
        </w:rPr>
        <w:t>Le représentant de chaque membre de l</w:t>
      </w:r>
      <w:r w:rsidR="001722FF">
        <w:rPr>
          <w:bCs/>
          <w:snapToGrid w:val="0"/>
        </w:rPr>
        <w:t>’</w:t>
      </w:r>
      <w:r>
        <w:rPr>
          <w:bCs/>
          <w:snapToGrid w:val="0"/>
        </w:rPr>
        <w:t>Union au Conseil est chargé de désigner les personnes auprès des organes pertinents de l</w:t>
      </w:r>
      <w:r w:rsidR="001722FF">
        <w:rPr>
          <w:bCs/>
          <w:snapToGrid w:val="0"/>
        </w:rPr>
        <w:t>’</w:t>
      </w:r>
      <w:r>
        <w:rPr>
          <w:bCs/>
          <w:snapToGrid w:val="0"/>
        </w:rPr>
        <w:t>UPOV, notamment le</w:t>
      </w:r>
      <w:r w:rsidR="001722FF">
        <w:rPr>
          <w:bCs/>
          <w:snapToGrid w:val="0"/>
        </w:rPr>
        <w:t> TC</w:t>
      </w:r>
      <w:r>
        <w:rPr>
          <w:bCs/>
          <w:snapToGrid w:val="0"/>
        </w:rPr>
        <w:t xml:space="preserve"> et</w:t>
      </w:r>
      <w:r w:rsidR="001722FF">
        <w:rPr>
          <w:bCs/>
          <w:snapToGrid w:val="0"/>
        </w:rPr>
        <w:t xml:space="preserve"> les TWP</w:t>
      </w:r>
      <w:r>
        <w:rPr>
          <w:bCs/>
          <w:snapToGrid w:val="0"/>
        </w:rPr>
        <w:t xml:space="preserve"> (voir le </w:t>
      </w:r>
      <w:r w:rsidR="001722FF">
        <w:rPr>
          <w:bCs/>
          <w:snapToGrid w:val="0"/>
        </w:rPr>
        <w:t>paragraphe 1</w:t>
      </w:r>
      <w:r>
        <w:rPr>
          <w:bCs/>
          <w:snapToGrid w:val="0"/>
        </w:rPr>
        <w:t xml:space="preserve">0 du document UPOV/INF/15/3, </w:t>
      </w:r>
      <w:r w:rsidR="001722FF">
        <w:rPr>
          <w:bCs/>
          <w:snapToGrid w:val="0"/>
        </w:rPr>
        <w:t>“</w:t>
      </w:r>
      <w:r>
        <w:rPr>
          <w:bCs/>
          <w:snapToGrid w:val="0"/>
        </w:rPr>
        <w:t>Document d</w:t>
      </w:r>
      <w:r w:rsidR="001722FF">
        <w:rPr>
          <w:bCs/>
          <w:snapToGrid w:val="0"/>
        </w:rPr>
        <w:t>’</w:t>
      </w:r>
      <w:r>
        <w:rPr>
          <w:bCs/>
          <w:snapToGrid w:val="0"/>
        </w:rPr>
        <w:t>orientation destiné aux membres de l</w:t>
      </w:r>
      <w:r w:rsidR="001722FF">
        <w:rPr>
          <w:bCs/>
          <w:snapToGrid w:val="0"/>
        </w:rPr>
        <w:t>’</w:t>
      </w:r>
      <w:r>
        <w:rPr>
          <w:bCs/>
          <w:snapToGrid w:val="0"/>
        </w:rPr>
        <w:t>UPOV</w:t>
      </w:r>
      <w:r w:rsidR="001722FF">
        <w:rPr>
          <w:bCs/>
          <w:snapToGrid w:val="0"/>
        </w:rPr>
        <w:t>”</w:t>
      </w:r>
      <w:r>
        <w:rPr>
          <w:bCs/>
          <w:snapToGrid w:val="0"/>
        </w:rPr>
        <w:t>).</w:t>
      </w:r>
    </w:p>
    <w:p w:rsidR="00DC35FA" w:rsidRPr="00954D73" w:rsidRDefault="00DC35FA" w:rsidP="00DC35FA">
      <w:pPr>
        <w:rPr>
          <w:rFonts w:cs="Arial"/>
          <w:bCs/>
          <w:snapToGrid w:val="0"/>
        </w:rPr>
      </w:pPr>
    </w:p>
    <w:p w:rsidR="00DC35FA" w:rsidRPr="00954D73" w:rsidRDefault="00DC35FA" w:rsidP="00DC35FA">
      <w:pPr>
        <w:rPr>
          <w:rFonts w:cs="Arial"/>
          <w:bCs/>
          <w:snapToGrid w:val="0"/>
          <w:u w:val="single"/>
        </w:rPr>
      </w:pPr>
      <w:r>
        <w:rPr>
          <w:bCs/>
          <w:snapToGrid w:val="0"/>
          <w:u w:val="single"/>
        </w:rPr>
        <w:t>Invitations aux sessions du Comité technique</w:t>
      </w:r>
    </w:p>
    <w:p w:rsidR="00DC35FA" w:rsidRPr="00954D73" w:rsidRDefault="00DC35FA" w:rsidP="00DC35FA">
      <w:pPr>
        <w:rPr>
          <w:rFonts w:cs="Arial"/>
          <w:bCs/>
          <w:snapToGrid w:val="0"/>
        </w:rPr>
      </w:pPr>
    </w:p>
    <w:p w:rsidR="001722FF" w:rsidRDefault="00DC35FA" w:rsidP="00DC35FA">
      <w:r>
        <w:t>Les invitations aux sessions du Comité technique sont envoyées aux ministres des affaires étrangères des membres et des observateurs et aux chefs de secrétariat des organisations membres et des organisations ayant le statut d</w:t>
      </w:r>
      <w:r w:rsidR="001722FF">
        <w:t>’</w:t>
      </w:r>
      <w:r>
        <w:t>observate</w:t>
      </w:r>
      <w:r w:rsidR="00ED14D8">
        <w:t>ur.  En</w:t>
      </w:r>
      <w:r>
        <w:t xml:space="preserve"> outre, des copies pour information sont envoyées aux ministres de l</w:t>
      </w:r>
      <w:r w:rsidR="001722FF">
        <w:t>’</w:t>
      </w:r>
      <w:r>
        <w:t>agriculture et aux missions permanentes des membres et des observateurs et aux personnes désignées des membres et observateurs dans le</w:t>
      </w:r>
      <w:r w:rsidR="001722FF">
        <w:t> TC</w:t>
      </w:r>
      <w:r>
        <w:t>.</w:t>
      </w:r>
    </w:p>
    <w:p w:rsidR="00DC35FA" w:rsidRPr="00954D73" w:rsidRDefault="00DC35FA" w:rsidP="00DC35FA">
      <w:pPr>
        <w:rPr>
          <w:rFonts w:ascii="ArialMT" w:eastAsia="MS Mincho" w:hAnsi="ArialMT" w:cs="ArialMT"/>
        </w:rPr>
      </w:pPr>
    </w:p>
    <w:p w:rsidR="00DC35FA" w:rsidRPr="00954D73" w:rsidRDefault="00DC35FA" w:rsidP="00DC35FA">
      <w:pPr>
        <w:rPr>
          <w:rFonts w:ascii="ArialMT" w:eastAsia="MS Mincho" w:hAnsi="ArialMT" w:cs="ArialMT"/>
          <w:u w:val="single"/>
        </w:rPr>
      </w:pPr>
      <w:r>
        <w:rPr>
          <w:u w:val="single"/>
        </w:rPr>
        <w:t>Invitations aux sessions des groupes de travail techniques (TWP)</w:t>
      </w:r>
    </w:p>
    <w:p w:rsidR="00DC35FA" w:rsidRPr="00954D73" w:rsidRDefault="00DC35FA" w:rsidP="00DC35FA">
      <w:pPr>
        <w:rPr>
          <w:rFonts w:ascii="ArialMT" w:eastAsia="MS Mincho" w:hAnsi="ArialMT" w:cs="ArialMT"/>
        </w:rPr>
      </w:pPr>
    </w:p>
    <w:p w:rsidR="00DC35FA" w:rsidRPr="00954D73" w:rsidRDefault="00DC35FA" w:rsidP="00DC35FA">
      <w:pPr>
        <w:rPr>
          <w:rFonts w:ascii="ArialMT" w:eastAsia="MS Mincho" w:hAnsi="ArialMT" w:cs="ArialMT"/>
        </w:rPr>
      </w:pPr>
      <w:r>
        <w:rPr>
          <w:rFonts w:ascii="ArialMT" w:hAnsi="ArialMT"/>
        </w:rPr>
        <w:t>Les invitations aux sessions des groupes de travail techniques sont envoyées aux personnes désignées des membres ou observateurs dans les groupes de travail respecti</w:t>
      </w:r>
      <w:r w:rsidR="00ED14D8">
        <w:rPr>
          <w:rFonts w:ascii="ArialMT" w:hAnsi="ArialMT"/>
        </w:rPr>
        <w:t xml:space="preserve">fs.  </w:t>
      </w:r>
      <w:r w:rsidR="00ED14D8">
        <w:t>En</w:t>
      </w:r>
      <w:r>
        <w:t xml:space="preserve"> outre, les invitations aux sessions</w:t>
      </w:r>
      <w:r w:rsidR="001722FF">
        <w:t xml:space="preserve"> des TWP</w:t>
      </w:r>
      <w:r>
        <w:t xml:space="preserve"> sont également envoyées aux personnes désignées des membres et observateurs dans le</w:t>
      </w:r>
      <w:r w:rsidR="001722FF">
        <w:t> TC</w:t>
      </w:r>
      <w:r>
        <w:t>.</w:t>
      </w:r>
    </w:p>
    <w:p w:rsidR="00DC35FA" w:rsidRPr="00954D73" w:rsidRDefault="00DC35FA" w:rsidP="00DC35FA">
      <w:pPr>
        <w:rPr>
          <w:rFonts w:ascii="ArialMT" w:eastAsia="MS Mincho" w:hAnsi="ArialMT" w:cs="ArialMT"/>
        </w:rPr>
      </w:pPr>
    </w:p>
    <w:p w:rsidR="00DC35FA" w:rsidRPr="00954D73" w:rsidRDefault="00DC35FA" w:rsidP="00DC35FA">
      <w:pPr>
        <w:rPr>
          <w:rFonts w:ascii="ArialMT" w:eastAsia="MS Mincho" w:hAnsi="ArialMT" w:cs="ArialMT"/>
        </w:rPr>
      </w:pPr>
    </w:p>
    <w:p w:rsidR="00DC35FA" w:rsidRPr="00954D73" w:rsidRDefault="00DC35FA" w:rsidP="00DC35FA">
      <w:pPr>
        <w:rPr>
          <w:rFonts w:ascii="ArialMT" w:eastAsia="MS Mincho" w:hAnsi="ArialMT" w:cs="ArialMT"/>
          <w:caps/>
        </w:rPr>
      </w:pPr>
      <w:r>
        <w:rPr>
          <w:rFonts w:ascii="ArialMT" w:hAnsi="ArialMT"/>
          <w:caps/>
        </w:rPr>
        <w:t xml:space="preserve">AMÉLIORATIONS POSSIBLES À APPORTER AUX </w:t>
      </w:r>
      <w:r>
        <w:rPr>
          <w:caps/>
          <w:snapToGrid w:val="0"/>
        </w:rPr>
        <w:t>COURRIERS D</w:t>
      </w:r>
      <w:r w:rsidR="001722FF">
        <w:rPr>
          <w:caps/>
          <w:snapToGrid w:val="0"/>
        </w:rPr>
        <w:t>’</w:t>
      </w:r>
      <w:r>
        <w:rPr>
          <w:caps/>
          <w:snapToGrid w:val="0"/>
        </w:rPr>
        <w:t>INVITATION AUX SESSIONS DU</w:t>
      </w:r>
      <w:r w:rsidR="001722FF">
        <w:rPr>
          <w:caps/>
          <w:snapToGrid w:val="0"/>
        </w:rPr>
        <w:t> TC</w:t>
      </w:r>
      <w:r>
        <w:rPr>
          <w:caps/>
          <w:snapToGrid w:val="0"/>
        </w:rPr>
        <w:t xml:space="preserve"> ET DU TWP</w:t>
      </w:r>
    </w:p>
    <w:p w:rsidR="00DC35FA" w:rsidRPr="00954D73" w:rsidRDefault="00DC35FA" w:rsidP="00DC35FA">
      <w:pPr>
        <w:rPr>
          <w:rFonts w:ascii="ArialMT" w:eastAsia="MS Mincho" w:hAnsi="ArialMT" w:cs="ArialMT"/>
        </w:rPr>
      </w:pPr>
    </w:p>
    <w:p w:rsidR="00DC35FA" w:rsidRPr="00954D73" w:rsidRDefault="00DC35FA" w:rsidP="00DC35FA">
      <w:pPr>
        <w:rPr>
          <w:rFonts w:ascii="ArialMT" w:eastAsia="MS Mincho" w:hAnsi="ArialMT" w:cs="ArialMT"/>
        </w:rPr>
      </w:pPr>
      <w:r>
        <w:rPr>
          <w:rFonts w:ascii="ArialMT" w:hAnsi="ArialMT"/>
        </w:rPr>
        <w:t>Envoyer une circulaire aux représentants auprès du Conseil de chaque membre de l</w:t>
      </w:r>
      <w:r w:rsidR="001722FF">
        <w:rPr>
          <w:rFonts w:ascii="ArialMT" w:hAnsi="ArialMT"/>
        </w:rPr>
        <w:t>’</w:t>
      </w:r>
      <w:r>
        <w:rPr>
          <w:rFonts w:ascii="ArialMT" w:hAnsi="ArialMT"/>
        </w:rPr>
        <w:t>Union pour</w:t>
      </w:r>
      <w:r w:rsidR="002636BB">
        <w:rPr>
          <w:rFonts w:ascii="ArialMT" w:hAnsi="ArialMT"/>
        </w:rPr>
        <w:t> </w:t>
      </w:r>
      <w:r>
        <w:rPr>
          <w:rFonts w:ascii="ArialMT" w:hAnsi="ArialMT"/>
        </w:rPr>
        <w:t>:</w:t>
      </w:r>
    </w:p>
    <w:p w:rsidR="00DC35FA" w:rsidRPr="00954D73" w:rsidRDefault="00DC35FA" w:rsidP="00DC35FA">
      <w:pPr>
        <w:rPr>
          <w:rFonts w:ascii="ArialMT" w:eastAsia="MS Mincho" w:hAnsi="ArialMT" w:cs="ArialMT"/>
        </w:rPr>
      </w:pPr>
    </w:p>
    <w:p w:rsidR="00DC35FA" w:rsidRPr="00954D73" w:rsidRDefault="00DC35FA" w:rsidP="00DC35FA">
      <w:pPr>
        <w:pStyle w:val="ListParagraph"/>
        <w:numPr>
          <w:ilvl w:val="0"/>
          <w:numId w:val="3"/>
        </w:numPr>
        <w:ind w:left="0" w:firstLine="0"/>
        <w:rPr>
          <w:rFonts w:ascii="ArialMT" w:eastAsia="MS Mincho" w:hAnsi="ArialMT" w:cs="ArialMT"/>
        </w:rPr>
      </w:pPr>
      <w:r>
        <w:rPr>
          <w:rFonts w:ascii="ArialMT" w:hAnsi="ArialMT"/>
        </w:rPr>
        <w:t>Attirer leur attention sur l</w:t>
      </w:r>
      <w:r w:rsidR="001722FF">
        <w:rPr>
          <w:rFonts w:ascii="ArialMT" w:hAnsi="ArialMT"/>
        </w:rPr>
        <w:t>’</w:t>
      </w:r>
      <w:r>
        <w:rPr>
          <w:rFonts w:ascii="ArialMT" w:hAnsi="ArialMT"/>
        </w:rPr>
        <w:t>importance de tenir à jour les listes de personnes désignées au</w:t>
      </w:r>
      <w:r w:rsidR="001722FF">
        <w:rPr>
          <w:rFonts w:ascii="ArialMT" w:hAnsi="ArialMT"/>
        </w:rPr>
        <w:t> TC</w:t>
      </w:r>
      <w:r>
        <w:rPr>
          <w:rFonts w:ascii="ArialMT" w:hAnsi="ArialMT"/>
        </w:rPr>
        <w:t xml:space="preserve"> et</w:t>
      </w:r>
      <w:r w:rsidR="001722FF">
        <w:rPr>
          <w:rFonts w:ascii="ArialMT" w:hAnsi="ArialMT"/>
        </w:rPr>
        <w:t xml:space="preserve"> aux TWP</w:t>
      </w:r>
      <w:r>
        <w:rPr>
          <w:rFonts w:ascii="ArialMT" w:hAnsi="ArialMT"/>
        </w:rPr>
        <w:t>;</w:t>
      </w:r>
    </w:p>
    <w:p w:rsidR="001722FF" w:rsidRDefault="00DC35FA" w:rsidP="00DC35FA">
      <w:pPr>
        <w:pStyle w:val="ListParagraph"/>
        <w:numPr>
          <w:ilvl w:val="0"/>
          <w:numId w:val="3"/>
        </w:numPr>
        <w:ind w:left="0" w:firstLine="0"/>
        <w:rPr>
          <w:rFonts w:ascii="ArialMT" w:hAnsi="ArialMT"/>
        </w:rPr>
      </w:pPr>
      <w:r>
        <w:rPr>
          <w:rFonts w:ascii="ArialMT" w:hAnsi="ArialMT"/>
        </w:rPr>
        <w:t>Expliquer qu</w:t>
      </w:r>
      <w:r w:rsidR="001722FF">
        <w:rPr>
          <w:rFonts w:ascii="ArialMT" w:hAnsi="ArialMT"/>
        </w:rPr>
        <w:t>’</w:t>
      </w:r>
      <w:r>
        <w:rPr>
          <w:rFonts w:ascii="ArialMT" w:hAnsi="ArialMT"/>
        </w:rPr>
        <w:t>il est possible d</w:t>
      </w:r>
      <w:r w:rsidR="001722FF">
        <w:rPr>
          <w:rFonts w:ascii="ArialMT" w:hAnsi="ArialMT"/>
        </w:rPr>
        <w:t>’</w:t>
      </w:r>
      <w:r>
        <w:rPr>
          <w:rFonts w:ascii="ArialMT" w:hAnsi="ArialMT"/>
        </w:rPr>
        <w:t>avoir plus d</w:t>
      </w:r>
      <w:r w:rsidR="001722FF">
        <w:rPr>
          <w:rFonts w:ascii="ArialMT" w:hAnsi="ArialMT"/>
        </w:rPr>
        <w:t>’</w:t>
      </w:r>
      <w:r>
        <w:rPr>
          <w:rFonts w:ascii="ArialMT" w:hAnsi="ArialMT"/>
        </w:rPr>
        <w:t>une personne désignée au</w:t>
      </w:r>
      <w:r w:rsidR="001722FF">
        <w:rPr>
          <w:rFonts w:ascii="ArialMT" w:hAnsi="ArialMT"/>
        </w:rPr>
        <w:t> TC</w:t>
      </w:r>
      <w:r>
        <w:rPr>
          <w:rFonts w:ascii="ArialMT" w:hAnsi="ArialMT"/>
        </w:rPr>
        <w:t xml:space="preserve"> et</w:t>
      </w:r>
      <w:r w:rsidR="001722FF">
        <w:rPr>
          <w:rFonts w:ascii="ArialMT" w:hAnsi="ArialMT"/>
        </w:rPr>
        <w:t xml:space="preserve"> aux TWP</w:t>
      </w:r>
      <w:r>
        <w:rPr>
          <w:rFonts w:ascii="ArialMT" w:hAnsi="ArialMT"/>
        </w:rPr>
        <w:t>.</w:t>
      </w:r>
    </w:p>
    <w:p w:rsidR="00DC35FA" w:rsidRPr="00954D73" w:rsidRDefault="00DC35FA" w:rsidP="00DC35FA">
      <w:pPr>
        <w:rPr>
          <w:rFonts w:cs="Arial"/>
        </w:rPr>
      </w:pPr>
    </w:p>
    <w:p w:rsidR="00DC35FA" w:rsidRPr="00954D73" w:rsidRDefault="00DC35FA" w:rsidP="00DC35FA">
      <w:pPr>
        <w:rPr>
          <w:rFonts w:cs="Arial"/>
        </w:rPr>
      </w:pPr>
    </w:p>
    <w:p w:rsidR="00DC35FA" w:rsidRPr="00954D73" w:rsidRDefault="00DC35FA" w:rsidP="00DC35FA">
      <w:pPr>
        <w:rPr>
          <w:rFonts w:cs="Arial"/>
        </w:rPr>
      </w:pPr>
    </w:p>
    <w:p w:rsidR="00DC35FA" w:rsidRPr="00954D73" w:rsidRDefault="00DC35FA" w:rsidP="00DC35FA">
      <w:pPr>
        <w:jc w:val="right"/>
        <w:rPr>
          <w:rFonts w:cs="Arial"/>
        </w:rPr>
      </w:pPr>
      <w:r>
        <w:t>[L</w:t>
      </w:r>
      <w:r w:rsidR="001722FF">
        <w:t>’annexe I</w:t>
      </w:r>
      <w:r>
        <w:t>I suit]</w:t>
      </w:r>
    </w:p>
    <w:p w:rsidR="00DC35FA" w:rsidRPr="00954D73" w:rsidRDefault="00DC35FA" w:rsidP="00DC35FA">
      <w:pPr>
        <w:sectPr w:rsidR="00DC35FA" w:rsidRPr="00954D73" w:rsidSect="00AF0EAD">
          <w:headerReference w:type="first" r:id="rId14"/>
          <w:pgSz w:w="11907" w:h="16840"/>
          <w:pgMar w:top="567" w:right="1134" w:bottom="1021" w:left="1418" w:header="510" w:footer="1021" w:gutter="0"/>
          <w:cols w:space="720"/>
          <w:titlePg/>
        </w:sectPr>
      </w:pPr>
    </w:p>
    <w:tbl>
      <w:tblPr>
        <w:tblW w:w="5000" w:type="pct"/>
        <w:tblLayout w:type="fixed"/>
        <w:tblCellMar>
          <w:left w:w="0" w:type="dxa"/>
          <w:right w:w="0" w:type="dxa"/>
        </w:tblCellMar>
        <w:tblLook w:val="0000" w:firstRow="0" w:lastRow="0" w:firstColumn="0" w:lastColumn="0" w:noHBand="0" w:noVBand="0"/>
      </w:tblPr>
      <w:tblGrid>
        <w:gridCol w:w="9072"/>
      </w:tblGrid>
      <w:tr w:rsidR="00DC35FA" w:rsidRPr="00954D73" w:rsidTr="00AB05C8">
        <w:tc>
          <w:tcPr>
            <w:tcW w:w="9072" w:type="dxa"/>
          </w:tcPr>
          <w:p w:rsidR="00DC35FA" w:rsidRPr="00954D73" w:rsidRDefault="00DC35FA" w:rsidP="00AB05C8">
            <w:pPr>
              <w:rPr>
                <w:rFonts w:eastAsia="SimSun" w:cs="Arial"/>
                <w:snapToGrid w:val="0"/>
                <w:color w:val="7F7F7F" w:themeColor="text1" w:themeTint="80"/>
                <w:sz w:val="22"/>
                <w:lang w:eastAsia="zh-CN"/>
              </w:rPr>
            </w:pPr>
          </w:p>
          <w:p w:rsidR="00DC35FA" w:rsidRPr="00954D73" w:rsidRDefault="00DC35FA" w:rsidP="00AB05C8">
            <w:pPr>
              <w:tabs>
                <w:tab w:val="left" w:pos="2955"/>
              </w:tabs>
              <w:rPr>
                <w:rFonts w:eastAsia="SimSun" w:cs="Arial"/>
                <w:snapToGrid w:val="0"/>
                <w:color w:val="7F7F7F" w:themeColor="text1" w:themeTint="80"/>
                <w:sz w:val="22"/>
              </w:rPr>
            </w:pPr>
          </w:p>
          <w:p w:rsidR="00DC35FA" w:rsidRPr="00954D73" w:rsidRDefault="00DC35FA" w:rsidP="00AB05C8">
            <w:pPr>
              <w:rPr>
                <w:rFonts w:eastAsia="SimSun" w:cs="Arial"/>
                <w:snapToGrid w:val="0"/>
                <w:color w:val="7F7F7F" w:themeColor="text1" w:themeTint="80"/>
                <w:sz w:val="22"/>
              </w:rPr>
            </w:pPr>
            <w:r>
              <w:rPr>
                <w:noProof/>
                <w:lang w:val="en-US"/>
              </w:rPr>
              <w:drawing>
                <wp:inline distT="0" distB="0" distL="0" distR="0" wp14:anchorId="1DFAF73D" wp14:editId="3FEB9735">
                  <wp:extent cx="952031" cy="244054"/>
                  <wp:effectExtent l="0" t="0" r="63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r>
      <w:tr w:rsidR="00DC35FA" w:rsidRPr="00C37FFC" w:rsidTr="00AB05C8">
        <w:tc>
          <w:tcPr>
            <w:tcW w:w="9072" w:type="dxa"/>
            <w:tcBorders>
              <w:bottom w:val="single" w:sz="4" w:space="0" w:color="auto"/>
            </w:tcBorders>
          </w:tcPr>
          <w:p w:rsidR="00DC35FA" w:rsidRPr="007920A4" w:rsidRDefault="001722FF" w:rsidP="00AB05C8">
            <w:pPr>
              <w:spacing w:before="120" w:after="120"/>
              <w:rPr>
                <w:bCs/>
                <w:snapToGrid w:val="0"/>
                <w:color w:val="7F7F7F" w:themeColor="text1" w:themeTint="80"/>
                <w:spacing w:val="8"/>
                <w:sz w:val="16"/>
                <w:lang w:val="fr-CH"/>
              </w:rPr>
            </w:pPr>
            <w:r w:rsidRPr="007920A4">
              <w:rPr>
                <w:bCs/>
                <w:snapToGrid w:val="0"/>
                <w:color w:val="7F7F7F" w:themeColor="text1" w:themeTint="80"/>
                <w:sz w:val="16"/>
                <w:lang w:val="fr-CH"/>
              </w:rPr>
              <w:t>Union internationale pour la protection des obtentions végétales</w:t>
            </w:r>
          </w:p>
        </w:tc>
      </w:tr>
    </w:tbl>
    <w:p w:rsidR="00DC35FA" w:rsidRPr="007920A4" w:rsidRDefault="00DC35FA" w:rsidP="00DC35FA">
      <w:pPr>
        <w:rPr>
          <w:rFonts w:eastAsia="SimSun" w:cs="Arial"/>
          <w:lang w:val="fr-CH" w:eastAsia="zh-CN"/>
        </w:rPr>
      </w:pPr>
    </w:p>
    <w:p w:rsidR="00DC35FA" w:rsidRPr="007920A4" w:rsidRDefault="00DC35FA" w:rsidP="00DC35FA">
      <w:pPr>
        <w:rPr>
          <w:rFonts w:eastAsia="SimSun" w:cs="Arial"/>
          <w:lang w:val="fr-CH" w:eastAsia="zh-CN"/>
        </w:rPr>
      </w:pPr>
    </w:p>
    <w:p w:rsidR="00DC35FA" w:rsidRPr="00954D73" w:rsidRDefault="00DC35FA" w:rsidP="00DC35FA">
      <w:pPr>
        <w:rPr>
          <w:rFonts w:eastAsia="SimSun" w:cs="Arial"/>
          <w:u w:val="single"/>
        </w:rPr>
      </w:pPr>
      <w:r>
        <w:rPr>
          <w:u w:val="single"/>
        </w:rPr>
        <w:t>E</w:t>
      </w:r>
      <w:r w:rsidR="001722FF">
        <w:rPr>
          <w:u w:val="single"/>
        </w:rPr>
        <w:t>-</w:t>
      </w:r>
      <w:r>
        <w:rPr>
          <w:u w:val="single"/>
        </w:rPr>
        <w:t>18/051</w:t>
      </w:r>
    </w:p>
    <w:p w:rsidR="00DC35FA" w:rsidRPr="00954D73" w:rsidRDefault="00DC35FA" w:rsidP="00DC35FA">
      <w:pPr>
        <w:rPr>
          <w:rFonts w:eastAsia="SimSun" w:cs="Arial"/>
        </w:rPr>
      </w:pPr>
      <w:r>
        <w:t>TC 18</w:t>
      </w:r>
    </w:p>
    <w:p w:rsidR="00DC35FA" w:rsidRPr="00954D73" w:rsidRDefault="00DC35FA" w:rsidP="00DC35FA">
      <w:pPr>
        <w:rPr>
          <w:rFonts w:eastAsia="SimSun" w:cs="Arial"/>
          <w:lang w:eastAsia="zh-CN"/>
        </w:rPr>
      </w:pPr>
    </w:p>
    <w:p w:rsidR="00DC35FA" w:rsidRPr="00954D73" w:rsidRDefault="00DC35FA" w:rsidP="00DC35FA">
      <w:pPr>
        <w:rPr>
          <w:rFonts w:eastAsia="SimSun" w:cs="Arial"/>
          <w:lang w:eastAsia="zh-CN"/>
        </w:rPr>
      </w:pPr>
    </w:p>
    <w:p w:rsidR="001722FF" w:rsidRDefault="00DC35FA" w:rsidP="00DC35FA">
      <w:r>
        <w:t>Le Secrétaire général de l</w:t>
      </w:r>
      <w:r w:rsidR="001722FF">
        <w:t>’</w:t>
      </w:r>
      <w:r>
        <w:t>Union internationale pour la protection des obtentions végétales (UPOV) présente ses compliments et a l</w:t>
      </w:r>
      <w:r w:rsidR="001722FF">
        <w:t>’</w:t>
      </w:r>
      <w:r>
        <w:t>honneur d</w:t>
      </w:r>
      <w:r w:rsidR="001722FF">
        <w:t>’</w:t>
      </w:r>
      <w:r>
        <w:t>adresser par la présente une invitation à participer à la</w:t>
      </w:r>
    </w:p>
    <w:p w:rsidR="00DC35FA" w:rsidRPr="00954D73" w:rsidRDefault="00DC35FA" w:rsidP="00DC35FA">
      <w:pPr>
        <w:rPr>
          <w:rFonts w:eastAsia="SimSun" w:cs="Arial"/>
          <w:lang w:eastAsia="zh-CN"/>
        </w:rPr>
      </w:pPr>
    </w:p>
    <w:p w:rsidR="00DC35FA" w:rsidRPr="00954D73" w:rsidRDefault="00DC35FA" w:rsidP="00DC35FA">
      <w:pPr>
        <w:jc w:val="center"/>
        <w:rPr>
          <w:rFonts w:eastAsia="SimSun" w:cs="Arial"/>
        </w:rPr>
      </w:pPr>
      <w:r>
        <w:rPr>
          <w:u w:val="single"/>
        </w:rPr>
        <w:t>Cinquante</w:t>
      </w:r>
      <w:r w:rsidR="001722FF">
        <w:rPr>
          <w:u w:val="single"/>
        </w:rPr>
        <w:t>-</w:t>
      </w:r>
      <w:r>
        <w:rPr>
          <w:u w:val="single"/>
        </w:rPr>
        <w:t>quatr</w:t>
      </w:r>
      <w:r w:rsidR="001722FF">
        <w:rPr>
          <w:u w:val="single"/>
        </w:rPr>
        <w:t>ième session</w:t>
      </w:r>
      <w:r>
        <w:rPr>
          <w:u w:val="single"/>
        </w:rPr>
        <w:t xml:space="preserve"> du Comité technique</w:t>
      </w:r>
      <w:r>
        <w:t>,</w:t>
      </w:r>
    </w:p>
    <w:p w:rsidR="00DC35FA" w:rsidRPr="00954D73" w:rsidRDefault="00DC35FA" w:rsidP="00DC35FA">
      <w:pPr>
        <w:rPr>
          <w:rFonts w:eastAsia="SimSun" w:cs="Arial"/>
          <w:lang w:eastAsia="zh-CN"/>
        </w:rPr>
      </w:pPr>
    </w:p>
    <w:p w:rsidR="00DC35FA" w:rsidRPr="00954D73" w:rsidRDefault="00DC35FA" w:rsidP="00DC35FA">
      <w:pPr>
        <w:rPr>
          <w:rFonts w:eastAsia="SimSun" w:cs="Arial"/>
        </w:rPr>
      </w:pPr>
      <w:r>
        <w:t>Qui se tiendra au siège de l</w:t>
      </w:r>
      <w:r w:rsidR="001722FF">
        <w:t>’</w:t>
      </w:r>
      <w:r>
        <w:t xml:space="preserve">UPOV, 34, chemin des </w:t>
      </w:r>
      <w:proofErr w:type="spellStart"/>
      <w:r>
        <w:t>Colombettes</w:t>
      </w:r>
      <w:proofErr w:type="spellEnd"/>
      <w:r>
        <w:t>, Genève, les 29 et 3</w:t>
      </w:r>
      <w:r w:rsidR="001722FF">
        <w:t>0 octobre 20</w:t>
      </w:r>
      <w:r>
        <w:t>18.  La session débutera lundi à 9</w:t>
      </w:r>
      <w:r w:rsidR="00561E5B">
        <w:t> h </w:t>
      </w:r>
      <w:r>
        <w:t>30 et se terminera mardi à 17</w:t>
      </w:r>
      <w:r w:rsidR="00561E5B">
        <w:t> h </w:t>
      </w:r>
      <w:r>
        <w:t>30.</w:t>
      </w:r>
    </w:p>
    <w:p w:rsidR="00DC35FA" w:rsidRPr="00954D73" w:rsidRDefault="00DC35FA" w:rsidP="00DC35FA">
      <w:pPr>
        <w:rPr>
          <w:rFonts w:eastAsia="SimSun" w:cs="Arial"/>
        </w:rPr>
      </w:pPr>
      <w:r>
        <w:rPr>
          <w:noProof/>
          <w:lang w:val="en-US"/>
        </w:rPr>
        <mc:AlternateContent>
          <mc:Choice Requires="wps">
            <w:drawing>
              <wp:anchor distT="0" distB="0" distL="114300" distR="114300" simplePos="0" relativeHeight="251661312" behindDoc="0" locked="0" layoutInCell="0" allowOverlap="1" wp14:anchorId="4C14A0FF" wp14:editId="4E71412F">
                <wp:simplePos x="0" y="0"/>
                <wp:positionH relativeFrom="column">
                  <wp:posOffset>-686435</wp:posOffset>
                </wp:positionH>
                <wp:positionV relativeFrom="paragraph">
                  <wp:posOffset>102870</wp:posOffset>
                </wp:positionV>
                <wp:extent cx="317500" cy="155575"/>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5575"/>
                        </a:xfrm>
                        <a:prstGeom prst="rect">
                          <a:avLst/>
                        </a:prstGeom>
                        <a:solidFill>
                          <a:srgbClr val="FFFFFF">
                            <a:alpha val="0"/>
                          </a:srgbClr>
                        </a:solidFill>
                        <a:ln w="9525">
                          <a:solidFill>
                            <a:srgbClr val="000000">
                              <a:alpha val="0"/>
                            </a:srgbClr>
                          </a:solidFill>
                          <a:miter lim="800000"/>
                          <a:headEnd/>
                          <a:tailEnd/>
                        </a:ln>
                      </wps:spPr>
                      <wps:txbx>
                        <w:txbxContent>
                          <w:p w:rsidR="00DC35FA" w:rsidRPr="00AE0C8C" w:rsidRDefault="00DC35FA" w:rsidP="00DC35FA">
                            <w:pPr>
                              <w:jc w:val="right"/>
                            </w:pPr>
                            <w: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14A0FF" id="_x0000_t202" coordsize="21600,21600" o:spt="202" path="m,l,21600r21600,l21600,xe">
                <v:stroke joinstyle="miter"/>
                <v:path gradientshapeok="t" o:connecttype="rect"/>
              </v:shapetype>
              <v:shape id="Text Box 4" o:spid="_x0000_s1026" type="#_x0000_t202" style="position:absolute;left:0;text-align:left;margin-left:-54.05pt;margin-top:8.1pt;width:25pt;height:1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" o:allowincell="f">
                <v:fill opacity="0"/>
                <v:stroke opacity="0"/>
                <v:textbox style="mso-fit-shape-to-text:t" inset="0,0,0,0">
                  <w:txbxContent>
                    <w:p w:rsidR="00DC35FA" w:rsidRPr="00AE0C8C" w:rsidRDefault="00DC35FA" w:rsidP="00DC35FA">
                      <w:pPr>
                        <w:jc w:val="right"/>
                      </w:pPr>
                      <w:r>
                        <w:t xml:space="preserve">./. </w:t>
                      </w:r>
                    </w:p>
                  </w:txbxContent>
                </v:textbox>
              </v:shape>
            </w:pict>
          </mc:Fallback>
        </mc:AlternateContent>
      </w:r>
    </w:p>
    <w:p w:rsidR="00DC35FA" w:rsidRPr="00954D73" w:rsidRDefault="00DC35FA" w:rsidP="00DC35FA">
      <w:pPr>
        <w:rPr>
          <w:rFonts w:eastAsia="SimSun" w:cs="Arial"/>
        </w:rPr>
      </w:pPr>
      <w:r>
        <w:t>Le projet d</w:t>
      </w:r>
      <w:r w:rsidR="001722FF">
        <w:t>’</w:t>
      </w:r>
      <w:r>
        <w:t>ordre du jour de la session est joint en annexe (</w:t>
      </w:r>
      <w:r w:rsidR="001722FF">
        <w:t>document TC</w:t>
      </w:r>
      <w:r>
        <w:t>/54/1).  Les documents de travail seront mis à disposition sur le site Internet de l</w:t>
      </w:r>
      <w:r w:rsidR="001722FF">
        <w:t>’</w:t>
      </w:r>
      <w:r>
        <w:t>UPOV.</w:t>
      </w:r>
    </w:p>
    <w:p w:rsidR="00DC35FA" w:rsidRPr="00954D73" w:rsidRDefault="00DC35FA" w:rsidP="00DC35FA">
      <w:pPr>
        <w:rPr>
          <w:rFonts w:eastAsia="SimSun" w:cs="Arial"/>
          <w:lang w:eastAsia="zh-CN"/>
        </w:rPr>
      </w:pPr>
    </w:p>
    <w:p w:rsidR="00DC35FA" w:rsidRPr="00954D73" w:rsidRDefault="00DC35FA" w:rsidP="00DC35FA">
      <w:pPr>
        <w:rPr>
          <w:rFonts w:eastAsia="SimSun" w:cs="Arial"/>
        </w:rPr>
      </w:pPr>
      <w:r>
        <w:t>Les langues de travail seront l</w:t>
      </w:r>
      <w:r w:rsidR="001722FF">
        <w:t>’</w:t>
      </w:r>
      <w:r>
        <w:t>allemand, l</w:t>
      </w:r>
      <w:r w:rsidR="001722FF">
        <w:t>’</w:t>
      </w:r>
      <w:r>
        <w:t>anglais, l</w:t>
      </w:r>
      <w:r w:rsidR="001722FF">
        <w:t>’</w:t>
      </w:r>
      <w:r>
        <w:t xml:space="preserve">espagnol et le </w:t>
      </w:r>
      <w:proofErr w:type="gramStart"/>
      <w:r>
        <w:t>français;  l</w:t>
      </w:r>
      <w:r w:rsidR="001722FF">
        <w:t>’</w:t>
      </w:r>
      <w:r>
        <w:t>interprétation</w:t>
      </w:r>
      <w:proofErr w:type="gramEnd"/>
      <w:r>
        <w:t xml:space="preserve"> simultanée sera proposée dans ces langues.</w:t>
      </w:r>
    </w:p>
    <w:p w:rsidR="00DC35FA" w:rsidRPr="00954D73" w:rsidRDefault="00DC35FA" w:rsidP="00DC35FA">
      <w:pPr>
        <w:rPr>
          <w:rFonts w:eastAsia="SimSun" w:cs="Arial"/>
          <w:lang w:eastAsia="zh-CN"/>
        </w:rPr>
      </w:pPr>
    </w:p>
    <w:p w:rsidR="00DC35FA" w:rsidRPr="00954D73" w:rsidRDefault="00DC35FA" w:rsidP="00DC35FA">
      <w:pPr>
        <w:rPr>
          <w:rFonts w:eastAsia="SimSun" w:cs="Arial"/>
        </w:rPr>
      </w:pPr>
      <w:r>
        <w:rPr>
          <w:noProof/>
          <w:lang w:val="en-US"/>
        </w:rPr>
        <mc:AlternateContent>
          <mc:Choice Requires="wps">
            <w:drawing>
              <wp:anchor distT="0" distB="0" distL="114300" distR="114300" simplePos="0" relativeHeight="251662336" behindDoc="0" locked="0" layoutInCell="0" allowOverlap="1" wp14:anchorId="69DE8D26" wp14:editId="19D9EC49">
                <wp:simplePos x="0" y="0"/>
                <wp:positionH relativeFrom="column">
                  <wp:posOffset>-686435</wp:posOffset>
                </wp:positionH>
                <wp:positionV relativeFrom="paragraph">
                  <wp:posOffset>122555</wp:posOffset>
                </wp:positionV>
                <wp:extent cx="317500" cy="155575"/>
                <wp:effectExtent l="0" t="0" r="0" b="0"/>
                <wp:wrapNone/>
                <wp:docPr id="1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5575"/>
                        </a:xfrm>
                        <a:prstGeom prst="rect">
                          <a:avLst/>
                        </a:prstGeom>
                        <a:solidFill>
                          <a:srgbClr val="FFFFFF">
                            <a:alpha val="0"/>
                          </a:srgbClr>
                        </a:solidFill>
                        <a:ln w="9525">
                          <a:solidFill>
                            <a:srgbClr val="000000">
                              <a:alpha val="0"/>
                            </a:srgbClr>
                          </a:solidFill>
                          <a:miter lim="800000"/>
                          <a:headEnd/>
                          <a:tailEnd/>
                        </a:ln>
                      </wps:spPr>
                      <wps:txbx>
                        <w:txbxContent>
                          <w:p w:rsidR="00DC35FA" w:rsidRPr="002E7557" w:rsidRDefault="00DC35FA" w:rsidP="00DC35FA">
                            <w:pPr>
                              <w:jc w:val="right"/>
                            </w:pPr>
                            <w: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DE8D26" id="Text Box 40" o:spid="_x0000_s1027" type="#_x0000_t202" style="position:absolute;left:0;text-align:left;margin-left:-54.05pt;margin-top:9.65pt;width:25pt;height:1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" o:allowincell="f">
                <v:fill opacity="0"/>
                <v:stroke opacity="0"/>
                <v:textbox style="mso-fit-shape-to-text:t" inset="0,0,0,0">
                  <w:txbxContent>
                    <w:p w:rsidR="00DC35FA" w:rsidRPr="002E7557" w:rsidRDefault="00DC35FA" w:rsidP="00DC35FA">
                      <w:pPr>
                        <w:jc w:val="right"/>
                      </w:pPr>
                      <w:r>
                        <w:t xml:space="preserve">./. </w:t>
                      </w:r>
                    </w:p>
                  </w:txbxContent>
                </v:textbox>
              </v:shape>
            </w:pict>
          </mc:Fallback>
        </mc:AlternateContent>
      </w:r>
      <w:r>
        <w:t>Veuillez communiquer à l</w:t>
      </w:r>
      <w:r w:rsidR="001722FF">
        <w:t>’</w:t>
      </w:r>
      <w:r>
        <w:t>Office de l</w:t>
      </w:r>
      <w:r w:rsidR="001722FF">
        <w:t>’</w:t>
      </w:r>
      <w:r>
        <w:t>Union les noms des personnes participant à la session susmentionnée à l</w:t>
      </w:r>
      <w:r w:rsidR="001722FF">
        <w:t>’</w:t>
      </w:r>
      <w:r>
        <w:t>aide du formulaire d</w:t>
      </w:r>
      <w:r w:rsidR="001722FF">
        <w:t>’</w:t>
      </w:r>
      <w:r>
        <w:t>inscription ci</w:t>
      </w:r>
      <w:r w:rsidR="001722FF">
        <w:t>-</w:t>
      </w:r>
      <w:r>
        <w:t>joint d</w:t>
      </w:r>
      <w:r w:rsidR="001722FF">
        <w:t>’</w:t>
      </w:r>
      <w:r>
        <w:t>ici au 1</w:t>
      </w:r>
      <w:r w:rsidR="001722FF">
        <w:t>2 octobre 20</w:t>
      </w:r>
      <w:r>
        <w:t>18.</w:t>
      </w:r>
    </w:p>
    <w:p w:rsidR="00DC35FA" w:rsidRPr="00954D73" w:rsidRDefault="00DC35FA" w:rsidP="00DC35FA">
      <w:pPr>
        <w:rPr>
          <w:rFonts w:eastAsia="SimSun" w:cs="Arial"/>
          <w:lang w:eastAsia="zh-CN"/>
        </w:rPr>
      </w:pPr>
    </w:p>
    <w:p w:rsidR="00DC35FA" w:rsidRPr="00954D73" w:rsidRDefault="00DC35FA" w:rsidP="00DC35FA">
      <w:pPr>
        <w:rPr>
          <w:rFonts w:eastAsia="SimSun" w:cs="Arial"/>
          <w:lang w:eastAsia="zh-CN"/>
        </w:rPr>
      </w:pPr>
    </w:p>
    <w:p w:rsidR="00DC35FA" w:rsidRPr="00954D73" w:rsidRDefault="001722FF" w:rsidP="00DC35FA">
      <w:pPr>
        <w:jc w:val="center"/>
        <w:rPr>
          <w:rFonts w:eastAsia="SimSun" w:cs="Arial"/>
        </w:rPr>
      </w:pPr>
      <w:r>
        <w:t>Le 1</w:t>
      </w:r>
      <w:r w:rsidRPr="001722FF">
        <w:rPr>
          <w:vertAlign w:val="superscript"/>
        </w:rPr>
        <w:t>er</w:t>
      </w:r>
      <w:r>
        <w:t> juin 20</w:t>
      </w:r>
      <w:r w:rsidR="00DC35FA">
        <w:t>18</w:t>
      </w:r>
    </w:p>
    <w:p w:rsidR="00DC35FA" w:rsidRPr="00954D73" w:rsidRDefault="00DC35FA" w:rsidP="00DC35FA">
      <w:pPr>
        <w:rPr>
          <w:rFonts w:eastAsia="SimSun" w:cs="Arial"/>
          <w:lang w:eastAsia="zh-CN"/>
        </w:rPr>
      </w:pPr>
    </w:p>
    <w:p w:rsidR="00DC35FA" w:rsidRPr="00954D73" w:rsidRDefault="00DC35FA" w:rsidP="00DC35FA">
      <w:pPr>
        <w:rPr>
          <w:rFonts w:eastAsia="SimSun" w:cs="Arial"/>
          <w:lang w:eastAsia="zh-CN"/>
        </w:rPr>
      </w:pPr>
    </w:p>
    <w:p w:rsidR="00DC35FA" w:rsidRPr="00954D73" w:rsidRDefault="00DC35FA" w:rsidP="00DC35FA">
      <w:pPr>
        <w:spacing w:before="2040"/>
        <w:rPr>
          <w:rFonts w:eastAsia="SimSun" w:cs="Arial"/>
        </w:rPr>
      </w:pPr>
      <w:r>
        <w:t>Annexes</w:t>
      </w:r>
      <w:r w:rsidR="002636BB">
        <w:t xml:space="preserve"> : </w:t>
      </w:r>
      <w:r>
        <w:tab/>
      </w:r>
      <w:r>
        <w:tab/>
      </w:r>
      <w:r w:rsidR="001722FF">
        <w:t>document TC</w:t>
      </w:r>
      <w:r>
        <w:t>/54/1 et formulaire d</w:t>
      </w:r>
      <w:r w:rsidR="001722FF">
        <w:t>’</w:t>
      </w:r>
      <w:r>
        <w:t>enregistrement</w:t>
      </w:r>
    </w:p>
    <w:p w:rsidR="00DC35FA" w:rsidRPr="00954D73" w:rsidRDefault="00DC35FA" w:rsidP="00DC35FA">
      <w:pPr>
        <w:rPr>
          <w:rFonts w:eastAsia="SimSun" w:cs="Arial"/>
          <w:lang w:eastAsia="zh-CN"/>
        </w:rPr>
      </w:pPr>
    </w:p>
    <w:p w:rsidR="001722FF" w:rsidRDefault="00DC35FA" w:rsidP="00DC35FA">
      <w:r>
        <w:t>Distribution</w:t>
      </w:r>
      <w:r w:rsidR="00ED14D8">
        <w:t> </w:t>
      </w:r>
      <w:r>
        <w:t>:</w:t>
      </w:r>
      <w:r>
        <w:tab/>
        <w:t xml:space="preserve">– </w:t>
      </w:r>
      <w:r>
        <w:tab/>
        <w:t>Ministres des affaires étrangères des membres et observateurs/</w:t>
      </w:r>
    </w:p>
    <w:p w:rsidR="00DC35FA" w:rsidRPr="00954D73" w:rsidRDefault="00DC35FA" w:rsidP="00DC35FA">
      <w:pPr>
        <w:ind w:left="1701"/>
        <w:rPr>
          <w:rFonts w:eastAsia="SimSun" w:cs="Arial"/>
        </w:rPr>
      </w:pPr>
      <w:r>
        <w:t>Chefs de secrétariat des organisations membres</w:t>
      </w:r>
    </w:p>
    <w:p w:rsidR="00DC35FA" w:rsidRPr="00954D73" w:rsidRDefault="00DC35FA" w:rsidP="00DC35FA">
      <w:pPr>
        <w:ind w:left="1134"/>
        <w:rPr>
          <w:rFonts w:eastAsia="SimSun" w:cs="Arial"/>
        </w:rPr>
      </w:pPr>
      <w:r>
        <w:t xml:space="preserve">– </w:t>
      </w:r>
      <w:r>
        <w:tab/>
        <w:t>Chefs de secrétariat des organisations ayant le statut d</w:t>
      </w:r>
      <w:r w:rsidR="001722FF">
        <w:t>’</w:t>
      </w:r>
      <w:r>
        <w:t>observateur</w:t>
      </w:r>
    </w:p>
    <w:p w:rsidR="00DC35FA" w:rsidRPr="00954D73" w:rsidRDefault="00DC35FA" w:rsidP="00DC35FA">
      <w:pPr>
        <w:rPr>
          <w:rFonts w:eastAsia="SimSun" w:cs="Arial"/>
          <w:lang w:eastAsia="zh-CN"/>
        </w:rPr>
      </w:pPr>
    </w:p>
    <w:p w:rsidR="00DC35FA" w:rsidRPr="00954D73" w:rsidRDefault="00DC35FA" w:rsidP="00DC35FA">
      <w:pPr>
        <w:rPr>
          <w:rFonts w:eastAsia="SimSun" w:cs="Arial"/>
        </w:rPr>
      </w:pPr>
      <w:r>
        <w:t xml:space="preserve">Copie pour </w:t>
      </w:r>
      <w:r>
        <w:tab/>
      </w:r>
    </w:p>
    <w:p w:rsidR="00DC35FA" w:rsidRPr="00954D73" w:rsidRDefault="00DC35FA" w:rsidP="00DC35FA">
      <w:pPr>
        <w:rPr>
          <w:rFonts w:eastAsia="SimSun" w:cs="Arial"/>
        </w:rPr>
      </w:pPr>
      <w:proofErr w:type="gramStart"/>
      <w:r>
        <w:t>information</w:t>
      </w:r>
      <w:proofErr w:type="gramEnd"/>
      <w:r w:rsidR="00ED14D8">
        <w:t> </w:t>
      </w:r>
      <w:r>
        <w:t>:</w:t>
      </w:r>
      <w:r>
        <w:tab/>
        <w:t xml:space="preserve">– </w:t>
      </w:r>
      <w:r>
        <w:tab/>
        <w:t>Ministres de l</w:t>
      </w:r>
      <w:r w:rsidR="001722FF">
        <w:t>’</w:t>
      </w:r>
      <w:r>
        <w:t>agriculture des membres et observateurs</w:t>
      </w:r>
    </w:p>
    <w:p w:rsidR="001722FF" w:rsidRDefault="00DC35FA" w:rsidP="00DC35FA">
      <w:pPr>
        <w:ind w:left="1134"/>
      </w:pPr>
      <w:r>
        <w:t xml:space="preserve">– </w:t>
      </w:r>
      <w:r>
        <w:tab/>
        <w:t>Missions permanentes des membres et observateurs</w:t>
      </w:r>
    </w:p>
    <w:p w:rsidR="001722FF" w:rsidRDefault="00DC35FA" w:rsidP="00DC35FA">
      <w:pPr>
        <w:ind w:left="1134"/>
      </w:pPr>
      <w:r>
        <w:t xml:space="preserve">– </w:t>
      </w:r>
      <w:r>
        <w:tab/>
        <w:t>Personnes désignées des membres et observateurs dans le Comité technique</w:t>
      </w:r>
    </w:p>
    <w:p w:rsidR="00DC35FA" w:rsidRPr="00954D73" w:rsidRDefault="00DC35FA" w:rsidP="00DC35FA">
      <w:pPr>
        <w:ind w:left="1134"/>
        <w:rPr>
          <w:rFonts w:eastAsia="SimSun" w:cs="Arial"/>
          <w:noProof/>
        </w:rPr>
      </w:pPr>
    </w:p>
    <w:p w:rsidR="00DC35FA" w:rsidRPr="00954D73" w:rsidRDefault="00DC35FA" w:rsidP="00DC35FA">
      <w:pPr>
        <w:ind w:left="1134"/>
        <w:rPr>
          <w:rFonts w:eastAsia="SimSun" w:cs="Arial"/>
          <w:noProof/>
        </w:rPr>
      </w:pPr>
    </w:p>
    <w:p w:rsidR="00DC35FA" w:rsidRPr="00954D73" w:rsidRDefault="00DC35FA" w:rsidP="00DC35FA">
      <w:pPr>
        <w:ind w:left="1134"/>
        <w:rPr>
          <w:rFonts w:eastAsia="SimSun" w:cs="Arial"/>
          <w:noProof/>
        </w:rPr>
      </w:pPr>
    </w:p>
    <w:p w:rsidR="00DC35FA" w:rsidRPr="00954D73" w:rsidRDefault="00DC35FA" w:rsidP="00DC35FA">
      <w:pPr>
        <w:ind w:left="1134"/>
        <w:jc w:val="right"/>
        <w:rPr>
          <w:rFonts w:eastAsia="SimSun" w:cs="Arial"/>
          <w:noProof/>
        </w:rPr>
      </w:pPr>
      <w:r>
        <w:t>[L</w:t>
      </w:r>
      <w:r w:rsidR="001722FF">
        <w:t>’annexe I</w:t>
      </w:r>
      <w:r>
        <w:t>II suit]</w:t>
      </w:r>
    </w:p>
    <w:p w:rsidR="00DC35FA" w:rsidRPr="00954D73" w:rsidRDefault="00DC35FA" w:rsidP="00DC35FA">
      <w:pPr>
        <w:jc w:val="center"/>
        <w:rPr>
          <w:rFonts w:cs="Arial"/>
          <w:caps/>
        </w:rPr>
        <w:sectPr w:rsidR="00DC35FA" w:rsidRPr="00954D73" w:rsidSect="00601B3C">
          <w:headerReference w:type="first" r:id="rId15"/>
          <w:footerReference w:type="first" r:id="rId16"/>
          <w:pgSz w:w="11907" w:h="16840"/>
          <w:pgMar w:top="567" w:right="1134" w:bottom="1021" w:left="1701" w:header="510" w:footer="1021" w:gutter="0"/>
          <w:cols w:space="720"/>
          <w:titlePg/>
        </w:sectPr>
      </w:pPr>
    </w:p>
    <w:tbl>
      <w:tblPr>
        <w:tblW w:w="9072" w:type="dxa"/>
        <w:tblLayout w:type="fixed"/>
        <w:tblCellMar>
          <w:left w:w="0" w:type="dxa"/>
          <w:right w:w="0" w:type="dxa"/>
        </w:tblCellMar>
        <w:tblLook w:val="04A0" w:firstRow="1" w:lastRow="0" w:firstColumn="1" w:lastColumn="0" w:noHBand="0" w:noVBand="1"/>
      </w:tblPr>
      <w:tblGrid>
        <w:gridCol w:w="9072"/>
      </w:tblGrid>
      <w:tr w:rsidR="00DC35FA" w:rsidRPr="00954D73" w:rsidTr="00AB05C8">
        <w:tc>
          <w:tcPr>
            <w:tcW w:w="9072" w:type="dxa"/>
          </w:tcPr>
          <w:p w:rsidR="00DC35FA" w:rsidRPr="00954D73" w:rsidRDefault="00DC35FA" w:rsidP="00AB05C8">
            <w:pPr>
              <w:jc w:val="center"/>
              <w:rPr>
                <w:rFonts w:eastAsia="SimSun" w:cs="Arial"/>
                <w:snapToGrid w:val="0"/>
                <w:color w:val="7F7F7F" w:themeColor="text1" w:themeTint="80"/>
                <w:sz w:val="22"/>
              </w:rPr>
            </w:pPr>
            <w:r>
              <w:rPr>
                <w:bCs/>
                <w:caps/>
                <w:snapToGrid w:val="0"/>
              </w:rPr>
              <w:lastRenderedPageBreak/>
              <w:t>EXEMPLE DE CIRCULAIRE D</w:t>
            </w:r>
            <w:r w:rsidR="001722FF">
              <w:rPr>
                <w:bCs/>
                <w:caps/>
                <w:snapToGrid w:val="0"/>
              </w:rPr>
              <w:t>’</w:t>
            </w:r>
            <w:r>
              <w:rPr>
                <w:bCs/>
                <w:caps/>
                <w:snapToGrid w:val="0"/>
              </w:rPr>
              <w:t>INVITATION ÉLECTRONIQUE À</w:t>
            </w:r>
            <w:r w:rsidR="0087089D">
              <w:rPr>
                <w:bCs/>
                <w:caps/>
                <w:snapToGrid w:val="0"/>
              </w:rPr>
              <w:t xml:space="preserve"> </w:t>
            </w:r>
            <w:r>
              <w:rPr>
                <w:caps/>
              </w:rPr>
              <w:t>UNE SESSION DU TWP</w:t>
            </w:r>
          </w:p>
          <w:p w:rsidR="00DC35FA" w:rsidRPr="00954D73" w:rsidRDefault="00DC35FA" w:rsidP="00AB05C8">
            <w:pPr>
              <w:rPr>
                <w:rFonts w:eastAsia="SimSun" w:cs="Arial"/>
                <w:snapToGrid w:val="0"/>
                <w:color w:val="7F7F7F" w:themeColor="text1" w:themeTint="80"/>
                <w:sz w:val="22"/>
                <w:lang w:eastAsia="zh-CN"/>
              </w:rPr>
            </w:pPr>
          </w:p>
          <w:p w:rsidR="00DC35FA" w:rsidRPr="00954D73" w:rsidRDefault="00DC35FA" w:rsidP="00AB05C8">
            <w:pPr>
              <w:rPr>
                <w:rFonts w:eastAsia="SimSun" w:cs="Arial"/>
                <w:snapToGrid w:val="0"/>
                <w:color w:val="7F7F7F" w:themeColor="text1" w:themeTint="80"/>
                <w:sz w:val="22"/>
              </w:rPr>
            </w:pPr>
            <w:r>
              <w:rPr>
                <w:noProof/>
                <w:lang w:val="en-US"/>
              </w:rPr>
              <w:drawing>
                <wp:inline distT="0" distB="0" distL="0" distR="0" wp14:anchorId="584A5B33" wp14:editId="37999396">
                  <wp:extent cx="951865" cy="243840"/>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r>
      <w:tr w:rsidR="00DC35FA" w:rsidRPr="00C37FFC" w:rsidTr="00AB05C8">
        <w:tc>
          <w:tcPr>
            <w:tcW w:w="9072" w:type="dxa"/>
            <w:tcBorders>
              <w:bottom w:val="single" w:sz="4" w:space="0" w:color="auto"/>
            </w:tcBorders>
          </w:tcPr>
          <w:p w:rsidR="00DC35FA" w:rsidRPr="007920A4" w:rsidRDefault="001722FF" w:rsidP="00AB05C8">
            <w:pPr>
              <w:spacing w:before="120" w:after="120"/>
              <w:rPr>
                <w:bCs/>
                <w:snapToGrid w:val="0"/>
                <w:color w:val="7F7F7F" w:themeColor="text1" w:themeTint="80"/>
                <w:spacing w:val="8"/>
                <w:sz w:val="16"/>
                <w:lang w:val="fr-CH"/>
              </w:rPr>
            </w:pPr>
            <w:r w:rsidRPr="007920A4">
              <w:rPr>
                <w:bCs/>
                <w:snapToGrid w:val="0"/>
                <w:color w:val="7F7F7F" w:themeColor="text1" w:themeTint="80"/>
                <w:sz w:val="16"/>
                <w:lang w:val="fr-CH"/>
              </w:rPr>
              <w:t>Union internationale pour la protection des obtentions végétales</w:t>
            </w:r>
          </w:p>
        </w:tc>
      </w:tr>
    </w:tbl>
    <w:p w:rsidR="00DC35FA" w:rsidRPr="007920A4" w:rsidRDefault="00DC35FA" w:rsidP="00DC35FA">
      <w:pPr>
        <w:rPr>
          <w:rFonts w:eastAsia="SimSun" w:cs="Arial"/>
          <w:sz w:val="22"/>
          <w:szCs w:val="22"/>
          <w:lang w:val="fr-CH" w:eastAsia="zh-CN"/>
        </w:rPr>
      </w:pPr>
    </w:p>
    <w:tbl>
      <w:tblPr>
        <w:tblW w:w="8720" w:type="dxa"/>
        <w:tblLayout w:type="fixed"/>
        <w:tblLook w:val="04A0" w:firstRow="1" w:lastRow="0" w:firstColumn="1" w:lastColumn="0" w:noHBand="0" w:noVBand="1"/>
      </w:tblPr>
      <w:tblGrid>
        <w:gridCol w:w="5070"/>
        <w:gridCol w:w="3650"/>
      </w:tblGrid>
      <w:tr w:rsidR="00DC35FA" w:rsidRPr="00954D73" w:rsidTr="00AB05C8">
        <w:tc>
          <w:tcPr>
            <w:tcW w:w="5070" w:type="dxa"/>
          </w:tcPr>
          <w:p w:rsidR="00DC35FA" w:rsidRPr="00954D73" w:rsidRDefault="00DC35FA" w:rsidP="001722FF">
            <w:pPr>
              <w:tabs>
                <w:tab w:val="right" w:pos="1701"/>
              </w:tabs>
              <w:jc w:val="left"/>
              <w:rPr>
                <w:rFonts w:eastAsia="SimSun" w:cs="Arial"/>
                <w:sz w:val="22"/>
                <w:szCs w:val="22"/>
              </w:rPr>
            </w:pPr>
            <w:r>
              <w:rPr>
                <w:sz w:val="22"/>
                <w:szCs w:val="22"/>
                <w:u w:val="single"/>
              </w:rPr>
              <w:t xml:space="preserve">Circulaire </w:t>
            </w:r>
            <w:r w:rsidR="001722FF">
              <w:rPr>
                <w:sz w:val="22"/>
                <w:szCs w:val="22"/>
                <w:u w:val="single"/>
              </w:rPr>
              <w:t>F</w:t>
            </w:r>
            <w:r>
              <w:rPr>
                <w:sz w:val="22"/>
                <w:szCs w:val="22"/>
                <w:u w:val="single"/>
              </w:rPr>
              <w:t xml:space="preserve"> 19/042</w:t>
            </w:r>
            <w:r>
              <w:rPr>
                <w:sz w:val="22"/>
                <w:szCs w:val="22"/>
                <w:u w:val="single"/>
              </w:rPr>
              <w:br/>
            </w:r>
            <w:r>
              <w:rPr>
                <w:sz w:val="22"/>
                <w:szCs w:val="22"/>
              </w:rPr>
              <w:tab/>
              <w:t>TWF 2019</w:t>
            </w:r>
          </w:p>
        </w:tc>
        <w:tc>
          <w:tcPr>
            <w:tcW w:w="3650" w:type="dxa"/>
          </w:tcPr>
          <w:p w:rsidR="00DC35FA" w:rsidRPr="00954D73" w:rsidRDefault="001722FF" w:rsidP="00AB05C8">
            <w:pPr>
              <w:jc w:val="center"/>
              <w:rPr>
                <w:rFonts w:eastAsia="SimSun" w:cs="Arial"/>
                <w:sz w:val="22"/>
                <w:szCs w:val="22"/>
                <w:highlight w:val="yellow"/>
              </w:rPr>
            </w:pPr>
            <w:r>
              <w:rPr>
                <w:sz w:val="22"/>
                <w:szCs w:val="22"/>
              </w:rPr>
              <w:t xml:space="preserve">Le </w:t>
            </w:r>
            <w:r w:rsidR="00DC35FA">
              <w:rPr>
                <w:sz w:val="22"/>
                <w:szCs w:val="22"/>
              </w:rPr>
              <w:t>2</w:t>
            </w:r>
            <w:r>
              <w:rPr>
                <w:sz w:val="22"/>
                <w:szCs w:val="22"/>
              </w:rPr>
              <w:t>5 mars 20</w:t>
            </w:r>
            <w:r w:rsidR="00DC35FA">
              <w:rPr>
                <w:sz w:val="22"/>
                <w:szCs w:val="22"/>
              </w:rPr>
              <w:t>19</w:t>
            </w:r>
          </w:p>
        </w:tc>
      </w:tr>
    </w:tbl>
    <w:p w:rsidR="00DC35FA" w:rsidRPr="00954D73" w:rsidRDefault="00DC35FA" w:rsidP="00DC35FA">
      <w:pPr>
        <w:rPr>
          <w:rFonts w:eastAsia="SimSun" w:cs="Arial"/>
          <w:sz w:val="22"/>
          <w:szCs w:val="22"/>
          <w:lang w:eastAsia="zh-CN"/>
        </w:rPr>
      </w:pPr>
    </w:p>
    <w:p w:rsidR="00DC35FA" w:rsidRPr="00954D73" w:rsidRDefault="00DC35FA" w:rsidP="00DC35FA">
      <w:pPr>
        <w:rPr>
          <w:rFonts w:eastAsia="SimSun" w:cs="Arial"/>
          <w:sz w:val="22"/>
          <w:szCs w:val="22"/>
          <w:lang w:eastAsia="zh-CN"/>
        </w:rPr>
      </w:pPr>
    </w:p>
    <w:p w:rsidR="00DC35FA" w:rsidRPr="00954D73" w:rsidRDefault="00DC35FA" w:rsidP="00DC35FA">
      <w:pPr>
        <w:rPr>
          <w:rFonts w:eastAsia="SimSun" w:cs="Arial"/>
          <w:sz w:val="22"/>
          <w:szCs w:val="22"/>
        </w:rPr>
      </w:pPr>
      <w:r>
        <w:rPr>
          <w:sz w:val="22"/>
          <w:szCs w:val="22"/>
        </w:rPr>
        <w:t>Madame,</w:t>
      </w:r>
    </w:p>
    <w:p w:rsidR="00DC35FA" w:rsidRPr="00954D73" w:rsidRDefault="00DC35FA" w:rsidP="00DC35FA">
      <w:pPr>
        <w:rPr>
          <w:rFonts w:eastAsia="SimSun" w:cs="Arial"/>
          <w:sz w:val="22"/>
          <w:szCs w:val="22"/>
        </w:rPr>
      </w:pPr>
      <w:r>
        <w:rPr>
          <w:sz w:val="22"/>
          <w:szCs w:val="22"/>
        </w:rPr>
        <w:t>Monsieur,</w:t>
      </w:r>
    </w:p>
    <w:p w:rsidR="00DC35FA" w:rsidRPr="00954D73" w:rsidRDefault="00DC35FA" w:rsidP="00DC35FA">
      <w:pPr>
        <w:rPr>
          <w:rFonts w:eastAsia="SimSun" w:cs="Arial"/>
          <w:sz w:val="22"/>
          <w:szCs w:val="22"/>
          <w:lang w:eastAsia="zh-CN"/>
        </w:rPr>
      </w:pPr>
    </w:p>
    <w:p w:rsidR="001722FF" w:rsidRDefault="00DC35FA" w:rsidP="00DC35FA">
      <w:pPr>
        <w:rPr>
          <w:sz w:val="22"/>
          <w:szCs w:val="22"/>
        </w:rPr>
      </w:pPr>
      <w:r>
        <w:rPr>
          <w:sz w:val="22"/>
          <w:szCs w:val="22"/>
        </w:rPr>
        <w:t>En concertation avec le président du Groupe de travail technique sur les plantes fruitières (TWF), j</w:t>
      </w:r>
      <w:r w:rsidR="001722FF">
        <w:rPr>
          <w:sz w:val="22"/>
          <w:szCs w:val="22"/>
        </w:rPr>
        <w:t>’</w:t>
      </w:r>
      <w:r>
        <w:rPr>
          <w:sz w:val="22"/>
          <w:szCs w:val="22"/>
        </w:rPr>
        <w:t>ai le plaisir de vous inviter à participer à la</w:t>
      </w:r>
    </w:p>
    <w:p w:rsidR="00DC35FA" w:rsidRPr="00954D73" w:rsidRDefault="00DC35FA" w:rsidP="00DC35FA">
      <w:pPr>
        <w:jc w:val="center"/>
        <w:rPr>
          <w:rFonts w:eastAsia="SimSun" w:cs="Arial"/>
          <w:sz w:val="22"/>
          <w:szCs w:val="22"/>
          <w:lang w:eastAsia="zh-CN"/>
        </w:rPr>
      </w:pPr>
    </w:p>
    <w:p w:rsidR="00DC35FA" w:rsidRPr="00954D73" w:rsidRDefault="00DC35FA" w:rsidP="00DC35FA">
      <w:pPr>
        <w:jc w:val="center"/>
        <w:rPr>
          <w:rFonts w:eastAsia="SimSun" w:cs="Arial"/>
          <w:sz w:val="22"/>
          <w:szCs w:val="22"/>
          <w:u w:val="single"/>
        </w:rPr>
      </w:pPr>
      <w:r>
        <w:rPr>
          <w:sz w:val="22"/>
          <w:szCs w:val="22"/>
          <w:u w:val="single"/>
        </w:rPr>
        <w:t>Cinquant</w:t>
      </w:r>
      <w:r w:rsidR="001722FF">
        <w:rPr>
          <w:sz w:val="22"/>
          <w:szCs w:val="22"/>
          <w:u w:val="single"/>
        </w:rPr>
        <w:t>ième session</w:t>
      </w:r>
      <w:r>
        <w:rPr>
          <w:sz w:val="22"/>
          <w:szCs w:val="22"/>
          <w:u w:val="single"/>
        </w:rPr>
        <w:t xml:space="preserve"> du</w:t>
      </w:r>
    </w:p>
    <w:p w:rsidR="00DC35FA" w:rsidRPr="00954D73" w:rsidRDefault="00DC35FA" w:rsidP="00DC35FA">
      <w:pPr>
        <w:jc w:val="center"/>
        <w:rPr>
          <w:rFonts w:eastAsia="SimSun" w:cs="Arial"/>
          <w:sz w:val="22"/>
          <w:szCs w:val="22"/>
          <w:u w:val="single"/>
        </w:rPr>
      </w:pPr>
      <w:r>
        <w:rPr>
          <w:sz w:val="22"/>
          <w:szCs w:val="22"/>
          <w:u w:val="single"/>
        </w:rPr>
        <w:t>Groupe de travail technique sur les plantes fruitières de l</w:t>
      </w:r>
      <w:r w:rsidR="001722FF">
        <w:rPr>
          <w:sz w:val="22"/>
          <w:szCs w:val="22"/>
          <w:u w:val="single"/>
        </w:rPr>
        <w:t>’</w:t>
      </w:r>
      <w:r>
        <w:rPr>
          <w:sz w:val="22"/>
          <w:szCs w:val="22"/>
          <w:u w:val="single"/>
        </w:rPr>
        <w:t>UPOV</w:t>
      </w:r>
    </w:p>
    <w:p w:rsidR="00DC35FA" w:rsidRPr="00954D73" w:rsidRDefault="00DC35FA" w:rsidP="00DC35FA">
      <w:pPr>
        <w:jc w:val="center"/>
        <w:rPr>
          <w:rFonts w:eastAsia="SimSun" w:cs="Arial"/>
          <w:sz w:val="22"/>
          <w:szCs w:val="22"/>
          <w:u w:val="single"/>
          <w:lang w:eastAsia="zh-CN"/>
        </w:rPr>
      </w:pPr>
    </w:p>
    <w:p w:rsidR="00DC35FA" w:rsidRPr="00954D73" w:rsidRDefault="00DC35FA" w:rsidP="00DC35FA">
      <w:pPr>
        <w:rPr>
          <w:rFonts w:eastAsia="SimSun" w:cs="Arial"/>
          <w:sz w:val="22"/>
          <w:szCs w:val="22"/>
        </w:rPr>
      </w:pPr>
      <w:proofErr w:type="gramStart"/>
      <w:r>
        <w:rPr>
          <w:sz w:val="22"/>
          <w:szCs w:val="22"/>
        </w:rPr>
        <w:t>qui</w:t>
      </w:r>
      <w:proofErr w:type="gramEnd"/>
      <w:r>
        <w:rPr>
          <w:sz w:val="22"/>
          <w:szCs w:val="22"/>
        </w:rPr>
        <w:t xml:space="preserve"> se tiendra à Budapest (Hongrie) du 24 au 2</w:t>
      </w:r>
      <w:r w:rsidR="001722FF">
        <w:rPr>
          <w:sz w:val="22"/>
          <w:szCs w:val="22"/>
        </w:rPr>
        <w:t>8 juin 20</w:t>
      </w:r>
      <w:r>
        <w:rPr>
          <w:sz w:val="22"/>
          <w:szCs w:val="22"/>
        </w:rPr>
        <w:t>19.</w:t>
      </w:r>
    </w:p>
    <w:p w:rsidR="00DC35FA" w:rsidRPr="00954D73" w:rsidRDefault="00DC35FA" w:rsidP="00DC35FA">
      <w:pPr>
        <w:rPr>
          <w:rFonts w:eastAsia="SimSun" w:cs="Arial"/>
          <w:sz w:val="22"/>
          <w:szCs w:val="22"/>
          <w:lang w:eastAsia="zh-CN"/>
        </w:rPr>
      </w:pPr>
    </w:p>
    <w:p w:rsidR="00DC35FA" w:rsidRPr="00954D73" w:rsidRDefault="00DC35FA" w:rsidP="00DC35FA">
      <w:pPr>
        <w:rPr>
          <w:rFonts w:eastAsia="SimSun" w:cs="Arial"/>
          <w:sz w:val="22"/>
          <w:szCs w:val="22"/>
        </w:rPr>
      </w:pPr>
      <w:r>
        <w:rPr>
          <w:noProof/>
          <w:sz w:val="22"/>
          <w:szCs w:val="22"/>
          <w:lang w:val="en-US"/>
        </w:rPr>
        <mc:AlternateContent>
          <mc:Choice Requires="wps">
            <w:drawing>
              <wp:anchor distT="0" distB="0" distL="114300" distR="114300" simplePos="0" relativeHeight="251660288" behindDoc="0" locked="0" layoutInCell="1" allowOverlap="1" wp14:anchorId="19BFB617" wp14:editId="6AB9469A">
                <wp:simplePos x="0" y="0"/>
                <wp:positionH relativeFrom="column">
                  <wp:posOffset>-694690</wp:posOffset>
                </wp:positionH>
                <wp:positionV relativeFrom="paragraph">
                  <wp:posOffset>11430</wp:posOffset>
                </wp:positionV>
                <wp:extent cx="317500" cy="155575"/>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5575"/>
                        </a:xfrm>
                        <a:prstGeom prst="rect">
                          <a:avLst/>
                        </a:prstGeom>
                        <a:solidFill>
                          <a:srgbClr val="FFFFFF">
                            <a:alpha val="0"/>
                          </a:srgbClr>
                        </a:solidFill>
                        <a:ln w="9525">
                          <a:solidFill>
                            <a:srgbClr val="000000">
                              <a:alpha val="0"/>
                            </a:srgbClr>
                          </a:solidFill>
                          <a:miter lim="800000"/>
                        </a:ln>
                      </wps:spPr>
                      <wps:txbx>
                        <w:txbxContent>
                          <w:p w:rsidR="00DC35FA" w:rsidRDefault="00DC35FA" w:rsidP="00DC35FA">
                            <w:pPr>
                              <w:jc w:val="right"/>
                            </w:pPr>
                            <w: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BFB617" id="Text Box 13" o:spid="_x0000_s1028" type="#_x0000_t202" style="position:absolute;left:0;text-align:left;margin-left:-54.7pt;margin-top:.9pt;width:25pt;height:1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">
                <v:fill opacity="0"/>
                <v:stroke opacity="0"/>
                <v:textbox style="mso-fit-shape-to-text:t" inset="0,0,0,0">
                  <w:txbxContent>
                    <w:p w:rsidR="00DC35FA" w:rsidRDefault="00DC35FA" w:rsidP="00DC35FA">
                      <w:pPr>
                        <w:jc w:val="right"/>
                      </w:pPr>
                      <w:r>
                        <w:t xml:space="preserve">./. </w:t>
                      </w:r>
                    </w:p>
                  </w:txbxContent>
                </v:textbox>
              </v:shape>
            </w:pict>
          </mc:Fallback>
        </mc:AlternateContent>
      </w:r>
      <w:r>
        <w:rPr>
          <w:sz w:val="22"/>
          <w:szCs w:val="22"/>
        </w:rPr>
        <w:t>Vous trouverez ci</w:t>
      </w:r>
      <w:r w:rsidR="001722FF">
        <w:rPr>
          <w:sz w:val="22"/>
          <w:szCs w:val="22"/>
        </w:rPr>
        <w:t>-</w:t>
      </w:r>
      <w:r>
        <w:rPr>
          <w:sz w:val="22"/>
          <w:szCs w:val="22"/>
        </w:rPr>
        <w:t>joint le projet d</w:t>
      </w:r>
      <w:r w:rsidR="001722FF">
        <w:rPr>
          <w:sz w:val="22"/>
          <w:szCs w:val="22"/>
        </w:rPr>
        <w:t>’</w:t>
      </w:r>
      <w:r>
        <w:rPr>
          <w:sz w:val="22"/>
          <w:szCs w:val="22"/>
        </w:rPr>
        <w:t xml:space="preserve">ordre du jour (document TWF/50/1).  Veuillez noter </w:t>
      </w:r>
      <w:r w:rsidR="0087089D">
        <w:rPr>
          <w:sz w:val="22"/>
          <w:szCs w:val="22"/>
        </w:rPr>
        <w:t xml:space="preserve">que </w:t>
      </w:r>
      <w:r>
        <w:rPr>
          <w:sz w:val="22"/>
          <w:szCs w:val="22"/>
        </w:rPr>
        <w:t>des points seront supprimés de l</w:t>
      </w:r>
      <w:r w:rsidR="001722FF">
        <w:rPr>
          <w:sz w:val="22"/>
          <w:szCs w:val="22"/>
        </w:rPr>
        <w:t>’</w:t>
      </w:r>
      <w:r>
        <w:rPr>
          <w:sz w:val="22"/>
          <w:szCs w:val="22"/>
        </w:rPr>
        <w:t>ordre du jour si les documents prévus n</w:t>
      </w:r>
      <w:r w:rsidR="001722FF">
        <w:rPr>
          <w:sz w:val="22"/>
          <w:szCs w:val="22"/>
        </w:rPr>
        <w:t>’</w:t>
      </w:r>
      <w:r>
        <w:rPr>
          <w:sz w:val="22"/>
          <w:szCs w:val="22"/>
        </w:rPr>
        <w:t>ont pas été reçus par le Bureau de l</w:t>
      </w:r>
      <w:r w:rsidR="001722FF">
        <w:rPr>
          <w:sz w:val="22"/>
          <w:szCs w:val="22"/>
        </w:rPr>
        <w:t>’</w:t>
      </w:r>
      <w:r>
        <w:rPr>
          <w:sz w:val="22"/>
          <w:szCs w:val="22"/>
        </w:rPr>
        <w:t>UPOV au moins quatre</w:t>
      </w:r>
      <w:r w:rsidR="002636BB">
        <w:rPr>
          <w:sz w:val="22"/>
          <w:szCs w:val="22"/>
        </w:rPr>
        <w:t> </w:t>
      </w:r>
      <w:r>
        <w:rPr>
          <w:sz w:val="22"/>
          <w:szCs w:val="22"/>
        </w:rPr>
        <w:t>semaines avant le début de la sessi</w:t>
      </w:r>
      <w:r w:rsidR="00ED14D8">
        <w:rPr>
          <w:sz w:val="22"/>
          <w:szCs w:val="22"/>
        </w:rPr>
        <w:t>on.  D’a</w:t>
      </w:r>
      <w:r>
        <w:rPr>
          <w:sz w:val="22"/>
          <w:szCs w:val="22"/>
        </w:rPr>
        <w:t>utres documents ou documents de travail seront distribués en temps voulu.</w:t>
      </w:r>
    </w:p>
    <w:p w:rsidR="00DC35FA" w:rsidRPr="00954D73" w:rsidRDefault="00DC35FA" w:rsidP="00DC35FA">
      <w:pPr>
        <w:rPr>
          <w:rFonts w:eastAsia="SimSun" w:cs="Arial"/>
          <w:sz w:val="22"/>
          <w:szCs w:val="22"/>
          <w:lang w:eastAsia="zh-CN"/>
        </w:rPr>
      </w:pPr>
    </w:p>
    <w:p w:rsidR="00DC35FA" w:rsidRPr="00954D73" w:rsidRDefault="00DC35FA" w:rsidP="00DC35FA">
      <w:pPr>
        <w:rPr>
          <w:rFonts w:eastAsia="SimSun" w:cs="Arial"/>
          <w:sz w:val="22"/>
          <w:szCs w:val="22"/>
        </w:rPr>
      </w:pPr>
      <w:r>
        <w:rPr>
          <w:sz w:val="22"/>
          <w:szCs w:val="22"/>
        </w:rPr>
        <w:t>Les langues de travail seront l</w:t>
      </w:r>
      <w:r w:rsidR="001722FF">
        <w:rPr>
          <w:sz w:val="22"/>
          <w:szCs w:val="22"/>
        </w:rPr>
        <w:t>’</w:t>
      </w:r>
      <w:r>
        <w:rPr>
          <w:sz w:val="22"/>
          <w:szCs w:val="22"/>
        </w:rPr>
        <w:t>allemand, l</w:t>
      </w:r>
      <w:r w:rsidR="001722FF">
        <w:rPr>
          <w:sz w:val="22"/>
          <w:szCs w:val="22"/>
        </w:rPr>
        <w:t>’</w:t>
      </w:r>
      <w:r>
        <w:rPr>
          <w:sz w:val="22"/>
          <w:szCs w:val="22"/>
        </w:rPr>
        <w:t>anglais, l</w:t>
      </w:r>
      <w:r w:rsidR="001722FF">
        <w:rPr>
          <w:sz w:val="22"/>
          <w:szCs w:val="22"/>
        </w:rPr>
        <w:t>’</w:t>
      </w:r>
      <w:r>
        <w:rPr>
          <w:sz w:val="22"/>
          <w:szCs w:val="22"/>
        </w:rPr>
        <w:t>espagnol et le français, toutefois, aucun service d</w:t>
      </w:r>
      <w:r w:rsidR="001722FF">
        <w:rPr>
          <w:sz w:val="22"/>
          <w:szCs w:val="22"/>
        </w:rPr>
        <w:t>’</w:t>
      </w:r>
      <w:r>
        <w:rPr>
          <w:sz w:val="22"/>
          <w:szCs w:val="22"/>
        </w:rPr>
        <w:t>interprétation ne sera proposé dans ces langues.</w:t>
      </w:r>
    </w:p>
    <w:p w:rsidR="00DC35FA" w:rsidRPr="00954D73" w:rsidRDefault="00DC35FA" w:rsidP="00DC35FA">
      <w:pPr>
        <w:rPr>
          <w:rFonts w:eastAsia="SimSun" w:cs="Arial"/>
          <w:sz w:val="22"/>
          <w:szCs w:val="22"/>
          <w:lang w:eastAsia="zh-CN"/>
        </w:rPr>
      </w:pPr>
    </w:p>
    <w:p w:rsidR="00DC35FA" w:rsidRPr="00954D73" w:rsidRDefault="00DC35FA" w:rsidP="00DC35FA">
      <w:pPr>
        <w:tabs>
          <w:tab w:val="left" w:pos="567"/>
          <w:tab w:val="center" w:pos="5670"/>
        </w:tabs>
        <w:rPr>
          <w:rFonts w:eastAsia="SimSun" w:cs="Arial"/>
          <w:sz w:val="22"/>
          <w:szCs w:val="22"/>
        </w:rPr>
      </w:pPr>
      <w:r>
        <w:rPr>
          <w:sz w:val="22"/>
          <w:szCs w:val="22"/>
        </w:rPr>
        <w:t>À sa cinquante</w:t>
      </w:r>
      <w:r w:rsidR="001722FF">
        <w:rPr>
          <w:sz w:val="22"/>
          <w:szCs w:val="22"/>
        </w:rPr>
        <w:t>-</w:t>
      </w:r>
      <w:r>
        <w:rPr>
          <w:sz w:val="22"/>
          <w:szCs w:val="22"/>
        </w:rPr>
        <w:t>quatr</w:t>
      </w:r>
      <w:r w:rsidR="001722FF">
        <w:rPr>
          <w:sz w:val="22"/>
          <w:szCs w:val="22"/>
        </w:rPr>
        <w:t>ième session</w:t>
      </w:r>
      <w:r>
        <w:rPr>
          <w:sz w:val="22"/>
          <w:szCs w:val="22"/>
        </w:rPr>
        <w:t>, le Comité technique (TC) convient que la participation à ses réunions et à celles</w:t>
      </w:r>
      <w:r w:rsidR="001722FF">
        <w:rPr>
          <w:sz w:val="22"/>
          <w:szCs w:val="22"/>
        </w:rPr>
        <w:t xml:space="preserve"> des TWP</w:t>
      </w:r>
      <w:r>
        <w:rPr>
          <w:sz w:val="22"/>
          <w:szCs w:val="22"/>
        </w:rPr>
        <w:t xml:space="preserve"> pourrait être renforcée en rendant possible la participation par voie électronique à certains suje</w:t>
      </w:r>
      <w:r w:rsidR="00ED14D8">
        <w:rPr>
          <w:sz w:val="22"/>
          <w:szCs w:val="22"/>
        </w:rPr>
        <w:t>ts.  Le</w:t>
      </w:r>
      <w:r w:rsidR="001722FF">
        <w:rPr>
          <w:sz w:val="22"/>
          <w:szCs w:val="22"/>
        </w:rPr>
        <w:t> TC</w:t>
      </w:r>
      <w:r>
        <w:rPr>
          <w:sz w:val="22"/>
          <w:szCs w:val="22"/>
        </w:rPr>
        <w:t xml:space="preserve"> convient d</w:t>
      </w:r>
      <w:r w:rsidR="001722FF">
        <w:rPr>
          <w:sz w:val="22"/>
          <w:szCs w:val="22"/>
        </w:rPr>
        <w:t>’</w:t>
      </w:r>
      <w:r>
        <w:rPr>
          <w:sz w:val="22"/>
          <w:szCs w:val="22"/>
        </w:rPr>
        <w:t>inviter les membres à indiquer les sujets qu</w:t>
      </w:r>
      <w:r w:rsidR="001722FF">
        <w:rPr>
          <w:sz w:val="22"/>
          <w:szCs w:val="22"/>
        </w:rPr>
        <w:t>’</w:t>
      </w:r>
      <w:r>
        <w:rPr>
          <w:sz w:val="22"/>
          <w:szCs w:val="22"/>
        </w:rPr>
        <w:t>ils souhaitent examiner par voie électronique lors des prochaines sessions du</w:t>
      </w:r>
      <w:r w:rsidR="001722FF">
        <w:rPr>
          <w:sz w:val="22"/>
          <w:szCs w:val="22"/>
        </w:rPr>
        <w:t> TC</w:t>
      </w:r>
      <w:r>
        <w:rPr>
          <w:sz w:val="22"/>
          <w:szCs w:val="22"/>
        </w:rPr>
        <w:t xml:space="preserve"> et</w:t>
      </w:r>
      <w:r w:rsidR="001722FF">
        <w:rPr>
          <w:sz w:val="22"/>
          <w:szCs w:val="22"/>
        </w:rPr>
        <w:t xml:space="preserve"> des </w:t>
      </w:r>
      <w:r w:rsidR="00ED14D8">
        <w:rPr>
          <w:sz w:val="22"/>
          <w:szCs w:val="22"/>
        </w:rPr>
        <w:t>TWP.  Le</w:t>
      </w:r>
      <w:r>
        <w:rPr>
          <w:sz w:val="22"/>
          <w:szCs w:val="22"/>
        </w:rPr>
        <w:t xml:space="preserve"> président concerné, le Bureau de l</w:t>
      </w:r>
      <w:r w:rsidR="001722FF">
        <w:rPr>
          <w:sz w:val="22"/>
          <w:szCs w:val="22"/>
        </w:rPr>
        <w:t>’</w:t>
      </w:r>
      <w:r>
        <w:rPr>
          <w:sz w:val="22"/>
          <w:szCs w:val="22"/>
        </w:rPr>
        <w:t xml:space="preserve">Union et le pays hôte réfléchiront à la suite à donner à ces demandes (voir le </w:t>
      </w:r>
      <w:r w:rsidR="001722FF">
        <w:rPr>
          <w:sz w:val="22"/>
          <w:szCs w:val="22"/>
        </w:rPr>
        <w:t>paragraphe 1</w:t>
      </w:r>
      <w:r>
        <w:rPr>
          <w:sz w:val="22"/>
          <w:szCs w:val="22"/>
        </w:rPr>
        <w:t xml:space="preserve">95 du </w:t>
      </w:r>
      <w:r w:rsidR="001722FF">
        <w:rPr>
          <w:sz w:val="22"/>
          <w:szCs w:val="22"/>
        </w:rPr>
        <w:t>document TC</w:t>
      </w:r>
      <w:r>
        <w:rPr>
          <w:sz w:val="22"/>
          <w:szCs w:val="22"/>
        </w:rPr>
        <w:t xml:space="preserve">/54/31, </w:t>
      </w:r>
      <w:r w:rsidR="001722FF">
        <w:rPr>
          <w:sz w:val="22"/>
          <w:szCs w:val="22"/>
        </w:rPr>
        <w:t>“</w:t>
      </w:r>
      <w:r>
        <w:rPr>
          <w:sz w:val="22"/>
          <w:szCs w:val="22"/>
        </w:rPr>
        <w:t>Compte rendu</w:t>
      </w:r>
      <w:r w:rsidR="001722FF">
        <w:rPr>
          <w:sz w:val="22"/>
          <w:szCs w:val="22"/>
        </w:rPr>
        <w:t>”</w:t>
      </w:r>
      <w:r>
        <w:rPr>
          <w:sz w:val="22"/>
          <w:szCs w:val="22"/>
        </w:rPr>
        <w:t xml:space="preserve">). </w:t>
      </w:r>
      <w:r w:rsidR="002636BB">
        <w:rPr>
          <w:sz w:val="22"/>
          <w:szCs w:val="22"/>
        </w:rPr>
        <w:t xml:space="preserve"> </w:t>
      </w:r>
      <w:r>
        <w:rPr>
          <w:sz w:val="22"/>
          <w:szCs w:val="22"/>
        </w:rPr>
        <w:t>Veuillez indiquer au Bureau de l</w:t>
      </w:r>
      <w:r w:rsidR="001722FF">
        <w:rPr>
          <w:sz w:val="22"/>
          <w:szCs w:val="22"/>
        </w:rPr>
        <w:t>’</w:t>
      </w:r>
      <w:r>
        <w:rPr>
          <w:sz w:val="22"/>
          <w:szCs w:val="22"/>
        </w:rPr>
        <w:t>Union les sujets auxquels vous souhaitez participer par voie électroniq</w:t>
      </w:r>
      <w:r w:rsidR="00ED14D8">
        <w:rPr>
          <w:sz w:val="22"/>
          <w:szCs w:val="22"/>
        </w:rPr>
        <w:t>ue.  Le</w:t>
      </w:r>
      <w:r>
        <w:rPr>
          <w:sz w:val="22"/>
          <w:szCs w:val="22"/>
        </w:rPr>
        <w:t xml:space="preserve"> président</w:t>
      </w:r>
      <w:r w:rsidR="001722FF">
        <w:rPr>
          <w:sz w:val="22"/>
          <w:szCs w:val="22"/>
        </w:rPr>
        <w:t xml:space="preserve"> du TWF</w:t>
      </w:r>
      <w:r>
        <w:rPr>
          <w:sz w:val="22"/>
          <w:szCs w:val="22"/>
        </w:rPr>
        <w:t>, en concertation avec le Bureau de l</w:t>
      </w:r>
      <w:r w:rsidR="001722FF">
        <w:rPr>
          <w:sz w:val="22"/>
          <w:szCs w:val="22"/>
        </w:rPr>
        <w:t>’</w:t>
      </w:r>
      <w:r>
        <w:rPr>
          <w:sz w:val="22"/>
          <w:szCs w:val="22"/>
        </w:rPr>
        <w:t>Union et le pays hôte, réfléchira à la suite à donner à toute demande reçue.</w:t>
      </w:r>
    </w:p>
    <w:p w:rsidR="00DC35FA" w:rsidRPr="00954D73" w:rsidRDefault="00DC35FA" w:rsidP="00DC35FA">
      <w:pPr>
        <w:tabs>
          <w:tab w:val="left" w:pos="567"/>
          <w:tab w:val="center" w:pos="5670"/>
        </w:tabs>
        <w:rPr>
          <w:rFonts w:eastAsia="SimSun" w:cs="Arial"/>
          <w:sz w:val="22"/>
          <w:szCs w:val="22"/>
          <w:lang w:eastAsia="zh-CN"/>
        </w:rPr>
      </w:pPr>
    </w:p>
    <w:p w:rsidR="001722FF" w:rsidRDefault="00DC35FA" w:rsidP="00DC35FA">
      <w:pPr>
        <w:tabs>
          <w:tab w:val="left" w:pos="567"/>
          <w:tab w:val="center" w:pos="5670"/>
        </w:tabs>
        <w:rPr>
          <w:sz w:val="22"/>
          <w:szCs w:val="22"/>
        </w:rPr>
      </w:pPr>
      <w:r>
        <w:rPr>
          <w:noProof/>
          <w:sz w:val="22"/>
          <w:szCs w:val="22"/>
          <w:lang w:val="en-US"/>
        </w:rPr>
        <mc:AlternateContent>
          <mc:Choice Requires="wps">
            <w:drawing>
              <wp:anchor distT="0" distB="0" distL="114300" distR="114300" simplePos="0" relativeHeight="251659264" behindDoc="0" locked="0" layoutInCell="1" allowOverlap="1" wp14:anchorId="60D66F44" wp14:editId="1D775E12">
                <wp:simplePos x="0" y="0"/>
                <wp:positionH relativeFrom="column">
                  <wp:posOffset>-694690</wp:posOffset>
                </wp:positionH>
                <wp:positionV relativeFrom="paragraph">
                  <wp:posOffset>158115</wp:posOffset>
                </wp:positionV>
                <wp:extent cx="317500" cy="155575"/>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5575"/>
                        </a:xfrm>
                        <a:prstGeom prst="rect">
                          <a:avLst/>
                        </a:prstGeom>
                        <a:solidFill>
                          <a:srgbClr val="FFFFFF">
                            <a:alpha val="0"/>
                          </a:srgbClr>
                        </a:solidFill>
                        <a:ln w="9525">
                          <a:solidFill>
                            <a:srgbClr val="000000">
                              <a:alpha val="0"/>
                            </a:srgbClr>
                          </a:solidFill>
                          <a:miter lim="800000"/>
                        </a:ln>
                      </wps:spPr>
                      <wps:txbx>
                        <w:txbxContent>
                          <w:p w:rsidR="00DC35FA" w:rsidRDefault="00DC35FA" w:rsidP="00DC35FA">
                            <w:pPr>
                              <w:jc w:val="right"/>
                            </w:pPr>
                            <w: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D66F44" id="Text Box 12" o:spid="_x0000_s1029" type="#_x0000_t202" style="position:absolute;left:0;text-align:left;margin-left:-54.7pt;margin-top:12.45pt;width:25pt;height: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">
                <v:fill opacity="0"/>
                <v:stroke opacity="0"/>
                <v:textbox style="mso-fit-shape-to-text:t" inset="0,0,0,0">
                  <w:txbxContent>
                    <w:p w:rsidR="00DC35FA" w:rsidRDefault="00DC35FA" w:rsidP="00DC35FA">
                      <w:pPr>
                        <w:jc w:val="right"/>
                      </w:pPr>
                      <w:r>
                        <w:t xml:space="preserve">./. </w:t>
                      </w:r>
                    </w:p>
                  </w:txbxContent>
                </v:textbox>
              </v:shape>
            </w:pict>
          </mc:Fallback>
        </mc:AlternateContent>
      </w:r>
      <w:r>
        <w:rPr>
          <w:sz w:val="22"/>
          <w:szCs w:val="22"/>
        </w:rPr>
        <w:t>Afin que le programme puisse être établi et que les logements puissent être réservés à temps, nous vous saurions gré de bien vouloir remplir et nous retourner le formulaire d</w:t>
      </w:r>
      <w:r w:rsidR="001722FF">
        <w:rPr>
          <w:sz w:val="22"/>
          <w:szCs w:val="22"/>
        </w:rPr>
        <w:t>’</w:t>
      </w:r>
      <w:r>
        <w:rPr>
          <w:sz w:val="22"/>
          <w:szCs w:val="22"/>
        </w:rPr>
        <w:t>inscription ci</w:t>
      </w:r>
      <w:r w:rsidR="001722FF">
        <w:rPr>
          <w:sz w:val="22"/>
          <w:szCs w:val="22"/>
        </w:rPr>
        <w:t>-</w:t>
      </w:r>
      <w:r>
        <w:rPr>
          <w:sz w:val="22"/>
          <w:szCs w:val="22"/>
        </w:rPr>
        <w:t>joint concernant la session</w:t>
      </w:r>
      <w:r w:rsidR="001722FF">
        <w:rPr>
          <w:sz w:val="22"/>
          <w:szCs w:val="22"/>
        </w:rPr>
        <w:t xml:space="preserve"> du TWF</w:t>
      </w:r>
      <w:r>
        <w:rPr>
          <w:sz w:val="22"/>
          <w:szCs w:val="22"/>
        </w:rPr>
        <w:t xml:space="preserve"> aux adresses indiquées sur le formulaire, d</w:t>
      </w:r>
      <w:r w:rsidR="001722FF">
        <w:rPr>
          <w:sz w:val="22"/>
          <w:szCs w:val="22"/>
        </w:rPr>
        <w:t>’</w:t>
      </w:r>
      <w:r>
        <w:rPr>
          <w:sz w:val="22"/>
          <w:szCs w:val="22"/>
        </w:rPr>
        <w:t>ici au 2</w:t>
      </w:r>
      <w:r w:rsidR="001722FF">
        <w:rPr>
          <w:sz w:val="22"/>
          <w:szCs w:val="22"/>
        </w:rPr>
        <w:t>4 mai 20</w:t>
      </w:r>
      <w:r>
        <w:rPr>
          <w:sz w:val="22"/>
          <w:szCs w:val="22"/>
        </w:rPr>
        <w:t>19 au plus tard.</w:t>
      </w:r>
    </w:p>
    <w:p w:rsidR="00DC35FA" w:rsidRPr="00954D73" w:rsidRDefault="00DC35FA" w:rsidP="00DC35FA">
      <w:pPr>
        <w:ind w:left="4253"/>
        <w:rPr>
          <w:rFonts w:eastAsia="SimSun" w:cs="Arial"/>
          <w:sz w:val="22"/>
          <w:szCs w:val="22"/>
          <w:lang w:eastAsia="zh-CN"/>
        </w:rPr>
      </w:pPr>
    </w:p>
    <w:p w:rsidR="00DC35FA" w:rsidRPr="00954D73" w:rsidRDefault="00DC35FA" w:rsidP="0087089D">
      <w:pPr>
        <w:rPr>
          <w:rFonts w:eastAsia="SimSun" w:cs="Arial"/>
          <w:sz w:val="22"/>
          <w:szCs w:val="22"/>
        </w:rPr>
      </w:pPr>
      <w:r>
        <w:rPr>
          <w:sz w:val="22"/>
          <w:szCs w:val="22"/>
        </w:rPr>
        <w:t>Veuillez agréer, Madame, Monsieur, l</w:t>
      </w:r>
      <w:r w:rsidR="001722FF">
        <w:rPr>
          <w:sz w:val="22"/>
          <w:szCs w:val="22"/>
        </w:rPr>
        <w:t>’</w:t>
      </w:r>
      <w:r>
        <w:rPr>
          <w:sz w:val="22"/>
          <w:szCs w:val="22"/>
        </w:rPr>
        <w:t>assurance de ma considération distinguée.</w:t>
      </w:r>
    </w:p>
    <w:p w:rsidR="00DC35FA" w:rsidRPr="00954D73" w:rsidRDefault="00DC35FA" w:rsidP="00DC35FA">
      <w:pPr>
        <w:ind w:left="4253"/>
        <w:rPr>
          <w:rFonts w:eastAsia="SimSun" w:cs="Arial"/>
          <w:sz w:val="22"/>
          <w:szCs w:val="22"/>
          <w:lang w:eastAsia="zh-CN"/>
        </w:rPr>
      </w:pPr>
    </w:p>
    <w:p w:rsidR="00DC35FA" w:rsidRPr="00954D73" w:rsidRDefault="00DC35FA" w:rsidP="00DC35FA">
      <w:pPr>
        <w:rPr>
          <w:rFonts w:eastAsia="SimSun" w:cs="Arial"/>
          <w:sz w:val="22"/>
          <w:szCs w:val="22"/>
          <w:lang w:eastAsia="zh-CN"/>
        </w:rPr>
      </w:pPr>
    </w:p>
    <w:p w:rsidR="00DC35FA" w:rsidRPr="00954D73" w:rsidRDefault="00DC35FA" w:rsidP="00DC35FA">
      <w:pPr>
        <w:ind w:left="4253"/>
        <w:rPr>
          <w:rFonts w:eastAsia="SimSun" w:cs="Arial"/>
          <w:sz w:val="22"/>
          <w:szCs w:val="22"/>
        </w:rPr>
      </w:pPr>
      <w:r>
        <w:rPr>
          <w:sz w:val="22"/>
          <w:szCs w:val="22"/>
        </w:rPr>
        <w:t xml:space="preserve">Peter </w:t>
      </w:r>
      <w:proofErr w:type="spellStart"/>
      <w:r>
        <w:rPr>
          <w:sz w:val="22"/>
          <w:szCs w:val="22"/>
        </w:rPr>
        <w:t>Button</w:t>
      </w:r>
      <w:proofErr w:type="spellEnd"/>
    </w:p>
    <w:p w:rsidR="00DC35FA" w:rsidRPr="00954D73" w:rsidRDefault="00DC35FA" w:rsidP="00DC35FA">
      <w:pPr>
        <w:ind w:left="4253"/>
        <w:rPr>
          <w:rFonts w:eastAsia="SimSun" w:cs="Arial"/>
          <w:sz w:val="22"/>
          <w:szCs w:val="22"/>
        </w:rPr>
      </w:pPr>
      <w:r>
        <w:rPr>
          <w:sz w:val="22"/>
          <w:szCs w:val="22"/>
        </w:rPr>
        <w:t>Secrétaire général adjoint</w:t>
      </w:r>
    </w:p>
    <w:p w:rsidR="00DC35FA" w:rsidRPr="00954D73" w:rsidRDefault="00DC35FA" w:rsidP="00DC35FA">
      <w:pPr>
        <w:rPr>
          <w:rFonts w:eastAsia="SimSun" w:cs="Arial"/>
          <w:sz w:val="22"/>
          <w:szCs w:val="22"/>
          <w:lang w:eastAsia="zh-CN"/>
        </w:rPr>
      </w:pPr>
    </w:p>
    <w:p w:rsidR="00DC35FA" w:rsidRPr="00954D73" w:rsidRDefault="00DC35FA" w:rsidP="00DC35FA">
      <w:pPr>
        <w:rPr>
          <w:rFonts w:eastAsia="SimSun" w:cs="Arial"/>
          <w:sz w:val="22"/>
          <w:szCs w:val="22"/>
          <w:lang w:eastAsia="zh-CN"/>
        </w:rPr>
      </w:pPr>
    </w:p>
    <w:p w:rsidR="00DC35FA" w:rsidRPr="00954D73" w:rsidRDefault="00DC35FA" w:rsidP="00DC35FA">
      <w:pPr>
        <w:rPr>
          <w:rFonts w:eastAsia="SimSun" w:cs="Arial"/>
          <w:sz w:val="22"/>
          <w:szCs w:val="22"/>
        </w:rPr>
      </w:pPr>
      <w:r>
        <w:rPr>
          <w:sz w:val="22"/>
          <w:szCs w:val="22"/>
        </w:rPr>
        <w:t>Distribution</w:t>
      </w:r>
      <w:r w:rsidR="002636BB">
        <w:rPr>
          <w:sz w:val="22"/>
          <w:szCs w:val="22"/>
        </w:rPr>
        <w:t> :</w:t>
      </w:r>
      <w:r>
        <w:rPr>
          <w:sz w:val="22"/>
          <w:szCs w:val="22"/>
        </w:rPr>
        <w:t xml:space="preserve"> Liste TWF +</w:t>
      </w:r>
      <w:r w:rsidR="001722FF">
        <w:rPr>
          <w:sz w:val="22"/>
          <w:szCs w:val="22"/>
        </w:rPr>
        <w:t> TC</w:t>
      </w:r>
    </w:p>
    <w:p w:rsidR="00DC35FA" w:rsidRPr="00954D73" w:rsidRDefault="00DC35FA" w:rsidP="00DC35FA">
      <w:pPr>
        <w:rPr>
          <w:rFonts w:eastAsia="SimSun" w:cs="Arial"/>
          <w:sz w:val="22"/>
          <w:szCs w:val="22"/>
          <w:lang w:eastAsia="zh-CN"/>
        </w:rPr>
      </w:pPr>
    </w:p>
    <w:p w:rsidR="00DC35FA" w:rsidRPr="00954D73" w:rsidRDefault="00DC35FA" w:rsidP="00DC35FA">
      <w:pPr>
        <w:rPr>
          <w:rFonts w:eastAsia="SimSun" w:cs="Arial"/>
          <w:sz w:val="22"/>
          <w:szCs w:val="22"/>
          <w:lang w:eastAsia="zh-CN"/>
        </w:rPr>
      </w:pPr>
    </w:p>
    <w:p w:rsidR="00DC35FA" w:rsidRPr="001A0646" w:rsidRDefault="001A0646" w:rsidP="001A0646">
      <w:pPr>
        <w:jc w:val="right"/>
        <w:rPr>
          <w:rFonts w:cs="Arial"/>
        </w:rPr>
      </w:pPr>
      <w:r>
        <w:rPr>
          <w:sz w:val="22"/>
          <w:szCs w:val="22"/>
        </w:rPr>
        <w:t>[L</w:t>
      </w:r>
      <w:r w:rsidR="001722FF">
        <w:rPr>
          <w:sz w:val="22"/>
          <w:szCs w:val="22"/>
        </w:rPr>
        <w:t>’annexe I</w:t>
      </w:r>
      <w:r>
        <w:rPr>
          <w:sz w:val="22"/>
          <w:szCs w:val="22"/>
        </w:rPr>
        <w:t>V suit</w:t>
      </w:r>
      <w:r w:rsidR="0087089D">
        <w:rPr>
          <w:sz w:val="22"/>
          <w:szCs w:val="22"/>
        </w:rPr>
        <w:t>]</w:t>
      </w:r>
    </w:p>
    <w:p w:rsidR="00F831D0" w:rsidRPr="003D01E6" w:rsidRDefault="00F831D0" w:rsidP="00F831D0">
      <w:pPr>
        <w:jc w:val="center"/>
        <w:rPr>
          <w:caps/>
        </w:rPr>
      </w:pPr>
      <w:r>
        <w:rPr>
          <w:caps/>
        </w:rPr>
        <w:lastRenderedPageBreak/>
        <w:t>RÉPONSES À LA CIRCULAIRE E</w:t>
      </w:r>
      <w:r w:rsidR="001722FF">
        <w:rPr>
          <w:caps/>
        </w:rPr>
        <w:t>-</w:t>
      </w:r>
      <w:r>
        <w:rPr>
          <w:caps/>
        </w:rPr>
        <w:t>19/013 INVITANT LES MEMBRES À PROPOSER DES AMÉLIORATIONS POUVANT ÊTRE APPORTÉES AUX COURRIERS D</w:t>
      </w:r>
      <w:r w:rsidR="001722FF">
        <w:rPr>
          <w:caps/>
        </w:rPr>
        <w:t>’</w:t>
      </w:r>
      <w:r>
        <w:rPr>
          <w:caps/>
        </w:rPr>
        <w:t>INVITATION AUX RÉUNIONS DU</w:t>
      </w:r>
      <w:r w:rsidR="001722FF">
        <w:rPr>
          <w:caps/>
        </w:rPr>
        <w:t> TC</w:t>
      </w:r>
      <w:r>
        <w:rPr>
          <w:caps/>
        </w:rPr>
        <w:t xml:space="preserve"> ET DES TWP</w:t>
      </w:r>
    </w:p>
    <w:p w:rsidR="00F831D0" w:rsidRPr="00954D73" w:rsidRDefault="00F831D0" w:rsidP="00DC35FA"/>
    <w:p w:rsidR="00F831D0" w:rsidRPr="00954D73" w:rsidRDefault="00F831D0" w:rsidP="00DC35FA"/>
    <w:p w:rsidR="00DC35FA" w:rsidRPr="00954D73" w:rsidRDefault="00DC35FA" w:rsidP="00DC35FA">
      <w:r>
        <w:t>UNION EUROPÉENNE</w:t>
      </w:r>
    </w:p>
    <w:p w:rsidR="00DC35FA" w:rsidRPr="00954D73" w:rsidRDefault="00DC35FA" w:rsidP="00DC35FA">
      <w:pPr>
        <w:jc w:val="left"/>
      </w:pPr>
    </w:p>
    <w:p w:rsidR="00DC35FA" w:rsidRPr="00954D73" w:rsidRDefault="00547C73" w:rsidP="00DC35FA">
      <w:pPr>
        <w:jc w:val="left"/>
        <w:rPr>
          <w:bCs/>
          <w:u w:val="single"/>
        </w:rPr>
      </w:pPr>
      <w:r w:rsidRPr="00365374">
        <w:rPr>
          <w:bCs/>
          <w:u w:val="single"/>
        </w:rPr>
        <w:t>TWO</w:t>
      </w:r>
    </w:p>
    <w:p w:rsidR="00DC35FA" w:rsidRPr="00954D73" w:rsidRDefault="00DC35FA" w:rsidP="00DC35FA"/>
    <w:p w:rsidR="00DC35FA" w:rsidRPr="00954D73" w:rsidRDefault="00DC35FA" w:rsidP="00DC35FA">
      <w:r>
        <w:t>En réponse à votre invitation à proposer des améliorations à apporter aux courriers d</w:t>
      </w:r>
      <w:r w:rsidR="001722FF">
        <w:t>’</w:t>
      </w:r>
      <w:r>
        <w:t>invitations TWP, je souhaite vous suggérer d</w:t>
      </w:r>
      <w:r w:rsidR="001722FF">
        <w:t>’</w:t>
      </w:r>
      <w:r>
        <w:t>ajouter dans le corps du texte que les participants sont invités et encouragés à présenter tout nouveau sujet pertinent dans leur secteur ou de leur compétence durant</w:t>
      </w:r>
      <w:r w:rsidR="001722FF">
        <w:t xml:space="preserve"> la TWP</w:t>
      </w:r>
      <w:r>
        <w:t xml:space="preserve"> (dans un délai déterminé). </w:t>
      </w:r>
      <w:r w:rsidR="002636BB">
        <w:t xml:space="preserve"> </w:t>
      </w:r>
      <w:r>
        <w:t>J</w:t>
      </w:r>
      <w:r w:rsidR="001722FF">
        <w:t>’</w:t>
      </w:r>
      <w:r>
        <w:t>ai conscience que, suivant le fonctionnement habituel de l</w:t>
      </w:r>
      <w:r w:rsidR="001722FF">
        <w:t>’</w:t>
      </w:r>
      <w:r>
        <w:t>UPOV, l</w:t>
      </w:r>
      <w:r w:rsidR="001722FF">
        <w:t>’</w:t>
      </w:r>
      <w:r>
        <w:t>ordre du jour de chaque réunion est défini au cours de la réunion précéden</w:t>
      </w:r>
      <w:r w:rsidR="00ED14D8">
        <w:t>te.  To</w:t>
      </w:r>
      <w:r>
        <w:t>utefois, nous avons à présent un point de l</w:t>
      </w:r>
      <w:r w:rsidR="001722FF">
        <w:t>’</w:t>
      </w:r>
      <w:r>
        <w:t xml:space="preserve">ordre du jour intitulé </w:t>
      </w:r>
      <w:r w:rsidR="001722FF">
        <w:t>“</w:t>
      </w:r>
      <w:r>
        <w:t>Questions à prendre en consi</w:t>
      </w:r>
      <w:r w:rsidR="001A0646">
        <w:t>dération dans l</w:t>
      </w:r>
      <w:r w:rsidR="001722FF">
        <w:t>’</w:t>
      </w:r>
      <w:r w:rsidR="001A0646">
        <w:t>examen</w:t>
      </w:r>
      <w:r w:rsidR="002636BB">
        <w:t> </w:t>
      </w:r>
      <w:r w:rsidR="001A0646">
        <w:t>DHS</w:t>
      </w:r>
      <w:r w:rsidR="002636BB">
        <w:t>…</w:t>
      </w:r>
      <w:r w:rsidR="001722FF">
        <w:t>”</w:t>
      </w:r>
      <w:r w:rsidR="001A0646">
        <w:t>,</w:t>
      </w:r>
      <w:r w:rsidR="0087089D">
        <w:t xml:space="preserve"> qui, à mon sens, constitue</w:t>
      </w:r>
      <w:r>
        <w:t xml:space="preserve"> une très bonne innovation, car elle permet d</w:t>
      </w:r>
      <w:r w:rsidR="001722FF">
        <w:t>’</w:t>
      </w:r>
      <w:r>
        <w:t>ouvrir le débat sur des nouveaux sujets potentiels sans avoir à perdre une ann</w:t>
      </w:r>
      <w:r w:rsidR="00ED14D8">
        <w:t>ée.  Pa</w:t>
      </w:r>
      <w:r>
        <w:t>r conséquent, nous encouragerions les participants à profiter de cette possibilité et de proposer des exposés afin de communiquer des renseignements ou des questions.</w:t>
      </w:r>
    </w:p>
    <w:p w:rsidR="00DC35FA" w:rsidRPr="00954D73" w:rsidRDefault="00DC35FA" w:rsidP="00DC35FA"/>
    <w:p w:rsidR="00DC35FA" w:rsidRPr="00954D73" w:rsidRDefault="00547C73" w:rsidP="00DC35FA">
      <w:pPr>
        <w:rPr>
          <w:u w:val="single"/>
        </w:rPr>
      </w:pPr>
      <w:r w:rsidRPr="00365374">
        <w:rPr>
          <w:u w:val="single"/>
        </w:rPr>
        <w:t>TWF</w:t>
      </w:r>
    </w:p>
    <w:p w:rsidR="00DC35FA" w:rsidRPr="00954D73" w:rsidRDefault="00DC35FA" w:rsidP="00DC35FA"/>
    <w:p w:rsidR="00DC35FA" w:rsidRPr="00954D73" w:rsidRDefault="00DC35FA" w:rsidP="00DC35FA">
      <w:r>
        <w:t>Envoyer des invitations à un cercle plus large</w:t>
      </w:r>
      <w:r w:rsidR="0087089D">
        <w:t>,</w:t>
      </w:r>
      <w:r>
        <w:t xml:space="preserve"> comme proposé</w:t>
      </w:r>
      <w:r w:rsidR="0087089D">
        <w:t>,</w:t>
      </w:r>
      <w:r>
        <w:t xml:space="preserve"> améliorera sans aucun doute la situati</w:t>
      </w:r>
      <w:r w:rsidR="00ED14D8">
        <w:t>on.  Je</w:t>
      </w:r>
      <w:r>
        <w:t xml:space="preserve"> me souviens avoir transmis l</w:t>
      </w:r>
      <w:r w:rsidR="001722FF">
        <w:t>’</w:t>
      </w:r>
      <w:r>
        <w:t>invitation à certains collègues de l</w:t>
      </w:r>
      <w:r w:rsidR="001722FF">
        <w:t>’</w:t>
      </w:r>
      <w:r>
        <w:t>Union européenne par le pas</w:t>
      </w:r>
      <w:r w:rsidR="00ED14D8">
        <w:t>sé.  Le</w:t>
      </w:r>
      <w:r>
        <w:t xml:space="preserve"> pays avait cessé de participer aux Groupes de travail techniques de l</w:t>
      </w:r>
      <w:r w:rsidR="001722FF">
        <w:t>’</w:t>
      </w:r>
      <w:r>
        <w:t>UPOV à un moment donné et, par conséquent, les experts techniques concernés ne recevaient plus d</w:t>
      </w:r>
      <w:r w:rsidR="001722FF">
        <w:t>’</w:t>
      </w:r>
      <w:r>
        <w:t>invitati</w:t>
      </w:r>
      <w:r w:rsidR="00ED14D8">
        <w:t>on.  Le</w:t>
      </w:r>
      <w:r>
        <w:t>s interlocuteurs officiels recevaient toujours l</w:t>
      </w:r>
      <w:r w:rsidR="001722FF">
        <w:t>’</w:t>
      </w:r>
      <w:r>
        <w:t>invitation, mais elle n</w:t>
      </w:r>
      <w:r w:rsidR="001722FF">
        <w:t>’</w:t>
      </w:r>
      <w:r>
        <w:t>était plus transmise aux exper</w:t>
      </w:r>
      <w:r w:rsidR="00ED14D8">
        <w:t>ts.  Le</w:t>
      </w:r>
      <w:r>
        <w:t>s experts participant aux Groupes de travail techniques pourraient être invités à encourager des experts d</w:t>
      </w:r>
      <w:r w:rsidR="001722FF">
        <w:t>’</w:t>
      </w:r>
      <w:r>
        <w:t>autres pays qu</w:t>
      </w:r>
      <w:r w:rsidR="001722FF">
        <w:t>’</w:t>
      </w:r>
      <w:r>
        <w:t>ils connaissent à particip</w:t>
      </w:r>
      <w:r w:rsidR="00ED14D8">
        <w:t>er.  La</w:t>
      </w:r>
      <w:r>
        <w:t xml:space="preserve"> participation aux Groupes de travail techniques de l</w:t>
      </w:r>
      <w:r w:rsidR="001722FF">
        <w:t>’</w:t>
      </w:r>
      <w:r>
        <w:t>UPOV fait partie des exigences de qualité de l</w:t>
      </w:r>
      <w:r w:rsidR="001722FF">
        <w:t>’</w:t>
      </w:r>
      <w:r>
        <w:t>Office communautaire des variétés végétales (OCVV).</w:t>
      </w:r>
    </w:p>
    <w:p w:rsidR="00DC35FA" w:rsidRPr="00954D73" w:rsidRDefault="00DC35FA" w:rsidP="00DC35FA"/>
    <w:p w:rsidR="00DC35FA" w:rsidRPr="00954D73" w:rsidRDefault="00DC35FA" w:rsidP="00DC35FA">
      <w:r>
        <w:t>Une autre amélioration à apporter concerne les équipements de visioconféren</w:t>
      </w:r>
      <w:r w:rsidR="00ED14D8">
        <w:t>ce.  Ce</w:t>
      </w:r>
      <w:r>
        <w:t xml:space="preserve"> mode de participation commence à se développer, mais il est loin d</w:t>
      </w:r>
      <w:r w:rsidR="001722FF">
        <w:t>’</w:t>
      </w:r>
      <w:r>
        <w:t>être pleinement opérationn</w:t>
      </w:r>
      <w:r w:rsidR="00ED14D8">
        <w:t>el.  Po</w:t>
      </w:r>
      <w:r>
        <w:t xml:space="preserve">ur ce faire, il faudrait que la salle de conférence soit </w:t>
      </w:r>
      <w:r w:rsidR="0087089D">
        <w:t>entièrement</w:t>
      </w:r>
      <w:r>
        <w:t xml:space="preserve"> dotée d</w:t>
      </w:r>
      <w:r w:rsidR="001722FF">
        <w:t>’</w:t>
      </w:r>
      <w:r>
        <w:t>équipements de visioconférence et, à ma connaissance, c</w:t>
      </w:r>
      <w:r w:rsidR="001722FF">
        <w:t>’</w:t>
      </w:r>
      <w:r>
        <w:t xml:space="preserve">est </w:t>
      </w:r>
      <w:r w:rsidR="0087089D">
        <w:t>aujourd</w:t>
      </w:r>
      <w:r w:rsidR="001722FF">
        <w:t>’</w:t>
      </w:r>
      <w:r w:rsidR="0087089D">
        <w:t>hui</w:t>
      </w:r>
      <w:r>
        <w:t xml:space="preserve"> rarement </w:t>
      </w:r>
      <w:r w:rsidR="0087089D">
        <w:t>le c</w:t>
      </w:r>
      <w:r w:rsidR="00ED14D8">
        <w:t>as.  Da</w:t>
      </w:r>
      <w:r w:rsidR="0087089D">
        <w:t>ns l</w:t>
      </w:r>
      <w:r w:rsidR="001722FF">
        <w:t>’</w:t>
      </w:r>
      <w:r w:rsidR="0087089D">
        <w:t>Union européenne</w:t>
      </w:r>
      <w:r>
        <w:t xml:space="preserve"> du moins, certains experts voyagent en dehors de l</w:t>
      </w:r>
      <w:r w:rsidR="001722FF">
        <w:t>’</w:t>
      </w:r>
      <w:r>
        <w:t>Europe pour des raisons de princi</w:t>
      </w:r>
      <w:r w:rsidR="00ED14D8">
        <w:t>pe.  Il</w:t>
      </w:r>
      <w:r>
        <w:t xml:space="preserve"> convient à mon sens de promouvoir l</w:t>
      </w:r>
      <w:r w:rsidR="001722FF">
        <w:t>’</w:t>
      </w:r>
      <w:r>
        <w:t>installation d</w:t>
      </w:r>
      <w:r w:rsidR="001722FF">
        <w:t>’</w:t>
      </w:r>
      <w:r>
        <w:t>équipements de visioconférence opérationnels auprès des organisateurs des groupes de travail.</w:t>
      </w:r>
    </w:p>
    <w:p w:rsidR="00DC35FA" w:rsidRPr="00954D73" w:rsidRDefault="00DC35FA" w:rsidP="00DC35FA"/>
    <w:p w:rsidR="00DC35FA" w:rsidRPr="00954D73" w:rsidRDefault="00DC35FA" w:rsidP="00DC35FA">
      <w:r>
        <w:t>Dans le secteur des fruits, nous nous sommes efforcés d</w:t>
      </w:r>
      <w:r w:rsidR="001722FF">
        <w:t>’</w:t>
      </w:r>
      <w:r>
        <w:t>encourager la participation des obtenteu</w:t>
      </w:r>
      <w:r w:rsidR="00ED14D8">
        <w:t>rs.  No</w:t>
      </w:r>
      <w:r>
        <w:t xml:space="preserve">us sommes parvenus à les convaincre de participer aux </w:t>
      </w:r>
      <w:r w:rsidR="0087089D">
        <w:t>réunions, mais ils souhaiten</w:t>
      </w:r>
      <w:r>
        <w:t xml:space="preserve">t que les sujets présentant un intérêt pour eux soient regroupés sur </w:t>
      </w:r>
      <w:r w:rsidR="00561E5B">
        <w:t>un</w:t>
      </w:r>
      <w:r>
        <w:t xml:space="preserve"> ou </w:t>
      </w:r>
      <w:r w:rsidR="00561E5B">
        <w:t>deux </w:t>
      </w:r>
      <w:r>
        <w:t>jours afin que leur participation soit plus effica</w:t>
      </w:r>
      <w:r w:rsidR="00ED14D8">
        <w:t>ce.  Le</w:t>
      </w:r>
      <w:r>
        <w:t xml:space="preserve"> Bureau de l</w:t>
      </w:r>
      <w:r w:rsidR="001722FF">
        <w:t>’</w:t>
      </w:r>
      <w:r>
        <w:t>UPOV a pu faire une proposition à cet égard.</w:t>
      </w:r>
    </w:p>
    <w:p w:rsidR="00DC35FA" w:rsidRPr="00954D73" w:rsidRDefault="00DC35FA" w:rsidP="00DC35FA"/>
    <w:p w:rsidR="00DC35FA" w:rsidRPr="00954D73" w:rsidRDefault="00DC35FA" w:rsidP="00DC35FA">
      <w:r>
        <w:t>Pour conclure, je pense qu</w:t>
      </w:r>
      <w:r w:rsidR="001722FF">
        <w:t>’</w:t>
      </w:r>
      <w:r>
        <w:t>il serait bénéfique d</w:t>
      </w:r>
      <w:r w:rsidR="001722FF">
        <w:t>’</w:t>
      </w:r>
      <w:r>
        <w:t>organiser davantage de visioconférences avec les expert</w:t>
      </w:r>
      <w:r w:rsidR="0087089D">
        <w:t>s concernés (p.</w:t>
      </w:r>
      <w:r w:rsidR="002636BB">
        <w:t> </w:t>
      </w:r>
      <w:r w:rsidR="0087089D">
        <w:t>ex.</w:t>
      </w:r>
      <w:r w:rsidR="002636BB">
        <w:t> </w:t>
      </w:r>
      <w:r w:rsidR="0087089D">
        <w:t>e</w:t>
      </w:r>
      <w:r>
        <w:t>xaminateurs DHS, obtenteurs) lorsque des sujets ou des espèces spécifiques sont abordés.</w:t>
      </w:r>
    </w:p>
    <w:p w:rsidR="00DC35FA" w:rsidRDefault="00DC35FA" w:rsidP="00DC35FA"/>
    <w:p w:rsidR="00365374" w:rsidRPr="00954D73" w:rsidRDefault="00365374" w:rsidP="00DC35FA">
      <w:bookmarkStart w:id="13" w:name="_GoBack"/>
      <w:bookmarkEnd w:id="13"/>
    </w:p>
    <w:p w:rsidR="00DC35FA" w:rsidRPr="00954D73" w:rsidRDefault="00DC35FA" w:rsidP="00DC35FA">
      <w:r>
        <w:t>ALLEMAGNE</w:t>
      </w:r>
    </w:p>
    <w:p w:rsidR="00DC35FA" w:rsidRPr="00954D73" w:rsidRDefault="00DC35FA" w:rsidP="00DC35FA">
      <w:pPr>
        <w:jc w:val="center"/>
      </w:pPr>
    </w:p>
    <w:p w:rsidR="00DC35FA" w:rsidRPr="00954D73" w:rsidRDefault="00DC35FA" w:rsidP="00DC35FA">
      <w:r>
        <w:t>Je vous remercie pour la circulai</w:t>
      </w:r>
      <w:r w:rsidR="00ED14D8">
        <w:t>re.  No</w:t>
      </w:r>
      <w:r>
        <w:t>us n</w:t>
      </w:r>
      <w:r w:rsidR="001722FF">
        <w:t>’</w:t>
      </w:r>
      <w:r>
        <w:t>avons pas de commentaire ou de suggestions à formul</w:t>
      </w:r>
      <w:r w:rsidR="00ED14D8">
        <w:t>er.  Le</w:t>
      </w:r>
      <w:r>
        <w:t>s listes de distribution et les informations contenues dans le courrier d</w:t>
      </w:r>
      <w:r w:rsidR="001722FF">
        <w:t>’</w:t>
      </w:r>
      <w:r>
        <w:t>invitation fonctionnent bien en Allemagne.</w:t>
      </w:r>
    </w:p>
    <w:p w:rsidR="00DC35FA" w:rsidRDefault="00DC35FA" w:rsidP="00DC35FA"/>
    <w:p w:rsidR="00365374" w:rsidRPr="00954D73" w:rsidRDefault="00365374" w:rsidP="00DC35FA"/>
    <w:p w:rsidR="00DC35FA" w:rsidRPr="00954D73" w:rsidRDefault="00DC35FA" w:rsidP="00DC35FA">
      <w:r>
        <w:t>NOUVELLE</w:t>
      </w:r>
      <w:r w:rsidR="001722FF">
        <w:t>-</w:t>
      </w:r>
      <w:r>
        <w:t>ZÉLANDE</w:t>
      </w:r>
    </w:p>
    <w:p w:rsidR="00DC35FA" w:rsidRPr="00954D73" w:rsidRDefault="00DC35FA" w:rsidP="00DC35FA"/>
    <w:p w:rsidR="001722FF" w:rsidRDefault="00DC35FA" w:rsidP="00DC35FA">
      <w:r>
        <w:t>Les invitations aux réunions et aux événements organisés par l</w:t>
      </w:r>
      <w:r w:rsidR="001722FF">
        <w:t>’</w:t>
      </w:r>
      <w:r>
        <w:t>UPOV sont envoyées aux contacts haut placés, selon la procédure convenue au sein de l</w:t>
      </w:r>
      <w:r w:rsidR="001722FF">
        <w:t>’</w:t>
      </w:r>
      <w:r>
        <w:t>U</w:t>
      </w:r>
      <w:r w:rsidR="00ED14D8">
        <w:t>POV.  Ce</w:t>
      </w:r>
      <w:r>
        <w:t>tte pratique n</w:t>
      </w:r>
      <w:r w:rsidR="001722FF">
        <w:t>’</w:t>
      </w:r>
      <w:r>
        <w:t>est pas néce</w:t>
      </w:r>
      <w:r w:rsidR="0041402A">
        <w:t>ssairement problématique en soi</w:t>
      </w:r>
      <w:r>
        <w:t>, cependant, elle repose sur le fait que l</w:t>
      </w:r>
      <w:r w:rsidR="001722FF">
        <w:t>’</w:t>
      </w:r>
      <w:r>
        <w:t>autorité nationale dispose d</w:t>
      </w:r>
      <w:r w:rsidR="001722FF">
        <w:t>’</w:t>
      </w:r>
      <w:r>
        <w:t>un système de distribution des invitations et une connaissance de la tenue de la réunion à tous les nivea</w:t>
      </w:r>
      <w:r w:rsidR="00ED14D8">
        <w:t>ux.  En</w:t>
      </w:r>
      <w:r>
        <w:t xml:space="preserve"> général, les invitations aux</w:t>
      </w:r>
      <w:r w:rsidR="001722FF">
        <w:t> TC</w:t>
      </w:r>
      <w:r>
        <w:t xml:space="preserve"> ne sont pas envoyées directement aux personnes susceptibles de participer ou à celles qui sont directement impliquées dans une activité technique opérationnelle.</w:t>
      </w:r>
    </w:p>
    <w:p w:rsidR="00DC35FA" w:rsidRPr="00954D73" w:rsidRDefault="00DC35FA" w:rsidP="00DC35FA"/>
    <w:p w:rsidR="001722FF" w:rsidRDefault="00DC35FA" w:rsidP="00DC35FA">
      <w:r>
        <w:t>Il n</w:t>
      </w:r>
      <w:r w:rsidR="001722FF">
        <w:t>’</w:t>
      </w:r>
      <w:r>
        <w:t>est pas rare qu</w:t>
      </w:r>
      <w:r w:rsidR="001722FF">
        <w:t>’</w:t>
      </w:r>
      <w:r>
        <w:t>une autorité soit pourvue d</w:t>
      </w:r>
      <w:r w:rsidR="001722FF">
        <w:t>’</w:t>
      </w:r>
      <w:r>
        <w:t>un organe administratif/juridique de POV distinct de l</w:t>
      </w:r>
      <w:r w:rsidR="001722FF">
        <w:t>’</w:t>
      </w:r>
      <w:r>
        <w:t>organe techniq</w:t>
      </w:r>
      <w:r w:rsidR="00ED14D8">
        <w:t>ue.  Il</w:t>
      </w:r>
      <w:r>
        <w:t xml:space="preserve"> se peut que l</w:t>
      </w:r>
      <w:r w:rsidR="001722FF">
        <w:t>’</w:t>
      </w:r>
      <w:r>
        <w:t xml:space="preserve">organe technique ne soit pas le </w:t>
      </w:r>
      <w:r w:rsidR="002636BB">
        <w:t>Ministère</w:t>
      </w:r>
      <w:r>
        <w:t xml:space="preserve"> de l</w:t>
      </w:r>
      <w:r w:rsidR="001722FF">
        <w:t>’</w:t>
      </w:r>
      <w:r>
        <w:t>agriculture, c</w:t>
      </w:r>
      <w:r w:rsidR="001722FF">
        <w:t>’</w:t>
      </w:r>
      <w:r>
        <w:t xml:space="preserve">est pourquoi </w:t>
      </w:r>
      <w:r w:rsidR="0041402A">
        <w:t>il serait bon de</w:t>
      </w:r>
      <w:r>
        <w:t xml:space="preserve"> </w:t>
      </w:r>
      <w:r w:rsidR="0041402A">
        <w:t>ne pas considérer</w:t>
      </w:r>
      <w:r>
        <w:t xml:space="preserve"> qu</w:t>
      </w:r>
      <w:r w:rsidR="001722FF">
        <w:t>’</w:t>
      </w:r>
      <w:r>
        <w:t>un organe</w:t>
      </w:r>
      <w:r w:rsidR="001722FF">
        <w:t xml:space="preserve"> du POV</w:t>
      </w:r>
      <w:r>
        <w:t xml:space="preserve"> </w:t>
      </w:r>
      <w:r w:rsidR="0041402A">
        <w:t>fasse nécessairement</w:t>
      </w:r>
      <w:r>
        <w:t xml:space="preserve"> partie du </w:t>
      </w:r>
      <w:r w:rsidR="002636BB">
        <w:t>Ministère</w:t>
      </w:r>
      <w:r>
        <w:t xml:space="preserve"> de l</w:t>
      </w:r>
      <w:r w:rsidR="001722FF">
        <w:t>’</w:t>
      </w:r>
      <w:r>
        <w:t>agriculture.</w:t>
      </w:r>
    </w:p>
    <w:p w:rsidR="00DC35FA" w:rsidRPr="00954D73" w:rsidRDefault="00DC35FA" w:rsidP="00DC35FA"/>
    <w:p w:rsidR="001722FF" w:rsidRDefault="00DC35FA" w:rsidP="00DC35FA">
      <w:r>
        <w:t>Nous suggérons qu</w:t>
      </w:r>
      <w:r w:rsidR="001722FF">
        <w:t>’</w:t>
      </w:r>
      <w:r>
        <w:t>un protocole d</w:t>
      </w:r>
      <w:r w:rsidR="001722FF">
        <w:t>’</w:t>
      </w:r>
      <w:r>
        <w:t>invitation différent de celui qui est utilisé pour le Conseil et le Comité administratif et juridique (CAJ) soit envisagé pour le</w:t>
      </w:r>
      <w:r w:rsidR="001722FF">
        <w:t> TC</w:t>
      </w:r>
      <w:r>
        <w:t xml:space="preserve"> dans les cas où il est nécessaire de s</w:t>
      </w:r>
      <w:r w:rsidR="001722FF">
        <w:t>’</w:t>
      </w:r>
      <w:r>
        <w:t>adresser à une autorité pour établir un contact technique offici</w:t>
      </w:r>
      <w:r w:rsidR="00ED14D8">
        <w:t>el.  Ch</w:t>
      </w:r>
      <w:r>
        <w:t>aque représentant membre de l</w:t>
      </w:r>
      <w:r w:rsidR="001722FF">
        <w:t>’</w:t>
      </w:r>
      <w:r>
        <w:t>Union est déjà chargé de désigner des personnes, toutefois, il peut être utile de demander spécifiquement à ce qu</w:t>
      </w:r>
      <w:r w:rsidR="001722FF">
        <w:t>’</w:t>
      </w:r>
      <w:r>
        <w:t xml:space="preserve">un représentant technique soit désigné. </w:t>
      </w:r>
      <w:r w:rsidR="002636BB">
        <w:t xml:space="preserve"> </w:t>
      </w:r>
      <w:r>
        <w:t>Les invitations sont actuellement transmises en copie aux personnes ayant participé au</w:t>
      </w:r>
      <w:r w:rsidR="001722FF">
        <w:t> TC</w:t>
      </w:r>
      <w:r>
        <w:t>, mais ce système se base sur les participations antérieures.</w:t>
      </w:r>
    </w:p>
    <w:p w:rsidR="00DC35FA" w:rsidRPr="00954D73" w:rsidRDefault="00DC35FA" w:rsidP="00DC35FA"/>
    <w:p w:rsidR="001722FF" w:rsidRDefault="00DC35FA" w:rsidP="00DC35FA">
      <w:r>
        <w:t>Les invitations</w:t>
      </w:r>
      <w:r w:rsidR="001722FF">
        <w:t xml:space="preserve"> au TWP</w:t>
      </w:r>
      <w:r>
        <w:t xml:space="preserve"> sont actuellement envoyées au moins trois</w:t>
      </w:r>
      <w:r w:rsidR="002636BB">
        <w:t> </w:t>
      </w:r>
      <w:r>
        <w:t>mois avant le début des sessio</w:t>
      </w:r>
      <w:r w:rsidR="00ED14D8">
        <w:t>ns.  No</w:t>
      </w:r>
      <w:r>
        <w:t>us estimons que cette échéance est très courte et recommandons un délai plus long, de préférence six</w:t>
      </w:r>
      <w:r w:rsidR="002636BB">
        <w:t> </w:t>
      </w:r>
      <w:r>
        <w:t>mo</w:t>
      </w:r>
      <w:r w:rsidR="00ED14D8">
        <w:t>is.  Le</w:t>
      </w:r>
      <w:r>
        <w:t>s lieu et date de la prochaine session de TWP sont annoncés au moins un an à l</w:t>
      </w:r>
      <w:r w:rsidR="001722FF">
        <w:t>’</w:t>
      </w:r>
      <w:r>
        <w:t>avance, mais les précisions nécessaires afin d</w:t>
      </w:r>
      <w:r w:rsidR="001722FF">
        <w:t>’</w:t>
      </w:r>
      <w:r>
        <w:t>organiser le voyage et d</w:t>
      </w:r>
      <w:r w:rsidR="001722FF">
        <w:t>’</w:t>
      </w:r>
      <w:r>
        <w:t>établir un budget ne sont pas communiqué</w:t>
      </w:r>
      <w:r w:rsidR="00561E5B">
        <w:t>es</w:t>
      </w:r>
      <w:r>
        <w:t>.</w:t>
      </w:r>
    </w:p>
    <w:p w:rsidR="00DC35FA" w:rsidRDefault="00DC35FA" w:rsidP="00DC35FA"/>
    <w:p w:rsidR="00365374" w:rsidRPr="00954D73" w:rsidRDefault="00365374" w:rsidP="00DC35FA"/>
    <w:p w:rsidR="00DC35FA" w:rsidRPr="00954D73" w:rsidRDefault="00DC35FA" w:rsidP="00DC35FA">
      <w:r>
        <w:t>ROYAUME</w:t>
      </w:r>
      <w:r w:rsidR="001722FF">
        <w:t>-</w:t>
      </w:r>
      <w:r>
        <w:t>UNI</w:t>
      </w:r>
    </w:p>
    <w:p w:rsidR="00DC35FA" w:rsidRPr="00954D73" w:rsidRDefault="00DC35FA" w:rsidP="00DC35FA"/>
    <w:p w:rsidR="00DC35FA" w:rsidRPr="00954D73" w:rsidRDefault="00547C73" w:rsidP="00DC35FA">
      <w:pPr>
        <w:rPr>
          <w:u w:val="single"/>
        </w:rPr>
      </w:pPr>
      <w:r w:rsidRPr="00365374">
        <w:rPr>
          <w:u w:val="single"/>
        </w:rPr>
        <w:t>TWA</w:t>
      </w:r>
    </w:p>
    <w:p w:rsidR="00DC35FA" w:rsidRPr="00954D73" w:rsidRDefault="00DC35FA" w:rsidP="00DC35FA">
      <w:pPr>
        <w:rPr>
          <w:b/>
        </w:rPr>
      </w:pPr>
    </w:p>
    <w:p w:rsidR="00DC35FA" w:rsidRPr="00954D73" w:rsidRDefault="00DC35FA" w:rsidP="00DC35FA">
      <w:pPr>
        <w:numPr>
          <w:ilvl w:val="0"/>
          <w:numId w:val="2"/>
        </w:numPr>
        <w:ind w:left="567" w:hanging="567"/>
      </w:pPr>
      <w:r>
        <w:t>Diffuser les invitations sur le site Internet de l</w:t>
      </w:r>
      <w:r w:rsidR="001722FF">
        <w:t>’</w:t>
      </w:r>
      <w:r>
        <w:t>UPOV, accompagnées des autres documents relatifs à la réunion, au lieu de les envoyer par courrier électronique à des personnes spécifiqu</w:t>
      </w:r>
      <w:r w:rsidR="00ED14D8">
        <w:t>es.  Vo</w:t>
      </w:r>
      <w:r>
        <w:t>us toucherez ainsi un public plus lar</w:t>
      </w:r>
      <w:r w:rsidR="00ED14D8">
        <w:t>ge.  Vo</w:t>
      </w:r>
      <w:r>
        <w:t>us pourriez demander à ce qu</w:t>
      </w:r>
      <w:r w:rsidR="001722FF">
        <w:t>’</w:t>
      </w:r>
      <w:r>
        <w:t xml:space="preserve">un courrier/une signature </w:t>
      </w:r>
      <w:r w:rsidR="0041402A">
        <w:t>de soutien</w:t>
      </w:r>
      <w:r>
        <w:t xml:space="preserve"> soit retourné avec toute invitation destinée aux délégués </w:t>
      </w:r>
      <w:r w:rsidR="001722FF">
        <w:t>“</w:t>
      </w:r>
      <w:r>
        <w:t>inconnus</w:t>
      </w:r>
      <w:r w:rsidR="001722FF">
        <w:t>”</w:t>
      </w:r>
      <w:r>
        <w:t>.</w:t>
      </w:r>
    </w:p>
    <w:p w:rsidR="00DC35FA" w:rsidRPr="00954D73" w:rsidRDefault="00DC35FA" w:rsidP="00DC35FA">
      <w:pPr>
        <w:numPr>
          <w:ilvl w:val="0"/>
          <w:numId w:val="2"/>
        </w:numPr>
        <w:ind w:left="567" w:hanging="567"/>
      </w:pPr>
      <w:r>
        <w:t xml:space="preserve">Annoncer que les invitations sont envoyées via les médias sociaux, </w:t>
      </w:r>
      <w:r w:rsidR="0041402A">
        <w:t>et prévoir des</w:t>
      </w:r>
      <w:r>
        <w:t xml:space="preserve"> rappels lorsque le délai approche</w:t>
      </w:r>
    </w:p>
    <w:p w:rsidR="001722FF" w:rsidRDefault="00DC35FA" w:rsidP="00DC35FA">
      <w:pPr>
        <w:numPr>
          <w:ilvl w:val="0"/>
          <w:numId w:val="2"/>
        </w:numPr>
        <w:ind w:left="567" w:hanging="567"/>
      </w:pPr>
      <w:r>
        <w:t>Faire en sorte que l</w:t>
      </w:r>
      <w:r w:rsidR="001722FF">
        <w:t>’</w:t>
      </w:r>
      <w:r>
        <w:t>invitation soit différente des autres circulaires de l</w:t>
      </w:r>
      <w:r w:rsidR="001722FF">
        <w:t>’</w:t>
      </w:r>
      <w:r>
        <w:t>UPOV afin qu</w:t>
      </w:r>
      <w:r w:rsidR="001722FF">
        <w:t>’</w:t>
      </w:r>
      <w:r>
        <w:t>elle se démarque</w:t>
      </w:r>
      <w:r w:rsidR="002636BB">
        <w:t> </w:t>
      </w:r>
      <w:r>
        <w:t>: police, taille et couleur de police différentes, etc.</w:t>
      </w:r>
    </w:p>
    <w:p w:rsidR="00DC35FA" w:rsidRPr="00954D73" w:rsidRDefault="00DC35FA" w:rsidP="00DC35FA">
      <w:pPr>
        <w:numPr>
          <w:ilvl w:val="0"/>
          <w:numId w:val="2"/>
        </w:numPr>
        <w:ind w:left="567" w:hanging="567"/>
      </w:pPr>
      <w:r>
        <w:t>Le pays hôte pourrait émettre les invitations, de sorte qu</w:t>
      </w:r>
      <w:r w:rsidR="001722FF">
        <w:t>’</w:t>
      </w:r>
      <w:r>
        <w:t>elles soient plus visibles dans les boîtes de réception des destinataires</w:t>
      </w:r>
    </w:p>
    <w:p w:rsidR="00DC35FA" w:rsidRPr="00954D73" w:rsidRDefault="00DC35FA" w:rsidP="00DC35FA">
      <w:pPr>
        <w:numPr>
          <w:ilvl w:val="0"/>
          <w:numId w:val="2"/>
        </w:numPr>
        <w:ind w:left="567" w:hanging="567"/>
      </w:pPr>
      <w:r>
        <w:t>Envoyer un rappel</w:t>
      </w:r>
    </w:p>
    <w:p w:rsidR="00DC35FA" w:rsidRPr="00954D73" w:rsidRDefault="00DC35FA" w:rsidP="00DC35FA"/>
    <w:p w:rsidR="00DC35FA" w:rsidRPr="00954D73" w:rsidRDefault="00547C73" w:rsidP="00DC35FA">
      <w:pPr>
        <w:rPr>
          <w:u w:val="single"/>
        </w:rPr>
      </w:pPr>
      <w:r w:rsidRPr="00365374">
        <w:rPr>
          <w:u w:val="single"/>
        </w:rPr>
        <w:t>BMT</w:t>
      </w:r>
    </w:p>
    <w:p w:rsidR="00DC35FA" w:rsidRPr="00954D73" w:rsidRDefault="00DC35FA" w:rsidP="00DC35FA"/>
    <w:p w:rsidR="00DC35FA" w:rsidRPr="00954D73" w:rsidRDefault="00DC35FA" w:rsidP="00DC35FA">
      <w:r>
        <w:t>Nous sommes conscients que vos courriers électroniques sont rédigés d</w:t>
      </w:r>
      <w:r w:rsidR="001722FF">
        <w:t>’</w:t>
      </w:r>
      <w:r>
        <w:t>après un modèle type, cependant, ces normes de présentation peuvent être la raison pour laquelle vos invitations passent inaperçu</w:t>
      </w:r>
      <w:r w:rsidR="00ED14D8">
        <w:t>es.  No</w:t>
      </w:r>
      <w:r>
        <w:t>us suggérons qu</w:t>
      </w:r>
      <w:r w:rsidR="001722FF">
        <w:t>’</w:t>
      </w:r>
      <w:r>
        <w:t>un format spécifique soit utilisé pour les invitations afin que ces dernières puissent être rapidement identifiables.</w:t>
      </w:r>
    </w:p>
    <w:p w:rsidR="00DC35FA" w:rsidRPr="00954D73" w:rsidRDefault="00DC35FA" w:rsidP="00DC35FA"/>
    <w:p w:rsidR="001722FF" w:rsidRDefault="00DC35FA" w:rsidP="00DC35FA">
      <w:r>
        <w:t>Dans le même ordre d</w:t>
      </w:r>
      <w:r w:rsidR="001722FF">
        <w:t>’</w:t>
      </w:r>
      <w:r>
        <w:t>idées, le numéro de l</w:t>
      </w:r>
      <w:r w:rsidR="001722FF">
        <w:t>’</w:t>
      </w:r>
      <w:r>
        <w:t>UPOV (p.</w:t>
      </w:r>
      <w:r w:rsidR="002636BB">
        <w:t> </w:t>
      </w:r>
      <w:r>
        <w:t>ex.</w:t>
      </w:r>
      <w:r w:rsidR="002636BB">
        <w:t> </w:t>
      </w:r>
      <w:r>
        <w:t>E 19</w:t>
      </w:r>
      <w:r w:rsidR="002636BB">
        <w:t> </w:t>
      </w:r>
      <w:r>
        <w:t xml:space="preserve">013) pourrait être inséré à la fin </w:t>
      </w:r>
      <w:r w:rsidR="00110E26">
        <w:t xml:space="preserve">du champ </w:t>
      </w:r>
      <w:r w:rsidR="001722FF">
        <w:t>“</w:t>
      </w:r>
      <w:r w:rsidR="0041402A">
        <w:t>objet</w:t>
      </w:r>
      <w:r w:rsidR="001722FF">
        <w:t>”</w:t>
      </w:r>
      <w:r>
        <w:t>, afin que l</w:t>
      </w:r>
      <w:r w:rsidR="001722FF">
        <w:t>’</w:t>
      </w:r>
      <w:r>
        <w:t xml:space="preserve">invitation ressorte davantage dans une boîte de réception </w:t>
      </w:r>
      <w:r w:rsidR="0041402A">
        <w:t>bien remplie</w:t>
      </w:r>
      <w:r>
        <w:t>.</w:t>
      </w:r>
    </w:p>
    <w:p w:rsidR="00DC35FA" w:rsidRPr="00954D73" w:rsidRDefault="00DC35FA" w:rsidP="00DC35FA"/>
    <w:p w:rsidR="001722FF" w:rsidRDefault="00DC35FA" w:rsidP="00DC35FA">
      <w:r>
        <w:t>Il est difficile de s</w:t>
      </w:r>
      <w:r w:rsidR="001722FF">
        <w:t>’</w:t>
      </w:r>
      <w:r>
        <w:t>assurer que les personnes concernées assistent à la réunion, car chaque membre aura sa propre manière de choisir les délégués.</w:t>
      </w:r>
      <w:r w:rsidR="002636BB">
        <w:t xml:space="preserve"> </w:t>
      </w:r>
      <w:r>
        <w:t xml:space="preserve"> Souvent, les personnes assistant à la réunion sont des </w:t>
      </w:r>
      <w:r w:rsidR="001722FF">
        <w:t>“</w:t>
      </w:r>
      <w:r>
        <w:t>représentants des pays</w:t>
      </w:r>
      <w:r w:rsidR="001722FF">
        <w:t>”</w:t>
      </w:r>
      <w:r>
        <w:t>, qui ne sont pas nécessairement des experts techniques.</w:t>
      </w:r>
      <w:r w:rsidR="002636BB">
        <w:t xml:space="preserve"> </w:t>
      </w:r>
      <w:r>
        <w:t xml:space="preserve"> Il est peu probable que cette situation change, cependant, la diffusion de publicités (p.</w:t>
      </w:r>
      <w:r w:rsidR="002636BB">
        <w:t> </w:t>
      </w:r>
      <w:r>
        <w:t>ex.</w:t>
      </w:r>
      <w:r w:rsidR="002636BB">
        <w:t> </w:t>
      </w:r>
      <w:r>
        <w:t>une courte vidéo sur les avantages de la participation aux réunions) mises en valeur sur le site Internet ou sur les médias sociaux pourrait mettre en évidence les objectifs des réunions.</w:t>
      </w:r>
      <w:r w:rsidR="002636BB">
        <w:t xml:space="preserve"> </w:t>
      </w:r>
      <w:r>
        <w:t xml:space="preserve"> Par conséquent, les États membres pourraient être incités à reconsidérer et adapter la sélection de leur représentant.</w:t>
      </w:r>
    </w:p>
    <w:p w:rsidR="00DC35FA" w:rsidRPr="00954D73" w:rsidRDefault="00DC35FA" w:rsidP="00DC35FA">
      <w:pPr>
        <w:jc w:val="left"/>
      </w:pPr>
    </w:p>
    <w:p w:rsidR="00DC35FA" w:rsidRPr="00954D73" w:rsidRDefault="00DC35FA" w:rsidP="00DC35FA">
      <w:pPr>
        <w:jc w:val="left"/>
      </w:pPr>
    </w:p>
    <w:p w:rsidR="00DC35FA" w:rsidRPr="00954D73" w:rsidRDefault="00DC35FA" w:rsidP="00DC35FA">
      <w:pPr>
        <w:jc w:val="left"/>
      </w:pPr>
    </w:p>
    <w:p w:rsidR="00DC35FA" w:rsidRPr="00954D73" w:rsidRDefault="00DC35FA" w:rsidP="00DC35FA">
      <w:pPr>
        <w:jc w:val="right"/>
      </w:pPr>
      <w:r>
        <w:t>[Fin de l</w:t>
      </w:r>
      <w:r w:rsidR="001722FF">
        <w:t>’annexe I</w:t>
      </w:r>
      <w:r>
        <w:t>V et du document]</w:t>
      </w:r>
    </w:p>
    <w:p w:rsidR="00DC35FA" w:rsidRPr="00954D73" w:rsidRDefault="00DC35FA" w:rsidP="00DC35FA">
      <w:pPr>
        <w:jc w:val="left"/>
      </w:pPr>
    </w:p>
    <w:p w:rsidR="00050E16" w:rsidRPr="00954D73" w:rsidRDefault="00050E16" w:rsidP="00DC35FA">
      <w:pPr>
        <w:jc w:val="right"/>
      </w:pPr>
    </w:p>
    <w:sectPr w:rsidR="00050E16" w:rsidRPr="00954D73" w:rsidSect="00906DDC">
      <w:headerReference w:type="default" r:id="rId17"/>
      <w:headerReference w:type="first" r:id="rId1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6F7" w:rsidRDefault="004B06F7" w:rsidP="006655D3">
      <w:r>
        <w:separator/>
      </w:r>
    </w:p>
    <w:p w:rsidR="004B06F7" w:rsidRDefault="004B06F7" w:rsidP="006655D3"/>
    <w:p w:rsidR="004B06F7" w:rsidRDefault="004B06F7" w:rsidP="006655D3"/>
  </w:endnote>
  <w:endnote w:type="continuationSeparator" w:id="0">
    <w:p w:rsidR="004B06F7" w:rsidRDefault="004B06F7" w:rsidP="006655D3">
      <w:r>
        <w:separator/>
      </w:r>
    </w:p>
    <w:p w:rsidR="004B06F7" w:rsidRPr="00294751" w:rsidRDefault="004B06F7">
      <w:pPr>
        <w:pStyle w:val="Footer"/>
        <w:spacing w:after="60"/>
        <w:rPr>
          <w:sz w:val="18"/>
        </w:rPr>
      </w:pPr>
      <w:r w:rsidRPr="00294751">
        <w:rPr>
          <w:sz w:val="18"/>
        </w:rPr>
        <w:t>[Suite de la note de la page précédente]</w:t>
      </w:r>
    </w:p>
    <w:p w:rsidR="004B06F7" w:rsidRPr="00294751" w:rsidRDefault="004B06F7" w:rsidP="006655D3"/>
    <w:p w:rsidR="004B06F7" w:rsidRPr="00294751" w:rsidRDefault="004B06F7" w:rsidP="006655D3"/>
  </w:endnote>
  <w:endnote w:type="continuationNotice" w:id="1">
    <w:p w:rsidR="004B06F7" w:rsidRPr="00294751" w:rsidRDefault="004B06F7" w:rsidP="006655D3">
      <w:r w:rsidRPr="00294751">
        <w:t>[Suite de la note page suivante]</w:t>
      </w:r>
    </w:p>
    <w:p w:rsidR="004B06F7" w:rsidRPr="00294751" w:rsidRDefault="004B06F7" w:rsidP="006655D3"/>
    <w:p w:rsidR="004B06F7" w:rsidRPr="00294751" w:rsidRDefault="004B06F7"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E5B" w:rsidRDefault="00561E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E5B" w:rsidRDefault="00561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E5B" w:rsidRDefault="00561E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5FA" w:rsidRDefault="00DC3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6F7" w:rsidRDefault="004B06F7" w:rsidP="006655D3">
      <w:r>
        <w:separator/>
      </w:r>
    </w:p>
  </w:footnote>
  <w:footnote w:type="continuationSeparator" w:id="0">
    <w:p w:rsidR="004B06F7" w:rsidRDefault="004B06F7" w:rsidP="006655D3">
      <w:r>
        <w:separator/>
      </w:r>
    </w:p>
  </w:footnote>
  <w:footnote w:type="continuationNotice" w:id="1">
    <w:p w:rsidR="004B06F7" w:rsidRPr="00AB530F" w:rsidRDefault="004B06F7"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E5B" w:rsidRDefault="00561E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6D7435" w:rsidP="00EB048E">
    <w:pPr>
      <w:pStyle w:val="Header"/>
      <w:rPr>
        <w:rStyle w:val="PageNumber"/>
      </w:rPr>
    </w:pPr>
    <w:r>
      <w:rPr>
        <w:rStyle w:val="PageNumber"/>
      </w:rPr>
      <w:t>TC/55/24</w:t>
    </w:r>
  </w:p>
  <w:p w:rsidR="00182B99" w:rsidRPr="00C5280D" w:rsidRDefault="00182B99" w:rsidP="00EB048E">
    <w:pPr>
      <w:pStyle w:val="Header"/>
    </w:pPr>
    <w:r>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365374">
      <w:rPr>
        <w:rStyle w:val="PageNumber"/>
        <w:noProof/>
      </w:rPr>
      <w:t>4</w:t>
    </w:r>
    <w:r w:rsidRPr="00C5280D">
      <w:rPr>
        <w:rStyle w:val="PageNumber"/>
      </w:rPr>
      <w:fldChar w:fldCharType="end"/>
    </w:r>
  </w:p>
  <w:p w:rsidR="00182B99" w:rsidRPr="00C5280D" w:rsidRDefault="00182B99"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E5B" w:rsidRDefault="00561E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5FA" w:rsidRPr="00C5280D" w:rsidRDefault="00DC35FA" w:rsidP="00E77198">
    <w:pPr>
      <w:pStyle w:val="Header"/>
      <w:rPr>
        <w:rStyle w:val="PageNumber"/>
      </w:rPr>
    </w:pPr>
    <w:r>
      <w:rPr>
        <w:rStyle w:val="PageNumber"/>
      </w:rPr>
      <w:t>TC/55/24</w:t>
    </w:r>
  </w:p>
  <w:p w:rsidR="00DC35FA" w:rsidRDefault="00DC35FA" w:rsidP="00601B3C">
    <w:pPr>
      <w:jc w:val="center"/>
      <w:rPr>
        <w:rFonts w:cs="Arial"/>
        <w:snapToGrid w:val="0"/>
      </w:rPr>
    </w:pPr>
  </w:p>
  <w:p w:rsidR="00DC35FA" w:rsidRDefault="00DC35FA" w:rsidP="00601B3C">
    <w:pPr>
      <w:jc w:val="center"/>
      <w:rPr>
        <w:rFonts w:cs="Arial"/>
      </w:rPr>
    </w:pPr>
    <w:r>
      <w:t>ANNEXE I</w:t>
    </w:r>
  </w:p>
  <w:p w:rsidR="00DC35FA" w:rsidRDefault="00DC35FA" w:rsidP="00601B3C">
    <w:pPr>
      <w:jc w:val="center"/>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5FA" w:rsidRPr="00C5280D" w:rsidRDefault="00DC35FA" w:rsidP="00E77198">
    <w:pPr>
      <w:pStyle w:val="Header"/>
      <w:rPr>
        <w:rStyle w:val="PageNumber"/>
      </w:rPr>
    </w:pPr>
    <w:r>
      <w:rPr>
        <w:rStyle w:val="PageNumber"/>
      </w:rPr>
      <w:t>TC/55/24</w:t>
    </w:r>
  </w:p>
  <w:p w:rsidR="00DC35FA" w:rsidRDefault="00DC35FA" w:rsidP="00601B3C">
    <w:pPr>
      <w:jc w:val="center"/>
      <w:rPr>
        <w:rFonts w:cs="Arial"/>
        <w:snapToGrid w:val="0"/>
      </w:rPr>
    </w:pPr>
  </w:p>
  <w:p w:rsidR="00DC35FA" w:rsidRDefault="00DC35FA" w:rsidP="00601B3C">
    <w:pPr>
      <w:jc w:val="center"/>
      <w:rPr>
        <w:rFonts w:cs="Arial"/>
      </w:rPr>
    </w:pPr>
    <w:r>
      <w:t>ANNEXE II</w:t>
    </w:r>
  </w:p>
  <w:p w:rsidR="00DC35FA" w:rsidRDefault="00DC35FA" w:rsidP="00601B3C">
    <w:pPr>
      <w:jc w:val="center"/>
      <w:rPr>
        <w:rFonts w:cs="Arial"/>
      </w:rPr>
    </w:pPr>
  </w:p>
  <w:p w:rsidR="00DC35FA" w:rsidRPr="00E77198" w:rsidRDefault="00DC35FA" w:rsidP="00601B3C">
    <w:pPr>
      <w:pStyle w:val="Header"/>
      <w:rPr>
        <w:rFonts w:cs="Arial"/>
        <w:caps/>
      </w:rPr>
    </w:pPr>
    <w:r>
      <w:rPr>
        <w:bCs/>
        <w:caps/>
        <w:snapToGrid w:val="0"/>
      </w:rPr>
      <w:t>EXEM</w:t>
    </w:r>
    <w:r w:rsidR="0087089D">
      <w:rPr>
        <w:bCs/>
        <w:caps/>
        <w:snapToGrid w:val="0"/>
      </w:rPr>
      <w:t>PLE de circulaire d’invitation é</w:t>
    </w:r>
    <w:r>
      <w:rPr>
        <w:bCs/>
        <w:caps/>
        <w:snapToGrid w:val="0"/>
      </w:rPr>
      <w:t xml:space="preserve">lectronique pour les sessions du </w:t>
    </w:r>
    <w:r w:rsidR="0087089D">
      <w:rPr>
        <w:bCs/>
        <w:caps/>
        <w:snapToGrid w:val="0"/>
      </w:rPr>
      <w:t>TC</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A70" w:rsidRPr="008A3E38" w:rsidRDefault="00102AE0" w:rsidP="00EB048E">
    <w:pPr>
      <w:pStyle w:val="Header"/>
      <w:rPr>
        <w:rStyle w:val="PageNumber"/>
      </w:rPr>
    </w:pPr>
    <w:r>
      <w:rPr>
        <w:rStyle w:val="PageNumber"/>
      </w:rPr>
      <w:t>TC/55/24</w:t>
    </w:r>
  </w:p>
  <w:p w:rsidR="00E25A70" w:rsidRDefault="00365374" w:rsidP="008A3E38">
    <w:pPr>
      <w:pStyle w:val="Header"/>
      <w:rPr>
        <w:lang w:val="fr-CH"/>
      </w:rPr>
    </w:pPr>
  </w:p>
  <w:p w:rsidR="00E25A70" w:rsidRPr="00697707" w:rsidRDefault="00102AE0" w:rsidP="008A3E38">
    <w:pPr>
      <w:pStyle w:val="Header"/>
    </w:pPr>
    <w:r>
      <w:t>ANNEXE IV</w:t>
    </w:r>
  </w:p>
  <w:p w:rsidR="00E25A70" w:rsidRPr="008A3E38" w:rsidRDefault="00365374" w:rsidP="00615429">
    <w:pPr>
      <w:pStyle w:val="Header"/>
    </w:pPr>
  </w:p>
  <w:p w:rsidR="00E25A70" w:rsidRPr="008A3E38" w:rsidRDefault="00365374" w:rsidP="006655D3">
    <w:pP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A70" w:rsidRDefault="00102AE0">
    <w:pPr>
      <w:pStyle w:val="Header"/>
    </w:pPr>
    <w:r>
      <w:t>TC/55/24</w:t>
    </w:r>
  </w:p>
  <w:p w:rsidR="00E25A70" w:rsidRDefault="00365374">
    <w:pPr>
      <w:pStyle w:val="Header"/>
    </w:pPr>
  </w:p>
  <w:p w:rsidR="00E25A70" w:rsidRDefault="00102AE0">
    <w:pPr>
      <w:pStyle w:val="Header"/>
    </w:pPr>
    <w:r>
      <w:t>ANNEXE III</w:t>
    </w:r>
  </w:p>
  <w:p w:rsidR="00E25A70" w:rsidRDefault="003653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650D0"/>
    <w:multiLevelType w:val="hybridMultilevel"/>
    <w:tmpl w:val="C07875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E6F1EA3"/>
    <w:multiLevelType w:val="hybridMultilevel"/>
    <w:tmpl w:val="2F1E0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C0E2705"/>
    <w:multiLevelType w:val="hybridMultilevel"/>
    <w:tmpl w:val="54A493E6"/>
    <w:lvl w:ilvl="0" w:tplc="8FD43CC0">
      <w:start w:val="2866"/>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39342C"/>
    <w:multiLevelType w:val="hybridMultilevel"/>
    <w:tmpl w:val="85D6F85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C5D"/>
    <w:rsid w:val="00010CF3"/>
    <w:rsid w:val="00011E27"/>
    <w:rsid w:val="000148BC"/>
    <w:rsid w:val="00024AB8"/>
    <w:rsid w:val="00030854"/>
    <w:rsid w:val="00036028"/>
    <w:rsid w:val="00044642"/>
    <w:rsid w:val="000446B9"/>
    <w:rsid w:val="00047E21"/>
    <w:rsid w:val="00050E16"/>
    <w:rsid w:val="00085505"/>
    <w:rsid w:val="000B1D90"/>
    <w:rsid w:val="000C4E25"/>
    <w:rsid w:val="000C7021"/>
    <w:rsid w:val="000D6BBC"/>
    <w:rsid w:val="000D7780"/>
    <w:rsid w:val="000E636A"/>
    <w:rsid w:val="000F2F11"/>
    <w:rsid w:val="00102AE0"/>
    <w:rsid w:val="00105929"/>
    <w:rsid w:val="00110C36"/>
    <w:rsid w:val="00110E26"/>
    <w:rsid w:val="001131D5"/>
    <w:rsid w:val="00141DB8"/>
    <w:rsid w:val="00172084"/>
    <w:rsid w:val="001722FF"/>
    <w:rsid w:val="001729E4"/>
    <w:rsid w:val="0017474A"/>
    <w:rsid w:val="001758C6"/>
    <w:rsid w:val="00182B99"/>
    <w:rsid w:val="001A0646"/>
    <w:rsid w:val="001C55E9"/>
    <w:rsid w:val="001D7915"/>
    <w:rsid w:val="001E55BF"/>
    <w:rsid w:val="0021332C"/>
    <w:rsid w:val="00213982"/>
    <w:rsid w:val="0024416D"/>
    <w:rsid w:val="002636BB"/>
    <w:rsid w:val="00271911"/>
    <w:rsid w:val="002800A0"/>
    <w:rsid w:val="002801B3"/>
    <w:rsid w:val="00281060"/>
    <w:rsid w:val="002940E8"/>
    <w:rsid w:val="00294751"/>
    <w:rsid w:val="002A6E50"/>
    <w:rsid w:val="002B4298"/>
    <w:rsid w:val="002C256A"/>
    <w:rsid w:val="00300393"/>
    <w:rsid w:val="00304827"/>
    <w:rsid w:val="00305A7F"/>
    <w:rsid w:val="003152FE"/>
    <w:rsid w:val="00327436"/>
    <w:rsid w:val="00340545"/>
    <w:rsid w:val="003423AA"/>
    <w:rsid w:val="00344BD6"/>
    <w:rsid w:val="0035528D"/>
    <w:rsid w:val="00361821"/>
    <w:rsid w:val="00361E9E"/>
    <w:rsid w:val="00365374"/>
    <w:rsid w:val="003C7FBE"/>
    <w:rsid w:val="003D01E6"/>
    <w:rsid w:val="003D227C"/>
    <w:rsid w:val="003D2B4D"/>
    <w:rsid w:val="003F4AA8"/>
    <w:rsid w:val="0041402A"/>
    <w:rsid w:val="00442348"/>
    <w:rsid w:val="00444A88"/>
    <w:rsid w:val="00474DA4"/>
    <w:rsid w:val="00476B4D"/>
    <w:rsid w:val="00476D40"/>
    <w:rsid w:val="004805FA"/>
    <w:rsid w:val="004935D2"/>
    <w:rsid w:val="004B06F7"/>
    <w:rsid w:val="004B1215"/>
    <w:rsid w:val="004D047D"/>
    <w:rsid w:val="004F1E9E"/>
    <w:rsid w:val="004F305A"/>
    <w:rsid w:val="00512164"/>
    <w:rsid w:val="00520297"/>
    <w:rsid w:val="005338F9"/>
    <w:rsid w:val="0054281C"/>
    <w:rsid w:val="00544581"/>
    <w:rsid w:val="00547C73"/>
    <w:rsid w:val="0055268D"/>
    <w:rsid w:val="00561E5B"/>
    <w:rsid w:val="00574039"/>
    <w:rsid w:val="00576BE4"/>
    <w:rsid w:val="005A400A"/>
    <w:rsid w:val="005D50C3"/>
    <w:rsid w:val="005F7B92"/>
    <w:rsid w:val="00612379"/>
    <w:rsid w:val="006153B6"/>
    <w:rsid w:val="0061555F"/>
    <w:rsid w:val="00636CA6"/>
    <w:rsid w:val="00641200"/>
    <w:rsid w:val="00645CA8"/>
    <w:rsid w:val="006605D5"/>
    <w:rsid w:val="006655D3"/>
    <w:rsid w:val="00667404"/>
    <w:rsid w:val="00687EB4"/>
    <w:rsid w:val="00695C56"/>
    <w:rsid w:val="006A5CDE"/>
    <w:rsid w:val="006A644A"/>
    <w:rsid w:val="006B17D2"/>
    <w:rsid w:val="006B3B48"/>
    <w:rsid w:val="006C224E"/>
    <w:rsid w:val="006D7435"/>
    <w:rsid w:val="006D780A"/>
    <w:rsid w:val="006F7263"/>
    <w:rsid w:val="0071271E"/>
    <w:rsid w:val="00732DEC"/>
    <w:rsid w:val="00735BD5"/>
    <w:rsid w:val="00751613"/>
    <w:rsid w:val="007556F6"/>
    <w:rsid w:val="00760EEF"/>
    <w:rsid w:val="00777EE5"/>
    <w:rsid w:val="00784836"/>
    <w:rsid w:val="0079023E"/>
    <w:rsid w:val="007920A4"/>
    <w:rsid w:val="007A2854"/>
    <w:rsid w:val="007C1D92"/>
    <w:rsid w:val="007C4CB9"/>
    <w:rsid w:val="007D0B9D"/>
    <w:rsid w:val="007D19B0"/>
    <w:rsid w:val="007F498F"/>
    <w:rsid w:val="00805DDC"/>
    <w:rsid w:val="0080679D"/>
    <w:rsid w:val="00810727"/>
    <w:rsid w:val="008108B0"/>
    <w:rsid w:val="00811B20"/>
    <w:rsid w:val="008211B5"/>
    <w:rsid w:val="0082296E"/>
    <w:rsid w:val="00824099"/>
    <w:rsid w:val="00846D7C"/>
    <w:rsid w:val="00867AC1"/>
    <w:rsid w:val="0087089D"/>
    <w:rsid w:val="00890DF8"/>
    <w:rsid w:val="008A743F"/>
    <w:rsid w:val="008B6E60"/>
    <w:rsid w:val="008C0970"/>
    <w:rsid w:val="008C2665"/>
    <w:rsid w:val="008D0BC5"/>
    <w:rsid w:val="008D2CF7"/>
    <w:rsid w:val="008D7E86"/>
    <w:rsid w:val="00900C26"/>
    <w:rsid w:val="0090197F"/>
    <w:rsid w:val="00901ED9"/>
    <w:rsid w:val="00906DDC"/>
    <w:rsid w:val="00915F6F"/>
    <w:rsid w:val="00917F62"/>
    <w:rsid w:val="00934E09"/>
    <w:rsid w:val="00936253"/>
    <w:rsid w:val="00940D46"/>
    <w:rsid w:val="00952DD4"/>
    <w:rsid w:val="00954D73"/>
    <w:rsid w:val="00965AE7"/>
    <w:rsid w:val="00970FED"/>
    <w:rsid w:val="00992D82"/>
    <w:rsid w:val="00997029"/>
    <w:rsid w:val="009A2CEB"/>
    <w:rsid w:val="009A7339"/>
    <w:rsid w:val="009B440E"/>
    <w:rsid w:val="009D690D"/>
    <w:rsid w:val="009E65B6"/>
    <w:rsid w:val="00A1245A"/>
    <w:rsid w:val="00A24C10"/>
    <w:rsid w:val="00A37C2B"/>
    <w:rsid w:val="00A42AC3"/>
    <w:rsid w:val="00A430CF"/>
    <w:rsid w:val="00A54309"/>
    <w:rsid w:val="00A6421F"/>
    <w:rsid w:val="00AB2B93"/>
    <w:rsid w:val="00AB530F"/>
    <w:rsid w:val="00AB7E5B"/>
    <w:rsid w:val="00AC2883"/>
    <w:rsid w:val="00AC5FD4"/>
    <w:rsid w:val="00AE0EF1"/>
    <w:rsid w:val="00AE2937"/>
    <w:rsid w:val="00B07301"/>
    <w:rsid w:val="00B11F3E"/>
    <w:rsid w:val="00B224DE"/>
    <w:rsid w:val="00B31763"/>
    <w:rsid w:val="00B324D4"/>
    <w:rsid w:val="00B46575"/>
    <w:rsid w:val="00B61777"/>
    <w:rsid w:val="00B84BBD"/>
    <w:rsid w:val="00BA43FB"/>
    <w:rsid w:val="00BC127D"/>
    <w:rsid w:val="00BC1FE6"/>
    <w:rsid w:val="00BD076B"/>
    <w:rsid w:val="00BE46AA"/>
    <w:rsid w:val="00C061B6"/>
    <w:rsid w:val="00C14B4E"/>
    <w:rsid w:val="00C21531"/>
    <w:rsid w:val="00C2446C"/>
    <w:rsid w:val="00C36AE5"/>
    <w:rsid w:val="00C37FFC"/>
    <w:rsid w:val="00C41F17"/>
    <w:rsid w:val="00C527FA"/>
    <w:rsid w:val="00C5280D"/>
    <w:rsid w:val="00C53EB3"/>
    <w:rsid w:val="00C5791C"/>
    <w:rsid w:val="00C64FFC"/>
    <w:rsid w:val="00C66290"/>
    <w:rsid w:val="00C72B7A"/>
    <w:rsid w:val="00C973F2"/>
    <w:rsid w:val="00CA304C"/>
    <w:rsid w:val="00CA774A"/>
    <w:rsid w:val="00CC11B0"/>
    <w:rsid w:val="00CC2841"/>
    <w:rsid w:val="00CF1330"/>
    <w:rsid w:val="00CF7E36"/>
    <w:rsid w:val="00D3708D"/>
    <w:rsid w:val="00D40426"/>
    <w:rsid w:val="00D57C96"/>
    <w:rsid w:val="00D57D18"/>
    <w:rsid w:val="00D8481A"/>
    <w:rsid w:val="00D91203"/>
    <w:rsid w:val="00D95174"/>
    <w:rsid w:val="00DA4973"/>
    <w:rsid w:val="00DA6F36"/>
    <w:rsid w:val="00DB596E"/>
    <w:rsid w:val="00DB7773"/>
    <w:rsid w:val="00DC00EA"/>
    <w:rsid w:val="00DC35FA"/>
    <w:rsid w:val="00DC3802"/>
    <w:rsid w:val="00E07D87"/>
    <w:rsid w:val="00E32F7E"/>
    <w:rsid w:val="00E5267B"/>
    <w:rsid w:val="00E53F26"/>
    <w:rsid w:val="00E63C0E"/>
    <w:rsid w:val="00E72178"/>
    <w:rsid w:val="00E72D49"/>
    <w:rsid w:val="00E7593C"/>
    <w:rsid w:val="00E7678A"/>
    <w:rsid w:val="00E82D8D"/>
    <w:rsid w:val="00E935F1"/>
    <w:rsid w:val="00E94A81"/>
    <w:rsid w:val="00EA1FFB"/>
    <w:rsid w:val="00EA21F4"/>
    <w:rsid w:val="00EB048E"/>
    <w:rsid w:val="00EB4E9C"/>
    <w:rsid w:val="00EC5C5D"/>
    <w:rsid w:val="00ED14D8"/>
    <w:rsid w:val="00EE34DF"/>
    <w:rsid w:val="00EF2F89"/>
    <w:rsid w:val="00F03E98"/>
    <w:rsid w:val="00F1237A"/>
    <w:rsid w:val="00F16ADD"/>
    <w:rsid w:val="00F22CBD"/>
    <w:rsid w:val="00F272F1"/>
    <w:rsid w:val="00F37CA7"/>
    <w:rsid w:val="00F45372"/>
    <w:rsid w:val="00F560F7"/>
    <w:rsid w:val="00F6334D"/>
    <w:rsid w:val="00F831D0"/>
    <w:rsid w:val="00FA49AB"/>
    <w:rsid w:val="00FE1245"/>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841212"/>
  <w15:docId w15:val="{9606AF2F-BDB3-4B5D-9733-87DEADB93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915F6F"/>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fr-FR"/>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574039"/>
    <w:pPr>
      <w:tabs>
        <w:tab w:val="right" w:leader="dot" w:pos="9639"/>
      </w:tabs>
      <w:ind w:left="568" w:right="851" w:hanging="284"/>
      <w:contextualSpacing/>
    </w:pPr>
    <w:rPr>
      <w:sz w:val="18"/>
    </w:rPr>
  </w:style>
  <w:style w:type="paragraph" w:styleId="TOC3">
    <w:name w:val="toc 3"/>
    <w:next w:val="Normal"/>
    <w:autoRedefine/>
    <w:uiPriority w:val="39"/>
    <w:rsid w:val="00C21531"/>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basedOn w:val="Normal"/>
    <w:next w:val="Normal"/>
    <w:autoRedefine/>
    <w:uiPriority w:val="39"/>
    <w:rsid w:val="00C21531"/>
    <w:pPr>
      <w:tabs>
        <w:tab w:val="right" w:leader="dot" w:pos="9639"/>
      </w:tabs>
      <w:spacing w:before="60"/>
      <w:ind w:right="1418"/>
      <w:contextualSpacing/>
      <w:jc w:val="center"/>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EC5C5D"/>
    <w:pPr>
      <w:ind w:left="720"/>
      <w:contextualSpacing/>
    </w:pPr>
  </w:style>
  <w:style w:type="character" w:customStyle="1" w:styleId="HeaderChar">
    <w:name w:val="Header Char"/>
    <w:basedOn w:val="DefaultParagraphFont"/>
    <w:link w:val="Header"/>
    <w:rsid w:val="00DC35FA"/>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3401</Words>
  <Characters>19392</Characters>
  <Application>Microsoft Office Word</Application>
  <DocSecurity>0</DocSecurity>
  <Lines>161</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TC/55</vt:lpstr>
      <vt:lpstr>TC/55</vt:lpstr>
    </vt:vector>
  </TitlesOfParts>
  <Company>UPOV</Company>
  <LinksUpToDate>false</LinksUpToDate>
  <CharactersWithSpaces>22748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dc:title>
  <dc:creator>REZENDE TAVEIRA Leontino</dc:creator>
  <cp:lastModifiedBy>MAY Jessica</cp:lastModifiedBy>
  <cp:revision>3</cp:revision>
  <cp:lastPrinted>2016-11-22T15:41:00Z</cp:lastPrinted>
  <dcterms:created xsi:type="dcterms:W3CDTF">2019-10-20T13:46:00Z</dcterms:created>
  <dcterms:modified xsi:type="dcterms:W3CDTF">2019-10-20T13:52:00Z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14a37d44-4fdb-4309-8811-7530b4fabb08</vt:lpwstr>
  </property>
</Properties>
</file>