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A6D30" w:rsidRPr="00F47789" w:rsidTr="00AA394F">
        <w:trPr>
          <w:trHeight w:val="1760"/>
        </w:trPr>
        <w:tc>
          <w:tcPr>
            <w:tcW w:w="4243" w:type="dxa"/>
          </w:tcPr>
          <w:p w:rsidR="00530EBA" w:rsidRPr="00F47789" w:rsidRDefault="00530EBA" w:rsidP="00621E06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530EBA" w:rsidRPr="00F47789" w:rsidRDefault="00530EBA" w:rsidP="00621E06">
            <w:pPr>
              <w:pStyle w:val="LogoUPOV"/>
              <w:rPr>
                <w:lang w:val="fr-FR"/>
              </w:rPr>
            </w:pPr>
            <w:r w:rsidRPr="00F47789">
              <w:rPr>
                <w:noProof/>
                <w:lang w:val="fr-FR"/>
              </w:rPr>
              <w:drawing>
                <wp:inline distT="0" distB="0" distL="0" distR="0" wp14:anchorId="6FACF68F" wp14:editId="597BC91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D0F00" w:rsidRPr="00F47789" w:rsidRDefault="00530EBA" w:rsidP="00621E06">
            <w:pPr>
              <w:pStyle w:val="Lettrine"/>
              <w:spacing w:line="240" w:lineRule="auto"/>
              <w:rPr>
                <w:lang w:val="fr-FR"/>
              </w:rPr>
            </w:pPr>
            <w:r w:rsidRPr="00F47789">
              <w:rPr>
                <w:lang w:val="fr-FR"/>
              </w:rPr>
              <w:t>F</w:t>
            </w:r>
          </w:p>
          <w:p w:rsidR="008D0F00" w:rsidRPr="00F47789" w:rsidRDefault="00530EBA" w:rsidP="00621E06">
            <w:pPr>
              <w:pStyle w:val="Docoriginal"/>
              <w:spacing w:line="240" w:lineRule="auto"/>
              <w:rPr>
                <w:lang w:val="fr-FR"/>
              </w:rPr>
            </w:pPr>
            <w:r w:rsidRPr="00F47789">
              <w:rPr>
                <w:lang w:val="fr-FR"/>
              </w:rPr>
              <w:t>TC/</w:t>
            </w:r>
            <w:r w:rsidR="00007A2E" w:rsidRPr="00F47789">
              <w:rPr>
                <w:lang w:val="fr-FR"/>
              </w:rPr>
              <w:t>52</w:t>
            </w:r>
            <w:r w:rsidRPr="00F47789">
              <w:rPr>
                <w:lang w:val="fr-FR"/>
              </w:rPr>
              <w:t>/</w:t>
            </w:r>
            <w:bookmarkStart w:id="0" w:name="Code"/>
            <w:bookmarkEnd w:id="0"/>
            <w:r w:rsidRPr="00F47789">
              <w:rPr>
                <w:lang w:val="fr-FR"/>
              </w:rPr>
              <w:t>16</w:t>
            </w:r>
          </w:p>
          <w:p w:rsidR="008D0F00" w:rsidRPr="00F47789" w:rsidRDefault="00530EBA" w:rsidP="00621E06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F47789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47858" w:rsidRPr="00F47789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F47789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F47789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F47789">
              <w:rPr>
                <w:b w:val="0"/>
                <w:spacing w:val="0"/>
                <w:lang w:val="fr-FR"/>
              </w:rPr>
              <w:t>anglais</w:t>
            </w:r>
          </w:p>
          <w:p w:rsidR="00530EBA" w:rsidRPr="00F47789" w:rsidRDefault="00530EBA" w:rsidP="000F6CAC">
            <w:pPr>
              <w:pStyle w:val="Docoriginal"/>
              <w:spacing w:line="240" w:lineRule="auto"/>
              <w:rPr>
                <w:lang w:val="fr-FR"/>
              </w:rPr>
            </w:pPr>
            <w:r w:rsidRPr="00F47789">
              <w:rPr>
                <w:spacing w:val="0"/>
                <w:lang w:val="fr-FR"/>
              </w:rPr>
              <w:t>DATE</w:t>
            </w:r>
            <w:r w:rsidR="00947858" w:rsidRPr="00F47789">
              <w:rPr>
                <w:spacing w:val="0"/>
                <w:lang w:val="fr-FR"/>
              </w:rPr>
              <w:t> </w:t>
            </w:r>
            <w:r w:rsidRPr="00F47789">
              <w:rPr>
                <w:spacing w:val="0"/>
                <w:lang w:val="fr-FR"/>
              </w:rPr>
              <w:t>:</w:t>
            </w:r>
            <w:r w:rsidRPr="00F47789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F6CAC" w:rsidRPr="00F47789">
              <w:rPr>
                <w:rStyle w:val="StyleDocoriginalNotBold1"/>
                <w:spacing w:val="0"/>
                <w:lang w:val="fr-FR"/>
              </w:rPr>
              <w:t>22</w:t>
            </w:r>
            <w:r w:rsidR="004B3E00" w:rsidRPr="00F47789">
              <w:rPr>
                <w:b w:val="0"/>
                <w:spacing w:val="0"/>
                <w:lang w:val="fr-FR"/>
              </w:rPr>
              <w:t> janvier 20</w:t>
            </w:r>
            <w:r w:rsidR="00007A2E" w:rsidRPr="00F47789">
              <w:rPr>
                <w:b w:val="0"/>
                <w:spacing w:val="0"/>
                <w:lang w:val="fr-FR"/>
              </w:rPr>
              <w:t>16</w:t>
            </w:r>
          </w:p>
        </w:tc>
      </w:tr>
      <w:tr w:rsidR="000A6D30" w:rsidRPr="00F47789" w:rsidTr="00AA394F">
        <w:tc>
          <w:tcPr>
            <w:tcW w:w="10131" w:type="dxa"/>
            <w:gridSpan w:val="3"/>
          </w:tcPr>
          <w:p w:rsidR="00530EBA" w:rsidRPr="00F47789" w:rsidRDefault="00530EBA" w:rsidP="00621E06">
            <w:pPr>
              <w:pStyle w:val="upove"/>
              <w:rPr>
                <w:sz w:val="28"/>
                <w:lang w:val="fr-FR"/>
              </w:rPr>
            </w:pPr>
            <w:r w:rsidRPr="00F47789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A6D30" w:rsidRPr="00F47789" w:rsidTr="00AA394F">
        <w:tc>
          <w:tcPr>
            <w:tcW w:w="10131" w:type="dxa"/>
            <w:gridSpan w:val="3"/>
          </w:tcPr>
          <w:p w:rsidR="00530EBA" w:rsidRPr="00F47789" w:rsidRDefault="00530EBA" w:rsidP="00621E06">
            <w:pPr>
              <w:pStyle w:val="Country"/>
              <w:rPr>
                <w:lang w:val="fr-FR"/>
              </w:rPr>
            </w:pPr>
            <w:r w:rsidRPr="00F47789">
              <w:rPr>
                <w:lang w:val="fr-FR"/>
              </w:rPr>
              <w:t>Genève</w:t>
            </w:r>
          </w:p>
        </w:tc>
      </w:tr>
    </w:tbl>
    <w:p w:rsidR="008D0F00" w:rsidRPr="00F47789" w:rsidRDefault="00530EBA" w:rsidP="00621E06">
      <w:pPr>
        <w:pStyle w:val="Sessiontc"/>
        <w:rPr>
          <w:lang w:val="fr-FR"/>
        </w:rPr>
      </w:pPr>
      <w:r w:rsidRPr="00F47789">
        <w:rPr>
          <w:lang w:val="fr-FR"/>
        </w:rPr>
        <w:t>Comité TECHNIQUE</w:t>
      </w:r>
    </w:p>
    <w:p w:rsidR="008D0F00" w:rsidRPr="00F47789" w:rsidRDefault="00007A2E" w:rsidP="00621E06">
      <w:pPr>
        <w:pStyle w:val="Sessiontcplacedate"/>
        <w:rPr>
          <w:lang w:val="fr-FR"/>
        </w:rPr>
      </w:pPr>
      <w:r w:rsidRPr="00F47789">
        <w:rPr>
          <w:snapToGrid w:val="0"/>
          <w:lang w:val="fr-FR"/>
        </w:rPr>
        <w:t>Cinquante</w:t>
      </w:r>
      <w:r w:rsidR="00401D77" w:rsidRPr="00F47789">
        <w:rPr>
          <w:snapToGrid w:val="0"/>
          <w:lang w:val="fr-FR"/>
        </w:rPr>
        <w:noBreakHyphen/>
      </w:r>
      <w:r w:rsidRPr="00F47789">
        <w:rPr>
          <w:snapToGrid w:val="0"/>
          <w:lang w:val="fr-FR"/>
        </w:rPr>
        <w:t>deuxième </w:t>
      </w:r>
      <w:r w:rsidR="00530EBA" w:rsidRPr="00F47789">
        <w:rPr>
          <w:lang w:val="fr-FR"/>
        </w:rPr>
        <w:t xml:space="preserve">session </w:t>
      </w:r>
      <w:r w:rsidR="00530EBA" w:rsidRPr="00F47789">
        <w:rPr>
          <w:lang w:val="fr-FR"/>
        </w:rPr>
        <w:br/>
        <w:t xml:space="preserve">Genève, </w:t>
      </w:r>
      <w:r w:rsidRPr="00F47789">
        <w:rPr>
          <w:lang w:val="fr-FR"/>
        </w:rPr>
        <w:t>14 – 16</w:t>
      </w:r>
      <w:r w:rsidR="00343EE5" w:rsidRPr="00F47789">
        <w:rPr>
          <w:lang w:val="fr-FR"/>
        </w:rPr>
        <w:t> mars 20</w:t>
      </w:r>
      <w:r w:rsidRPr="00F47789">
        <w:rPr>
          <w:lang w:val="fr-FR"/>
        </w:rPr>
        <w:t>16</w:t>
      </w:r>
    </w:p>
    <w:p w:rsidR="008D0F00" w:rsidRPr="00F47789" w:rsidRDefault="00530EBA" w:rsidP="00621E06">
      <w:pPr>
        <w:pStyle w:val="Titleofdoc0"/>
        <w:rPr>
          <w:lang w:val="fr-FR"/>
        </w:rPr>
      </w:pPr>
      <w:bookmarkStart w:id="3" w:name="TitleOfDoc"/>
      <w:bookmarkEnd w:id="3"/>
      <w:r w:rsidRPr="00F47789">
        <w:rPr>
          <w:lang w:val="fr-FR"/>
        </w:rPr>
        <w:t xml:space="preserve">RÉvision DU document TGP/8 : </w:t>
      </w:r>
      <w:r w:rsidR="0019691C" w:rsidRPr="00F47789">
        <w:rPr>
          <w:lang w:val="fr-FR"/>
        </w:rPr>
        <w:br/>
      </w:r>
      <w:r w:rsidRPr="00F47789">
        <w:rPr>
          <w:lang w:val="fr-FR"/>
        </w:rPr>
        <w:t>Première partie : protocole d</w:t>
      </w:r>
      <w:r w:rsidR="004B3E00" w:rsidRPr="00F47789">
        <w:rPr>
          <w:lang w:val="fr-FR"/>
        </w:rPr>
        <w:t>’</w:t>
      </w:r>
      <w:r w:rsidRPr="00F47789">
        <w:rPr>
          <w:lang w:val="fr-FR"/>
        </w:rPr>
        <w:t xml:space="preserve">essai DHS et analyse des données, </w:t>
      </w:r>
      <w:r w:rsidR="0019691C" w:rsidRPr="00F47789">
        <w:rPr>
          <w:lang w:val="fr-FR"/>
        </w:rPr>
        <w:br/>
      </w:r>
      <w:r w:rsidRPr="00F47789">
        <w:rPr>
          <w:lang w:val="fr-FR"/>
        </w:rPr>
        <w:t>nouvelle Section</w:t>
      </w:r>
      <w:r w:rsidR="0019691C" w:rsidRPr="00F47789">
        <w:rPr>
          <w:lang w:val="fr-FR"/>
        </w:rPr>
        <w:t> </w:t>
      </w:r>
      <w:r w:rsidRPr="00F47789">
        <w:rPr>
          <w:lang w:val="fr-FR"/>
        </w:rPr>
        <w:t>: RÉduction de la variation due À diffÉrents observateurs</w:t>
      </w:r>
      <w:r w:rsidR="00007A2E" w:rsidRPr="00F47789">
        <w:rPr>
          <w:lang w:val="fr-FR"/>
        </w:rPr>
        <w:t xml:space="preserve"> </w:t>
      </w:r>
      <w:r w:rsidR="00103A1B" w:rsidRPr="00F47789">
        <w:rPr>
          <w:lang w:val="fr-FR"/>
        </w:rPr>
        <w:br/>
      </w:r>
      <w:r w:rsidR="007560A4" w:rsidRPr="00F47789">
        <w:rPr>
          <w:lang w:val="fr-FR"/>
        </w:rPr>
        <w:t>dans un même essai</w:t>
      </w:r>
    </w:p>
    <w:p w:rsidR="008D0F00" w:rsidRPr="00F47789" w:rsidRDefault="00530EBA" w:rsidP="00621E06">
      <w:pPr>
        <w:pStyle w:val="preparedby1"/>
        <w:rPr>
          <w:color w:val="A6A6A6" w:themeColor="background1" w:themeShade="A6"/>
          <w:lang w:val="fr-FR"/>
        </w:rPr>
      </w:pPr>
      <w:r w:rsidRPr="00F47789">
        <w:rPr>
          <w:lang w:val="fr-FR"/>
        </w:rPr>
        <w:t>Document établi par le Bureau de l</w:t>
      </w:r>
      <w:r w:rsidR="004B3E00" w:rsidRPr="00F47789">
        <w:rPr>
          <w:lang w:val="fr-FR"/>
        </w:rPr>
        <w:t>’</w:t>
      </w:r>
      <w:r w:rsidRPr="00F47789">
        <w:rPr>
          <w:lang w:val="fr-FR"/>
        </w:rPr>
        <w:t>Union</w:t>
      </w:r>
      <w:r w:rsidRPr="00F47789">
        <w:rPr>
          <w:lang w:val="fr-FR"/>
        </w:rPr>
        <w:br/>
      </w:r>
      <w:r w:rsidRPr="00F47789">
        <w:rPr>
          <w:lang w:val="fr-FR"/>
        </w:rPr>
        <w:br/>
      </w:r>
      <w:r w:rsidRPr="00F47789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4B3E00" w:rsidRPr="00F47789">
        <w:rPr>
          <w:color w:val="A6A6A6" w:themeColor="background1" w:themeShade="A6"/>
          <w:lang w:val="fr-FR"/>
        </w:rPr>
        <w:t>’</w:t>
      </w:r>
      <w:r w:rsidRPr="00F47789">
        <w:rPr>
          <w:color w:val="A6A6A6" w:themeColor="background1" w:themeShade="A6"/>
          <w:lang w:val="fr-FR"/>
        </w:rPr>
        <w:t>UPOV</w:t>
      </w:r>
    </w:p>
    <w:p w:rsidR="008D0F00" w:rsidRPr="00F47789" w:rsidRDefault="00007A2E" w:rsidP="00621E06">
      <w:pPr>
        <w:pStyle w:val="Heading1"/>
        <w:rPr>
          <w:lang w:val="fr-FR"/>
        </w:rPr>
      </w:pPr>
      <w:bookmarkStart w:id="4" w:name="_Toc441059201"/>
      <w:bookmarkStart w:id="5" w:name="_Toc441572910"/>
      <w:r w:rsidRPr="00F47789">
        <w:rPr>
          <w:lang w:val="fr-FR"/>
        </w:rPr>
        <w:t>Résumé</w:t>
      </w:r>
      <w:bookmarkEnd w:id="4"/>
      <w:bookmarkEnd w:id="5"/>
    </w:p>
    <w:p w:rsidR="008D0F00" w:rsidRPr="00F47789" w:rsidRDefault="008D0F00" w:rsidP="00621E06">
      <w:pPr>
        <w:rPr>
          <w:lang w:val="fr-FR"/>
        </w:rPr>
      </w:pPr>
    </w:p>
    <w:bookmarkStart w:id="6" w:name="Prepared"/>
    <w:bookmarkEnd w:id="6"/>
    <w:p w:rsidR="008D0F00" w:rsidRPr="00F47789" w:rsidRDefault="00704EB7" w:rsidP="00621E06">
      <w:pPr>
        <w:rPr>
          <w:rFonts w:cs="Arial"/>
          <w:lang w:val="fr-FR"/>
        </w:rPr>
      </w:pPr>
      <w:r w:rsidRPr="00F47789">
        <w:rPr>
          <w:lang w:val="fr-FR" w:eastAsia="ja-JP"/>
        </w:rPr>
        <w:fldChar w:fldCharType="begin"/>
      </w:r>
      <w:r w:rsidRPr="00F47789">
        <w:rPr>
          <w:lang w:val="fr-FR" w:eastAsia="ja-JP"/>
        </w:rPr>
        <w:instrText xml:space="preserve"> AUTONUM  </w:instrText>
      </w:r>
      <w:r w:rsidRPr="00F47789">
        <w:rPr>
          <w:lang w:val="fr-FR" w:eastAsia="ja-JP"/>
        </w:rPr>
        <w:fldChar w:fldCharType="end"/>
      </w:r>
      <w:r w:rsidRPr="00F47789">
        <w:rPr>
          <w:lang w:val="fr-FR" w:eastAsia="ja-JP"/>
        </w:rPr>
        <w:tab/>
      </w:r>
      <w:r w:rsidR="00F807B3" w:rsidRPr="00F47789">
        <w:rPr>
          <w:lang w:val="fr-FR" w:eastAsia="ja-JP"/>
        </w:rPr>
        <w:t>L</w:t>
      </w:r>
      <w:r w:rsidR="004B3E00" w:rsidRPr="00F47789">
        <w:rPr>
          <w:lang w:val="fr-FR" w:eastAsia="ja-JP"/>
        </w:rPr>
        <w:t>’</w:t>
      </w:r>
      <w:r w:rsidR="00F807B3" w:rsidRPr="00F47789">
        <w:rPr>
          <w:lang w:val="fr-FR" w:eastAsia="ja-JP"/>
        </w:rPr>
        <w:t>objet du présent document est de présenter le projet d</w:t>
      </w:r>
      <w:r w:rsidR="004B3E00" w:rsidRPr="00F47789">
        <w:rPr>
          <w:lang w:val="fr-FR" w:eastAsia="ja-JP"/>
        </w:rPr>
        <w:t>’</w:t>
      </w:r>
      <w:r w:rsidR="00F807B3" w:rsidRPr="00F47789">
        <w:rPr>
          <w:lang w:val="fr-FR" w:eastAsia="ja-JP"/>
        </w:rPr>
        <w:t>une nouvelle section pour le document TGP/8 : première partie : Protocole d</w:t>
      </w:r>
      <w:r w:rsidR="004B3E00" w:rsidRPr="00F47789">
        <w:rPr>
          <w:lang w:val="fr-FR" w:eastAsia="ja-JP"/>
        </w:rPr>
        <w:t>’</w:t>
      </w:r>
      <w:r w:rsidR="00F807B3" w:rsidRPr="00F47789">
        <w:rPr>
          <w:lang w:val="fr-FR" w:eastAsia="ja-JP"/>
        </w:rPr>
        <w:t>essai DHS et analyse des données, qui serait intitulée : “Réduction de la variation due à différents observateurs</w:t>
      </w:r>
      <w:r w:rsidR="00007A2E" w:rsidRPr="00F47789">
        <w:rPr>
          <w:lang w:val="fr-FR" w:eastAsia="ja-JP"/>
        </w:rPr>
        <w:t xml:space="preserve"> </w:t>
      </w:r>
      <w:r w:rsidR="007560A4" w:rsidRPr="00F47789">
        <w:rPr>
          <w:lang w:val="fr-FR" w:eastAsia="ja-JP"/>
        </w:rPr>
        <w:t>dans un même essai</w:t>
      </w:r>
      <w:r w:rsidR="00F807B3" w:rsidRPr="00F47789">
        <w:rPr>
          <w:lang w:val="fr-FR" w:eastAsia="ja-JP"/>
        </w:rPr>
        <w:t>”.</w:t>
      </w:r>
    </w:p>
    <w:p w:rsidR="008D0F00" w:rsidRPr="00F47789" w:rsidRDefault="008D0F00" w:rsidP="00621E06">
      <w:pPr>
        <w:rPr>
          <w:snapToGrid w:val="0"/>
          <w:lang w:val="fr-FR"/>
        </w:rPr>
      </w:pPr>
    </w:p>
    <w:p w:rsidR="00637CFE" w:rsidRPr="00F47789" w:rsidRDefault="00637CFE" w:rsidP="00621E06">
      <w:pPr>
        <w:rPr>
          <w:snapToGrid w:val="0"/>
          <w:lang w:val="fr-FR"/>
        </w:rPr>
      </w:pPr>
      <w:r w:rsidRPr="00F47789">
        <w:rPr>
          <w:snapToGrid w:val="0"/>
          <w:lang w:val="fr-FR"/>
        </w:rPr>
        <w:fldChar w:fldCharType="begin"/>
      </w:r>
      <w:r w:rsidRPr="00F47789">
        <w:rPr>
          <w:snapToGrid w:val="0"/>
          <w:lang w:val="fr-FR"/>
        </w:rPr>
        <w:instrText xml:space="preserve"> AUTONUM  </w:instrText>
      </w:r>
      <w:r w:rsidRPr="00F47789">
        <w:rPr>
          <w:snapToGrid w:val="0"/>
          <w:lang w:val="fr-FR"/>
        </w:rPr>
        <w:fldChar w:fldCharType="end"/>
      </w:r>
      <w:r w:rsidRPr="00F47789">
        <w:rPr>
          <w:snapToGrid w:val="0"/>
          <w:lang w:val="fr-FR"/>
        </w:rPr>
        <w:tab/>
      </w:r>
      <w:r w:rsidR="001D7C68" w:rsidRPr="00F47789">
        <w:rPr>
          <w:snapToGrid w:val="0"/>
          <w:lang w:val="fr-FR"/>
        </w:rPr>
        <w:t>Le</w:t>
      </w:r>
      <w:r w:rsidR="004B3E00" w:rsidRPr="00F47789">
        <w:rPr>
          <w:snapToGrid w:val="0"/>
          <w:lang w:val="fr-FR"/>
        </w:rPr>
        <w:t> TC</w:t>
      </w:r>
      <w:r w:rsidRPr="00F47789">
        <w:rPr>
          <w:snapToGrid w:val="0"/>
          <w:lang w:val="fr-FR"/>
        </w:rPr>
        <w:t xml:space="preserve"> </w:t>
      </w:r>
      <w:r w:rsidR="001D7C68" w:rsidRPr="00F47789">
        <w:rPr>
          <w:snapToGrid w:val="0"/>
          <w:lang w:val="fr-FR"/>
        </w:rPr>
        <w:t>est invité à </w:t>
      </w:r>
      <w:r w:rsidRPr="00F47789">
        <w:rPr>
          <w:snapToGrid w:val="0"/>
          <w:lang w:val="fr-FR"/>
        </w:rPr>
        <w:t>:</w:t>
      </w:r>
    </w:p>
    <w:p w:rsidR="008D0F00" w:rsidRPr="00F47789" w:rsidRDefault="008D0F00" w:rsidP="00621E06">
      <w:pPr>
        <w:rPr>
          <w:snapToGrid w:val="0"/>
          <w:lang w:val="fr-FR"/>
        </w:rPr>
      </w:pPr>
    </w:p>
    <w:p w:rsidR="008D0F00" w:rsidRPr="00F47789" w:rsidRDefault="00007A2E" w:rsidP="00621E06">
      <w:pPr>
        <w:rPr>
          <w:lang w:val="fr-FR"/>
        </w:rPr>
      </w:pPr>
      <w:r w:rsidRPr="00F47789">
        <w:rPr>
          <w:lang w:val="fr-FR"/>
        </w:rPr>
        <w:tab/>
        <w:t>a)</w:t>
      </w:r>
      <w:r w:rsidRPr="00F47789">
        <w:rPr>
          <w:lang w:val="fr-FR"/>
        </w:rPr>
        <w:tab/>
      </w:r>
      <w:r w:rsidR="00C305B2" w:rsidRPr="00F47789">
        <w:rPr>
          <w:lang w:val="fr-FR"/>
        </w:rPr>
        <w:t>examiner le projet de conseils concernant la</w:t>
      </w:r>
      <w:r w:rsidRPr="00F47789">
        <w:rPr>
          <w:lang w:val="fr-FR"/>
        </w:rPr>
        <w:t xml:space="preserve"> “</w:t>
      </w:r>
      <w:r w:rsidR="00103A1B" w:rsidRPr="00F47789">
        <w:rPr>
          <w:lang w:val="fr-FR" w:eastAsia="ja-JP"/>
        </w:rPr>
        <w:t>Réduction de la variation due à différents observateurs dans un même essai</w:t>
      </w:r>
      <w:r w:rsidRPr="00F47789">
        <w:rPr>
          <w:lang w:val="fr-FR"/>
        </w:rPr>
        <w:t xml:space="preserve">”, </w:t>
      </w:r>
      <w:r w:rsidR="00C305B2" w:rsidRPr="00F47789">
        <w:rPr>
          <w:lang w:val="fr-FR"/>
        </w:rPr>
        <w:t>qui figure à l</w:t>
      </w:r>
      <w:r w:rsidR="004B3E00" w:rsidRPr="00F47789">
        <w:rPr>
          <w:lang w:val="fr-FR"/>
        </w:rPr>
        <w:t>’</w:t>
      </w:r>
      <w:r w:rsidR="00C305B2" w:rsidRPr="00F47789">
        <w:rPr>
          <w:lang w:val="fr-FR"/>
        </w:rPr>
        <w:t>annexe du présent document</w:t>
      </w:r>
      <w:r w:rsidRPr="00F47789">
        <w:rPr>
          <w:lang w:val="fr-FR"/>
        </w:rPr>
        <w:t xml:space="preserve">, </w:t>
      </w:r>
      <w:r w:rsidR="00C305B2" w:rsidRPr="00F47789">
        <w:rPr>
          <w:lang w:val="fr-FR"/>
        </w:rPr>
        <w:t>en tenant compte des observations formulées par</w:t>
      </w:r>
      <w:r w:rsidR="004B3E00" w:rsidRPr="00F47789">
        <w:rPr>
          <w:lang w:val="fr-FR"/>
        </w:rPr>
        <w:t xml:space="preserve"> les TWP</w:t>
      </w:r>
      <w:r w:rsidRPr="00F47789">
        <w:rPr>
          <w:lang w:val="fr-FR"/>
        </w:rPr>
        <w:t xml:space="preserve"> </w:t>
      </w:r>
      <w:r w:rsidR="00C305B2" w:rsidRPr="00F47789">
        <w:rPr>
          <w:lang w:val="fr-FR"/>
        </w:rPr>
        <w:t>à leurs sessions de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 xml:space="preserve">2015, </w:t>
      </w:r>
      <w:r w:rsidR="00E378FB" w:rsidRPr="00F47789">
        <w:rPr>
          <w:lang w:val="fr-FR"/>
        </w:rPr>
        <w:t>et par le</w:t>
      </w:r>
      <w:r w:rsidR="004B3E00" w:rsidRPr="00F47789">
        <w:rPr>
          <w:lang w:val="fr-FR"/>
        </w:rPr>
        <w:t> TC</w:t>
      </w:r>
      <w:r w:rsidR="00401D77" w:rsidRPr="00F47789">
        <w:rPr>
          <w:lang w:val="fr-FR"/>
        </w:rPr>
        <w:noBreakHyphen/>
      </w:r>
      <w:r w:rsidR="004B3E00" w:rsidRPr="00F47789">
        <w:rPr>
          <w:lang w:val="fr-FR"/>
        </w:rPr>
        <w:t>EDC</w:t>
      </w:r>
      <w:r w:rsidRPr="00F47789">
        <w:rPr>
          <w:lang w:val="fr-FR"/>
        </w:rPr>
        <w:t xml:space="preserve"> </w:t>
      </w:r>
      <w:r w:rsidR="00E378FB" w:rsidRPr="00F47789">
        <w:rPr>
          <w:lang w:val="fr-FR"/>
        </w:rPr>
        <w:t>à sa réunion de</w:t>
      </w:r>
      <w:r w:rsidR="002B5BB9" w:rsidRPr="00F47789">
        <w:rPr>
          <w:lang w:val="fr-FR"/>
        </w:rPr>
        <w:t> </w:t>
      </w:r>
      <w:r w:rsidR="00E378FB" w:rsidRPr="00F47789">
        <w:rPr>
          <w:lang w:val="fr-FR"/>
        </w:rPr>
        <w:t>2016</w:t>
      </w:r>
      <w:r w:rsidRPr="00F47789">
        <w:rPr>
          <w:lang w:val="fr-FR"/>
        </w:rPr>
        <w:t xml:space="preserve">, </w:t>
      </w:r>
      <w:r w:rsidR="00E378FB" w:rsidRPr="00F47789">
        <w:rPr>
          <w:lang w:val="fr-FR"/>
        </w:rPr>
        <w:t>en vue d</w:t>
      </w:r>
      <w:r w:rsidR="004B3E00" w:rsidRPr="00F47789">
        <w:rPr>
          <w:lang w:val="fr-FR"/>
        </w:rPr>
        <w:t>’</w:t>
      </w:r>
      <w:r w:rsidR="00E378FB" w:rsidRPr="00F47789">
        <w:rPr>
          <w:lang w:val="fr-FR"/>
        </w:rPr>
        <w:t xml:space="preserve">une future révision du </w:t>
      </w:r>
      <w:r w:rsidRPr="00F47789">
        <w:rPr>
          <w:lang w:val="fr-FR"/>
        </w:rPr>
        <w:t>document TGP/8</w:t>
      </w:r>
      <w:r w:rsidR="00E378FB" w:rsidRPr="00F47789">
        <w:rPr>
          <w:lang w:val="fr-FR"/>
        </w:rPr>
        <w:t> </w:t>
      </w:r>
      <w:r w:rsidRPr="00F47789">
        <w:rPr>
          <w:lang w:val="fr-FR"/>
        </w:rPr>
        <w:t>: “</w:t>
      </w:r>
      <w:r w:rsidR="00864A0F" w:rsidRPr="00F47789">
        <w:rPr>
          <w:lang w:val="fr-FR"/>
        </w:rPr>
        <w:t>Protocole d</w:t>
      </w:r>
      <w:r w:rsidR="004B3E00" w:rsidRPr="00F47789">
        <w:rPr>
          <w:lang w:val="fr-FR"/>
        </w:rPr>
        <w:t>’</w:t>
      </w:r>
      <w:r w:rsidR="00864A0F" w:rsidRPr="00F47789">
        <w:rPr>
          <w:lang w:val="fr-FR"/>
        </w:rPr>
        <w:t>essai et techniques utilisés dans l</w:t>
      </w:r>
      <w:r w:rsidR="004B3E00" w:rsidRPr="00F47789">
        <w:rPr>
          <w:lang w:val="fr-FR"/>
        </w:rPr>
        <w:t>’</w:t>
      </w:r>
      <w:r w:rsidR="00864A0F" w:rsidRPr="00F47789">
        <w:rPr>
          <w:lang w:val="fr-FR"/>
        </w:rPr>
        <w:t>examen de la distinction, de l</w:t>
      </w:r>
      <w:r w:rsidR="004B3E00" w:rsidRPr="00F47789">
        <w:rPr>
          <w:lang w:val="fr-FR"/>
        </w:rPr>
        <w:t>’</w:t>
      </w:r>
      <w:r w:rsidR="00864A0F" w:rsidRPr="00F47789">
        <w:rPr>
          <w:lang w:val="fr-FR"/>
        </w:rPr>
        <w:t>homogénéité et de la stabilité</w:t>
      </w:r>
      <w:r w:rsidRPr="00F47789">
        <w:rPr>
          <w:lang w:val="fr-FR"/>
        </w:rPr>
        <w:t xml:space="preserve">”, </w:t>
      </w:r>
      <w:r w:rsidR="00864A0F" w:rsidRPr="00F47789">
        <w:rPr>
          <w:lang w:val="fr-FR"/>
        </w:rPr>
        <w:t>Première partie </w:t>
      </w:r>
      <w:r w:rsidRPr="00F47789">
        <w:rPr>
          <w:lang w:val="fr-FR"/>
        </w:rPr>
        <w:t xml:space="preserve">: </w:t>
      </w:r>
      <w:r w:rsidR="00864A0F" w:rsidRPr="00F47789">
        <w:rPr>
          <w:lang w:val="fr-FR"/>
        </w:rPr>
        <w:t>Protocole d</w:t>
      </w:r>
      <w:r w:rsidR="004B3E00" w:rsidRPr="00F47789">
        <w:rPr>
          <w:lang w:val="fr-FR"/>
        </w:rPr>
        <w:t>’</w:t>
      </w:r>
      <w:r w:rsidR="00C0409D" w:rsidRPr="00F47789">
        <w:rPr>
          <w:lang w:val="fr-FR"/>
        </w:rPr>
        <w:t>e</w:t>
      </w:r>
      <w:r w:rsidR="00864A0F" w:rsidRPr="00F47789">
        <w:rPr>
          <w:lang w:val="fr-FR"/>
        </w:rPr>
        <w:t>ssai DHS et analyse de données</w:t>
      </w:r>
      <w:r w:rsidRPr="00F47789">
        <w:rPr>
          <w:lang w:val="fr-FR"/>
        </w:rPr>
        <w:t>;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007A2E" w:rsidP="00621E06">
      <w:pPr>
        <w:rPr>
          <w:lang w:val="fr-FR"/>
        </w:rPr>
      </w:pPr>
      <w:r w:rsidRPr="00F47789">
        <w:rPr>
          <w:lang w:val="fr-FR"/>
        </w:rPr>
        <w:tab/>
        <w:t>b)</w:t>
      </w:r>
      <w:r w:rsidRPr="00F47789">
        <w:rPr>
          <w:lang w:val="fr-FR"/>
        </w:rPr>
        <w:tab/>
      </w:r>
      <w:r w:rsidR="00C0409D" w:rsidRPr="00F47789">
        <w:rPr>
          <w:lang w:val="fr-FR"/>
        </w:rPr>
        <w:t>étudier la possibilité d</w:t>
      </w:r>
      <w:r w:rsidR="004B3E00" w:rsidRPr="00F47789">
        <w:rPr>
          <w:lang w:val="fr-FR"/>
        </w:rPr>
        <w:t>’</w:t>
      </w:r>
      <w:r w:rsidR="00C0409D" w:rsidRPr="00F47789">
        <w:rPr>
          <w:lang w:val="fr-FR"/>
        </w:rPr>
        <w:t xml:space="preserve">élaborer </w:t>
      </w:r>
      <w:r w:rsidR="00D62F32" w:rsidRPr="00F47789">
        <w:rPr>
          <w:lang w:val="fr-FR"/>
        </w:rPr>
        <w:t xml:space="preserve">une nouvelle section dans le </w:t>
      </w:r>
      <w:r w:rsidRPr="00F47789">
        <w:rPr>
          <w:lang w:val="fr-FR"/>
        </w:rPr>
        <w:t xml:space="preserve">document </w:t>
      </w:r>
      <w:r w:rsidR="00D62F32" w:rsidRPr="00F47789">
        <w:rPr>
          <w:lang w:val="fr-FR"/>
        </w:rPr>
        <w:t>afin d</w:t>
      </w:r>
      <w:r w:rsidR="004B3E00" w:rsidRPr="00F47789">
        <w:rPr>
          <w:lang w:val="fr-FR"/>
        </w:rPr>
        <w:t>’</w:t>
      </w:r>
      <w:r w:rsidR="00D62F32" w:rsidRPr="00F47789">
        <w:rPr>
          <w:lang w:val="fr-FR"/>
        </w:rPr>
        <w:t xml:space="preserve">apporter des précisions concernant </w:t>
      </w:r>
      <w:r w:rsidR="00103A1B" w:rsidRPr="00F47789">
        <w:rPr>
          <w:lang w:val="fr-FR"/>
        </w:rPr>
        <w:t xml:space="preserve">la </w:t>
      </w:r>
      <w:r w:rsidR="00103A1B" w:rsidRPr="00F47789">
        <w:rPr>
          <w:lang w:val="fr-FR" w:eastAsia="ja-JP"/>
        </w:rPr>
        <w:t>réduction de la variation due à différents observateurs dans un même essai</w:t>
      </w:r>
      <w:r w:rsidR="00103A1B" w:rsidRPr="00F47789">
        <w:rPr>
          <w:lang w:val="fr-FR"/>
        </w:rPr>
        <w:t xml:space="preserve"> </w:t>
      </w:r>
      <w:r w:rsidR="00D62F32" w:rsidRPr="00F47789">
        <w:rPr>
          <w:lang w:val="fr-FR"/>
        </w:rPr>
        <w:t xml:space="preserve">pour les caractères PQ, </w:t>
      </w:r>
      <w:r w:rsidR="004B3E00" w:rsidRPr="00F47789">
        <w:rPr>
          <w:lang w:val="fr-FR"/>
        </w:rPr>
        <w:t>y compris</w:t>
      </w:r>
      <w:r w:rsidR="00D62F32" w:rsidRPr="00F47789">
        <w:rPr>
          <w:lang w:val="fr-FR"/>
        </w:rPr>
        <w:t xml:space="preserve"> l</w:t>
      </w:r>
      <w:r w:rsidR="004B3E00" w:rsidRPr="00F47789">
        <w:rPr>
          <w:lang w:val="fr-FR"/>
        </w:rPr>
        <w:t>’</w:t>
      </w:r>
      <w:r w:rsidR="00D62F32" w:rsidRPr="00F47789">
        <w:rPr>
          <w:lang w:val="fr-FR"/>
        </w:rPr>
        <w:t>utilisation de méthodes non paramétriques</w:t>
      </w:r>
      <w:r w:rsidRPr="00F47789">
        <w:rPr>
          <w:lang w:val="fr-FR"/>
        </w:rPr>
        <w:t>;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007A2E" w:rsidP="00621E06">
      <w:pPr>
        <w:rPr>
          <w:lang w:val="fr-FR"/>
        </w:rPr>
      </w:pPr>
      <w:r w:rsidRPr="00F47789">
        <w:rPr>
          <w:lang w:val="fr-FR"/>
        </w:rPr>
        <w:tab/>
        <w:t>c)</w:t>
      </w:r>
      <w:r w:rsidRPr="00F47789">
        <w:rPr>
          <w:lang w:val="fr-FR"/>
        </w:rPr>
        <w:tab/>
      </w:r>
      <w:r w:rsidR="00D62F32" w:rsidRPr="00F47789">
        <w:rPr>
          <w:lang w:val="fr-FR"/>
        </w:rPr>
        <w:t>envisager la possibilité de demander</w:t>
      </w:r>
      <w:r w:rsidR="004B3E00" w:rsidRPr="00F47789">
        <w:rPr>
          <w:lang w:val="fr-FR"/>
        </w:rPr>
        <w:t xml:space="preserve"> aux TWP</w:t>
      </w:r>
      <w:r w:rsidR="001A0E15" w:rsidRPr="00F47789">
        <w:rPr>
          <w:lang w:val="fr-FR"/>
        </w:rPr>
        <w:t>, à leurs sessions de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 xml:space="preserve">2016 </w:t>
      </w:r>
      <w:r w:rsidR="001A0E15" w:rsidRPr="00F47789">
        <w:rPr>
          <w:lang w:val="fr-FR"/>
        </w:rPr>
        <w:t xml:space="preserve">de fournir des renseignements sur la variation </w:t>
      </w:r>
      <w:r w:rsidR="00EF3D79" w:rsidRPr="00F47789">
        <w:rPr>
          <w:lang w:val="fr-FR"/>
        </w:rPr>
        <w:t xml:space="preserve">entre </w:t>
      </w:r>
      <w:r w:rsidR="001A0E15" w:rsidRPr="00F47789">
        <w:rPr>
          <w:lang w:val="fr-FR"/>
        </w:rPr>
        <w:t xml:space="preserve">observateurs concernant les caractères PQ, </w:t>
      </w:r>
      <w:r w:rsidR="00A75418" w:rsidRPr="00F47789">
        <w:rPr>
          <w:lang w:val="fr-FR"/>
        </w:rPr>
        <w:t>comme par exemple</w:t>
      </w:r>
      <w:r w:rsidR="001A0E15" w:rsidRPr="00F47789">
        <w:rPr>
          <w:lang w:val="fr-FR"/>
        </w:rPr>
        <w:t xml:space="preserve"> la fréquence des écarts</w:t>
      </w:r>
      <w:r w:rsidRPr="00F47789">
        <w:rPr>
          <w:lang w:val="fr-FR"/>
        </w:rPr>
        <w:t>;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007A2E" w:rsidP="00621E06">
      <w:pPr>
        <w:rPr>
          <w:lang w:val="fr-FR"/>
        </w:rPr>
      </w:pPr>
      <w:r w:rsidRPr="00F47789">
        <w:rPr>
          <w:lang w:val="fr-FR"/>
        </w:rPr>
        <w:tab/>
        <w:t>d)</w:t>
      </w:r>
      <w:r w:rsidRPr="00F47789">
        <w:rPr>
          <w:lang w:val="fr-FR"/>
        </w:rPr>
        <w:tab/>
        <w:t>not</w:t>
      </w:r>
      <w:r w:rsidR="00551BE1" w:rsidRPr="00F47789">
        <w:rPr>
          <w:lang w:val="fr-FR"/>
        </w:rPr>
        <w:t>er le fait que</w:t>
      </w:r>
      <w:r w:rsidR="004B3E00" w:rsidRPr="00F47789">
        <w:rPr>
          <w:lang w:val="fr-FR"/>
        </w:rPr>
        <w:t xml:space="preserve"> le TWC</w:t>
      </w:r>
      <w:r w:rsidRPr="00F47789">
        <w:rPr>
          <w:lang w:val="fr-FR"/>
        </w:rPr>
        <w:t xml:space="preserve"> </w:t>
      </w:r>
      <w:r w:rsidR="00551BE1" w:rsidRPr="00F47789">
        <w:rPr>
          <w:lang w:val="fr-FR"/>
        </w:rPr>
        <w:t>étai</w:t>
      </w:r>
      <w:r w:rsidR="00BE4EA4" w:rsidRPr="00F47789">
        <w:rPr>
          <w:lang w:val="fr-FR"/>
        </w:rPr>
        <w:t>t</w:t>
      </w:r>
      <w:r w:rsidR="00551BE1" w:rsidRPr="00F47789">
        <w:rPr>
          <w:lang w:val="fr-FR"/>
        </w:rPr>
        <w:t xml:space="preserve"> convenu d</w:t>
      </w:r>
      <w:r w:rsidR="004B3E00" w:rsidRPr="00F47789">
        <w:rPr>
          <w:lang w:val="fr-FR"/>
        </w:rPr>
        <w:t>’</w:t>
      </w:r>
      <w:r w:rsidR="00551BE1" w:rsidRPr="00F47789">
        <w:rPr>
          <w:lang w:val="fr-FR"/>
        </w:rPr>
        <w:t>inviter les experts d</w:t>
      </w:r>
      <w:r w:rsidR="004B3E00" w:rsidRPr="00F47789">
        <w:rPr>
          <w:lang w:val="fr-FR"/>
        </w:rPr>
        <w:t>’</w:t>
      </w:r>
      <w:r w:rsidR="00551BE1" w:rsidRPr="00F47789">
        <w:rPr>
          <w:lang w:val="fr-FR"/>
        </w:rPr>
        <w:t xml:space="preserve">Argentine </w:t>
      </w:r>
      <w:r w:rsidR="00BE4EA4" w:rsidRPr="00F47789">
        <w:rPr>
          <w:lang w:val="fr-FR"/>
        </w:rPr>
        <w:t>et du Brésil à présenter, lors de sa trente</w:t>
      </w:r>
      <w:r w:rsidR="00401D77" w:rsidRPr="00F47789">
        <w:rPr>
          <w:lang w:val="fr-FR"/>
        </w:rPr>
        <w:noBreakHyphen/>
      </w:r>
      <w:r w:rsidR="00BE4EA4" w:rsidRPr="00F47789">
        <w:rPr>
          <w:lang w:val="fr-FR"/>
        </w:rPr>
        <w:t>quatrième</w:t>
      </w:r>
      <w:r w:rsidR="002B5BB9" w:rsidRPr="00F47789">
        <w:rPr>
          <w:lang w:val="fr-FR"/>
        </w:rPr>
        <w:t> </w:t>
      </w:r>
      <w:r w:rsidR="00BE4EA4" w:rsidRPr="00F47789">
        <w:rPr>
          <w:lang w:val="fr-FR"/>
        </w:rPr>
        <w:t xml:space="preserve">session, un exposé sur </w:t>
      </w:r>
      <w:r w:rsidR="00EF3D79" w:rsidRPr="00F47789">
        <w:rPr>
          <w:lang w:val="fr-FR"/>
        </w:rPr>
        <w:t>leurs données d</w:t>
      </w:r>
      <w:r w:rsidR="004B3E00" w:rsidRPr="00F47789">
        <w:rPr>
          <w:lang w:val="fr-FR"/>
        </w:rPr>
        <w:t>’</w:t>
      </w:r>
      <w:r w:rsidR="00EF3D79" w:rsidRPr="00F47789">
        <w:rPr>
          <w:lang w:val="fr-FR"/>
        </w:rPr>
        <w:t xml:space="preserve">expériences en matière de formation destinée à réduire la variation due à différents observateurs </w:t>
      </w:r>
      <w:r w:rsidR="004408B4" w:rsidRPr="00F47789">
        <w:rPr>
          <w:lang w:val="fr-FR"/>
        </w:rPr>
        <w:t xml:space="preserve">concernant les </w:t>
      </w:r>
      <w:r w:rsidR="00EF3D79" w:rsidRPr="00F47789">
        <w:rPr>
          <w:lang w:val="fr-FR"/>
        </w:rPr>
        <w:t>caractères PQ</w:t>
      </w:r>
      <w:r w:rsidRPr="00F47789">
        <w:rPr>
          <w:lang w:val="fr-FR"/>
        </w:rPr>
        <w:t>;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007A2E" w:rsidP="00621E06">
      <w:pPr>
        <w:rPr>
          <w:lang w:val="fr-FR"/>
        </w:rPr>
      </w:pPr>
      <w:r w:rsidRPr="00F47789">
        <w:rPr>
          <w:lang w:val="fr-FR"/>
        </w:rPr>
        <w:tab/>
        <w:t>e)</w:t>
      </w:r>
      <w:r w:rsidRPr="00F47789">
        <w:rPr>
          <w:lang w:val="fr-FR"/>
        </w:rPr>
        <w:tab/>
      </w:r>
      <w:r w:rsidR="00A36525" w:rsidRPr="00F47789">
        <w:rPr>
          <w:lang w:val="fr-FR"/>
        </w:rPr>
        <w:t>déterminer s</w:t>
      </w:r>
      <w:r w:rsidR="004B3E00" w:rsidRPr="00F47789">
        <w:rPr>
          <w:lang w:val="fr-FR"/>
        </w:rPr>
        <w:t>’</w:t>
      </w:r>
      <w:r w:rsidR="00A36525" w:rsidRPr="00F47789">
        <w:rPr>
          <w:lang w:val="fr-FR"/>
        </w:rPr>
        <w:t>il convient d</w:t>
      </w:r>
      <w:r w:rsidR="004B3E00" w:rsidRPr="00F47789">
        <w:rPr>
          <w:lang w:val="fr-FR"/>
        </w:rPr>
        <w:t>’</w:t>
      </w:r>
      <w:r w:rsidR="00A36525" w:rsidRPr="00F47789">
        <w:rPr>
          <w:lang w:val="fr-FR"/>
        </w:rPr>
        <w:t>inviter des experts à faire part</w:t>
      </w:r>
      <w:r w:rsidR="004B3E00" w:rsidRPr="00F47789">
        <w:rPr>
          <w:lang w:val="fr-FR"/>
        </w:rPr>
        <w:t xml:space="preserve"> aux TWP</w:t>
      </w:r>
      <w:r w:rsidRPr="00F47789">
        <w:rPr>
          <w:lang w:val="fr-FR"/>
        </w:rPr>
        <w:t xml:space="preserve">, </w:t>
      </w:r>
      <w:r w:rsidR="00C70401" w:rsidRPr="00F47789">
        <w:rPr>
          <w:lang w:val="fr-FR"/>
        </w:rPr>
        <w:t xml:space="preserve">lors de </w:t>
      </w:r>
      <w:r w:rsidR="00A36525" w:rsidRPr="00F47789">
        <w:rPr>
          <w:lang w:val="fr-FR"/>
        </w:rPr>
        <w:t>leurs sessions de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 xml:space="preserve">2016, </w:t>
      </w:r>
      <w:r w:rsidR="00A36525" w:rsidRPr="00F47789">
        <w:rPr>
          <w:lang w:val="fr-FR"/>
        </w:rPr>
        <w:t>de leurs données d</w:t>
      </w:r>
      <w:r w:rsidR="004B3E00" w:rsidRPr="00F47789">
        <w:rPr>
          <w:lang w:val="fr-FR"/>
        </w:rPr>
        <w:t>’</w:t>
      </w:r>
      <w:r w:rsidR="00A36525" w:rsidRPr="00F47789">
        <w:rPr>
          <w:lang w:val="fr-FR"/>
        </w:rPr>
        <w:t xml:space="preserve">expérience sur </w:t>
      </w:r>
      <w:r w:rsidR="00103A1B" w:rsidRPr="00F47789">
        <w:rPr>
          <w:lang w:val="fr-FR" w:eastAsia="ja-JP"/>
        </w:rPr>
        <w:t>la réduction de la variation due à différents observateurs dans un même essai</w:t>
      </w:r>
      <w:r w:rsidR="00103A1B" w:rsidRPr="00F47789">
        <w:rPr>
          <w:lang w:val="fr-FR"/>
        </w:rPr>
        <w:t xml:space="preserve"> </w:t>
      </w:r>
      <w:r w:rsidR="00A36525" w:rsidRPr="00F47789">
        <w:rPr>
          <w:lang w:val="fr-FR"/>
        </w:rPr>
        <w:t xml:space="preserve">concernant les caractères </w:t>
      </w:r>
      <w:r w:rsidRPr="00F47789">
        <w:rPr>
          <w:lang w:val="fr-FR"/>
        </w:rPr>
        <w:t>PQ.</w:t>
      </w:r>
    </w:p>
    <w:p w:rsidR="008D0F00" w:rsidRPr="00F47789" w:rsidRDefault="008D0F00" w:rsidP="00621E06">
      <w:pPr>
        <w:rPr>
          <w:snapToGrid w:val="0"/>
          <w:highlight w:val="yellow"/>
          <w:lang w:val="fr-FR"/>
        </w:rPr>
      </w:pPr>
    </w:p>
    <w:p w:rsidR="008D0F00" w:rsidRPr="00F47789" w:rsidRDefault="007159DE" w:rsidP="00621E06">
      <w:pPr>
        <w:jc w:val="left"/>
        <w:rPr>
          <w:lang w:val="fr-FR"/>
        </w:rPr>
      </w:pPr>
      <w:r w:rsidRPr="00F47789">
        <w:rPr>
          <w:lang w:val="fr-FR"/>
        </w:rPr>
        <w:br w:type="page"/>
      </w:r>
    </w:p>
    <w:p w:rsidR="008D0F00" w:rsidRPr="00F47789" w:rsidRDefault="00007A2E" w:rsidP="00621E06">
      <w:pPr>
        <w:rPr>
          <w:snapToGrid w:val="0"/>
          <w:lang w:val="fr-FR"/>
        </w:rPr>
      </w:pPr>
      <w:r w:rsidRPr="00F47789">
        <w:rPr>
          <w:lang w:val="fr-FR"/>
        </w:rPr>
        <w:lastRenderedPageBreak/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  <w:t>Le présent document est structuré comme suit :</w:t>
      </w:r>
    </w:p>
    <w:p w:rsidR="008D0F00" w:rsidRPr="00F47789" w:rsidRDefault="008D0F00" w:rsidP="00621E06">
      <w:pPr>
        <w:rPr>
          <w:snapToGrid w:val="0"/>
          <w:lang w:val="fr-FR"/>
        </w:rPr>
      </w:pPr>
    </w:p>
    <w:p w:rsidR="00381038" w:rsidRPr="00F47789" w:rsidRDefault="00007A2E" w:rsidP="00621E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TOC \o "1-3" \h \z \u </w:instrText>
      </w:r>
      <w:r w:rsidRPr="00F47789">
        <w:rPr>
          <w:lang w:val="fr-FR"/>
        </w:rPr>
        <w:fldChar w:fldCharType="separate"/>
      </w:r>
      <w:hyperlink w:anchor="_Toc441572910" w:history="1">
        <w:r w:rsidR="00381038" w:rsidRPr="00F47789">
          <w:rPr>
            <w:rStyle w:val="Hyperlink"/>
            <w:noProof/>
            <w:lang w:val="fr-FR"/>
          </w:rPr>
          <w:t>Résumé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_Toc441572910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1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hyperlink w:anchor="_Toc441572911" w:history="1">
        <w:r w:rsidR="00381038" w:rsidRPr="00F47789">
          <w:rPr>
            <w:rStyle w:val="Hyperlink"/>
            <w:noProof/>
            <w:lang w:val="fr-FR"/>
          </w:rPr>
          <w:t>informations générales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_Toc441572911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3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hyperlink w:anchor="_Toc441572912" w:history="1">
        <w:r w:rsidR="00381038" w:rsidRPr="00F47789">
          <w:rPr>
            <w:rStyle w:val="Hyperlink"/>
            <w:noProof/>
            <w:lang w:val="fr-FR"/>
          </w:rPr>
          <w:t>faits nouveaux en 2015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_Toc441572912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3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hyperlink w:anchor="_Toc441572913" w:history="1">
        <w:r w:rsidR="00381038" w:rsidRPr="00F47789">
          <w:rPr>
            <w:rStyle w:val="Hyperlink"/>
            <w:noProof/>
            <w:lang w:val="fr-FR"/>
          </w:rPr>
          <w:t>Comité technique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_Toc441572913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3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hyperlink w:anchor="_Toc441572914" w:history="1">
        <w:r w:rsidR="00381038" w:rsidRPr="00F47789">
          <w:rPr>
            <w:rStyle w:val="Hyperlink"/>
            <w:noProof/>
            <w:lang w:val="fr-FR"/>
          </w:rPr>
          <w:t>Groupes de travail techniques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_Toc441572914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4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hyperlink w:anchor="_Toc441572915" w:history="1">
        <w:r w:rsidR="00381038" w:rsidRPr="00F47789">
          <w:rPr>
            <w:rStyle w:val="Hyperlink"/>
            <w:noProof/>
            <w:lang w:val="fr-FR" w:eastAsia="ja-JP"/>
          </w:rPr>
          <w:t>Faits nouveaux en 2016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_Toc441572915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5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hyperlink w:anchor="_Toc441572916" w:history="1">
        <w:r w:rsidR="00381038" w:rsidRPr="00F47789">
          <w:rPr>
            <w:rStyle w:val="Hyperlink"/>
            <w:noProof/>
            <w:snapToGrid w:val="0"/>
            <w:lang w:val="fr-FR" w:eastAsia="ja-JP"/>
          </w:rPr>
          <w:t>Comité de rédaction élargi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_Toc441572916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5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381038" w:rsidRPr="00F47789" w:rsidRDefault="000F6CAC" w:rsidP="00621E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hyperlink w:anchor="_Toc441572917" w:history="1">
        <w:r w:rsidR="00381038" w:rsidRPr="00F47789">
          <w:rPr>
            <w:rStyle w:val="Hyperlink"/>
            <w:noProof/>
            <w:lang w:val="fr-FR"/>
          </w:rPr>
          <w:t>Proposition</w:t>
        </w:r>
        <w:r w:rsidR="00381038" w:rsidRPr="00F47789">
          <w:rPr>
            <w:noProof/>
            <w:webHidden/>
            <w:lang w:val="fr-FR"/>
          </w:rPr>
          <w:tab/>
        </w:r>
        <w:r w:rsidR="00381038" w:rsidRPr="00F47789">
          <w:rPr>
            <w:noProof/>
            <w:webHidden/>
            <w:lang w:val="fr-FR"/>
          </w:rPr>
          <w:fldChar w:fldCharType="begin"/>
        </w:r>
        <w:r w:rsidR="00381038" w:rsidRPr="00F47789">
          <w:rPr>
            <w:noProof/>
            <w:webHidden/>
            <w:lang w:val="fr-FR"/>
          </w:rPr>
          <w:instrText xml:space="preserve"> PAGEREF _Toc441572917 \h </w:instrText>
        </w:r>
        <w:r w:rsidR="00381038" w:rsidRPr="00F47789">
          <w:rPr>
            <w:noProof/>
            <w:webHidden/>
            <w:lang w:val="fr-FR"/>
          </w:rPr>
        </w:r>
        <w:r w:rsidR="00381038" w:rsidRPr="00F47789">
          <w:rPr>
            <w:noProof/>
            <w:webHidden/>
            <w:lang w:val="fr-FR"/>
          </w:rPr>
          <w:fldChar w:fldCharType="separate"/>
        </w:r>
        <w:r w:rsidR="00381038" w:rsidRPr="00F47789">
          <w:rPr>
            <w:noProof/>
            <w:webHidden/>
            <w:lang w:val="fr-FR"/>
          </w:rPr>
          <w:t>5</w:t>
        </w:r>
        <w:r w:rsidR="00381038" w:rsidRPr="00F47789">
          <w:rPr>
            <w:noProof/>
            <w:webHidden/>
            <w:lang w:val="fr-FR"/>
          </w:rPr>
          <w:fldChar w:fldCharType="end"/>
        </w:r>
      </w:hyperlink>
    </w:p>
    <w:p w:rsidR="008D0F00" w:rsidRPr="00F47789" w:rsidRDefault="00007A2E" w:rsidP="00621E06">
      <w:pPr>
        <w:ind w:left="1134" w:hanging="1134"/>
        <w:jc w:val="left"/>
        <w:rPr>
          <w:bCs/>
          <w:szCs w:val="24"/>
          <w:lang w:val="fr-FR"/>
        </w:rPr>
      </w:pPr>
      <w:r w:rsidRPr="00F47789">
        <w:rPr>
          <w:bCs/>
          <w:szCs w:val="24"/>
          <w:lang w:val="fr-FR"/>
        </w:rPr>
        <w:fldChar w:fldCharType="end"/>
      </w:r>
    </w:p>
    <w:p w:rsidR="008D0F00" w:rsidRPr="00F47789" w:rsidRDefault="00007A2E" w:rsidP="000F6CAC">
      <w:pPr>
        <w:ind w:left="993" w:hanging="993"/>
        <w:jc w:val="left"/>
        <w:rPr>
          <w:lang w:val="fr-FR"/>
        </w:rPr>
      </w:pPr>
      <w:r w:rsidRPr="00F47789">
        <w:rPr>
          <w:lang w:val="fr-FR"/>
        </w:rPr>
        <w:t>ANNEXE : PROJET DE CONSEILS À INCORPORER DANS UNE FUTURE VERSION RÉVISÉE DU DOCUMENT TGP/8 CONCERNANT LA RÉDUCTION DE LA VARIATION DUE À DIFFÉRENTS OBSERVATEURS</w:t>
      </w:r>
    </w:p>
    <w:p w:rsidR="008D0F00" w:rsidRPr="00F47789" w:rsidRDefault="008D0F00" w:rsidP="00621E06">
      <w:pPr>
        <w:rPr>
          <w:snapToGrid w:val="0"/>
          <w:lang w:val="fr-FR"/>
        </w:rPr>
      </w:pPr>
    </w:p>
    <w:p w:rsidR="008D0F00" w:rsidRPr="00F47789" w:rsidRDefault="008D0F00" w:rsidP="00621E06">
      <w:pPr>
        <w:rPr>
          <w:snapToGrid w:val="0"/>
          <w:lang w:val="fr-FR"/>
        </w:rPr>
      </w:pPr>
    </w:p>
    <w:p w:rsidR="008D0F00" w:rsidRPr="00F47789" w:rsidRDefault="00704EB7" w:rsidP="00621E06">
      <w:pPr>
        <w:rPr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F807B3" w:rsidRPr="00F47789">
        <w:rPr>
          <w:lang w:val="fr-FR"/>
        </w:rPr>
        <w:t>Les abréviations ci</w:t>
      </w:r>
      <w:r w:rsidR="00401D77" w:rsidRPr="00F47789">
        <w:rPr>
          <w:lang w:val="fr-FR"/>
        </w:rPr>
        <w:noBreakHyphen/>
      </w:r>
      <w:r w:rsidR="00F807B3" w:rsidRPr="00F47789">
        <w:rPr>
          <w:lang w:val="fr-FR"/>
        </w:rPr>
        <w:t>après sont utilisées dans le présent document :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CAJ</w:t>
      </w:r>
      <w:r w:rsidR="00947858" w:rsidRPr="00F47789">
        <w:rPr>
          <w:lang w:val="fr-FR"/>
        </w:rPr>
        <w:t> :</w:t>
      </w:r>
      <w:r w:rsidRPr="00F47789">
        <w:rPr>
          <w:lang w:val="fr-FR"/>
        </w:rPr>
        <w:t xml:space="preserve">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Comité administratif et juridique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TC</w:t>
      </w:r>
      <w:r w:rsidR="00947858" w:rsidRPr="00F47789">
        <w:rPr>
          <w:lang w:val="fr-FR"/>
        </w:rPr>
        <w:t> :</w:t>
      </w:r>
      <w:r w:rsidRPr="00F47789">
        <w:rPr>
          <w:lang w:val="fr-FR"/>
        </w:rPr>
        <w:t xml:space="preserve">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Comité technique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TC</w:t>
      </w:r>
      <w:r w:rsidR="00401D77" w:rsidRPr="00F47789">
        <w:rPr>
          <w:lang w:val="fr-FR"/>
        </w:rPr>
        <w:noBreakHyphen/>
      </w:r>
      <w:r w:rsidRPr="00F47789">
        <w:rPr>
          <w:lang w:val="fr-FR"/>
        </w:rPr>
        <w:t>EDC</w:t>
      </w:r>
      <w:r w:rsidR="00947858" w:rsidRPr="00F47789">
        <w:rPr>
          <w:lang w:val="fr-FR"/>
        </w:rPr>
        <w:t xml:space="preserve"> : </w:t>
      </w:r>
      <w:r w:rsidR="00943195" w:rsidRPr="00F47789">
        <w:rPr>
          <w:lang w:val="fr-FR"/>
        </w:rPr>
        <w:tab/>
      </w:r>
      <w:r w:rsidR="00530EBA" w:rsidRPr="00F47789">
        <w:rPr>
          <w:lang w:val="fr-FR"/>
        </w:rPr>
        <w:tab/>
      </w:r>
      <w:r w:rsidRPr="00F47789">
        <w:rPr>
          <w:lang w:val="fr-FR"/>
        </w:rPr>
        <w:t>Comité de rédaction élargi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TWA</w:t>
      </w:r>
      <w:r w:rsidR="00947858" w:rsidRPr="00F47789">
        <w:rPr>
          <w:lang w:val="fr-FR"/>
        </w:rPr>
        <w:t> :</w:t>
      </w:r>
      <w:r w:rsidRPr="00F47789">
        <w:rPr>
          <w:lang w:val="fr-FR"/>
        </w:rPr>
        <w:t xml:space="preserve">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Groupe de travail technique sur les plantes agricoles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TWV</w:t>
      </w:r>
      <w:r w:rsidR="00947858" w:rsidRPr="00F47789">
        <w:rPr>
          <w:lang w:val="fr-FR"/>
        </w:rPr>
        <w:t> :</w:t>
      </w:r>
      <w:r w:rsidRPr="00F47789">
        <w:rPr>
          <w:lang w:val="fr-FR"/>
        </w:rPr>
        <w:t xml:space="preserve">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Groupe de travail technique sur les plantes potagères</w:t>
      </w:r>
    </w:p>
    <w:p w:rsidR="008D0F00" w:rsidRPr="00F47789" w:rsidRDefault="00F807B3" w:rsidP="00621E06">
      <w:pPr>
        <w:ind w:left="2265" w:hanging="1545"/>
        <w:rPr>
          <w:lang w:val="fr-FR"/>
        </w:rPr>
      </w:pPr>
      <w:r w:rsidRPr="00F47789">
        <w:rPr>
          <w:lang w:val="fr-FR"/>
        </w:rPr>
        <w:t>TWC</w:t>
      </w:r>
      <w:r w:rsidR="00947858" w:rsidRPr="00F47789">
        <w:rPr>
          <w:lang w:val="fr-FR"/>
        </w:rPr>
        <w:t xml:space="preserve"> :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Groupe de travail technique sur les systèmes d</w:t>
      </w:r>
      <w:r w:rsidR="004B3E00" w:rsidRPr="00F47789">
        <w:rPr>
          <w:lang w:val="fr-FR"/>
        </w:rPr>
        <w:t>’</w:t>
      </w:r>
      <w:r w:rsidRPr="00F47789">
        <w:rPr>
          <w:lang w:val="fr-FR"/>
        </w:rPr>
        <w:t>automatisation et les programmes d</w:t>
      </w:r>
      <w:r w:rsidR="004B3E00" w:rsidRPr="00F47789">
        <w:rPr>
          <w:lang w:val="fr-FR"/>
        </w:rPr>
        <w:t>’</w:t>
      </w:r>
      <w:r w:rsidRPr="00F47789">
        <w:rPr>
          <w:lang w:val="fr-FR"/>
        </w:rPr>
        <w:t>ordinateur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TWF</w:t>
      </w:r>
      <w:r w:rsidR="00947858" w:rsidRPr="00F47789">
        <w:rPr>
          <w:lang w:val="fr-FR"/>
        </w:rPr>
        <w:t> </w:t>
      </w:r>
      <w:r w:rsidRPr="00F47789">
        <w:rPr>
          <w:lang w:val="fr-FR"/>
        </w:rPr>
        <w:t xml:space="preserve">: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Groupe de travail technique sur les plantes fruitières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 xml:space="preserve">TWO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Groupe de travail technique sur les plantes ornementales et les arbres forestiers</w:t>
      </w:r>
    </w:p>
    <w:p w:rsidR="008D0F00" w:rsidRPr="00F47789" w:rsidRDefault="00F807B3" w:rsidP="00621E06">
      <w:pPr>
        <w:ind w:left="1701" w:hanging="981"/>
        <w:rPr>
          <w:lang w:val="fr-FR"/>
        </w:rPr>
      </w:pPr>
      <w:r w:rsidRPr="00F47789">
        <w:rPr>
          <w:lang w:val="fr-FR"/>
        </w:rPr>
        <w:t>TWP</w:t>
      </w:r>
      <w:r w:rsidR="00947858" w:rsidRPr="00F47789">
        <w:rPr>
          <w:lang w:val="fr-FR"/>
        </w:rPr>
        <w:t> </w:t>
      </w:r>
      <w:r w:rsidRPr="00F47789">
        <w:rPr>
          <w:lang w:val="fr-FR"/>
        </w:rPr>
        <w:t xml:space="preserve">: </w:t>
      </w:r>
      <w:r w:rsidR="00530EBA" w:rsidRPr="00F47789">
        <w:rPr>
          <w:lang w:val="fr-FR"/>
        </w:rPr>
        <w:tab/>
      </w:r>
      <w:r w:rsidR="00FF2E1F" w:rsidRPr="00F47789">
        <w:rPr>
          <w:lang w:val="fr-FR"/>
        </w:rPr>
        <w:tab/>
      </w:r>
      <w:r w:rsidRPr="00F47789">
        <w:rPr>
          <w:lang w:val="fr-FR"/>
        </w:rPr>
        <w:t>Groupes de travail techniques</w:t>
      </w:r>
    </w:p>
    <w:p w:rsidR="008D0F00" w:rsidRPr="00F47789" w:rsidRDefault="008D0F00" w:rsidP="00621E06">
      <w:pPr>
        <w:ind w:left="1701" w:hanging="981"/>
        <w:rPr>
          <w:lang w:val="fr-FR"/>
        </w:rPr>
      </w:pPr>
    </w:p>
    <w:p w:rsidR="008D0F00" w:rsidRPr="00F47789" w:rsidRDefault="008D0F00" w:rsidP="00621E06">
      <w:pPr>
        <w:jc w:val="left"/>
        <w:rPr>
          <w:caps/>
          <w:lang w:val="fr-FR"/>
        </w:rPr>
      </w:pPr>
    </w:p>
    <w:p w:rsidR="008D0F00" w:rsidRPr="00F47789" w:rsidRDefault="008D0F00" w:rsidP="00621E06">
      <w:pPr>
        <w:jc w:val="left"/>
        <w:rPr>
          <w:caps/>
          <w:lang w:val="fr-FR"/>
        </w:rPr>
      </w:pPr>
    </w:p>
    <w:p w:rsidR="008D0F00" w:rsidRPr="00F47789" w:rsidRDefault="001F76F5" w:rsidP="00621E06">
      <w:pPr>
        <w:pStyle w:val="Heading1"/>
        <w:rPr>
          <w:lang w:val="fr-FR"/>
        </w:rPr>
      </w:pPr>
      <w:bookmarkStart w:id="7" w:name="_Toc441059202"/>
      <w:bookmarkStart w:id="8" w:name="_Toc441572911"/>
      <w:r w:rsidRPr="00F47789">
        <w:rPr>
          <w:lang w:val="fr-FR"/>
        </w:rPr>
        <w:t>informations générales</w:t>
      </w:r>
      <w:bookmarkEnd w:id="7"/>
      <w:bookmarkEnd w:id="8"/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704EB7" w:rsidP="00621E06">
      <w:pPr>
        <w:pStyle w:val="Header"/>
        <w:tabs>
          <w:tab w:val="left" w:pos="720"/>
        </w:tabs>
        <w:jc w:val="both"/>
      </w:pPr>
      <w:r w:rsidRPr="00F47789">
        <w:fldChar w:fldCharType="begin"/>
      </w:r>
      <w:r w:rsidRPr="00F47789">
        <w:instrText xml:space="preserve"> AUTONUM  </w:instrText>
      </w:r>
      <w:r w:rsidRPr="00F47789">
        <w:fldChar w:fldCharType="end"/>
      </w:r>
      <w:r w:rsidRPr="00F47789">
        <w:tab/>
      </w:r>
      <w:r w:rsidR="00F807B3" w:rsidRPr="00F47789">
        <w:t>Il est indiqué au paragraphe 2.9.1 “Contrôle de la variation due à différents observateurs” du document TGP/8/1, projet 7, première partie, examiné par les groupes de travail techniques à leurs sessions de 2007 :</w:t>
      </w:r>
    </w:p>
    <w:p w:rsidR="008D0F00" w:rsidRPr="00F47789" w:rsidRDefault="008D0F00" w:rsidP="00621E06">
      <w:pPr>
        <w:pStyle w:val="Header"/>
        <w:tabs>
          <w:tab w:val="left" w:pos="720"/>
        </w:tabs>
        <w:jc w:val="both"/>
      </w:pPr>
    </w:p>
    <w:p w:rsidR="008D0F00" w:rsidRPr="00F47789" w:rsidRDefault="0019691C" w:rsidP="00621E06">
      <w:pPr>
        <w:ind w:left="720" w:right="998"/>
        <w:rPr>
          <w:iCs/>
          <w:lang w:val="fr-FR"/>
        </w:rPr>
      </w:pPr>
      <w:r w:rsidRPr="00F47789">
        <w:rPr>
          <w:iCs/>
          <w:lang w:val="fr-FR"/>
        </w:rPr>
        <w:t>“</w:t>
      </w:r>
      <w:r w:rsidR="00F807B3" w:rsidRPr="00F47789">
        <w:rPr>
          <w:iCs/>
          <w:lang w:val="fr-FR"/>
        </w:rPr>
        <w:t>[Si cette section est requise, les TWP sont invités à formuler des conseils sur le contrôle de la variation due à différents observateurs lorsque l</w:t>
      </w:r>
      <w:r w:rsidR="004B3E00" w:rsidRPr="00F47789">
        <w:rPr>
          <w:iCs/>
          <w:lang w:val="fr-FR"/>
        </w:rPr>
        <w:t>’</w:t>
      </w:r>
      <w:r w:rsidR="00F807B3" w:rsidRPr="00F47789">
        <w:rPr>
          <w:iCs/>
          <w:lang w:val="fr-FR"/>
        </w:rPr>
        <w:t>analyse statistique n</w:t>
      </w:r>
      <w:r w:rsidR="004B3E00" w:rsidRPr="00F47789">
        <w:rPr>
          <w:iCs/>
          <w:lang w:val="fr-FR"/>
        </w:rPr>
        <w:t>’</w:t>
      </w:r>
      <w:r w:rsidR="00F807B3" w:rsidRPr="00F47789">
        <w:rPr>
          <w:iCs/>
          <w:lang w:val="fr-FR"/>
        </w:rPr>
        <w:t>est pas utilisée pour déterminer la distinction, et à l</w:t>
      </w:r>
      <w:r w:rsidR="004B3E00" w:rsidRPr="00F47789">
        <w:rPr>
          <w:iCs/>
          <w:lang w:val="fr-FR"/>
        </w:rPr>
        <w:t>’</w:t>
      </w:r>
      <w:r w:rsidR="00F807B3" w:rsidRPr="00F47789">
        <w:rPr>
          <w:iCs/>
          <w:lang w:val="fr-FR"/>
        </w:rPr>
        <w:t>examiner en liaison avec le paragraphe 2.7.2.9.]</w:t>
      </w:r>
      <w:r w:rsidRPr="00F47789">
        <w:rPr>
          <w:iCs/>
          <w:lang w:val="fr-FR"/>
        </w:rPr>
        <w:t>”</w:t>
      </w:r>
    </w:p>
    <w:p w:rsidR="008D0F00" w:rsidRPr="00F47789" w:rsidRDefault="008D0F00" w:rsidP="00621E06">
      <w:pPr>
        <w:ind w:left="720" w:right="998"/>
        <w:rPr>
          <w:i/>
          <w:iCs/>
          <w:lang w:val="fr-FR"/>
        </w:rPr>
      </w:pPr>
    </w:p>
    <w:p w:rsidR="008D0F00" w:rsidRPr="00F47789" w:rsidRDefault="009656B4" w:rsidP="00621E06">
      <w:pPr>
        <w:rPr>
          <w:rFonts w:cs="Arial"/>
          <w:lang w:val="fr-FR"/>
        </w:rPr>
      </w:pPr>
      <w:r w:rsidRPr="00F47789">
        <w:rPr>
          <w:rFonts w:cs="Arial"/>
          <w:lang w:val="fr-FR"/>
        </w:rPr>
        <w:fldChar w:fldCharType="begin"/>
      </w:r>
      <w:r w:rsidRPr="00F47789">
        <w:rPr>
          <w:rFonts w:cs="Arial"/>
          <w:lang w:val="fr-FR"/>
        </w:rPr>
        <w:instrText xml:space="preserve"> AUTONUM  </w:instrText>
      </w:r>
      <w:r w:rsidRPr="00F47789">
        <w:rPr>
          <w:rFonts w:cs="Arial"/>
          <w:lang w:val="fr-FR"/>
        </w:rPr>
        <w:fldChar w:fldCharType="end"/>
      </w:r>
      <w:r w:rsidRPr="00F47789">
        <w:rPr>
          <w:rFonts w:cs="Arial"/>
          <w:lang w:val="fr-FR"/>
        </w:rPr>
        <w:tab/>
      </w:r>
      <w:r w:rsidR="001F76F5" w:rsidRPr="00F47789">
        <w:rPr>
          <w:rFonts w:cs="Arial"/>
          <w:lang w:val="fr-FR"/>
        </w:rPr>
        <w:t xml:space="preserve">Les faits nouveaux survenus avant </w:t>
      </w:r>
      <w:r w:rsidR="00007A2E" w:rsidRPr="00F47789">
        <w:rPr>
          <w:rFonts w:cs="Arial"/>
          <w:lang w:val="fr-FR"/>
        </w:rPr>
        <w:t>2015</w:t>
      </w:r>
      <w:r w:rsidR="001F76F5" w:rsidRPr="00F47789">
        <w:rPr>
          <w:rFonts w:cs="Arial"/>
          <w:lang w:val="fr-FR"/>
        </w:rPr>
        <w:t xml:space="preserve"> sont présentés dans le </w:t>
      </w:r>
      <w:r w:rsidR="004B3E00" w:rsidRPr="00F47789">
        <w:rPr>
          <w:rFonts w:cs="Arial"/>
          <w:lang w:val="fr-FR"/>
        </w:rPr>
        <w:t>document TC</w:t>
      </w:r>
      <w:r w:rsidRPr="00F47789">
        <w:rPr>
          <w:rFonts w:cs="Arial"/>
          <w:lang w:val="fr-FR"/>
        </w:rPr>
        <w:t>/</w:t>
      </w:r>
      <w:r w:rsidR="00007A2E" w:rsidRPr="00F47789">
        <w:rPr>
          <w:rFonts w:cs="Arial"/>
          <w:lang w:val="fr-FR"/>
        </w:rPr>
        <w:t>51/16</w:t>
      </w:r>
      <w:r w:rsidRPr="00F47789">
        <w:rPr>
          <w:rFonts w:cs="Arial"/>
          <w:lang w:val="fr-FR"/>
        </w:rPr>
        <w:t xml:space="preserve"> “</w:t>
      </w:r>
      <w:r w:rsidRPr="00F47789">
        <w:rPr>
          <w:lang w:val="fr-FR"/>
        </w:rPr>
        <w:t>R</w:t>
      </w:r>
      <w:r w:rsidR="001F76F5" w:rsidRPr="00F47789">
        <w:rPr>
          <w:lang w:val="fr-FR"/>
        </w:rPr>
        <w:t>évision du document TGP/8 : première partie : Protocole d</w:t>
      </w:r>
      <w:r w:rsidR="004B3E00" w:rsidRPr="00F47789">
        <w:rPr>
          <w:lang w:val="fr-FR"/>
        </w:rPr>
        <w:t>’</w:t>
      </w:r>
      <w:r w:rsidR="001F76F5" w:rsidRPr="00F47789">
        <w:rPr>
          <w:lang w:val="fr-FR"/>
        </w:rPr>
        <w:t>essai DHS et analyse des données, nouvelle section : Réduction de la variation due à différents observateurs</w:t>
      </w:r>
      <w:r w:rsidRPr="00F47789">
        <w:rPr>
          <w:lang w:val="fr-FR"/>
        </w:rPr>
        <w:t>”</w:t>
      </w:r>
      <w:r w:rsidRPr="00F47789">
        <w:rPr>
          <w:rFonts w:cs="Arial"/>
          <w:lang w:val="fr-FR"/>
        </w:rPr>
        <w:t>.</w:t>
      </w:r>
    </w:p>
    <w:p w:rsidR="008D0F00" w:rsidRPr="00F47789" w:rsidRDefault="008D0F00" w:rsidP="00621E06">
      <w:pPr>
        <w:pStyle w:val="Heading1"/>
        <w:rPr>
          <w:lang w:val="fr-FR"/>
        </w:rPr>
      </w:pP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F807B3" w:rsidP="00621E06">
      <w:pPr>
        <w:pStyle w:val="Heading1"/>
        <w:rPr>
          <w:lang w:val="fr-FR"/>
        </w:rPr>
      </w:pPr>
      <w:bookmarkStart w:id="9" w:name="_Toc441059203"/>
      <w:bookmarkStart w:id="10" w:name="_Toc441572912"/>
      <w:r w:rsidRPr="00F47789">
        <w:rPr>
          <w:lang w:val="fr-FR"/>
        </w:rPr>
        <w:t>faits nouveaux en </w:t>
      </w:r>
      <w:bookmarkEnd w:id="9"/>
      <w:r w:rsidR="00007A2E" w:rsidRPr="00F47789">
        <w:rPr>
          <w:lang w:val="fr-FR"/>
        </w:rPr>
        <w:t>2015</w:t>
      </w:r>
      <w:bookmarkEnd w:id="10"/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F807B3" w:rsidP="00621E06">
      <w:pPr>
        <w:pStyle w:val="Heading2"/>
        <w:rPr>
          <w:lang w:val="fr-FR"/>
        </w:rPr>
      </w:pPr>
      <w:bookmarkStart w:id="11" w:name="_Toc441059204"/>
      <w:bookmarkStart w:id="12" w:name="_Toc441572913"/>
      <w:r w:rsidRPr="00F47789">
        <w:rPr>
          <w:lang w:val="fr-FR"/>
        </w:rPr>
        <w:t>Comité technique</w:t>
      </w:r>
      <w:bookmarkEnd w:id="11"/>
      <w:bookmarkEnd w:id="12"/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9435B0" w:rsidP="00621E06">
      <w:pPr>
        <w:rPr>
          <w:rFonts w:cs="Arial"/>
          <w:lang w:val="fr-FR"/>
        </w:rPr>
      </w:pPr>
      <w:r w:rsidRPr="00F47789">
        <w:rPr>
          <w:rFonts w:cs="Arial"/>
          <w:lang w:val="fr-FR"/>
        </w:rPr>
        <w:fldChar w:fldCharType="begin"/>
      </w:r>
      <w:r w:rsidRPr="00F47789">
        <w:rPr>
          <w:rFonts w:cs="Arial"/>
          <w:lang w:val="fr-FR"/>
        </w:rPr>
        <w:instrText xml:space="preserve"> AUTONUM  </w:instrText>
      </w:r>
      <w:r w:rsidRPr="00F47789">
        <w:rPr>
          <w:rFonts w:cs="Arial"/>
          <w:lang w:val="fr-FR"/>
        </w:rPr>
        <w:fldChar w:fldCharType="end"/>
      </w:r>
      <w:r w:rsidRPr="00F47789">
        <w:rPr>
          <w:rFonts w:cs="Arial"/>
          <w:lang w:val="fr-FR"/>
        </w:rPr>
        <w:tab/>
      </w:r>
      <w:r w:rsidR="00F035DB" w:rsidRPr="00F47789">
        <w:rPr>
          <w:rFonts w:cs="Arial"/>
          <w:lang w:val="fr-FR"/>
        </w:rPr>
        <w:t xml:space="preserve">À sa </w:t>
      </w:r>
      <w:r w:rsidR="00007A2E" w:rsidRPr="00F47789">
        <w:rPr>
          <w:rFonts w:cs="Arial"/>
          <w:lang w:val="fr-FR"/>
        </w:rPr>
        <w:t>cinquante et unième </w:t>
      </w:r>
      <w:r w:rsidR="00F035DB" w:rsidRPr="00F47789">
        <w:rPr>
          <w:rFonts w:cs="Arial"/>
          <w:lang w:val="fr-FR"/>
        </w:rPr>
        <w:t xml:space="preserve">session tenue à Genève du </w:t>
      </w:r>
      <w:r w:rsidR="00007A2E" w:rsidRPr="00F47789">
        <w:rPr>
          <w:rFonts w:cs="Arial"/>
          <w:lang w:val="fr-FR"/>
        </w:rPr>
        <w:t>23 au 2</w:t>
      </w:r>
      <w:r w:rsidR="004B3E00" w:rsidRPr="00F47789">
        <w:rPr>
          <w:rFonts w:cs="Arial"/>
          <w:lang w:val="fr-FR"/>
        </w:rPr>
        <w:t>5 mars 20</w:t>
      </w:r>
      <w:r w:rsidR="00007A2E" w:rsidRPr="00F47789">
        <w:rPr>
          <w:rFonts w:cs="Arial"/>
          <w:lang w:val="fr-FR"/>
        </w:rPr>
        <w:t>15</w:t>
      </w:r>
      <w:r w:rsidR="00F035DB" w:rsidRPr="00F47789">
        <w:rPr>
          <w:rFonts w:cs="Arial"/>
          <w:lang w:val="fr-FR"/>
        </w:rPr>
        <w:t>, le</w:t>
      </w:r>
      <w:r w:rsidR="004B3E00" w:rsidRPr="00F47789">
        <w:rPr>
          <w:rFonts w:cs="Arial"/>
          <w:lang w:val="fr-FR"/>
        </w:rPr>
        <w:t> TC</w:t>
      </w:r>
      <w:r w:rsidR="00F035DB" w:rsidRPr="00F47789">
        <w:rPr>
          <w:rFonts w:cs="Arial"/>
          <w:lang w:val="fr-FR"/>
        </w:rPr>
        <w:t xml:space="preserve"> a examiné le</w:t>
      </w:r>
      <w:r w:rsidRPr="00F47789">
        <w:rPr>
          <w:rFonts w:cs="Arial"/>
          <w:lang w:val="fr-FR"/>
        </w:rPr>
        <w:t xml:space="preserve"> </w:t>
      </w:r>
      <w:r w:rsidR="004B3E00" w:rsidRPr="00F47789">
        <w:rPr>
          <w:rFonts w:cs="Arial"/>
          <w:lang w:val="fr-FR"/>
        </w:rPr>
        <w:t>document TC</w:t>
      </w:r>
      <w:r w:rsidR="00F035DB" w:rsidRPr="00F47789">
        <w:rPr>
          <w:rFonts w:cs="Arial"/>
          <w:lang w:val="fr-FR"/>
        </w:rPr>
        <w:t>/</w:t>
      </w:r>
      <w:r w:rsidR="00007A2E" w:rsidRPr="00F47789">
        <w:rPr>
          <w:rFonts w:cs="Arial"/>
          <w:lang w:val="fr-FR"/>
        </w:rPr>
        <w:t>51/16</w:t>
      </w:r>
      <w:r w:rsidR="00F035DB" w:rsidRPr="00F47789">
        <w:rPr>
          <w:rFonts w:cs="Arial"/>
          <w:lang w:val="fr-FR"/>
        </w:rPr>
        <w:t xml:space="preserve"> “</w:t>
      </w:r>
      <w:r w:rsidR="00F035DB" w:rsidRPr="00F47789">
        <w:rPr>
          <w:lang w:val="fr-FR"/>
        </w:rPr>
        <w:t>Révision du document TGP/8 : première partie : Protocole d</w:t>
      </w:r>
      <w:r w:rsidR="004B3E00" w:rsidRPr="00F47789">
        <w:rPr>
          <w:lang w:val="fr-FR"/>
        </w:rPr>
        <w:t>’</w:t>
      </w:r>
      <w:r w:rsidR="00F035DB" w:rsidRPr="00F47789">
        <w:rPr>
          <w:lang w:val="fr-FR"/>
        </w:rPr>
        <w:t>essai DHS et analys</w:t>
      </w:r>
      <w:r w:rsidR="007F3AC1" w:rsidRPr="00F47789">
        <w:rPr>
          <w:lang w:val="fr-FR"/>
        </w:rPr>
        <w:t>e des données, nouvelle section</w:t>
      </w:r>
      <w:r w:rsidR="00680E7C" w:rsidRPr="00F47789">
        <w:rPr>
          <w:lang w:val="fr-FR"/>
        </w:rPr>
        <w:t> </w:t>
      </w:r>
      <w:r w:rsidR="00F035DB" w:rsidRPr="00F47789">
        <w:rPr>
          <w:lang w:val="fr-FR"/>
        </w:rPr>
        <w:t>: Réduction de la variation due à différents observateurs”</w:t>
      </w:r>
      <w:r w:rsidR="0000770A" w:rsidRPr="00F47789">
        <w:rPr>
          <w:lang w:val="fr-FR"/>
        </w:rPr>
        <w:t xml:space="preserve"> </w:t>
      </w:r>
      <w:r w:rsidR="00680E7C" w:rsidRPr="00F47789">
        <w:rPr>
          <w:lang w:val="fr-FR"/>
        </w:rPr>
        <w:t xml:space="preserve">et le projet de conseils destiné à être intégré dans le </w:t>
      </w:r>
      <w:r w:rsidR="0000770A" w:rsidRPr="00F47789">
        <w:rPr>
          <w:lang w:val="fr-FR"/>
        </w:rPr>
        <w:t xml:space="preserve">document TGP/8 </w:t>
      </w:r>
      <w:r w:rsidR="00680E7C" w:rsidRPr="00F47789">
        <w:rPr>
          <w:lang w:val="fr-FR"/>
        </w:rPr>
        <w:t xml:space="preserve">concernant </w:t>
      </w:r>
      <w:r w:rsidR="00103A1B" w:rsidRPr="00F47789">
        <w:rPr>
          <w:lang w:val="fr-FR" w:eastAsia="ja-JP"/>
        </w:rPr>
        <w:t>la réduction de la variation due à différents observateurs dans un même essai</w:t>
      </w:r>
      <w:r w:rsidR="0000770A" w:rsidRPr="00F47789">
        <w:rPr>
          <w:lang w:val="fr-FR"/>
        </w:rPr>
        <w:t xml:space="preserve">, </w:t>
      </w:r>
      <w:r w:rsidR="002A299C" w:rsidRPr="00F47789">
        <w:rPr>
          <w:lang w:val="fr-FR"/>
        </w:rPr>
        <w:t>tel qu</w:t>
      </w:r>
      <w:r w:rsidR="004B3E00" w:rsidRPr="00F47789">
        <w:rPr>
          <w:lang w:val="fr-FR"/>
        </w:rPr>
        <w:t>’</w:t>
      </w:r>
      <w:r w:rsidR="002A299C" w:rsidRPr="00F47789">
        <w:rPr>
          <w:lang w:val="fr-FR"/>
        </w:rPr>
        <w:t>il figure à l</w:t>
      </w:r>
      <w:r w:rsidR="004B3E00" w:rsidRPr="00F47789">
        <w:rPr>
          <w:lang w:val="fr-FR"/>
        </w:rPr>
        <w:t>’</w:t>
      </w:r>
      <w:r w:rsidR="002A299C" w:rsidRPr="00F47789">
        <w:rPr>
          <w:lang w:val="fr-FR"/>
        </w:rPr>
        <w:t>annexe du</w:t>
      </w:r>
      <w:r w:rsidR="004B3E00" w:rsidRPr="00F47789">
        <w:rPr>
          <w:lang w:val="fr-FR"/>
        </w:rPr>
        <w:t> TC</w:t>
      </w:r>
      <w:r w:rsidR="0000770A" w:rsidRPr="00F47789">
        <w:rPr>
          <w:lang w:val="fr-FR"/>
        </w:rPr>
        <w:t xml:space="preserve">/51/16, </w:t>
      </w:r>
      <w:r w:rsidR="002A299C" w:rsidRPr="00F47789">
        <w:rPr>
          <w:lang w:val="fr-FR"/>
        </w:rPr>
        <w:t>compte tenu des observations formulées par</w:t>
      </w:r>
      <w:r w:rsidR="004B3E00" w:rsidRPr="00F47789">
        <w:rPr>
          <w:lang w:val="fr-FR"/>
        </w:rPr>
        <w:t xml:space="preserve"> les TWP</w:t>
      </w:r>
      <w:r w:rsidR="0000770A" w:rsidRPr="00F47789">
        <w:rPr>
          <w:lang w:val="fr-FR"/>
        </w:rPr>
        <w:t xml:space="preserve"> </w:t>
      </w:r>
      <w:r w:rsidR="00F32418" w:rsidRPr="00F47789">
        <w:rPr>
          <w:lang w:val="fr-FR"/>
        </w:rPr>
        <w:t>à leu</w:t>
      </w:r>
      <w:r w:rsidR="002A299C" w:rsidRPr="00F47789">
        <w:rPr>
          <w:lang w:val="fr-FR"/>
        </w:rPr>
        <w:t>rs sessions de</w:t>
      </w:r>
      <w:r w:rsidR="002B5BB9" w:rsidRPr="00F47789">
        <w:rPr>
          <w:lang w:val="fr-FR"/>
        </w:rPr>
        <w:t> </w:t>
      </w:r>
      <w:r w:rsidR="0000770A" w:rsidRPr="00F47789">
        <w:rPr>
          <w:lang w:val="fr-FR"/>
        </w:rPr>
        <w:t xml:space="preserve">2014 </w:t>
      </w:r>
      <w:r w:rsidR="0000770A" w:rsidRPr="00F47789">
        <w:rPr>
          <w:iCs/>
          <w:spacing w:val="-4"/>
          <w:lang w:val="fr-FR" w:eastAsia="ja-JP"/>
        </w:rPr>
        <w:t>(</w:t>
      </w:r>
      <w:r w:rsidR="0000770A" w:rsidRPr="00F47789">
        <w:rPr>
          <w:lang w:val="fr-FR" w:eastAsia="ja-JP"/>
        </w:rPr>
        <w:t xml:space="preserve">voir le paragraphe 132 du </w:t>
      </w:r>
      <w:r w:rsidR="004B3E00" w:rsidRPr="00F47789">
        <w:rPr>
          <w:lang w:val="fr-FR" w:eastAsia="ja-JP"/>
        </w:rPr>
        <w:t>document TC</w:t>
      </w:r>
      <w:r w:rsidR="0000770A" w:rsidRPr="00F47789">
        <w:rPr>
          <w:lang w:val="fr-FR" w:eastAsia="ja-JP"/>
        </w:rPr>
        <w:t>/51/39)</w:t>
      </w:r>
      <w:r w:rsidR="0000770A" w:rsidRPr="00F47789">
        <w:rPr>
          <w:lang w:val="fr-FR"/>
        </w:rPr>
        <w:t>.</w:t>
      </w:r>
    </w:p>
    <w:p w:rsidR="008D0F00" w:rsidRPr="00F47789" w:rsidRDefault="008D0F00" w:rsidP="00621E06">
      <w:pPr>
        <w:rPr>
          <w:rFonts w:cs="Arial"/>
          <w:lang w:val="fr-FR"/>
        </w:rPr>
      </w:pPr>
    </w:p>
    <w:p w:rsidR="008D0F00" w:rsidRPr="00F47789" w:rsidRDefault="0000770A" w:rsidP="00621E06">
      <w:pPr>
        <w:rPr>
          <w:lang w:val="fr-FR"/>
        </w:rPr>
      </w:pPr>
      <w:r w:rsidRPr="00F47789">
        <w:rPr>
          <w:lang w:val="fr-FR"/>
        </w:rPr>
        <w:lastRenderedPageBreak/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F32418" w:rsidRPr="00F47789">
        <w:rPr>
          <w:lang w:val="fr-FR"/>
        </w:rPr>
        <w:t>Le</w:t>
      </w:r>
      <w:r w:rsidR="004B3E00" w:rsidRPr="00F47789">
        <w:rPr>
          <w:lang w:val="fr-FR"/>
        </w:rPr>
        <w:t> TC</w:t>
      </w:r>
      <w:r w:rsidRPr="00F47789">
        <w:rPr>
          <w:lang w:val="fr-FR"/>
        </w:rPr>
        <w:t xml:space="preserve"> </w:t>
      </w:r>
      <w:r w:rsidR="00F32418" w:rsidRPr="00F47789">
        <w:rPr>
          <w:lang w:val="fr-FR"/>
        </w:rPr>
        <w:t xml:space="preserve">est convenu </w:t>
      </w:r>
      <w:r w:rsidR="00F37CBA" w:rsidRPr="00F47789">
        <w:rPr>
          <w:lang w:val="fr-FR"/>
        </w:rPr>
        <w:t>de demander à l</w:t>
      </w:r>
      <w:r w:rsidR="004B3E00" w:rsidRPr="00F47789">
        <w:rPr>
          <w:lang w:val="fr-FR"/>
        </w:rPr>
        <w:t>’</w:t>
      </w:r>
      <w:r w:rsidR="00F37CBA" w:rsidRPr="00F47789">
        <w:rPr>
          <w:lang w:val="fr-FR"/>
        </w:rPr>
        <w:t>expert de l</w:t>
      </w:r>
      <w:r w:rsidR="004B3E00" w:rsidRPr="00F47789">
        <w:rPr>
          <w:lang w:val="fr-FR"/>
        </w:rPr>
        <w:t>’</w:t>
      </w:r>
      <w:r w:rsidR="00F37CBA" w:rsidRPr="00F47789">
        <w:rPr>
          <w:lang w:val="fr-FR"/>
        </w:rPr>
        <w:t>Australie de poursuivre l</w:t>
      </w:r>
      <w:r w:rsidR="004B3E00" w:rsidRPr="00F47789">
        <w:rPr>
          <w:lang w:val="fr-FR"/>
        </w:rPr>
        <w:t>’</w:t>
      </w:r>
      <w:r w:rsidR="00F37CBA" w:rsidRPr="00F47789">
        <w:rPr>
          <w:lang w:val="fr-FR"/>
        </w:rPr>
        <w:t xml:space="preserve">élaboration du </w:t>
      </w:r>
      <w:r w:rsidRPr="00F47789">
        <w:rPr>
          <w:lang w:val="fr-FR"/>
        </w:rPr>
        <w:t xml:space="preserve">document </w:t>
      </w:r>
      <w:r w:rsidR="0036410E" w:rsidRPr="00F47789">
        <w:rPr>
          <w:lang w:val="fr-FR"/>
        </w:rPr>
        <w:t>devant être présenté</w:t>
      </w:r>
      <w:r w:rsidR="004B3E00" w:rsidRPr="00F47789">
        <w:rPr>
          <w:lang w:val="fr-FR"/>
        </w:rPr>
        <w:t xml:space="preserve"> aux TWP</w:t>
      </w:r>
      <w:r w:rsidR="0036410E" w:rsidRPr="00F47789">
        <w:rPr>
          <w:lang w:val="fr-FR"/>
        </w:rPr>
        <w:t xml:space="preserve"> à leurs sessions </w:t>
      </w:r>
      <w:r w:rsidR="00D15DF1" w:rsidRPr="00F47789">
        <w:rPr>
          <w:lang w:val="fr-FR"/>
        </w:rPr>
        <w:t>de</w:t>
      </w:r>
      <w:r w:rsidR="002B5BB9" w:rsidRPr="00F47789">
        <w:rPr>
          <w:lang w:val="fr-FR"/>
        </w:rPr>
        <w:t> </w:t>
      </w:r>
      <w:r w:rsidR="0036410E" w:rsidRPr="00F47789">
        <w:rPr>
          <w:lang w:val="fr-FR"/>
        </w:rPr>
        <w:t xml:space="preserve">2015, et de modifier le titre qui doit être remplacé par celui figurant en annexe du </w:t>
      </w:r>
      <w:r w:rsidR="004B3E00" w:rsidRPr="00F47789">
        <w:rPr>
          <w:lang w:val="fr-FR"/>
        </w:rPr>
        <w:t>document TC</w:t>
      </w:r>
      <w:r w:rsidRPr="00F47789">
        <w:rPr>
          <w:lang w:val="fr-FR"/>
        </w:rPr>
        <w:t>/51/16 “</w:t>
      </w:r>
      <w:r w:rsidR="00103A1B" w:rsidRPr="00F47789">
        <w:rPr>
          <w:lang w:val="fr-FR" w:eastAsia="ja-JP"/>
        </w:rPr>
        <w:t>Réduction de la variation due à différents observateurs dans un même essai</w:t>
      </w:r>
      <w:r w:rsidRPr="00F47789">
        <w:rPr>
          <w:lang w:val="fr-FR"/>
        </w:rPr>
        <w:t xml:space="preserve">” </w:t>
      </w:r>
      <w:r w:rsidRPr="00F47789">
        <w:rPr>
          <w:iCs/>
          <w:spacing w:val="-4"/>
          <w:lang w:val="fr-FR" w:eastAsia="ja-JP"/>
        </w:rPr>
        <w:t>(</w:t>
      </w:r>
      <w:r w:rsidRPr="00F47789">
        <w:rPr>
          <w:lang w:val="fr-FR" w:eastAsia="ja-JP"/>
        </w:rPr>
        <w:t xml:space="preserve">voir le paragraphe 133 du </w:t>
      </w:r>
      <w:r w:rsidR="004B3E00" w:rsidRPr="00F47789">
        <w:rPr>
          <w:lang w:val="fr-FR" w:eastAsia="ja-JP"/>
        </w:rPr>
        <w:t>document TC</w:t>
      </w:r>
      <w:r w:rsidRPr="00F47789">
        <w:rPr>
          <w:lang w:val="fr-FR" w:eastAsia="ja-JP"/>
        </w:rPr>
        <w:t>/51/39)</w:t>
      </w:r>
      <w:r w:rsidRPr="00F47789">
        <w:rPr>
          <w:lang w:val="fr-FR"/>
        </w:rPr>
        <w:t>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701CCC" w:rsidP="00621E06">
      <w:pPr>
        <w:rPr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AA394F" w:rsidRPr="00F47789">
        <w:rPr>
          <w:lang w:val="fr-FR"/>
        </w:rPr>
        <w:t>En réponse à la demande du</w:t>
      </w:r>
      <w:r w:rsidR="004B3E00" w:rsidRPr="00F47789">
        <w:rPr>
          <w:lang w:val="fr-FR"/>
        </w:rPr>
        <w:t> TC</w:t>
      </w:r>
      <w:r w:rsidR="004E3EF0" w:rsidRPr="00F47789">
        <w:rPr>
          <w:lang w:val="fr-FR"/>
        </w:rPr>
        <w:t xml:space="preserve"> et aux fins de révision par les TWP lors de leurs sessions de 2015</w:t>
      </w:r>
      <w:r w:rsidR="00AA394F" w:rsidRPr="00F47789">
        <w:rPr>
          <w:lang w:val="fr-FR"/>
        </w:rPr>
        <w:t>, le rédacteur d</w:t>
      </w:r>
      <w:r w:rsidR="00A91576" w:rsidRPr="00F47789">
        <w:rPr>
          <w:lang w:val="fr-FR"/>
        </w:rPr>
        <w:t>e l</w:t>
      </w:r>
      <w:r w:rsidR="004B3E00" w:rsidRPr="00F47789">
        <w:rPr>
          <w:lang w:val="fr-FR"/>
        </w:rPr>
        <w:t>’</w:t>
      </w:r>
      <w:r w:rsidR="00AA394F" w:rsidRPr="00F47789">
        <w:rPr>
          <w:lang w:val="fr-FR"/>
        </w:rPr>
        <w:t xml:space="preserve">Australie </w:t>
      </w:r>
      <w:r w:rsidR="00A05486" w:rsidRPr="00F47789">
        <w:rPr>
          <w:lang w:val="fr-FR"/>
        </w:rPr>
        <w:t>(M.</w:t>
      </w:r>
      <w:r w:rsidR="00947858" w:rsidRPr="00F47789">
        <w:rPr>
          <w:lang w:val="fr-FR"/>
        </w:rPr>
        <w:t> </w:t>
      </w:r>
      <w:proofErr w:type="spellStart"/>
      <w:r w:rsidR="00FF2E1F" w:rsidRPr="00F47789">
        <w:rPr>
          <w:lang w:val="fr-FR"/>
        </w:rPr>
        <w:t>Nik</w:t>
      </w:r>
      <w:proofErr w:type="spellEnd"/>
      <w:r w:rsidR="00FF2E1F" w:rsidRPr="00F47789">
        <w:rPr>
          <w:lang w:val="fr-FR"/>
        </w:rPr>
        <w:t> </w:t>
      </w:r>
      <w:proofErr w:type="spellStart"/>
      <w:r w:rsidR="00A05486" w:rsidRPr="00F47789">
        <w:rPr>
          <w:lang w:val="fr-FR"/>
        </w:rPr>
        <w:t>Hulse</w:t>
      </w:r>
      <w:proofErr w:type="spellEnd"/>
      <w:r w:rsidR="00A05486" w:rsidRPr="00F47789">
        <w:rPr>
          <w:lang w:val="fr-FR"/>
        </w:rPr>
        <w:t>)</w:t>
      </w:r>
      <w:r w:rsidR="00AA394F" w:rsidRPr="00F47789">
        <w:rPr>
          <w:lang w:val="fr-FR"/>
        </w:rPr>
        <w:t xml:space="preserve"> a </w:t>
      </w:r>
      <w:r w:rsidR="00D04323" w:rsidRPr="00F47789">
        <w:rPr>
          <w:lang w:val="fr-FR"/>
        </w:rPr>
        <w:t>fourni une version révisée de conseils</w:t>
      </w:r>
      <w:r w:rsidR="004E3EF0" w:rsidRPr="00F47789">
        <w:rPr>
          <w:lang w:val="fr-FR"/>
        </w:rPr>
        <w:t xml:space="preserve">, qui figure en annexe du présent document, </w:t>
      </w:r>
      <w:r w:rsidR="00D04323" w:rsidRPr="00F47789">
        <w:rPr>
          <w:lang w:val="fr-FR"/>
        </w:rPr>
        <w:t>en vue d</w:t>
      </w:r>
      <w:r w:rsidR="004B3E00" w:rsidRPr="00F47789">
        <w:rPr>
          <w:lang w:val="fr-FR"/>
        </w:rPr>
        <w:t>’</w:t>
      </w:r>
      <w:r w:rsidR="00D04323" w:rsidRPr="00F47789">
        <w:rPr>
          <w:lang w:val="fr-FR"/>
        </w:rPr>
        <w:t xml:space="preserve">une future révision du </w:t>
      </w:r>
      <w:r w:rsidR="00AA394F" w:rsidRPr="00F47789">
        <w:rPr>
          <w:lang w:val="fr-FR"/>
        </w:rPr>
        <w:t xml:space="preserve">document TGP/8 concernant </w:t>
      </w:r>
      <w:r w:rsidR="00103A1B" w:rsidRPr="00F47789">
        <w:rPr>
          <w:lang w:val="fr-FR"/>
        </w:rPr>
        <w:t>la réduction</w:t>
      </w:r>
      <w:r w:rsidR="00AA394F" w:rsidRPr="00F47789">
        <w:rPr>
          <w:lang w:val="fr-FR"/>
        </w:rPr>
        <w:t xml:space="preserve"> de la variation due à différents observateurs.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F807B3" w:rsidP="00621E06">
      <w:pPr>
        <w:pStyle w:val="Heading2"/>
        <w:rPr>
          <w:lang w:val="fr-FR"/>
        </w:rPr>
      </w:pPr>
      <w:bookmarkStart w:id="13" w:name="_Toc441059205"/>
      <w:bookmarkStart w:id="14" w:name="_Toc441572914"/>
      <w:r w:rsidRPr="00F47789">
        <w:rPr>
          <w:lang w:val="fr-FR"/>
        </w:rPr>
        <w:t>Groupes de travail techniques</w:t>
      </w:r>
      <w:bookmarkEnd w:id="13"/>
      <w:bookmarkEnd w:id="14"/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0F51AB" w:rsidP="00621E06">
      <w:pPr>
        <w:rPr>
          <w:snapToGrid w:val="0"/>
          <w:lang w:val="fr-FR"/>
        </w:rPr>
      </w:pPr>
      <w:r w:rsidRPr="00F47789">
        <w:rPr>
          <w:snapToGrid w:val="0"/>
          <w:lang w:val="fr-FR"/>
        </w:rPr>
        <w:fldChar w:fldCharType="begin"/>
      </w:r>
      <w:r w:rsidRPr="00F47789">
        <w:rPr>
          <w:snapToGrid w:val="0"/>
          <w:lang w:val="fr-FR"/>
        </w:rPr>
        <w:instrText xml:space="preserve"> AUTONUM  </w:instrText>
      </w:r>
      <w:r w:rsidRPr="00F47789">
        <w:rPr>
          <w:snapToGrid w:val="0"/>
          <w:lang w:val="fr-FR"/>
        </w:rPr>
        <w:fldChar w:fldCharType="end"/>
      </w:r>
      <w:r w:rsidRPr="00F47789">
        <w:rPr>
          <w:snapToGrid w:val="0"/>
          <w:lang w:val="fr-FR"/>
        </w:rPr>
        <w:tab/>
      </w:r>
      <w:r w:rsidR="00DA5450" w:rsidRPr="00F47789">
        <w:rPr>
          <w:lang w:val="fr-FR"/>
        </w:rPr>
        <w:t>Le</w:t>
      </w:r>
      <w:r w:rsidRPr="00F47789">
        <w:rPr>
          <w:lang w:val="fr-FR"/>
        </w:rPr>
        <w:t xml:space="preserve"> TW</w:t>
      </w:r>
      <w:r w:rsidR="007560A4" w:rsidRPr="00F47789">
        <w:rPr>
          <w:lang w:val="fr-FR"/>
        </w:rPr>
        <w:t>V</w:t>
      </w:r>
      <w:r w:rsidRPr="00F47789">
        <w:rPr>
          <w:lang w:val="fr-FR"/>
        </w:rPr>
        <w:t>,</w:t>
      </w:r>
      <w:r w:rsidR="00343EE5" w:rsidRPr="00F47789">
        <w:rPr>
          <w:lang w:val="fr-FR"/>
        </w:rPr>
        <w:t xml:space="preserve"> le TW</w:t>
      </w:r>
      <w:r w:rsidR="007560A4" w:rsidRPr="00F47789">
        <w:rPr>
          <w:lang w:val="fr-FR"/>
        </w:rPr>
        <w:t>C</w:t>
      </w:r>
      <w:r w:rsidRPr="00F47789">
        <w:rPr>
          <w:lang w:val="fr-FR"/>
        </w:rPr>
        <w:t>,</w:t>
      </w:r>
      <w:r w:rsidR="00343EE5" w:rsidRPr="00F47789">
        <w:rPr>
          <w:lang w:val="fr-FR"/>
        </w:rPr>
        <w:t xml:space="preserve"> le TW</w:t>
      </w:r>
      <w:r w:rsidR="007560A4" w:rsidRPr="00F47789">
        <w:rPr>
          <w:lang w:val="fr-FR"/>
        </w:rPr>
        <w:t>A</w:t>
      </w:r>
      <w:r w:rsidRPr="00F47789">
        <w:rPr>
          <w:lang w:val="fr-FR"/>
        </w:rPr>
        <w:t>,</w:t>
      </w:r>
      <w:r w:rsidR="00343EE5" w:rsidRPr="00F47789">
        <w:rPr>
          <w:lang w:val="fr-FR"/>
        </w:rPr>
        <w:t xml:space="preserve"> le TW</w:t>
      </w:r>
      <w:r w:rsidR="007560A4" w:rsidRPr="00F47789">
        <w:rPr>
          <w:lang w:val="fr-FR"/>
        </w:rPr>
        <w:t>F</w:t>
      </w:r>
      <w:r w:rsidRPr="00F47789">
        <w:rPr>
          <w:lang w:val="fr-FR"/>
        </w:rPr>
        <w:t xml:space="preserve"> </w:t>
      </w:r>
      <w:r w:rsidR="00DA5450" w:rsidRPr="00F47789">
        <w:rPr>
          <w:lang w:val="fr-FR"/>
        </w:rPr>
        <w:t>et</w:t>
      </w:r>
      <w:r w:rsidR="00343EE5" w:rsidRPr="00F47789">
        <w:rPr>
          <w:lang w:val="fr-FR"/>
        </w:rPr>
        <w:t xml:space="preserve"> le TW</w:t>
      </w:r>
      <w:r w:rsidR="007560A4" w:rsidRPr="00F47789">
        <w:rPr>
          <w:lang w:val="fr-FR"/>
        </w:rPr>
        <w:t>O</w:t>
      </w:r>
      <w:r w:rsidR="00DA5450" w:rsidRPr="00F47789">
        <w:rPr>
          <w:lang w:val="fr-FR"/>
        </w:rPr>
        <w:t xml:space="preserve"> ont examiné les</w:t>
      </w:r>
      <w:r w:rsidRPr="00F47789">
        <w:rPr>
          <w:snapToGrid w:val="0"/>
          <w:lang w:val="fr-FR"/>
        </w:rPr>
        <w:t xml:space="preserve"> documents </w:t>
      </w:r>
      <w:r w:rsidR="007560A4" w:rsidRPr="00F47789">
        <w:rPr>
          <w:snapToGrid w:val="0"/>
          <w:lang w:val="fr-FR"/>
        </w:rPr>
        <w:t>TWV/49/15, TWC/33/15, TWA/44/15, TWF/46/15 et TWO/48/15, respectivement.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0F51AB" w:rsidP="00621E06">
      <w:pPr>
        <w:rPr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E1624B" w:rsidRPr="00F47789">
        <w:rPr>
          <w:lang w:val="fr-FR"/>
        </w:rPr>
        <w:t xml:space="preserve">Le </w:t>
      </w:r>
      <w:r w:rsidR="00343EE5" w:rsidRPr="00F47789">
        <w:rPr>
          <w:lang w:val="fr-FR"/>
        </w:rPr>
        <w:t>TWV</w:t>
      </w:r>
      <w:r w:rsidR="00D46830" w:rsidRPr="00F47789">
        <w:rPr>
          <w:lang w:val="fr-FR"/>
        </w:rPr>
        <w:t xml:space="preserve"> </w:t>
      </w:r>
      <w:r w:rsidR="00277FA7" w:rsidRPr="00F47789">
        <w:rPr>
          <w:lang w:val="fr-FR"/>
        </w:rPr>
        <w:t>et</w:t>
      </w:r>
      <w:r w:rsidR="00343EE5" w:rsidRPr="00F47789">
        <w:rPr>
          <w:lang w:val="fr-FR"/>
        </w:rPr>
        <w:t xml:space="preserve"> le TW</w:t>
      </w:r>
      <w:r w:rsidR="007560A4" w:rsidRPr="00F47789">
        <w:rPr>
          <w:lang w:val="fr-FR"/>
        </w:rPr>
        <w:t>C</w:t>
      </w:r>
      <w:r w:rsidR="00256D98" w:rsidRPr="00F47789">
        <w:rPr>
          <w:lang w:val="fr-FR"/>
        </w:rPr>
        <w:t xml:space="preserve"> </w:t>
      </w:r>
      <w:r w:rsidR="00C715B3" w:rsidRPr="00F47789">
        <w:rPr>
          <w:lang w:val="fr-FR"/>
        </w:rPr>
        <w:t>s</w:t>
      </w:r>
      <w:r w:rsidR="00277FA7" w:rsidRPr="00F47789">
        <w:rPr>
          <w:lang w:val="fr-FR"/>
        </w:rPr>
        <w:t>ont convenu</w:t>
      </w:r>
      <w:r w:rsidR="00C715B3" w:rsidRPr="00F47789">
        <w:rPr>
          <w:lang w:val="fr-FR"/>
        </w:rPr>
        <w:t xml:space="preserve">s </w:t>
      </w:r>
      <w:r w:rsidR="00277FA7" w:rsidRPr="00F47789">
        <w:rPr>
          <w:lang w:val="fr-FR"/>
        </w:rPr>
        <w:t xml:space="preserve">que le projet de conseils </w:t>
      </w:r>
      <w:r w:rsidR="007560A4" w:rsidRPr="00F47789">
        <w:rPr>
          <w:lang w:val="fr-FR"/>
        </w:rPr>
        <w:t>figurant</w:t>
      </w:r>
      <w:r w:rsidR="00277FA7" w:rsidRPr="00F47789">
        <w:rPr>
          <w:lang w:val="fr-FR"/>
        </w:rPr>
        <w:t xml:space="preserve"> à l</w:t>
      </w:r>
      <w:r w:rsidR="004B3E00" w:rsidRPr="00F47789">
        <w:rPr>
          <w:lang w:val="fr-FR"/>
        </w:rPr>
        <w:t>’</w:t>
      </w:r>
      <w:r w:rsidR="00277FA7" w:rsidRPr="00F47789">
        <w:rPr>
          <w:lang w:val="fr-FR"/>
        </w:rPr>
        <w:t>annexe des</w:t>
      </w:r>
      <w:r w:rsidRPr="00F47789">
        <w:rPr>
          <w:lang w:val="fr-FR"/>
        </w:rPr>
        <w:t xml:space="preserve"> </w:t>
      </w:r>
      <w:r w:rsidR="009656B4" w:rsidRPr="00F47789">
        <w:rPr>
          <w:snapToGrid w:val="0"/>
          <w:lang w:val="fr-FR"/>
        </w:rPr>
        <w:t xml:space="preserve">documents </w:t>
      </w:r>
      <w:r w:rsidR="007560A4" w:rsidRPr="00F47789">
        <w:rPr>
          <w:snapToGrid w:val="0"/>
          <w:lang w:val="fr-FR"/>
        </w:rPr>
        <w:t xml:space="preserve">TWV/49/15 et TWC/33/15 </w:t>
      </w:r>
      <w:r w:rsidR="00277FA7" w:rsidRPr="00F47789">
        <w:rPr>
          <w:lang w:val="fr-FR"/>
        </w:rPr>
        <w:t>devrait être élaboré plus avant en vue de son incorporation dans une future version révisée du document</w:t>
      </w:r>
      <w:r w:rsidRPr="00F47789">
        <w:rPr>
          <w:lang w:val="fr-FR"/>
        </w:rPr>
        <w:t xml:space="preserve"> TGP/8</w:t>
      </w:r>
      <w:r w:rsidR="00277FA7" w:rsidRPr="00F47789">
        <w:rPr>
          <w:lang w:val="fr-FR"/>
        </w:rPr>
        <w:t>,</w:t>
      </w:r>
      <w:r w:rsidRPr="00F47789">
        <w:rPr>
          <w:lang w:val="fr-FR"/>
        </w:rPr>
        <w:t xml:space="preserve"> </w:t>
      </w:r>
      <w:r w:rsidR="00277FA7" w:rsidRPr="00F47789">
        <w:rPr>
          <w:lang w:val="fr-FR"/>
        </w:rPr>
        <w:t xml:space="preserve">concernant </w:t>
      </w:r>
      <w:r w:rsidR="00103A1B" w:rsidRPr="00F47789">
        <w:rPr>
          <w:lang w:val="fr-FR"/>
        </w:rPr>
        <w:t>la réduction</w:t>
      </w:r>
      <w:r w:rsidR="00277FA7" w:rsidRPr="00F47789">
        <w:rPr>
          <w:lang w:val="fr-FR"/>
        </w:rPr>
        <w:t xml:space="preserve"> de la variation due à différents observateurs</w:t>
      </w:r>
      <w:r w:rsidRPr="00F47789">
        <w:rPr>
          <w:lang w:val="fr-FR"/>
        </w:rPr>
        <w:t>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7560A4" w:rsidP="00621E06">
      <w:pPr>
        <w:rPr>
          <w:snapToGrid w:val="0"/>
          <w:lang w:val="fr-FR"/>
        </w:rPr>
      </w:pPr>
      <w:r w:rsidRPr="00F47789">
        <w:rPr>
          <w:snapToGrid w:val="0"/>
          <w:lang w:val="fr-FR"/>
        </w:rPr>
        <w:fldChar w:fldCharType="begin"/>
      </w:r>
      <w:r w:rsidRPr="00F47789">
        <w:rPr>
          <w:snapToGrid w:val="0"/>
          <w:lang w:val="fr-FR"/>
        </w:rPr>
        <w:instrText xml:space="preserve"> AUTONUM  </w:instrText>
      </w:r>
      <w:r w:rsidRPr="00F47789">
        <w:rPr>
          <w:snapToGrid w:val="0"/>
          <w:lang w:val="fr-FR"/>
        </w:rPr>
        <w:fldChar w:fldCharType="end"/>
      </w:r>
      <w:r w:rsidRPr="00F47789">
        <w:rPr>
          <w:snapToGrid w:val="0"/>
          <w:lang w:val="fr-FR"/>
        </w:rPr>
        <w:tab/>
      </w:r>
      <w:r w:rsidR="009D7CB2" w:rsidRPr="00F47789">
        <w:rPr>
          <w:snapToGrid w:val="0"/>
          <w:lang w:val="fr-FR"/>
        </w:rPr>
        <w:t xml:space="preserve">Le </w:t>
      </w:r>
      <w:r w:rsidRPr="00F47789">
        <w:rPr>
          <w:snapToGrid w:val="0"/>
          <w:lang w:val="fr-FR"/>
        </w:rPr>
        <w:t xml:space="preserve">TWV </w:t>
      </w:r>
      <w:r w:rsidR="009D7CB2" w:rsidRPr="00F47789">
        <w:rPr>
          <w:snapToGrid w:val="0"/>
          <w:lang w:val="fr-FR"/>
        </w:rPr>
        <w:t xml:space="preserve">a </w:t>
      </w:r>
      <w:r w:rsidR="00561599" w:rsidRPr="00F47789">
        <w:rPr>
          <w:snapToGrid w:val="0"/>
          <w:lang w:val="fr-FR"/>
        </w:rPr>
        <w:t>suggéré</w:t>
      </w:r>
      <w:r w:rsidR="009D7CB2" w:rsidRPr="00F47789">
        <w:rPr>
          <w:snapToGrid w:val="0"/>
          <w:lang w:val="fr-FR"/>
        </w:rPr>
        <w:t xml:space="preserve"> que les conseils concernant les caractères PQ fassent l</w:t>
      </w:r>
      <w:r w:rsidR="004B3E00" w:rsidRPr="00F47789">
        <w:rPr>
          <w:snapToGrid w:val="0"/>
          <w:lang w:val="fr-FR"/>
        </w:rPr>
        <w:t>’</w:t>
      </w:r>
      <w:r w:rsidR="009D7CB2" w:rsidRPr="00F47789">
        <w:rPr>
          <w:snapToGrid w:val="0"/>
          <w:lang w:val="fr-FR"/>
        </w:rPr>
        <w:t>objet d</w:t>
      </w:r>
      <w:r w:rsidR="004B3E00" w:rsidRPr="00F47789">
        <w:rPr>
          <w:snapToGrid w:val="0"/>
          <w:lang w:val="fr-FR"/>
        </w:rPr>
        <w:t>’</w:t>
      </w:r>
      <w:r w:rsidR="009D7CB2" w:rsidRPr="00F47789">
        <w:rPr>
          <w:snapToGrid w:val="0"/>
          <w:lang w:val="fr-FR"/>
        </w:rPr>
        <w:t>un examen plus approfondi et a proposé l</w:t>
      </w:r>
      <w:r w:rsidR="004B3E00" w:rsidRPr="00F47789">
        <w:rPr>
          <w:snapToGrid w:val="0"/>
          <w:lang w:val="fr-FR"/>
        </w:rPr>
        <w:t>’</w:t>
      </w:r>
      <w:r w:rsidR="009D7CB2" w:rsidRPr="00F47789">
        <w:rPr>
          <w:snapToGrid w:val="0"/>
          <w:lang w:val="fr-FR"/>
        </w:rPr>
        <w:t>élaboration</w:t>
      </w:r>
      <w:r w:rsidR="00B8472A" w:rsidRPr="00F47789">
        <w:rPr>
          <w:snapToGrid w:val="0"/>
          <w:lang w:val="fr-FR"/>
        </w:rPr>
        <w:t xml:space="preserve"> d</w:t>
      </w:r>
      <w:r w:rsidR="004B3E00" w:rsidRPr="00F47789">
        <w:rPr>
          <w:snapToGrid w:val="0"/>
          <w:lang w:val="fr-FR"/>
        </w:rPr>
        <w:t>’</w:t>
      </w:r>
      <w:r w:rsidR="00B8472A" w:rsidRPr="00F47789">
        <w:rPr>
          <w:snapToGrid w:val="0"/>
          <w:lang w:val="fr-FR"/>
        </w:rPr>
        <w:t xml:space="preserve">une nouvelle section dans le </w:t>
      </w:r>
      <w:r w:rsidRPr="00F47789">
        <w:rPr>
          <w:lang w:val="fr-FR"/>
        </w:rPr>
        <w:t xml:space="preserve">document </w:t>
      </w:r>
      <w:r w:rsidR="00146FB5" w:rsidRPr="00F47789">
        <w:rPr>
          <w:lang w:val="fr-FR"/>
        </w:rPr>
        <w:t xml:space="preserve">afin </w:t>
      </w:r>
      <w:r w:rsidR="00CF177B" w:rsidRPr="00F47789">
        <w:rPr>
          <w:lang w:val="fr-FR"/>
        </w:rPr>
        <w:t>d</w:t>
      </w:r>
      <w:r w:rsidR="004B3E00" w:rsidRPr="00F47789">
        <w:rPr>
          <w:lang w:val="fr-FR"/>
        </w:rPr>
        <w:t>’</w:t>
      </w:r>
      <w:r w:rsidR="00CF177B" w:rsidRPr="00F47789">
        <w:rPr>
          <w:lang w:val="fr-FR"/>
        </w:rPr>
        <w:t>apporter des précisions concernant les méthodes non param</w:t>
      </w:r>
      <w:r w:rsidR="00BF17DF" w:rsidRPr="00F47789">
        <w:rPr>
          <w:lang w:val="fr-FR"/>
        </w:rPr>
        <w:t>étriques</w:t>
      </w:r>
      <w:r w:rsidRPr="00F47789">
        <w:rPr>
          <w:snapToGrid w:val="0"/>
          <w:lang w:val="fr-FR"/>
        </w:rPr>
        <w:t>.</w:t>
      </w:r>
      <w:r w:rsidR="004B3E00" w:rsidRPr="00F47789">
        <w:rPr>
          <w:snapToGrid w:val="0"/>
          <w:lang w:val="fr-FR"/>
        </w:rPr>
        <w:t xml:space="preserve"> </w:t>
      </w:r>
      <w:r w:rsidR="002B5BB9" w:rsidRPr="00F47789">
        <w:rPr>
          <w:snapToGrid w:val="0"/>
          <w:lang w:val="fr-FR"/>
        </w:rPr>
        <w:t xml:space="preserve"> </w:t>
      </w:r>
      <w:r w:rsidR="004B3E00" w:rsidRPr="00F47789">
        <w:rPr>
          <w:snapToGrid w:val="0"/>
          <w:lang w:val="fr-FR"/>
        </w:rPr>
        <w:t>Le TWV</w:t>
      </w:r>
      <w:r w:rsidRPr="00F47789">
        <w:rPr>
          <w:snapToGrid w:val="0"/>
          <w:lang w:val="fr-FR"/>
        </w:rPr>
        <w:t xml:space="preserve"> </w:t>
      </w:r>
      <w:r w:rsidR="00D058FB" w:rsidRPr="00F47789">
        <w:rPr>
          <w:snapToGrid w:val="0"/>
          <w:lang w:val="fr-FR"/>
        </w:rPr>
        <w:t xml:space="preserve">a également encouragé les autres </w:t>
      </w:r>
      <w:r w:rsidRPr="00F47789">
        <w:rPr>
          <w:snapToGrid w:val="0"/>
          <w:lang w:val="fr-FR"/>
        </w:rPr>
        <w:t xml:space="preserve">TWP </w:t>
      </w:r>
      <w:r w:rsidR="00D058FB" w:rsidRPr="00F47789">
        <w:rPr>
          <w:snapToGrid w:val="0"/>
          <w:lang w:val="fr-FR"/>
        </w:rPr>
        <w:t xml:space="preserve">à </w:t>
      </w:r>
      <w:r w:rsidR="004A1F3A" w:rsidRPr="00F47789">
        <w:rPr>
          <w:snapToGrid w:val="0"/>
          <w:lang w:val="fr-FR"/>
        </w:rPr>
        <w:t xml:space="preserve">déterminer si </w:t>
      </w:r>
      <w:r w:rsidR="00B51CD2" w:rsidRPr="00F47789">
        <w:rPr>
          <w:snapToGrid w:val="0"/>
          <w:lang w:val="fr-FR"/>
        </w:rPr>
        <w:t>d</w:t>
      </w:r>
      <w:r w:rsidR="004B3E00" w:rsidRPr="00F47789">
        <w:rPr>
          <w:snapToGrid w:val="0"/>
          <w:lang w:val="fr-FR"/>
        </w:rPr>
        <w:t>’</w:t>
      </w:r>
      <w:r w:rsidR="00B51CD2" w:rsidRPr="00F47789">
        <w:rPr>
          <w:snapToGrid w:val="0"/>
          <w:lang w:val="fr-FR"/>
        </w:rPr>
        <w:t>autre</w:t>
      </w:r>
      <w:r w:rsidR="004A1F3A" w:rsidRPr="00F47789">
        <w:rPr>
          <w:snapToGrid w:val="0"/>
          <w:lang w:val="fr-FR"/>
        </w:rPr>
        <w:t>s</w:t>
      </w:r>
      <w:r w:rsidR="00B51CD2" w:rsidRPr="00F47789">
        <w:rPr>
          <w:snapToGrid w:val="0"/>
          <w:lang w:val="fr-FR"/>
        </w:rPr>
        <w:t xml:space="preserve"> travaux </w:t>
      </w:r>
      <w:r w:rsidR="004A1F3A" w:rsidRPr="00F47789">
        <w:rPr>
          <w:snapToGrid w:val="0"/>
          <w:lang w:val="fr-FR"/>
        </w:rPr>
        <w:t xml:space="preserve">devraient être menés </w:t>
      </w:r>
      <w:r w:rsidR="00B51CD2" w:rsidRPr="00F47789">
        <w:rPr>
          <w:snapToGrid w:val="0"/>
          <w:lang w:val="fr-FR"/>
        </w:rPr>
        <w:t xml:space="preserve">concernant les caractères PQ dans le </w:t>
      </w:r>
      <w:r w:rsidR="008B79A6" w:rsidRPr="00F47789">
        <w:rPr>
          <w:snapToGrid w:val="0"/>
          <w:lang w:val="fr-FR"/>
        </w:rPr>
        <w:t xml:space="preserve">cadre du </w:t>
      </w:r>
      <w:r w:rsidR="00B51CD2" w:rsidRPr="00F47789">
        <w:rPr>
          <w:snapToGrid w:val="0"/>
          <w:lang w:val="fr-FR"/>
        </w:rPr>
        <w:t>projet de conseils</w:t>
      </w:r>
      <w:r w:rsidRPr="00F47789">
        <w:rPr>
          <w:snapToGrid w:val="0"/>
          <w:lang w:val="fr-FR"/>
        </w:rPr>
        <w:t>.</w:t>
      </w:r>
    </w:p>
    <w:p w:rsidR="008D0F00" w:rsidRPr="00F47789" w:rsidRDefault="008D0F00" w:rsidP="00621E06">
      <w:pPr>
        <w:rPr>
          <w:snapToGrid w:val="0"/>
          <w:lang w:val="fr-FR"/>
        </w:rPr>
      </w:pPr>
    </w:p>
    <w:p w:rsidR="008D0F00" w:rsidRPr="00F47789" w:rsidRDefault="007560A4" w:rsidP="00621E06">
      <w:pPr>
        <w:rPr>
          <w:lang w:val="fr-FR"/>
        </w:rPr>
      </w:pPr>
      <w:r w:rsidRPr="00F47789">
        <w:rPr>
          <w:snapToGrid w:val="0"/>
          <w:lang w:val="fr-FR"/>
        </w:rPr>
        <w:fldChar w:fldCharType="begin"/>
      </w:r>
      <w:r w:rsidRPr="00F47789">
        <w:rPr>
          <w:snapToGrid w:val="0"/>
          <w:lang w:val="fr-FR"/>
        </w:rPr>
        <w:instrText xml:space="preserve"> AUTONUM  </w:instrText>
      </w:r>
      <w:r w:rsidRPr="00F47789">
        <w:rPr>
          <w:snapToGrid w:val="0"/>
          <w:lang w:val="fr-FR"/>
        </w:rPr>
        <w:fldChar w:fldCharType="end"/>
      </w:r>
      <w:r w:rsidRPr="00F47789">
        <w:rPr>
          <w:snapToGrid w:val="0"/>
          <w:lang w:val="fr-FR"/>
        </w:rPr>
        <w:tab/>
      </w:r>
      <w:r w:rsidR="00CD3918" w:rsidRPr="00F47789">
        <w:rPr>
          <w:snapToGrid w:val="0"/>
          <w:lang w:val="fr-FR"/>
        </w:rPr>
        <w:t>Le</w:t>
      </w:r>
      <w:r w:rsidRPr="00F47789">
        <w:rPr>
          <w:snapToGrid w:val="0"/>
          <w:lang w:val="fr-FR"/>
        </w:rPr>
        <w:t xml:space="preserve"> TWC </w:t>
      </w:r>
      <w:r w:rsidR="00CD3918" w:rsidRPr="00F47789">
        <w:rPr>
          <w:snapToGrid w:val="0"/>
          <w:lang w:val="fr-FR"/>
        </w:rPr>
        <w:t xml:space="preserve">est convenu que </w:t>
      </w:r>
      <w:r w:rsidR="00912CB0" w:rsidRPr="00F47789">
        <w:rPr>
          <w:snapToGrid w:val="0"/>
          <w:lang w:val="fr-FR"/>
        </w:rPr>
        <w:t xml:space="preserve">des informations supplémentaires devraient être fournies sur la variation entre </w:t>
      </w:r>
      <w:r w:rsidR="00E60E2F" w:rsidRPr="00F47789">
        <w:rPr>
          <w:snapToGrid w:val="0"/>
          <w:lang w:val="fr-FR"/>
        </w:rPr>
        <w:t>observateurs concernant le</w:t>
      </w:r>
      <w:r w:rsidR="00561599" w:rsidRPr="00F47789">
        <w:rPr>
          <w:snapToGrid w:val="0"/>
          <w:lang w:val="fr-FR"/>
        </w:rPr>
        <w:t xml:space="preserve">s </w:t>
      </w:r>
      <w:r w:rsidR="00E60E2F" w:rsidRPr="00F47789">
        <w:rPr>
          <w:snapToGrid w:val="0"/>
          <w:lang w:val="fr-FR"/>
        </w:rPr>
        <w:t>caractères PQ avant l</w:t>
      </w:r>
      <w:r w:rsidR="004B3E00" w:rsidRPr="00F47789">
        <w:rPr>
          <w:snapToGrid w:val="0"/>
          <w:lang w:val="fr-FR"/>
        </w:rPr>
        <w:t>’</w:t>
      </w:r>
      <w:r w:rsidR="00E60E2F" w:rsidRPr="00F47789">
        <w:rPr>
          <w:snapToGrid w:val="0"/>
          <w:lang w:val="fr-FR"/>
        </w:rPr>
        <w:t>élaboration de conseils sur l</w:t>
      </w:r>
      <w:r w:rsidR="004B3E00" w:rsidRPr="00F47789">
        <w:rPr>
          <w:snapToGrid w:val="0"/>
          <w:lang w:val="fr-FR"/>
        </w:rPr>
        <w:t>’</w:t>
      </w:r>
      <w:r w:rsidR="00E60E2F" w:rsidRPr="00F47789">
        <w:rPr>
          <w:snapToGrid w:val="0"/>
          <w:lang w:val="fr-FR"/>
        </w:rPr>
        <w:t xml:space="preserve">utilisation de méthodes non paramétriques, </w:t>
      </w:r>
      <w:r w:rsidR="00511ADF" w:rsidRPr="00F47789">
        <w:rPr>
          <w:snapToGrid w:val="0"/>
          <w:lang w:val="fr-FR"/>
        </w:rPr>
        <w:t>comme par exemple</w:t>
      </w:r>
      <w:r w:rsidR="00E60E2F" w:rsidRPr="00F47789">
        <w:rPr>
          <w:snapToGrid w:val="0"/>
          <w:lang w:val="fr-FR"/>
        </w:rPr>
        <w:t xml:space="preserve"> la </w:t>
      </w:r>
      <w:r w:rsidR="001066DC" w:rsidRPr="00F47789">
        <w:rPr>
          <w:snapToGrid w:val="0"/>
          <w:lang w:val="fr-FR"/>
        </w:rPr>
        <w:t>fréquence des écarts</w:t>
      </w:r>
      <w:r w:rsidR="00B47DBB" w:rsidRPr="00F47789">
        <w:rPr>
          <w:snapToGrid w:val="0"/>
          <w:lang w:val="fr-FR"/>
        </w:rPr>
        <w:t>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7560A4" w:rsidP="00621E06">
      <w:pPr>
        <w:rPr>
          <w:lang w:val="fr-FR"/>
        </w:rPr>
      </w:pPr>
      <w:r w:rsidRPr="00F47789">
        <w:rPr>
          <w:snapToGrid w:val="0"/>
          <w:lang w:val="fr-FR"/>
        </w:rPr>
        <w:fldChar w:fldCharType="begin"/>
      </w:r>
      <w:r w:rsidRPr="00F47789">
        <w:rPr>
          <w:snapToGrid w:val="0"/>
          <w:lang w:val="fr-FR"/>
        </w:rPr>
        <w:instrText xml:space="preserve"> AUTONUM  </w:instrText>
      </w:r>
      <w:r w:rsidRPr="00F47789">
        <w:rPr>
          <w:snapToGrid w:val="0"/>
          <w:lang w:val="fr-FR"/>
        </w:rPr>
        <w:fldChar w:fldCharType="end"/>
      </w:r>
      <w:r w:rsidRPr="00F47789">
        <w:rPr>
          <w:snapToGrid w:val="0"/>
          <w:lang w:val="fr-FR"/>
        </w:rPr>
        <w:tab/>
      </w:r>
      <w:r w:rsidR="006A1BE9" w:rsidRPr="00F47789">
        <w:rPr>
          <w:snapToGrid w:val="0"/>
          <w:lang w:val="fr-FR"/>
        </w:rPr>
        <w:t>L</w:t>
      </w:r>
      <w:r w:rsidR="006A573A" w:rsidRPr="00F47789">
        <w:rPr>
          <w:snapToGrid w:val="0"/>
          <w:lang w:val="fr-FR"/>
        </w:rPr>
        <w:t xml:space="preserve">e </w:t>
      </w:r>
      <w:r w:rsidRPr="00F47789">
        <w:rPr>
          <w:snapToGrid w:val="0"/>
          <w:lang w:val="fr-FR"/>
        </w:rPr>
        <w:t xml:space="preserve">TWC </w:t>
      </w:r>
      <w:r w:rsidR="006A573A" w:rsidRPr="00F47789">
        <w:rPr>
          <w:snapToGrid w:val="0"/>
          <w:lang w:val="fr-FR"/>
        </w:rPr>
        <w:t>est convenu d</w:t>
      </w:r>
      <w:r w:rsidR="004B3E00" w:rsidRPr="00F47789">
        <w:rPr>
          <w:snapToGrid w:val="0"/>
          <w:lang w:val="fr-FR"/>
        </w:rPr>
        <w:t>’</w:t>
      </w:r>
      <w:r w:rsidR="006A573A" w:rsidRPr="00F47789">
        <w:rPr>
          <w:snapToGrid w:val="0"/>
          <w:lang w:val="fr-FR"/>
        </w:rPr>
        <w:t>inviter les experts de l</w:t>
      </w:r>
      <w:r w:rsidR="004B3E00" w:rsidRPr="00F47789">
        <w:rPr>
          <w:snapToGrid w:val="0"/>
          <w:lang w:val="fr-FR"/>
        </w:rPr>
        <w:t>’</w:t>
      </w:r>
      <w:r w:rsidR="006A573A" w:rsidRPr="00F47789">
        <w:rPr>
          <w:snapToGrid w:val="0"/>
          <w:lang w:val="fr-FR"/>
        </w:rPr>
        <w:t xml:space="preserve">Argentine et du </w:t>
      </w:r>
      <w:r w:rsidR="00A266D2" w:rsidRPr="00F47789">
        <w:rPr>
          <w:snapToGrid w:val="0"/>
          <w:lang w:val="fr-FR"/>
        </w:rPr>
        <w:t>B</w:t>
      </w:r>
      <w:r w:rsidR="006A573A" w:rsidRPr="00F47789">
        <w:rPr>
          <w:snapToGrid w:val="0"/>
          <w:lang w:val="fr-FR"/>
        </w:rPr>
        <w:t xml:space="preserve">résil à présenter, </w:t>
      </w:r>
      <w:r w:rsidR="00215517" w:rsidRPr="00F47789">
        <w:rPr>
          <w:snapToGrid w:val="0"/>
          <w:lang w:val="fr-FR"/>
        </w:rPr>
        <w:t>lors de sa trente</w:t>
      </w:r>
      <w:r w:rsidR="00401D77" w:rsidRPr="00F47789">
        <w:rPr>
          <w:snapToGrid w:val="0"/>
          <w:lang w:val="fr-FR"/>
        </w:rPr>
        <w:noBreakHyphen/>
      </w:r>
      <w:r w:rsidR="00215517" w:rsidRPr="00F47789">
        <w:rPr>
          <w:snapToGrid w:val="0"/>
          <w:lang w:val="fr-FR"/>
        </w:rPr>
        <w:t>quatrième</w:t>
      </w:r>
      <w:r w:rsidR="002B5BB9" w:rsidRPr="00F47789">
        <w:rPr>
          <w:snapToGrid w:val="0"/>
          <w:lang w:val="fr-FR"/>
        </w:rPr>
        <w:t> </w:t>
      </w:r>
      <w:r w:rsidR="00215517" w:rsidRPr="00F47789">
        <w:rPr>
          <w:snapToGrid w:val="0"/>
          <w:lang w:val="fr-FR"/>
        </w:rPr>
        <w:t>session, un exposé sur leurs données d</w:t>
      </w:r>
      <w:r w:rsidR="004B3E00" w:rsidRPr="00F47789">
        <w:rPr>
          <w:snapToGrid w:val="0"/>
          <w:lang w:val="fr-FR"/>
        </w:rPr>
        <w:t>’</w:t>
      </w:r>
      <w:r w:rsidR="00215517" w:rsidRPr="00F47789">
        <w:rPr>
          <w:snapToGrid w:val="0"/>
          <w:lang w:val="fr-FR"/>
        </w:rPr>
        <w:t>expériences en matière de formation destinée à réduire la variation due à différents observateurs concernant les caractères PQ</w:t>
      </w:r>
      <w:r w:rsidRPr="00F47789">
        <w:rPr>
          <w:lang w:val="fr-FR"/>
        </w:rPr>
        <w:t>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7560A4" w:rsidP="00621E06">
      <w:pPr>
        <w:rPr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6A1BE9" w:rsidRPr="00F47789">
        <w:rPr>
          <w:lang w:val="fr-FR"/>
        </w:rPr>
        <w:t>Le</w:t>
      </w:r>
      <w:r w:rsidRPr="00F47789">
        <w:rPr>
          <w:lang w:val="fr-FR"/>
        </w:rPr>
        <w:t xml:space="preserve"> TWA </w:t>
      </w:r>
      <w:r w:rsidR="006A1BE9" w:rsidRPr="00F47789">
        <w:rPr>
          <w:lang w:val="fr-FR"/>
        </w:rPr>
        <w:t xml:space="preserve">a approuvé le projet de conseils figurant </w:t>
      </w:r>
      <w:r w:rsidR="00A266D2" w:rsidRPr="00F47789">
        <w:rPr>
          <w:lang w:val="fr-FR"/>
        </w:rPr>
        <w:t>en</w:t>
      </w:r>
      <w:r w:rsidR="006A1BE9" w:rsidRPr="00F47789">
        <w:rPr>
          <w:lang w:val="fr-FR"/>
        </w:rPr>
        <w:t xml:space="preserve"> l</w:t>
      </w:r>
      <w:r w:rsidR="004B3E00" w:rsidRPr="00F47789">
        <w:rPr>
          <w:lang w:val="fr-FR"/>
        </w:rPr>
        <w:t>’</w:t>
      </w:r>
      <w:r w:rsidR="006A1BE9" w:rsidRPr="00F47789">
        <w:rPr>
          <w:lang w:val="fr-FR"/>
        </w:rPr>
        <w:t xml:space="preserve">annexe du </w:t>
      </w:r>
      <w:r w:rsidRPr="00F47789">
        <w:rPr>
          <w:lang w:val="fr-FR"/>
        </w:rPr>
        <w:t xml:space="preserve">document TWA/44/15, </w:t>
      </w:r>
      <w:r w:rsidR="006A1BE9" w:rsidRPr="00F47789">
        <w:rPr>
          <w:lang w:val="fr-FR"/>
        </w:rPr>
        <w:t xml:space="preserve">en vue de son incorporation dans une future version révisée du </w:t>
      </w:r>
      <w:r w:rsidRPr="00F47789">
        <w:rPr>
          <w:lang w:val="fr-FR"/>
        </w:rPr>
        <w:t xml:space="preserve">document TGP/8 </w:t>
      </w:r>
      <w:r w:rsidR="006A1BE9" w:rsidRPr="00F47789">
        <w:rPr>
          <w:lang w:val="fr-FR"/>
        </w:rPr>
        <w:t xml:space="preserve">concernant la réduction </w:t>
      </w:r>
      <w:r w:rsidR="004C4ACB" w:rsidRPr="00F47789">
        <w:rPr>
          <w:lang w:val="fr-FR"/>
        </w:rPr>
        <w:t>de la variation due à différents observateurs</w:t>
      </w:r>
      <w:r w:rsidRPr="00F47789">
        <w:rPr>
          <w:lang w:val="fr-FR"/>
        </w:rPr>
        <w:t>.</w:t>
      </w:r>
    </w:p>
    <w:p w:rsidR="008D0F00" w:rsidRPr="00F47789" w:rsidRDefault="008D0F00" w:rsidP="00621E06">
      <w:pPr>
        <w:rPr>
          <w:snapToGrid w:val="0"/>
          <w:lang w:val="fr-FR"/>
        </w:rPr>
      </w:pPr>
    </w:p>
    <w:p w:rsidR="008D0F00" w:rsidRPr="00F47789" w:rsidRDefault="007560A4" w:rsidP="00621E06">
      <w:pPr>
        <w:rPr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B5211B" w:rsidRPr="00F47789">
        <w:rPr>
          <w:lang w:val="fr-FR"/>
        </w:rPr>
        <w:t xml:space="preserve">Le </w:t>
      </w:r>
      <w:r w:rsidRPr="00F47789">
        <w:rPr>
          <w:lang w:val="fr-FR"/>
        </w:rPr>
        <w:t xml:space="preserve">TWF </w:t>
      </w:r>
      <w:r w:rsidR="00B5211B" w:rsidRPr="00F47789">
        <w:rPr>
          <w:lang w:val="fr-FR"/>
        </w:rPr>
        <w:t>et</w:t>
      </w:r>
      <w:r w:rsidR="004B3E00" w:rsidRPr="00F47789">
        <w:rPr>
          <w:lang w:val="fr-FR"/>
        </w:rPr>
        <w:t xml:space="preserve"> le TWO</w:t>
      </w:r>
      <w:r w:rsidRPr="00F47789">
        <w:rPr>
          <w:lang w:val="fr-FR"/>
        </w:rPr>
        <w:t xml:space="preserve"> </w:t>
      </w:r>
      <w:r w:rsidR="00B5211B" w:rsidRPr="00F47789">
        <w:rPr>
          <w:lang w:val="fr-FR"/>
        </w:rPr>
        <w:t>ont approuvé le projet de conseils figurant à l</w:t>
      </w:r>
      <w:r w:rsidR="004B3E00" w:rsidRPr="00F47789">
        <w:rPr>
          <w:lang w:val="fr-FR"/>
        </w:rPr>
        <w:t>’</w:t>
      </w:r>
      <w:r w:rsidR="00B5211B" w:rsidRPr="00F47789">
        <w:rPr>
          <w:lang w:val="fr-FR"/>
        </w:rPr>
        <w:t xml:space="preserve">annexe du </w:t>
      </w:r>
      <w:r w:rsidRPr="00F47789">
        <w:rPr>
          <w:lang w:val="fr-FR"/>
        </w:rPr>
        <w:t xml:space="preserve">document TWF/46/15, </w:t>
      </w:r>
      <w:r w:rsidR="0004574A" w:rsidRPr="00F47789">
        <w:rPr>
          <w:lang w:val="fr-FR"/>
        </w:rPr>
        <w:t>en vue de son incorporation dans une future version révisée du document TGP/8 concernant la réduction de la variation due à différents observateurs, sous réserve des modifications d</w:t>
      </w:r>
      <w:r w:rsidR="004B3E00" w:rsidRPr="00F47789">
        <w:rPr>
          <w:lang w:val="fr-FR"/>
        </w:rPr>
        <w:t>’</w:t>
      </w:r>
      <w:r w:rsidR="0004574A" w:rsidRPr="00F47789">
        <w:rPr>
          <w:lang w:val="fr-FR"/>
        </w:rPr>
        <w:t>ordre rédactionnelles suivantes </w:t>
      </w:r>
      <w:r w:rsidRPr="00F47789">
        <w:rPr>
          <w:lang w:val="fr-FR"/>
        </w:rPr>
        <w:t>: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7560A4" w:rsidP="00621E06">
      <w:pPr>
        <w:rPr>
          <w:lang w:val="fr-FR"/>
        </w:rPr>
      </w:pPr>
      <w:r w:rsidRPr="00F47789">
        <w:rPr>
          <w:lang w:val="fr-FR"/>
        </w:rPr>
        <w:t>“</w:t>
      </w:r>
      <w:r w:rsidR="00103A1B" w:rsidRPr="00F47789">
        <w:rPr>
          <w:rFonts w:cs="Arial"/>
          <w:lang w:val="fr-FR"/>
        </w:rPr>
        <w:t xml:space="preserve">Toutefois, </w:t>
      </w:r>
      <w:r w:rsidR="00103A1B" w:rsidRPr="00F47789">
        <w:rPr>
          <w:rFonts w:cs="Arial"/>
          <w:strike/>
          <w:lang w:val="fr-FR"/>
        </w:rPr>
        <w:t>à notre connaissance,</w:t>
      </w:r>
      <w:r w:rsidR="00103A1B" w:rsidRPr="00F47789">
        <w:rPr>
          <w:rFonts w:cs="Arial"/>
          <w:lang w:val="fr-FR"/>
        </w:rPr>
        <w:t xml:space="preserve"> cette méthode </w:t>
      </w:r>
      <w:r w:rsidR="00103A1B" w:rsidRPr="00F47789">
        <w:rPr>
          <w:lang w:val="fr-FR"/>
        </w:rPr>
        <w:t>n</w:t>
      </w:r>
      <w:r w:rsidR="004B3E00" w:rsidRPr="00F47789">
        <w:rPr>
          <w:lang w:val="fr-FR"/>
        </w:rPr>
        <w:t>’</w:t>
      </w:r>
      <w:r w:rsidR="00103A1B" w:rsidRPr="00F47789">
        <w:rPr>
          <w:lang w:val="fr-FR"/>
        </w:rPr>
        <w:t xml:space="preserve">a pas été </w:t>
      </w:r>
      <w:r w:rsidR="00103A1B" w:rsidRPr="00F47789">
        <w:rPr>
          <w:rFonts w:cs="Arial"/>
          <w:strike/>
          <w:lang w:val="fr-FR"/>
        </w:rPr>
        <w:t>appliquée à</w:t>
      </w:r>
      <w:r w:rsidR="00103A1B" w:rsidRPr="00F47789">
        <w:rPr>
          <w:rFonts w:cs="Arial"/>
          <w:lang w:val="fr-FR"/>
        </w:rPr>
        <w:t xml:space="preserve"> </w:t>
      </w:r>
      <w:proofErr w:type="spellStart"/>
      <w:r w:rsidR="00A37268" w:rsidRPr="00F47789">
        <w:rPr>
          <w:rFonts w:cs="Arial"/>
          <w:u w:val="single"/>
          <w:lang w:val="fr-FR"/>
        </w:rPr>
        <w:t>élabor</w:t>
      </w:r>
      <w:r w:rsidR="00A266D2" w:rsidRPr="00F47789">
        <w:rPr>
          <w:rFonts w:cs="Arial"/>
          <w:u w:val="single"/>
          <w:lang w:val="fr-FR"/>
        </w:rPr>
        <w:t>é</w:t>
      </w:r>
      <w:r w:rsidR="00A37268" w:rsidRPr="00F47789">
        <w:rPr>
          <w:rFonts w:cs="Arial"/>
          <w:u w:val="single"/>
          <w:lang w:val="fr-FR"/>
        </w:rPr>
        <w:t>e</w:t>
      </w:r>
      <w:proofErr w:type="spellEnd"/>
      <w:r w:rsidR="00A37268" w:rsidRPr="00F47789">
        <w:rPr>
          <w:rFonts w:cs="Arial"/>
          <w:u w:val="single"/>
          <w:lang w:val="fr-FR"/>
        </w:rPr>
        <w:t xml:space="preserve"> pour </w:t>
      </w:r>
      <w:r w:rsidR="00103A1B" w:rsidRPr="00F47789">
        <w:rPr>
          <w:rFonts w:cs="Arial"/>
          <w:lang w:val="fr-FR"/>
        </w:rPr>
        <w:t>des caractères PQ</w:t>
      </w:r>
      <w:r w:rsidR="00103A1B" w:rsidRPr="00F47789">
        <w:rPr>
          <w:rFonts w:cs="Arial"/>
          <w:strike/>
          <w:lang w:val="fr-FR"/>
        </w:rPr>
        <w:t xml:space="preserve">, </w:t>
      </w:r>
      <w:r w:rsidR="00103A1B" w:rsidRPr="00F47789">
        <w:rPr>
          <w:rFonts w:cs="Arial"/>
          <w:strike/>
          <w:highlight w:val="lightGray"/>
          <w:lang w:val="fr-FR"/>
        </w:rPr>
        <w:t>ces dernières pouvant</w:t>
      </w:r>
      <w:r w:rsidR="00103A1B" w:rsidRPr="00F47789">
        <w:rPr>
          <w:rFonts w:cs="Arial"/>
          <w:highlight w:val="lightGray"/>
          <w:lang w:val="fr-FR"/>
        </w:rPr>
        <w:t xml:space="preserve"> </w:t>
      </w:r>
      <w:r w:rsidR="00103A1B" w:rsidRPr="00F47789">
        <w:rPr>
          <w:rFonts w:cs="Arial"/>
          <w:highlight w:val="lightGray"/>
          <w:u w:val="single"/>
          <w:lang w:val="fr-FR"/>
        </w:rPr>
        <w:t>et peut</w:t>
      </w:r>
      <w:r w:rsidR="00103A1B" w:rsidRPr="00F47789">
        <w:rPr>
          <w:rFonts w:cs="Arial"/>
          <w:lang w:val="fr-FR"/>
        </w:rPr>
        <w:t xml:space="preserve"> également nécessiter des informations supplémentaires en matière d</w:t>
      </w:r>
      <w:r w:rsidR="004B3E00" w:rsidRPr="00F47789">
        <w:rPr>
          <w:rFonts w:cs="Arial"/>
          <w:lang w:val="fr-FR"/>
        </w:rPr>
        <w:t>’</w:t>
      </w:r>
      <w:r w:rsidR="00103A1B" w:rsidRPr="00F47789">
        <w:rPr>
          <w:rFonts w:cs="Arial"/>
          <w:lang w:val="fr-FR"/>
        </w:rPr>
        <w:t>étalonnage.</w:t>
      </w:r>
      <w:r w:rsidRPr="00F47789">
        <w:rPr>
          <w:lang w:val="fr-FR"/>
        </w:rPr>
        <w:t>”</w:t>
      </w:r>
    </w:p>
    <w:p w:rsidR="008D0F00" w:rsidRPr="00F47789" w:rsidRDefault="008D0F00" w:rsidP="00621E06">
      <w:pPr>
        <w:rPr>
          <w:highlight w:val="yellow"/>
          <w:lang w:val="fr-FR"/>
        </w:rPr>
      </w:pPr>
    </w:p>
    <w:p w:rsidR="008D0F00" w:rsidRPr="00F47789" w:rsidRDefault="008D0F00" w:rsidP="00621E06">
      <w:pPr>
        <w:rPr>
          <w:highlight w:val="yellow"/>
          <w:lang w:val="fr-FR"/>
        </w:rPr>
      </w:pPr>
    </w:p>
    <w:p w:rsidR="008D0F00" w:rsidRPr="00F47789" w:rsidRDefault="008D0F00" w:rsidP="00621E06">
      <w:pPr>
        <w:pStyle w:val="Heading1"/>
        <w:rPr>
          <w:lang w:val="fr-FR" w:eastAsia="ja-JP"/>
        </w:rPr>
      </w:pPr>
      <w:bookmarkStart w:id="15" w:name="_Toc441572915"/>
      <w:r w:rsidRPr="00F47789">
        <w:rPr>
          <w:lang w:val="fr-FR" w:eastAsia="ja-JP"/>
        </w:rPr>
        <w:t>Faits nouveaux en</w:t>
      </w:r>
      <w:r w:rsidR="002B5BB9" w:rsidRPr="00F47789">
        <w:rPr>
          <w:lang w:val="fr-FR" w:eastAsia="ja-JP"/>
        </w:rPr>
        <w:t> </w:t>
      </w:r>
      <w:r w:rsidRPr="00F47789">
        <w:rPr>
          <w:lang w:val="fr-FR" w:eastAsia="ja-JP"/>
        </w:rPr>
        <w:t>2016</w:t>
      </w:r>
      <w:bookmarkEnd w:id="15"/>
    </w:p>
    <w:p w:rsidR="008D0F00" w:rsidRPr="00F47789" w:rsidRDefault="008D0F00" w:rsidP="00621E06">
      <w:pPr>
        <w:keepNext/>
        <w:keepLines/>
        <w:rPr>
          <w:lang w:val="fr-FR" w:eastAsia="ja-JP"/>
        </w:rPr>
      </w:pPr>
    </w:p>
    <w:p w:rsidR="008D0F00" w:rsidRPr="00F47789" w:rsidRDefault="008D0F00" w:rsidP="00621E06">
      <w:pPr>
        <w:pStyle w:val="Heading2"/>
        <w:rPr>
          <w:snapToGrid w:val="0"/>
          <w:lang w:val="fr-FR" w:eastAsia="ja-JP"/>
        </w:rPr>
      </w:pPr>
      <w:bookmarkStart w:id="16" w:name="_Toc441572916"/>
      <w:r w:rsidRPr="00F47789">
        <w:rPr>
          <w:snapToGrid w:val="0"/>
          <w:lang w:val="fr-FR" w:eastAsia="ja-JP"/>
        </w:rPr>
        <w:t>Comité de rédaction élargi</w:t>
      </w:r>
      <w:bookmarkEnd w:id="16"/>
    </w:p>
    <w:p w:rsidR="008D0F00" w:rsidRPr="00F47789" w:rsidRDefault="008D0F00" w:rsidP="00621E06">
      <w:pPr>
        <w:rPr>
          <w:lang w:val="fr-FR" w:eastAsia="ja-JP"/>
        </w:rPr>
      </w:pPr>
    </w:p>
    <w:p w:rsidR="008D0F00" w:rsidRPr="00F47789" w:rsidRDefault="007560A4" w:rsidP="00621E06">
      <w:pPr>
        <w:rPr>
          <w:lang w:val="fr-FR"/>
        </w:rPr>
      </w:pPr>
      <w:r w:rsidRPr="00F47789">
        <w:rPr>
          <w:lang w:val="fr-FR"/>
        </w:rPr>
        <w:fldChar w:fldCharType="begin"/>
      </w:r>
      <w:r w:rsidRPr="00F47789">
        <w:rPr>
          <w:lang w:val="fr-FR"/>
        </w:rPr>
        <w:instrText xml:space="preserve"> AUTONUM  </w:instrText>
      </w:r>
      <w:r w:rsidRPr="00F47789">
        <w:rPr>
          <w:lang w:val="fr-FR"/>
        </w:rPr>
        <w:fldChar w:fldCharType="end"/>
      </w:r>
      <w:r w:rsidRPr="00F47789">
        <w:rPr>
          <w:lang w:val="fr-FR"/>
        </w:rPr>
        <w:tab/>
      </w:r>
      <w:r w:rsidR="00907773" w:rsidRPr="00F47789">
        <w:rPr>
          <w:lang w:val="fr-FR"/>
        </w:rPr>
        <w:t>L</w:t>
      </w:r>
      <w:r w:rsidRPr="00F47789">
        <w:rPr>
          <w:lang w:val="fr-FR"/>
        </w:rPr>
        <w:t>e</w:t>
      </w:r>
      <w:r w:rsidR="004B3E00" w:rsidRPr="00F47789">
        <w:rPr>
          <w:lang w:val="fr-FR"/>
        </w:rPr>
        <w:t> TC</w:t>
      </w:r>
      <w:r w:rsidR="00401D77" w:rsidRPr="00F47789">
        <w:rPr>
          <w:lang w:val="fr-FR"/>
        </w:rPr>
        <w:noBreakHyphen/>
      </w:r>
      <w:r w:rsidR="004B3E00" w:rsidRPr="00F47789">
        <w:rPr>
          <w:lang w:val="fr-FR"/>
        </w:rPr>
        <w:t>EDC</w:t>
      </w:r>
      <w:r w:rsidRPr="00F47789">
        <w:rPr>
          <w:lang w:val="fr-FR"/>
        </w:rPr>
        <w:t xml:space="preserve">, </w:t>
      </w:r>
      <w:r w:rsidR="00907773" w:rsidRPr="00F47789">
        <w:rPr>
          <w:lang w:val="fr-FR"/>
        </w:rPr>
        <w:t xml:space="preserve">à sa réunion tenue à Genève les </w:t>
      </w:r>
      <w:r w:rsidRPr="00F47789">
        <w:rPr>
          <w:lang w:val="fr-FR"/>
        </w:rPr>
        <w:t xml:space="preserve">6 </w:t>
      </w:r>
      <w:r w:rsidR="00907773" w:rsidRPr="00F47789">
        <w:rPr>
          <w:lang w:val="fr-FR"/>
        </w:rPr>
        <w:t>et</w:t>
      </w:r>
      <w:r w:rsidRPr="00F47789">
        <w:rPr>
          <w:lang w:val="fr-FR"/>
        </w:rPr>
        <w:t xml:space="preserve"> </w:t>
      </w:r>
      <w:r w:rsidR="004B3E00" w:rsidRPr="00F47789">
        <w:rPr>
          <w:lang w:val="fr-FR"/>
        </w:rPr>
        <w:t>7 janvier 20</w:t>
      </w:r>
      <w:r w:rsidRPr="00F47789">
        <w:rPr>
          <w:lang w:val="fr-FR"/>
        </w:rPr>
        <w:t xml:space="preserve">16, </w:t>
      </w:r>
      <w:r w:rsidR="00907773" w:rsidRPr="00F47789">
        <w:rPr>
          <w:lang w:val="fr-FR"/>
        </w:rPr>
        <w:t xml:space="preserve">a examiné le </w:t>
      </w:r>
      <w:r w:rsidR="004B3E00" w:rsidRPr="00F47789">
        <w:rPr>
          <w:lang w:val="fr-FR"/>
        </w:rPr>
        <w:t>document TC</w:t>
      </w:r>
      <w:r w:rsidR="00401D77" w:rsidRPr="00F47789">
        <w:rPr>
          <w:lang w:val="fr-FR"/>
        </w:rPr>
        <w:noBreakHyphen/>
      </w:r>
      <w:r w:rsidR="004B3E00" w:rsidRPr="00F47789">
        <w:rPr>
          <w:lang w:val="fr-FR"/>
        </w:rPr>
        <w:t>EDC</w:t>
      </w:r>
      <w:r w:rsidRPr="00F47789">
        <w:rPr>
          <w:lang w:val="fr-FR"/>
        </w:rPr>
        <w:t>/Jan16/5 “</w:t>
      </w:r>
      <w:r w:rsidR="00907773" w:rsidRPr="00F47789">
        <w:rPr>
          <w:lang w:val="fr-FR"/>
        </w:rPr>
        <w:t>Révision du document TGP/8 </w:t>
      </w:r>
      <w:r w:rsidRPr="00F47789">
        <w:rPr>
          <w:lang w:val="fr-FR"/>
        </w:rPr>
        <w:t xml:space="preserve">: </w:t>
      </w:r>
      <w:r w:rsidR="00907773" w:rsidRPr="00F47789">
        <w:rPr>
          <w:lang w:val="fr-FR"/>
        </w:rPr>
        <w:t>première partie : Protocole d</w:t>
      </w:r>
      <w:r w:rsidR="004B3E00" w:rsidRPr="00F47789">
        <w:rPr>
          <w:lang w:val="fr-FR"/>
        </w:rPr>
        <w:t>’</w:t>
      </w:r>
      <w:r w:rsidR="00907773" w:rsidRPr="00F47789">
        <w:rPr>
          <w:lang w:val="fr-FR"/>
        </w:rPr>
        <w:t>essai DHS et analyse des données, nouvelle section : Réduction de la variation due à différents observateurs dans un même essai</w:t>
      </w:r>
      <w:r w:rsidRPr="00F47789">
        <w:rPr>
          <w:lang w:val="fr-FR"/>
        </w:rPr>
        <w:t xml:space="preserve">” </w:t>
      </w:r>
      <w:r w:rsidR="00907773" w:rsidRPr="00F47789">
        <w:rPr>
          <w:lang w:val="fr-FR"/>
        </w:rPr>
        <w:t>et a formulé les propositions suivantes </w:t>
      </w:r>
      <w:r w:rsidRPr="00F47789">
        <w:rPr>
          <w:lang w:val="fr-FR"/>
        </w:rPr>
        <w:t>:</w:t>
      </w:r>
    </w:p>
    <w:p w:rsidR="007560A4" w:rsidRPr="00F47789" w:rsidRDefault="007560A4" w:rsidP="00621E06">
      <w:pPr>
        <w:rPr>
          <w:lang w:val="fr-F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079"/>
      </w:tblGrid>
      <w:tr w:rsidR="007560A4" w:rsidRPr="00F47789" w:rsidTr="008D0F00">
        <w:trPr>
          <w:cantSplit/>
        </w:trPr>
        <w:tc>
          <w:tcPr>
            <w:tcW w:w="1702" w:type="dxa"/>
          </w:tcPr>
          <w:p w:rsidR="007560A4" w:rsidRPr="00F47789" w:rsidRDefault="008D0F00" w:rsidP="00621E06">
            <w:pPr>
              <w:jc w:val="left"/>
              <w:rPr>
                <w:rFonts w:cs="Arial"/>
                <w:lang w:val="fr-FR"/>
              </w:rPr>
            </w:pPr>
            <w:r w:rsidRPr="00F47789">
              <w:rPr>
                <w:rFonts w:cs="Arial"/>
                <w:lang w:val="fr-FR"/>
              </w:rPr>
              <w:t>Paragraphe 2.2 de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annexe</w:t>
            </w:r>
          </w:p>
        </w:tc>
        <w:tc>
          <w:tcPr>
            <w:tcW w:w="8079" w:type="dxa"/>
          </w:tcPr>
          <w:p w:rsidR="007560A4" w:rsidRPr="00F47789" w:rsidRDefault="008D0F00" w:rsidP="00621E06">
            <w:pPr>
              <w:keepNext/>
              <w:rPr>
                <w:rFonts w:cs="Arial"/>
                <w:highlight w:val="yellow"/>
                <w:lang w:val="fr-FR"/>
              </w:rPr>
            </w:pPr>
            <w:r w:rsidRPr="00F47789">
              <w:rPr>
                <w:rFonts w:cs="Arial"/>
                <w:lang w:val="fr-FR"/>
              </w:rPr>
              <w:t>libeller comme suit </w:t>
            </w:r>
            <w:r w:rsidR="007560A4" w:rsidRPr="00F47789">
              <w:rPr>
                <w:rFonts w:cs="Arial"/>
                <w:lang w:val="fr-FR"/>
              </w:rPr>
              <w:t>: “</w:t>
            </w:r>
            <w:r w:rsidRPr="00F47789">
              <w:rPr>
                <w:rFonts w:cs="Arial"/>
                <w:lang w:val="fr-FR"/>
              </w:rPr>
              <w:t>[</w:t>
            </w:r>
            <w:r w:rsidR="007560A4" w:rsidRPr="00F47789">
              <w:rPr>
                <w:rFonts w:cs="Arial"/>
                <w:lang w:val="fr-FR"/>
              </w:rPr>
              <w:t>…</w:t>
            </w:r>
            <w:r w:rsidRPr="00F47789">
              <w:rPr>
                <w:rFonts w:cs="Arial"/>
                <w:lang w:val="fr-FR"/>
              </w:rPr>
              <w:t xml:space="preserve">] Toutefois, la façon dont un caractère est observé ou mesuré peut varier en fonction </w:t>
            </w:r>
            <w:r w:rsidRPr="00F47789">
              <w:rPr>
                <w:rFonts w:cs="Arial"/>
                <w:highlight w:val="lightGray"/>
                <w:u w:val="single"/>
                <w:lang w:val="fr-FR"/>
              </w:rPr>
              <w:t>de l</w:t>
            </w:r>
            <w:r w:rsidR="004B3E00" w:rsidRPr="00F47789">
              <w:rPr>
                <w:rFonts w:cs="Arial"/>
                <w:highlight w:val="lightGray"/>
                <w:u w:val="single"/>
                <w:lang w:val="fr-FR"/>
              </w:rPr>
              <w:t>’</w:t>
            </w:r>
            <w:r w:rsidRPr="00F47789">
              <w:rPr>
                <w:rFonts w:cs="Arial"/>
                <w:highlight w:val="lightGray"/>
                <w:u w:val="single"/>
                <w:lang w:val="fr-FR"/>
              </w:rPr>
              <w:t>année,</w:t>
            </w:r>
            <w:r w:rsidRPr="00F47789">
              <w:rPr>
                <w:rFonts w:cs="Arial"/>
                <w:lang w:val="fr-FR"/>
              </w:rPr>
              <w:t xml:space="preserve"> du lieu ou du service chargé de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examen.  Les manuels d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étalonnage mis au point par le service local chargé de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 xml:space="preserve">examen </w:t>
            </w:r>
            <w:r w:rsidRPr="00F47789">
              <w:rPr>
                <w:rFonts w:cs="Arial"/>
                <w:highlight w:val="lightGray"/>
                <w:u w:val="single"/>
                <w:lang w:val="fr-FR"/>
              </w:rPr>
              <w:t>et les variétés indiquées à titre d</w:t>
            </w:r>
            <w:r w:rsidR="004B3E00" w:rsidRPr="00F47789">
              <w:rPr>
                <w:rFonts w:cs="Arial"/>
                <w:highlight w:val="lightGray"/>
                <w:u w:val="single"/>
                <w:lang w:val="fr-FR"/>
              </w:rPr>
              <w:t>’</w:t>
            </w:r>
            <w:r w:rsidRPr="00F47789">
              <w:rPr>
                <w:rFonts w:cs="Arial"/>
                <w:highlight w:val="lightGray"/>
                <w:u w:val="single"/>
                <w:lang w:val="fr-FR"/>
              </w:rPr>
              <w:t>exemple</w:t>
            </w:r>
            <w:r w:rsidRPr="00F47789">
              <w:rPr>
                <w:rFonts w:cs="Arial"/>
                <w:lang w:val="fr-FR"/>
              </w:rPr>
              <w:t xml:space="preserve"> sont très utiles pour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adaptation locale des principes directeurs d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examen de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UPOV.</w:t>
            </w:r>
            <w:r w:rsidR="007560A4" w:rsidRPr="00F47789">
              <w:rPr>
                <w:rFonts w:eastAsia="Calibri" w:cs="Arial"/>
                <w:noProof/>
                <w:lang w:val="fr-FR" w:eastAsia="ko-KR"/>
              </w:rPr>
              <w:t xml:space="preserve"> </w:t>
            </w:r>
            <w:r w:rsidRPr="00F47789">
              <w:rPr>
                <w:rFonts w:eastAsia="Calibri" w:cs="Arial"/>
                <w:noProof/>
                <w:lang w:val="fr-FR" w:eastAsia="ko-KR"/>
              </w:rPr>
              <w:t xml:space="preserve"> [</w:t>
            </w:r>
            <w:r w:rsidR="007560A4" w:rsidRPr="00F47789">
              <w:rPr>
                <w:rFonts w:eastAsia="Calibri" w:cs="Arial"/>
                <w:noProof/>
                <w:lang w:val="fr-FR" w:eastAsia="ko-KR"/>
              </w:rPr>
              <w:t>…</w:t>
            </w:r>
            <w:r w:rsidRPr="00F47789">
              <w:rPr>
                <w:rFonts w:eastAsia="Calibri" w:cs="Arial"/>
                <w:noProof/>
                <w:lang w:val="fr-FR" w:eastAsia="ko-KR"/>
              </w:rPr>
              <w:t>]</w:t>
            </w:r>
            <w:r w:rsidR="007560A4" w:rsidRPr="00F47789">
              <w:rPr>
                <w:rFonts w:cs="Arial"/>
                <w:lang w:val="fr-FR"/>
              </w:rPr>
              <w:t xml:space="preserve">” </w:t>
            </w:r>
          </w:p>
        </w:tc>
      </w:tr>
      <w:tr w:rsidR="008D0F00" w:rsidRPr="00F47789" w:rsidTr="008D0F00">
        <w:trPr>
          <w:cantSplit/>
        </w:trPr>
        <w:tc>
          <w:tcPr>
            <w:tcW w:w="1702" w:type="dxa"/>
          </w:tcPr>
          <w:p w:rsidR="008D0F00" w:rsidRPr="00F47789" w:rsidRDefault="008D0F00" w:rsidP="00621E06">
            <w:pPr>
              <w:jc w:val="left"/>
              <w:rPr>
                <w:rFonts w:cs="Arial"/>
                <w:lang w:val="fr-FR"/>
              </w:rPr>
            </w:pPr>
            <w:r w:rsidRPr="00F47789">
              <w:rPr>
                <w:rFonts w:cs="Arial"/>
                <w:lang w:val="fr-FR"/>
              </w:rPr>
              <w:t>Paragraphe 2.3 de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annexe</w:t>
            </w:r>
          </w:p>
        </w:tc>
        <w:tc>
          <w:tcPr>
            <w:tcW w:w="8079" w:type="dxa"/>
          </w:tcPr>
          <w:p w:rsidR="008D0F00" w:rsidRPr="00F47789" w:rsidRDefault="008D0F00" w:rsidP="00621E06">
            <w:pPr>
              <w:keepNext/>
              <w:rPr>
                <w:rFonts w:cs="Arial"/>
                <w:highlight w:val="yellow"/>
                <w:lang w:val="fr-FR"/>
              </w:rPr>
            </w:pPr>
            <w:r w:rsidRPr="00F47789">
              <w:rPr>
                <w:rFonts w:cs="Arial"/>
                <w:lang w:val="fr-FR"/>
              </w:rPr>
              <w:t>libeller comme suit : “Le Glossaire des termes utilisés dans les documents de l</w:t>
            </w:r>
            <w:r w:rsidR="004B3E00" w:rsidRPr="00F47789">
              <w:rPr>
                <w:rFonts w:cs="Arial"/>
                <w:lang w:val="fr-FR"/>
              </w:rPr>
              <w:t>’</w:t>
            </w:r>
            <w:r w:rsidRPr="00F47789">
              <w:rPr>
                <w:rFonts w:cs="Arial"/>
                <w:lang w:val="fr-FR"/>
              </w:rPr>
              <w:t>UPOV (document TGP/14</w:t>
            </w:r>
            <w:r w:rsidRPr="00F47789">
              <w:rPr>
                <w:rFonts w:cs="Arial"/>
                <w:strike/>
                <w:highlight w:val="lightGray"/>
                <w:lang w:val="fr-FR"/>
              </w:rPr>
              <w:t>/2</w:t>
            </w:r>
            <w:r w:rsidRPr="00F47789">
              <w:rPr>
                <w:rFonts w:cs="Arial"/>
                <w:lang w:val="fr-FR"/>
              </w:rPr>
              <w:t>) donne des précisions utiles sur de nombreux caractères, notamment les caractères PQ.”</w:t>
            </w:r>
          </w:p>
        </w:tc>
      </w:tr>
    </w:tbl>
    <w:p w:rsidR="008D0F00" w:rsidRPr="00F47789" w:rsidRDefault="008D0F00" w:rsidP="00621E06">
      <w:pPr>
        <w:rPr>
          <w:highlight w:val="yellow"/>
          <w:lang w:val="fr-FR"/>
        </w:rPr>
      </w:pP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8D0F00" w:rsidP="00621E06">
      <w:pPr>
        <w:pStyle w:val="Heading1"/>
        <w:rPr>
          <w:lang w:val="fr-FR"/>
        </w:rPr>
      </w:pPr>
      <w:bookmarkStart w:id="17" w:name="_Toc441572917"/>
      <w:r w:rsidRPr="00F47789">
        <w:rPr>
          <w:lang w:val="fr-FR"/>
        </w:rPr>
        <w:t>Proposition</w:t>
      </w:r>
      <w:bookmarkEnd w:id="17"/>
    </w:p>
    <w:p w:rsidR="008D0F00" w:rsidRPr="00F47789" w:rsidRDefault="008D0F00" w:rsidP="00621E06">
      <w:pPr>
        <w:rPr>
          <w:lang w:val="fr-FR"/>
        </w:rPr>
      </w:pPr>
    </w:p>
    <w:p w:rsidR="004B3E00" w:rsidRPr="00F47789" w:rsidRDefault="007560A4" w:rsidP="00621E06">
      <w:pPr>
        <w:autoSpaceDE w:val="0"/>
        <w:autoSpaceDN w:val="0"/>
        <w:adjustRightInd w:val="0"/>
        <w:rPr>
          <w:rFonts w:cs="Arial"/>
          <w:iCs/>
          <w:lang w:val="fr-FR"/>
        </w:rPr>
      </w:pPr>
      <w:r w:rsidRPr="00F47789">
        <w:rPr>
          <w:rFonts w:cs="Arial"/>
          <w:iCs/>
          <w:lang w:val="fr-FR"/>
        </w:rPr>
        <w:fldChar w:fldCharType="begin"/>
      </w:r>
      <w:r w:rsidRPr="00F47789">
        <w:rPr>
          <w:rFonts w:cs="Arial"/>
          <w:iCs/>
          <w:lang w:val="fr-FR"/>
        </w:rPr>
        <w:instrText xml:space="preserve"> AUTONUM  </w:instrText>
      </w:r>
      <w:r w:rsidRPr="00F47789">
        <w:rPr>
          <w:rFonts w:cs="Arial"/>
          <w:iCs/>
          <w:lang w:val="fr-FR"/>
        </w:rPr>
        <w:fldChar w:fldCharType="end"/>
      </w:r>
      <w:r w:rsidRPr="00F47789">
        <w:rPr>
          <w:rFonts w:cs="Arial"/>
          <w:iCs/>
          <w:lang w:val="fr-FR"/>
        </w:rPr>
        <w:tab/>
        <w:t>I</w:t>
      </w:r>
      <w:r w:rsidR="005F320C" w:rsidRPr="00F47789">
        <w:rPr>
          <w:rFonts w:cs="Arial"/>
          <w:iCs/>
          <w:lang w:val="fr-FR"/>
        </w:rPr>
        <w:t>l est proposé d</w:t>
      </w:r>
      <w:r w:rsidR="004B3E00" w:rsidRPr="00F47789">
        <w:rPr>
          <w:rFonts w:cs="Arial"/>
          <w:iCs/>
          <w:lang w:val="fr-FR"/>
        </w:rPr>
        <w:t>’</w:t>
      </w:r>
      <w:r w:rsidR="005F320C" w:rsidRPr="00F47789">
        <w:rPr>
          <w:rFonts w:cs="Arial"/>
          <w:iCs/>
          <w:lang w:val="fr-FR"/>
        </w:rPr>
        <w:t xml:space="preserve">examiner le projet de conseils concernant </w:t>
      </w:r>
      <w:r w:rsidR="00D15DF1" w:rsidRPr="00F47789">
        <w:rPr>
          <w:rFonts w:cs="Arial"/>
          <w:iCs/>
          <w:lang w:val="fr-FR"/>
        </w:rPr>
        <w:t xml:space="preserve">la </w:t>
      </w:r>
      <w:r w:rsidRPr="00F47789">
        <w:rPr>
          <w:rFonts w:cs="Arial"/>
          <w:iCs/>
          <w:lang w:val="fr-FR"/>
        </w:rPr>
        <w:t>“</w:t>
      </w:r>
      <w:r w:rsidR="00D15DF1" w:rsidRPr="00F47789">
        <w:rPr>
          <w:rFonts w:cs="Arial"/>
          <w:iCs/>
          <w:lang w:val="fr-FR"/>
        </w:rPr>
        <w:t>Réduction de la variation due à différents observateurs dans un même essai</w:t>
      </w:r>
      <w:r w:rsidRPr="00F47789">
        <w:rPr>
          <w:rFonts w:cs="Arial"/>
          <w:iCs/>
          <w:lang w:val="fr-FR"/>
        </w:rPr>
        <w:t xml:space="preserve">”, </w:t>
      </w:r>
      <w:r w:rsidR="00D15DF1" w:rsidRPr="00F47789">
        <w:rPr>
          <w:rFonts w:cs="Arial"/>
          <w:iCs/>
          <w:lang w:val="fr-FR"/>
        </w:rPr>
        <w:t>tel qu</w:t>
      </w:r>
      <w:r w:rsidR="004B3E00" w:rsidRPr="00F47789">
        <w:rPr>
          <w:rFonts w:cs="Arial"/>
          <w:iCs/>
          <w:lang w:val="fr-FR"/>
        </w:rPr>
        <w:t>’</w:t>
      </w:r>
      <w:r w:rsidR="00D15DF1" w:rsidRPr="00F47789">
        <w:rPr>
          <w:rFonts w:cs="Arial"/>
          <w:iCs/>
          <w:lang w:val="fr-FR"/>
        </w:rPr>
        <w:t>il figure dans l</w:t>
      </w:r>
      <w:r w:rsidR="004B3E00" w:rsidRPr="00F47789">
        <w:rPr>
          <w:rFonts w:cs="Arial"/>
          <w:iCs/>
          <w:lang w:val="fr-FR"/>
        </w:rPr>
        <w:t>’</w:t>
      </w:r>
      <w:r w:rsidR="00D15DF1" w:rsidRPr="00F47789">
        <w:rPr>
          <w:rFonts w:cs="Arial"/>
          <w:iCs/>
          <w:lang w:val="fr-FR"/>
        </w:rPr>
        <w:t xml:space="preserve">annexe du présent </w:t>
      </w:r>
      <w:r w:rsidRPr="00F47789">
        <w:rPr>
          <w:rFonts w:cs="Arial"/>
          <w:iCs/>
          <w:lang w:val="fr-FR"/>
        </w:rPr>
        <w:t xml:space="preserve">document, </w:t>
      </w:r>
      <w:r w:rsidR="00D15DF1" w:rsidRPr="00F47789">
        <w:rPr>
          <w:rFonts w:cs="Arial"/>
          <w:iCs/>
          <w:lang w:val="fr-FR"/>
        </w:rPr>
        <w:t>compte tenu des observations formulées par</w:t>
      </w:r>
      <w:r w:rsidR="004B3E00" w:rsidRPr="00F47789">
        <w:rPr>
          <w:rFonts w:cs="Arial"/>
          <w:iCs/>
          <w:lang w:val="fr-FR"/>
        </w:rPr>
        <w:t xml:space="preserve"> les TWP</w:t>
      </w:r>
      <w:r w:rsidR="00D15DF1" w:rsidRPr="00F47789">
        <w:rPr>
          <w:rFonts w:cs="Arial"/>
          <w:iCs/>
          <w:lang w:val="fr-FR"/>
        </w:rPr>
        <w:t xml:space="preserve"> à leurs sessions de</w:t>
      </w:r>
      <w:r w:rsidR="002B5BB9" w:rsidRPr="00F47789">
        <w:rPr>
          <w:rFonts w:cs="Arial"/>
          <w:iCs/>
          <w:lang w:val="fr-FR"/>
        </w:rPr>
        <w:t> </w:t>
      </w:r>
      <w:r w:rsidRPr="00F47789">
        <w:rPr>
          <w:rFonts w:cs="Arial"/>
          <w:iCs/>
          <w:lang w:val="fr-FR"/>
        </w:rPr>
        <w:t xml:space="preserve">2015, </w:t>
      </w:r>
      <w:r w:rsidR="00D15DF1" w:rsidRPr="00F47789">
        <w:rPr>
          <w:rFonts w:cs="Arial"/>
          <w:iCs/>
          <w:lang w:val="fr-FR"/>
        </w:rPr>
        <w:t>et par le</w:t>
      </w:r>
      <w:r w:rsidR="004B3E00" w:rsidRPr="00F47789">
        <w:rPr>
          <w:rFonts w:cs="Arial"/>
          <w:iCs/>
          <w:lang w:val="fr-FR"/>
        </w:rPr>
        <w:t> TC</w:t>
      </w:r>
      <w:r w:rsidR="00401D77" w:rsidRPr="00F47789">
        <w:rPr>
          <w:rFonts w:cs="Arial"/>
          <w:iCs/>
          <w:lang w:val="fr-FR"/>
        </w:rPr>
        <w:noBreakHyphen/>
      </w:r>
      <w:r w:rsidR="004B3E00" w:rsidRPr="00F47789">
        <w:rPr>
          <w:rFonts w:cs="Arial"/>
          <w:iCs/>
          <w:lang w:val="fr-FR"/>
        </w:rPr>
        <w:t>EDC</w:t>
      </w:r>
      <w:r w:rsidRPr="00F47789">
        <w:rPr>
          <w:rFonts w:cs="Arial"/>
          <w:iCs/>
          <w:lang w:val="fr-FR"/>
        </w:rPr>
        <w:t xml:space="preserve"> </w:t>
      </w:r>
      <w:r w:rsidR="00D15DF1" w:rsidRPr="00F47789">
        <w:rPr>
          <w:rFonts w:cs="Arial"/>
          <w:iCs/>
          <w:lang w:val="fr-FR"/>
        </w:rPr>
        <w:t>à sa réunion de</w:t>
      </w:r>
      <w:r w:rsidR="002B5BB9" w:rsidRPr="00F47789">
        <w:rPr>
          <w:rFonts w:cs="Arial"/>
          <w:iCs/>
          <w:lang w:val="fr-FR"/>
        </w:rPr>
        <w:t> </w:t>
      </w:r>
      <w:r w:rsidRPr="00F47789">
        <w:rPr>
          <w:rFonts w:cs="Arial"/>
          <w:iCs/>
          <w:lang w:val="fr-FR"/>
        </w:rPr>
        <w:t xml:space="preserve">2016, </w:t>
      </w:r>
      <w:r w:rsidR="00CD6BCA" w:rsidRPr="00F47789">
        <w:rPr>
          <w:rFonts w:cs="Arial"/>
          <w:iCs/>
          <w:lang w:val="fr-FR"/>
        </w:rPr>
        <w:t>en vue d</w:t>
      </w:r>
      <w:r w:rsidR="004B3E00" w:rsidRPr="00F47789">
        <w:rPr>
          <w:rFonts w:cs="Arial"/>
          <w:iCs/>
          <w:lang w:val="fr-FR"/>
        </w:rPr>
        <w:t>’</w:t>
      </w:r>
      <w:r w:rsidR="00CD6BCA" w:rsidRPr="00F47789">
        <w:rPr>
          <w:rFonts w:cs="Arial"/>
          <w:iCs/>
          <w:lang w:val="fr-FR"/>
        </w:rPr>
        <w:t xml:space="preserve">une future révision du document </w:t>
      </w:r>
      <w:r w:rsidRPr="00F47789">
        <w:rPr>
          <w:lang w:val="fr-FR"/>
        </w:rPr>
        <w:t>TGP/8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>: “</w:t>
      </w:r>
      <w:r w:rsidR="00CD6BCA" w:rsidRPr="00F47789">
        <w:rPr>
          <w:lang w:val="fr-FR"/>
        </w:rPr>
        <w:t>Protocole d</w:t>
      </w:r>
      <w:r w:rsidR="004B3E00" w:rsidRPr="00F47789">
        <w:rPr>
          <w:lang w:val="fr-FR"/>
        </w:rPr>
        <w:t>’</w:t>
      </w:r>
      <w:r w:rsidR="00CD6BCA" w:rsidRPr="00F47789">
        <w:rPr>
          <w:lang w:val="fr-FR"/>
        </w:rPr>
        <w:t>essai et techniques utilisés dans l</w:t>
      </w:r>
      <w:r w:rsidR="004B3E00" w:rsidRPr="00F47789">
        <w:rPr>
          <w:lang w:val="fr-FR"/>
        </w:rPr>
        <w:t>’</w:t>
      </w:r>
      <w:r w:rsidR="00CD6BCA" w:rsidRPr="00F47789">
        <w:rPr>
          <w:lang w:val="fr-FR"/>
        </w:rPr>
        <w:t>examen de la distinction, de l</w:t>
      </w:r>
      <w:r w:rsidR="004B3E00" w:rsidRPr="00F47789">
        <w:rPr>
          <w:lang w:val="fr-FR"/>
        </w:rPr>
        <w:t>’</w:t>
      </w:r>
      <w:r w:rsidR="00CD6BCA" w:rsidRPr="00F47789">
        <w:rPr>
          <w:lang w:val="fr-FR"/>
        </w:rPr>
        <w:t>homogénéité et de la stabilité”, Première partie : Protocole d</w:t>
      </w:r>
      <w:r w:rsidR="004B3E00" w:rsidRPr="00F47789">
        <w:rPr>
          <w:lang w:val="fr-FR"/>
        </w:rPr>
        <w:t>’</w:t>
      </w:r>
      <w:r w:rsidR="00CD6BCA" w:rsidRPr="00F47789">
        <w:rPr>
          <w:lang w:val="fr-FR"/>
        </w:rPr>
        <w:t>essai DHS et analyse de données</w:t>
      </w:r>
      <w:r w:rsidRPr="00F47789">
        <w:rPr>
          <w:rFonts w:cs="Arial"/>
          <w:iCs/>
          <w:lang w:val="fr-FR"/>
        </w:rPr>
        <w:t>.</w:t>
      </w:r>
    </w:p>
    <w:p w:rsidR="008D0F00" w:rsidRPr="00F47789" w:rsidRDefault="008D0F00" w:rsidP="00621E06">
      <w:pPr>
        <w:autoSpaceDE w:val="0"/>
        <w:autoSpaceDN w:val="0"/>
        <w:adjustRightInd w:val="0"/>
        <w:rPr>
          <w:rFonts w:cs="Arial"/>
          <w:iCs/>
          <w:lang w:val="fr-FR"/>
        </w:rPr>
      </w:pPr>
    </w:p>
    <w:p w:rsidR="008D0F00" w:rsidRPr="00F47789" w:rsidRDefault="007560A4" w:rsidP="00621E06">
      <w:pPr>
        <w:keepNext/>
        <w:tabs>
          <w:tab w:val="left" w:pos="5529"/>
        </w:tabs>
        <w:ind w:left="4820"/>
        <w:rPr>
          <w:i/>
          <w:lang w:val="fr-FR"/>
        </w:rPr>
      </w:pPr>
      <w:r w:rsidRPr="00F47789">
        <w:rPr>
          <w:i/>
          <w:lang w:val="fr-FR"/>
        </w:rPr>
        <w:fldChar w:fldCharType="begin"/>
      </w:r>
      <w:r w:rsidRPr="00F47789">
        <w:rPr>
          <w:i/>
          <w:lang w:val="fr-FR"/>
        </w:rPr>
        <w:instrText xml:space="preserve"> AUTONUM  </w:instrText>
      </w:r>
      <w:r w:rsidRPr="00F47789">
        <w:rPr>
          <w:i/>
          <w:lang w:val="fr-FR"/>
        </w:rPr>
        <w:fldChar w:fldCharType="end"/>
      </w:r>
      <w:r w:rsidRPr="00F47789">
        <w:rPr>
          <w:i/>
          <w:lang w:val="fr-FR"/>
        </w:rPr>
        <w:tab/>
      </w:r>
      <w:r w:rsidR="00A73529" w:rsidRPr="00F47789">
        <w:rPr>
          <w:i/>
          <w:lang w:val="fr-FR"/>
        </w:rPr>
        <w:t>Le</w:t>
      </w:r>
      <w:r w:rsidR="004B3E00" w:rsidRPr="00F47789">
        <w:rPr>
          <w:i/>
          <w:lang w:val="fr-FR"/>
        </w:rPr>
        <w:t> TC</w:t>
      </w:r>
      <w:r w:rsidRPr="00F47789">
        <w:rPr>
          <w:i/>
          <w:lang w:val="fr-FR"/>
        </w:rPr>
        <w:t xml:space="preserve"> </w:t>
      </w:r>
      <w:r w:rsidR="00A73529" w:rsidRPr="00F47789">
        <w:rPr>
          <w:i/>
          <w:lang w:val="fr-FR"/>
        </w:rPr>
        <w:t xml:space="preserve">est invité </w:t>
      </w:r>
      <w:r w:rsidR="000F6CAC" w:rsidRPr="00F47789">
        <w:rPr>
          <w:i/>
          <w:lang w:val="fr-FR"/>
        </w:rPr>
        <w:t>à :</w:t>
      </w:r>
    </w:p>
    <w:p w:rsidR="008D0F00" w:rsidRPr="00F47789" w:rsidRDefault="008D0F00" w:rsidP="00621E06">
      <w:pPr>
        <w:keepNext/>
        <w:tabs>
          <w:tab w:val="left" w:pos="5529"/>
        </w:tabs>
        <w:ind w:left="4820"/>
        <w:rPr>
          <w:i/>
          <w:lang w:val="fr-FR"/>
        </w:rPr>
      </w:pPr>
    </w:p>
    <w:p w:rsidR="008D0F00" w:rsidRPr="00F47789" w:rsidRDefault="007560A4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  <w:r w:rsidRPr="00F47789">
        <w:rPr>
          <w:i/>
          <w:lang w:val="fr-FR"/>
        </w:rPr>
        <w:tab/>
        <w:t>a)</w:t>
      </w:r>
      <w:r w:rsidRPr="00F47789">
        <w:rPr>
          <w:i/>
          <w:lang w:val="fr-FR"/>
        </w:rPr>
        <w:tab/>
      </w:r>
      <w:r w:rsidR="00A73529" w:rsidRPr="00F47789">
        <w:rPr>
          <w:i/>
          <w:lang w:val="fr-FR"/>
        </w:rPr>
        <w:t>examiner le projet de conseils concernant la “Réduction de la variation due à différents observateurs dans un même essai”, qui figure à l</w:t>
      </w:r>
      <w:r w:rsidR="004B3E00" w:rsidRPr="00F47789">
        <w:rPr>
          <w:i/>
          <w:lang w:val="fr-FR"/>
        </w:rPr>
        <w:t>’</w:t>
      </w:r>
      <w:r w:rsidR="00A73529" w:rsidRPr="00F47789">
        <w:rPr>
          <w:i/>
          <w:lang w:val="fr-FR"/>
        </w:rPr>
        <w:t>annexe du présent document, en tenant compte des observations formulées par</w:t>
      </w:r>
      <w:r w:rsidR="004B3E00" w:rsidRPr="00F47789">
        <w:rPr>
          <w:i/>
          <w:lang w:val="fr-FR"/>
        </w:rPr>
        <w:t xml:space="preserve"> les TWP</w:t>
      </w:r>
      <w:r w:rsidR="00A73529" w:rsidRPr="00F47789">
        <w:rPr>
          <w:i/>
          <w:lang w:val="fr-FR"/>
        </w:rPr>
        <w:t xml:space="preserve"> à leurs sessions de</w:t>
      </w:r>
      <w:r w:rsidR="002B5BB9" w:rsidRPr="00F47789">
        <w:rPr>
          <w:i/>
          <w:lang w:val="fr-FR"/>
        </w:rPr>
        <w:t> </w:t>
      </w:r>
      <w:r w:rsidR="00A73529" w:rsidRPr="00F47789">
        <w:rPr>
          <w:i/>
          <w:lang w:val="fr-FR"/>
        </w:rPr>
        <w:t>2015, et par le</w:t>
      </w:r>
      <w:r w:rsidR="004B3E00" w:rsidRPr="00F47789">
        <w:rPr>
          <w:i/>
          <w:lang w:val="fr-FR"/>
        </w:rPr>
        <w:t> TC</w:t>
      </w:r>
      <w:r w:rsidR="00401D77" w:rsidRPr="00F47789">
        <w:rPr>
          <w:i/>
          <w:lang w:val="fr-FR"/>
        </w:rPr>
        <w:noBreakHyphen/>
      </w:r>
      <w:r w:rsidR="004B3E00" w:rsidRPr="00F47789">
        <w:rPr>
          <w:i/>
          <w:lang w:val="fr-FR"/>
        </w:rPr>
        <w:t>EDC</w:t>
      </w:r>
      <w:r w:rsidR="00A73529" w:rsidRPr="00F47789">
        <w:rPr>
          <w:i/>
          <w:lang w:val="fr-FR"/>
        </w:rPr>
        <w:t xml:space="preserve"> à sa réunion de</w:t>
      </w:r>
      <w:r w:rsidR="002B5BB9" w:rsidRPr="00F47789">
        <w:rPr>
          <w:i/>
          <w:lang w:val="fr-FR"/>
        </w:rPr>
        <w:t> </w:t>
      </w:r>
      <w:r w:rsidR="00A73529" w:rsidRPr="00F47789">
        <w:rPr>
          <w:i/>
          <w:lang w:val="fr-FR"/>
        </w:rPr>
        <w:t>2016, en vue d</w:t>
      </w:r>
      <w:r w:rsidR="004B3E00" w:rsidRPr="00F47789">
        <w:rPr>
          <w:i/>
          <w:lang w:val="fr-FR"/>
        </w:rPr>
        <w:t>’</w:t>
      </w:r>
      <w:r w:rsidR="00A73529" w:rsidRPr="00F47789">
        <w:rPr>
          <w:i/>
          <w:lang w:val="fr-FR"/>
        </w:rPr>
        <w:t>une future révision du document TGP/8 : “Protocole d</w:t>
      </w:r>
      <w:r w:rsidR="004B3E00" w:rsidRPr="00F47789">
        <w:rPr>
          <w:i/>
          <w:lang w:val="fr-FR"/>
        </w:rPr>
        <w:t>’</w:t>
      </w:r>
      <w:r w:rsidR="00A73529" w:rsidRPr="00F47789">
        <w:rPr>
          <w:i/>
          <w:lang w:val="fr-FR"/>
        </w:rPr>
        <w:t>essai et techniques utilisés dans l</w:t>
      </w:r>
      <w:r w:rsidR="004B3E00" w:rsidRPr="00F47789">
        <w:rPr>
          <w:i/>
          <w:lang w:val="fr-FR"/>
        </w:rPr>
        <w:t>’</w:t>
      </w:r>
      <w:r w:rsidR="00A73529" w:rsidRPr="00F47789">
        <w:rPr>
          <w:i/>
          <w:lang w:val="fr-FR"/>
        </w:rPr>
        <w:t>examen de la distinction, de l</w:t>
      </w:r>
      <w:r w:rsidR="004B3E00" w:rsidRPr="00F47789">
        <w:rPr>
          <w:i/>
          <w:lang w:val="fr-FR"/>
        </w:rPr>
        <w:t>’</w:t>
      </w:r>
      <w:r w:rsidR="00A73529" w:rsidRPr="00F47789">
        <w:rPr>
          <w:i/>
          <w:lang w:val="fr-FR"/>
        </w:rPr>
        <w:t>homogénéité et de la stabilité”, Première partie : Protocole d</w:t>
      </w:r>
      <w:r w:rsidR="004B3E00" w:rsidRPr="00F47789">
        <w:rPr>
          <w:i/>
          <w:lang w:val="fr-FR"/>
        </w:rPr>
        <w:t>’</w:t>
      </w:r>
      <w:r w:rsidR="00A73529" w:rsidRPr="00F47789">
        <w:rPr>
          <w:i/>
          <w:lang w:val="fr-FR"/>
        </w:rPr>
        <w:t>essai DHS et analyse de données</w:t>
      </w:r>
      <w:r w:rsidRPr="00F47789">
        <w:rPr>
          <w:i/>
          <w:lang w:val="fr-FR"/>
        </w:rPr>
        <w:t xml:space="preserve">, </w:t>
      </w:r>
      <w:r w:rsidR="00231178" w:rsidRPr="00F47789">
        <w:rPr>
          <w:i/>
          <w:lang w:val="fr-FR"/>
        </w:rPr>
        <w:t>et plus particulièrement la possibilité d</w:t>
      </w:r>
      <w:r w:rsidR="004B3E00" w:rsidRPr="00F47789">
        <w:rPr>
          <w:i/>
          <w:lang w:val="fr-FR"/>
        </w:rPr>
        <w:t>’</w:t>
      </w:r>
      <w:r w:rsidR="00231178" w:rsidRPr="00F47789">
        <w:rPr>
          <w:i/>
          <w:lang w:val="fr-FR"/>
        </w:rPr>
        <w:t>élaborer une nouvelle section dans le document afin d</w:t>
      </w:r>
      <w:r w:rsidR="004B3E00" w:rsidRPr="00F47789">
        <w:rPr>
          <w:i/>
          <w:lang w:val="fr-FR"/>
        </w:rPr>
        <w:t>’</w:t>
      </w:r>
      <w:r w:rsidR="00231178" w:rsidRPr="00F47789">
        <w:rPr>
          <w:i/>
          <w:lang w:val="fr-FR"/>
        </w:rPr>
        <w:t xml:space="preserve">apporter des précisions concernant la réduction de la variation due à différents observateurs dans un même essai pour les caractères PQ, </w:t>
      </w:r>
      <w:r w:rsidR="004B3E00" w:rsidRPr="00F47789">
        <w:rPr>
          <w:i/>
          <w:lang w:val="fr-FR"/>
        </w:rPr>
        <w:t>y compris</w:t>
      </w:r>
      <w:r w:rsidR="00231178" w:rsidRPr="00F47789">
        <w:rPr>
          <w:i/>
          <w:lang w:val="fr-FR"/>
        </w:rPr>
        <w:t xml:space="preserve"> l</w:t>
      </w:r>
      <w:r w:rsidR="004B3E00" w:rsidRPr="00F47789">
        <w:rPr>
          <w:i/>
          <w:lang w:val="fr-FR"/>
        </w:rPr>
        <w:t>’</w:t>
      </w:r>
      <w:r w:rsidR="00231178" w:rsidRPr="00F47789">
        <w:rPr>
          <w:i/>
          <w:lang w:val="fr-FR"/>
        </w:rPr>
        <w:t>utilisation de méthodes non paramétriques</w:t>
      </w:r>
      <w:r w:rsidR="004B1F68" w:rsidRPr="00F47789">
        <w:rPr>
          <w:i/>
          <w:lang w:val="fr-FR"/>
        </w:rPr>
        <w:t>,</w:t>
      </w:r>
    </w:p>
    <w:p w:rsidR="008D0F00" w:rsidRPr="00F47789" w:rsidRDefault="008D0F00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</w:p>
    <w:p w:rsidR="008D0F00" w:rsidRPr="00F47789" w:rsidRDefault="007560A4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  <w:r w:rsidRPr="00F47789">
        <w:rPr>
          <w:i/>
          <w:lang w:val="fr-FR"/>
        </w:rPr>
        <w:tab/>
        <w:t>b)</w:t>
      </w:r>
      <w:r w:rsidRPr="00F47789">
        <w:rPr>
          <w:i/>
          <w:lang w:val="fr-FR"/>
        </w:rPr>
        <w:tab/>
      </w:r>
      <w:r w:rsidR="00E12AF3" w:rsidRPr="00F47789">
        <w:rPr>
          <w:i/>
          <w:lang w:val="fr-FR"/>
        </w:rPr>
        <w:t>envisager la possibilité de demander</w:t>
      </w:r>
      <w:r w:rsidR="004B3E00" w:rsidRPr="00F47789">
        <w:rPr>
          <w:i/>
          <w:lang w:val="fr-FR"/>
        </w:rPr>
        <w:t xml:space="preserve"> aux TWP</w:t>
      </w:r>
      <w:r w:rsidR="00E12AF3" w:rsidRPr="00F47789">
        <w:rPr>
          <w:i/>
          <w:lang w:val="fr-FR"/>
        </w:rPr>
        <w:t>, à leurs sessions de</w:t>
      </w:r>
      <w:r w:rsidR="002B5BB9" w:rsidRPr="00F47789">
        <w:rPr>
          <w:i/>
          <w:lang w:val="fr-FR"/>
        </w:rPr>
        <w:t> </w:t>
      </w:r>
      <w:r w:rsidR="00E12AF3" w:rsidRPr="00F47789">
        <w:rPr>
          <w:i/>
          <w:lang w:val="fr-FR"/>
        </w:rPr>
        <w:t>2016 de fournir des renseignements sur la variation entre observateurs concernant les caractères PQ, comme par exemple la fréquence des écarts</w:t>
      </w:r>
      <w:r w:rsidR="004B1F68" w:rsidRPr="00F47789">
        <w:rPr>
          <w:i/>
          <w:lang w:val="fr-FR"/>
        </w:rPr>
        <w:t>,</w:t>
      </w:r>
    </w:p>
    <w:p w:rsidR="008D0F00" w:rsidRPr="00F47789" w:rsidRDefault="008D0F00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</w:p>
    <w:p w:rsidR="008D0F00" w:rsidRPr="00F47789" w:rsidRDefault="007560A4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  <w:r w:rsidRPr="00F47789">
        <w:rPr>
          <w:i/>
          <w:lang w:val="fr-FR"/>
        </w:rPr>
        <w:tab/>
        <w:t>c)</w:t>
      </w:r>
      <w:r w:rsidRPr="00F47789">
        <w:rPr>
          <w:i/>
          <w:lang w:val="fr-FR"/>
        </w:rPr>
        <w:tab/>
      </w:r>
      <w:r w:rsidR="00E12AF3" w:rsidRPr="00F47789">
        <w:rPr>
          <w:i/>
          <w:lang w:val="fr-FR"/>
        </w:rPr>
        <w:t>noter le fait que</w:t>
      </w:r>
      <w:r w:rsidR="004B3E00" w:rsidRPr="00F47789">
        <w:rPr>
          <w:i/>
          <w:lang w:val="fr-FR"/>
        </w:rPr>
        <w:t xml:space="preserve"> le TWC</w:t>
      </w:r>
      <w:r w:rsidR="00E12AF3" w:rsidRPr="00F47789">
        <w:rPr>
          <w:i/>
          <w:lang w:val="fr-FR"/>
        </w:rPr>
        <w:t xml:space="preserve"> était convenu d</w:t>
      </w:r>
      <w:r w:rsidR="004B3E00" w:rsidRPr="00F47789">
        <w:rPr>
          <w:i/>
          <w:lang w:val="fr-FR"/>
        </w:rPr>
        <w:t>’</w:t>
      </w:r>
      <w:r w:rsidR="00E12AF3" w:rsidRPr="00F47789">
        <w:rPr>
          <w:i/>
          <w:lang w:val="fr-FR"/>
        </w:rPr>
        <w:t>inviter les experts d</w:t>
      </w:r>
      <w:r w:rsidR="004B3E00" w:rsidRPr="00F47789">
        <w:rPr>
          <w:i/>
          <w:lang w:val="fr-FR"/>
        </w:rPr>
        <w:t>’</w:t>
      </w:r>
      <w:r w:rsidR="00E12AF3" w:rsidRPr="00F47789">
        <w:rPr>
          <w:i/>
          <w:lang w:val="fr-FR"/>
        </w:rPr>
        <w:t>Argentine et du Brésil à présenter, lors de sa trente</w:t>
      </w:r>
      <w:r w:rsidR="00401D77" w:rsidRPr="00F47789">
        <w:rPr>
          <w:i/>
          <w:lang w:val="fr-FR"/>
        </w:rPr>
        <w:noBreakHyphen/>
      </w:r>
      <w:r w:rsidR="00E12AF3" w:rsidRPr="00F47789">
        <w:rPr>
          <w:i/>
          <w:lang w:val="fr-FR"/>
        </w:rPr>
        <w:t>quatrième</w:t>
      </w:r>
      <w:r w:rsidR="002B5BB9" w:rsidRPr="00F47789">
        <w:rPr>
          <w:i/>
          <w:lang w:val="fr-FR"/>
        </w:rPr>
        <w:t> </w:t>
      </w:r>
      <w:r w:rsidR="00E12AF3" w:rsidRPr="00F47789">
        <w:rPr>
          <w:i/>
          <w:lang w:val="fr-FR"/>
        </w:rPr>
        <w:t>session, un exposé sur leurs données d</w:t>
      </w:r>
      <w:r w:rsidR="004B3E00" w:rsidRPr="00F47789">
        <w:rPr>
          <w:i/>
          <w:lang w:val="fr-FR"/>
        </w:rPr>
        <w:t>’</w:t>
      </w:r>
      <w:r w:rsidR="00E12AF3" w:rsidRPr="00F47789">
        <w:rPr>
          <w:i/>
          <w:lang w:val="fr-FR"/>
        </w:rPr>
        <w:t>expériences en matière de formation destinée à réduire la variation due à différents observateurs concernant les caractères PQ</w:t>
      </w:r>
      <w:r w:rsidR="004B1F68" w:rsidRPr="00F47789">
        <w:rPr>
          <w:i/>
          <w:lang w:val="fr-FR"/>
        </w:rPr>
        <w:t>,</w:t>
      </w:r>
    </w:p>
    <w:p w:rsidR="008D0F00" w:rsidRPr="00F47789" w:rsidRDefault="008D0F00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</w:p>
    <w:p w:rsidR="008D0F00" w:rsidRPr="00F47789" w:rsidRDefault="007560A4" w:rsidP="00621E06">
      <w:pPr>
        <w:tabs>
          <w:tab w:val="left" w:pos="5387"/>
          <w:tab w:val="left" w:pos="5954"/>
          <w:tab w:val="left" w:pos="12900"/>
        </w:tabs>
        <w:ind w:left="4820"/>
        <w:rPr>
          <w:i/>
          <w:lang w:val="fr-FR"/>
        </w:rPr>
      </w:pPr>
      <w:r w:rsidRPr="00F47789">
        <w:rPr>
          <w:i/>
          <w:lang w:val="fr-FR"/>
        </w:rPr>
        <w:tab/>
        <w:t>d)</w:t>
      </w:r>
      <w:r w:rsidRPr="00F47789">
        <w:rPr>
          <w:i/>
          <w:lang w:val="fr-FR"/>
        </w:rPr>
        <w:tab/>
      </w:r>
      <w:r w:rsidR="00E12AF3" w:rsidRPr="00F47789">
        <w:rPr>
          <w:i/>
          <w:lang w:val="fr-FR"/>
        </w:rPr>
        <w:t>déterminer s</w:t>
      </w:r>
      <w:r w:rsidR="004B3E00" w:rsidRPr="00F47789">
        <w:rPr>
          <w:i/>
          <w:lang w:val="fr-FR"/>
        </w:rPr>
        <w:t>’</w:t>
      </w:r>
      <w:r w:rsidR="00E12AF3" w:rsidRPr="00F47789">
        <w:rPr>
          <w:i/>
          <w:lang w:val="fr-FR"/>
        </w:rPr>
        <w:t>il convient d</w:t>
      </w:r>
      <w:r w:rsidR="004B3E00" w:rsidRPr="00F47789">
        <w:rPr>
          <w:i/>
          <w:lang w:val="fr-FR"/>
        </w:rPr>
        <w:t>’</w:t>
      </w:r>
      <w:r w:rsidR="00E12AF3" w:rsidRPr="00F47789">
        <w:rPr>
          <w:i/>
          <w:lang w:val="fr-FR"/>
        </w:rPr>
        <w:t>inviter des experts à faire part</w:t>
      </w:r>
      <w:r w:rsidR="004B3E00" w:rsidRPr="00F47789">
        <w:rPr>
          <w:i/>
          <w:lang w:val="fr-FR"/>
        </w:rPr>
        <w:t xml:space="preserve"> aux TWP</w:t>
      </w:r>
      <w:r w:rsidR="00E12AF3" w:rsidRPr="00F47789">
        <w:rPr>
          <w:i/>
          <w:lang w:val="fr-FR"/>
        </w:rPr>
        <w:t>, lors de leurs sessions de</w:t>
      </w:r>
      <w:r w:rsidR="002B5BB9" w:rsidRPr="00F47789">
        <w:rPr>
          <w:i/>
          <w:lang w:val="fr-FR"/>
        </w:rPr>
        <w:t> </w:t>
      </w:r>
      <w:r w:rsidR="00E12AF3" w:rsidRPr="00F47789">
        <w:rPr>
          <w:i/>
          <w:lang w:val="fr-FR"/>
        </w:rPr>
        <w:t>2016, de leurs données d</w:t>
      </w:r>
      <w:r w:rsidR="004B3E00" w:rsidRPr="00F47789">
        <w:rPr>
          <w:i/>
          <w:lang w:val="fr-FR"/>
        </w:rPr>
        <w:t>’</w:t>
      </w:r>
      <w:r w:rsidR="00E12AF3" w:rsidRPr="00F47789">
        <w:rPr>
          <w:i/>
          <w:lang w:val="fr-FR"/>
        </w:rPr>
        <w:t>expérience sur la réduction de la variation due à différents observateurs dans un même essai concernant les caractères PQ</w:t>
      </w:r>
      <w:r w:rsidRPr="00F47789">
        <w:rPr>
          <w:i/>
          <w:iCs/>
          <w:lang w:val="fr-FR"/>
        </w:rPr>
        <w:t>.</w:t>
      </w: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8D0F00" w:rsidP="00621E06">
      <w:pPr>
        <w:jc w:val="right"/>
        <w:rPr>
          <w:lang w:val="fr-FR"/>
        </w:rPr>
      </w:pPr>
      <w:r w:rsidRPr="00F47789">
        <w:rPr>
          <w:lang w:val="fr-FR"/>
        </w:rPr>
        <w:t>[L</w:t>
      </w:r>
      <w:r w:rsidR="004B3E00" w:rsidRPr="00F47789">
        <w:rPr>
          <w:lang w:val="fr-FR"/>
        </w:rPr>
        <w:t>’</w:t>
      </w:r>
      <w:r w:rsidRPr="00F47789">
        <w:rPr>
          <w:lang w:val="fr-FR"/>
        </w:rPr>
        <w:t>annexe suit]</w:t>
      </w:r>
    </w:p>
    <w:p w:rsidR="008D0F00" w:rsidRPr="00F47789" w:rsidRDefault="008D0F00" w:rsidP="00621E06">
      <w:pPr>
        <w:rPr>
          <w:lang w:val="fr-FR"/>
        </w:rPr>
      </w:pPr>
    </w:p>
    <w:p w:rsidR="00D865DD" w:rsidRPr="00F47789" w:rsidRDefault="00D865DD" w:rsidP="00621E06">
      <w:pPr>
        <w:jc w:val="right"/>
        <w:rPr>
          <w:lang w:val="fr-FR"/>
        </w:rPr>
        <w:sectPr w:rsidR="00D865DD" w:rsidRPr="00F47789" w:rsidSect="00401D77"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8D0F00" w:rsidRPr="00F47789" w:rsidRDefault="008D0F00" w:rsidP="00621E06">
      <w:pPr>
        <w:rPr>
          <w:lang w:val="fr-FR"/>
        </w:rPr>
      </w:pPr>
    </w:p>
    <w:p w:rsidR="008D0F00" w:rsidRPr="00F47789" w:rsidRDefault="009F03A1" w:rsidP="00621E06">
      <w:pPr>
        <w:tabs>
          <w:tab w:val="right" w:pos="9638"/>
        </w:tabs>
        <w:jc w:val="center"/>
        <w:rPr>
          <w:rFonts w:cs="Arial"/>
          <w:lang w:val="fr-FR"/>
        </w:rPr>
      </w:pPr>
      <w:r w:rsidRPr="00F47789">
        <w:rPr>
          <w:lang w:val="fr-FR"/>
        </w:rPr>
        <w:t xml:space="preserve">DOCUMENT </w:t>
      </w:r>
      <w:r w:rsidR="004D10CC" w:rsidRPr="00F47789">
        <w:rPr>
          <w:lang w:val="fr-FR"/>
        </w:rPr>
        <w:t>TGP/8/1</w:t>
      </w:r>
      <w:r w:rsidRPr="00F47789">
        <w:rPr>
          <w:lang w:val="fr-FR"/>
        </w:rPr>
        <w:t> :</w:t>
      </w:r>
      <w:r w:rsidR="004D10CC" w:rsidRPr="00F47789">
        <w:rPr>
          <w:lang w:val="fr-FR"/>
        </w:rPr>
        <w:t xml:space="preserve"> </w:t>
      </w:r>
      <w:r w:rsidRPr="00F47789">
        <w:rPr>
          <w:lang w:val="fr-FR"/>
        </w:rPr>
        <w:t>PREMIÈRE PARTIE :</w:t>
      </w:r>
      <w:r w:rsidR="004D10CC" w:rsidRPr="00F47789">
        <w:rPr>
          <w:lang w:val="fr-FR"/>
        </w:rPr>
        <w:t xml:space="preserve"> N</w:t>
      </w:r>
      <w:r w:rsidRPr="00F47789">
        <w:rPr>
          <w:lang w:val="fr-FR"/>
        </w:rPr>
        <w:t>OUVELLE</w:t>
      </w:r>
      <w:r w:rsidR="004D10CC" w:rsidRPr="00F47789">
        <w:rPr>
          <w:lang w:val="fr-FR"/>
        </w:rPr>
        <w:t xml:space="preserve"> SECTION</w:t>
      </w:r>
      <w:r w:rsidRPr="00F47789">
        <w:rPr>
          <w:lang w:val="fr-FR"/>
        </w:rPr>
        <w:t> :</w:t>
      </w:r>
      <w:r w:rsidR="004D10CC" w:rsidRPr="00F47789">
        <w:rPr>
          <w:lang w:val="fr-FR"/>
        </w:rPr>
        <w:t xml:space="preserve"> </w:t>
      </w:r>
      <w:r w:rsidR="00FF2E1F" w:rsidRPr="00F47789">
        <w:rPr>
          <w:lang w:val="fr-FR"/>
        </w:rPr>
        <w:br/>
      </w:r>
      <w:r w:rsidRPr="00F47789">
        <w:rPr>
          <w:lang w:val="fr-FR"/>
        </w:rPr>
        <w:t>OP</w:t>
      </w:r>
      <w:r w:rsidR="00B66B92" w:rsidRPr="00F47789">
        <w:rPr>
          <w:lang w:val="fr-FR"/>
        </w:rPr>
        <w:t>TIMISATION DE LA VARIATION DUE À</w:t>
      </w:r>
      <w:r w:rsidRPr="00F47789">
        <w:rPr>
          <w:lang w:val="fr-FR"/>
        </w:rPr>
        <w:t xml:space="preserve"> DIFFÉRENTS OBSERVATEURS </w:t>
      </w:r>
      <w:r w:rsidRPr="00F47789">
        <w:rPr>
          <w:highlight w:val="lightGray"/>
          <w:lang w:val="fr-FR"/>
        </w:rPr>
        <w:t>DANS UN MÊME ESSAI</w:t>
      </w:r>
    </w:p>
    <w:p w:rsidR="008D0F00" w:rsidRPr="00F47789" w:rsidRDefault="008D0F00" w:rsidP="00621E06">
      <w:pPr>
        <w:jc w:val="center"/>
        <w:rPr>
          <w:rFonts w:cs="Arial"/>
          <w:lang w:val="fr-FR"/>
        </w:rPr>
      </w:pPr>
    </w:p>
    <w:p w:rsidR="008D0F00" w:rsidRPr="00F47789" w:rsidRDefault="007758B2" w:rsidP="0062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F47789">
        <w:rPr>
          <w:lang w:val="fr-FR"/>
        </w:rPr>
        <w:t xml:space="preserve">Les modifications proposées par rapport à la </w:t>
      </w:r>
      <w:r w:rsidR="003D082E" w:rsidRPr="00F47789">
        <w:rPr>
          <w:lang w:val="fr-FR"/>
        </w:rPr>
        <w:t>version pr</w:t>
      </w:r>
      <w:r w:rsidRPr="00F47789">
        <w:rPr>
          <w:lang w:val="fr-FR"/>
        </w:rPr>
        <w:t>ésentée au</w:t>
      </w:r>
      <w:r w:rsidR="004B3E00" w:rsidRPr="00F47789">
        <w:rPr>
          <w:lang w:val="fr-FR"/>
        </w:rPr>
        <w:t> TC</w:t>
      </w:r>
      <w:r w:rsidR="003D082E" w:rsidRPr="00F47789">
        <w:rPr>
          <w:lang w:val="fr-FR"/>
        </w:rPr>
        <w:t xml:space="preserve"> </w:t>
      </w:r>
      <w:r w:rsidRPr="00F47789">
        <w:rPr>
          <w:lang w:val="fr-FR"/>
        </w:rPr>
        <w:t>à sa cinquante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>et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>unième</w:t>
      </w:r>
      <w:r w:rsidR="002B5BB9" w:rsidRPr="00F47789">
        <w:rPr>
          <w:lang w:val="fr-FR"/>
        </w:rPr>
        <w:t> </w:t>
      </w:r>
      <w:r w:rsidRPr="00F47789">
        <w:rPr>
          <w:lang w:val="fr-FR"/>
        </w:rPr>
        <w:t>session</w:t>
      </w:r>
      <w:r w:rsidR="003D082E" w:rsidRPr="00F47789">
        <w:rPr>
          <w:lang w:val="fr-FR"/>
        </w:rPr>
        <w:t xml:space="preserve"> </w:t>
      </w:r>
      <w:r w:rsidR="00F34E7C" w:rsidRPr="00F47789">
        <w:rPr>
          <w:lang w:val="fr-FR"/>
        </w:rPr>
        <w:t>sont indiqué</w:t>
      </w:r>
      <w:r w:rsidR="005702C1" w:rsidRPr="00F47789">
        <w:rPr>
          <w:lang w:val="fr-FR"/>
        </w:rPr>
        <w:t>e</w:t>
      </w:r>
      <w:r w:rsidR="00F34E7C" w:rsidRPr="00F47789">
        <w:rPr>
          <w:lang w:val="fr-FR"/>
        </w:rPr>
        <w:t xml:space="preserve">s par surbrillance et </w:t>
      </w:r>
      <w:r w:rsidR="00F34E7C" w:rsidRPr="00F47789">
        <w:rPr>
          <w:u w:val="single"/>
          <w:lang w:val="fr-FR"/>
        </w:rPr>
        <w:t>soulignées</w:t>
      </w:r>
      <w:r w:rsidR="003D082E" w:rsidRPr="00F47789">
        <w:rPr>
          <w:lang w:val="fr-FR"/>
        </w:rPr>
        <w:t xml:space="preserve"> (insertion</w:t>
      </w:r>
      <w:r w:rsidR="00F34E7C" w:rsidRPr="00F47789">
        <w:rPr>
          <w:lang w:val="fr-FR"/>
        </w:rPr>
        <w:t>s</w:t>
      </w:r>
      <w:r w:rsidR="003D082E" w:rsidRPr="00F47789">
        <w:rPr>
          <w:lang w:val="fr-FR"/>
        </w:rPr>
        <w:t xml:space="preserve">) </w:t>
      </w:r>
      <w:r w:rsidR="00F34E7C" w:rsidRPr="00F47789">
        <w:rPr>
          <w:lang w:val="fr-FR"/>
        </w:rPr>
        <w:t>et</w:t>
      </w:r>
      <w:r w:rsidR="003D082E" w:rsidRPr="00F47789">
        <w:rPr>
          <w:lang w:val="fr-FR"/>
        </w:rPr>
        <w:t xml:space="preserve"> </w:t>
      </w:r>
      <w:r w:rsidR="00F34E7C" w:rsidRPr="00F47789">
        <w:rPr>
          <w:strike/>
          <w:lang w:val="fr-FR"/>
        </w:rPr>
        <w:t>biffées</w:t>
      </w:r>
      <w:r w:rsidR="003D082E" w:rsidRPr="00F47789">
        <w:rPr>
          <w:lang w:val="fr-FR"/>
        </w:rPr>
        <w:t xml:space="preserve"> (</w:t>
      </w:r>
      <w:r w:rsidR="00F34E7C" w:rsidRPr="00F47789">
        <w:rPr>
          <w:lang w:val="fr-FR"/>
        </w:rPr>
        <w:t>suppressions</w:t>
      </w:r>
      <w:r w:rsidR="003D082E" w:rsidRPr="00F47789">
        <w:rPr>
          <w:lang w:val="fr-FR"/>
        </w:rPr>
        <w:t>).</w:t>
      </w:r>
    </w:p>
    <w:p w:rsidR="008D0F00" w:rsidRPr="00F47789" w:rsidRDefault="008D0F00" w:rsidP="00621E06">
      <w:pPr>
        <w:jc w:val="left"/>
        <w:rPr>
          <w:rFonts w:ascii="Times New Roman" w:eastAsia="Calibri" w:hAnsi="Times New Roman" w:cs="Arial"/>
          <w:noProof/>
          <w:sz w:val="24"/>
          <w:szCs w:val="24"/>
          <w:lang w:val="fr-FR" w:eastAsia="ko-KR"/>
        </w:rPr>
      </w:pPr>
    </w:p>
    <w:p w:rsidR="008D0F00" w:rsidRPr="00F47789" w:rsidRDefault="008D0F00" w:rsidP="00621E06">
      <w:pPr>
        <w:jc w:val="center"/>
        <w:rPr>
          <w:rFonts w:cs="Arial"/>
          <w:lang w:val="fr-FR"/>
        </w:rPr>
      </w:pPr>
    </w:p>
    <w:p w:rsidR="008D0F00" w:rsidRPr="00F47789" w:rsidRDefault="008D0F00" w:rsidP="00621E06">
      <w:pPr>
        <w:jc w:val="center"/>
        <w:rPr>
          <w:rFonts w:cs="Arial"/>
          <w:lang w:val="fr-FR"/>
        </w:rPr>
      </w:pPr>
    </w:p>
    <w:p w:rsidR="008D0F00" w:rsidRPr="00F47789" w:rsidRDefault="0019691C" w:rsidP="00621E06">
      <w:pPr>
        <w:rPr>
          <w:rFonts w:cs="Arial"/>
          <w:u w:val="single"/>
          <w:lang w:val="fr-FR"/>
        </w:rPr>
      </w:pPr>
      <w:r w:rsidRPr="00F47789">
        <w:rPr>
          <w:rFonts w:cs="Arial"/>
          <w:u w:val="single"/>
          <w:lang w:val="fr-FR"/>
        </w:rPr>
        <w:t>1.</w:t>
      </w:r>
      <w:r w:rsidR="00947858" w:rsidRPr="00F47789">
        <w:rPr>
          <w:rFonts w:cs="Arial"/>
          <w:u w:val="single"/>
          <w:lang w:val="fr-FR"/>
        </w:rPr>
        <w:t xml:space="preserve"> </w:t>
      </w:r>
      <w:r w:rsidR="00F807B3" w:rsidRPr="00F47789">
        <w:rPr>
          <w:rFonts w:cs="Arial"/>
          <w:u w:val="single"/>
          <w:lang w:val="fr-FR"/>
        </w:rPr>
        <w:t>Introduction</w:t>
      </w:r>
    </w:p>
    <w:p w:rsidR="008D0F00" w:rsidRPr="00F47789" w:rsidRDefault="008D0F00" w:rsidP="00621E06">
      <w:pPr>
        <w:rPr>
          <w:rFonts w:cs="Arial"/>
          <w:u w:val="single"/>
          <w:lang w:val="fr-FR"/>
        </w:rPr>
      </w:pPr>
    </w:p>
    <w:p w:rsidR="008D0F00" w:rsidRPr="00F47789" w:rsidRDefault="00511163" w:rsidP="00621E06">
      <w:pPr>
        <w:rPr>
          <w:rFonts w:cs="Arial"/>
          <w:lang w:val="fr-FR"/>
        </w:rPr>
      </w:pPr>
      <w:r w:rsidRPr="00F47789">
        <w:rPr>
          <w:rFonts w:eastAsia="Calibri" w:cs="Arial"/>
          <w:noProof/>
          <w:highlight w:val="lightGray"/>
          <w:u w:val="single"/>
          <w:lang w:val="fr-FR" w:eastAsia="ko-KR"/>
        </w:rPr>
        <w:t xml:space="preserve">Le présent document </w:t>
      </w:r>
      <w:r w:rsidR="00B64F50" w:rsidRPr="00F47789">
        <w:rPr>
          <w:rFonts w:eastAsia="Calibri" w:cs="Arial"/>
          <w:noProof/>
          <w:highlight w:val="lightGray"/>
          <w:u w:val="single"/>
          <w:lang w:val="fr-FR" w:eastAsia="ko-KR"/>
        </w:rPr>
        <w:t>prend en compte la variation entre observateurs dans un même essai au niveau du service.</w:t>
      </w:r>
      <w:r w:rsidR="00B64F50" w:rsidRPr="00F47789">
        <w:rPr>
          <w:highlight w:val="lightGray"/>
          <w:u w:val="single"/>
          <w:lang w:val="fr-FR"/>
        </w:rPr>
        <w:t xml:space="preserve"> </w:t>
      </w:r>
      <w:r w:rsidR="003D082E" w:rsidRPr="00F47789">
        <w:rPr>
          <w:highlight w:val="lightGray"/>
          <w:u w:val="single"/>
          <w:lang w:val="fr-FR"/>
        </w:rPr>
        <w:t xml:space="preserve"> </w:t>
      </w:r>
      <w:r w:rsidR="003D082E" w:rsidRPr="00F47789">
        <w:rPr>
          <w:rFonts w:cs="Arial"/>
          <w:lang w:val="fr-FR"/>
        </w:rPr>
        <w:t xml:space="preserve">Il </w:t>
      </w:r>
      <w:r w:rsidR="00364F87" w:rsidRPr="00F47789">
        <w:rPr>
          <w:rFonts w:cs="Arial"/>
          <w:lang w:val="fr-FR"/>
        </w:rPr>
        <w:t xml:space="preserve">concerne les caractères </w:t>
      </w:r>
      <w:r w:rsidR="004857AD" w:rsidRPr="00F47789">
        <w:rPr>
          <w:rFonts w:cs="Arial"/>
          <w:lang w:val="fr-FR"/>
        </w:rPr>
        <w:t xml:space="preserve">QN/MG, QN/MS, QN/VG </w:t>
      </w:r>
      <w:r w:rsidR="00364F87" w:rsidRPr="00F47789">
        <w:rPr>
          <w:rFonts w:cs="Arial"/>
          <w:lang w:val="fr-FR"/>
        </w:rPr>
        <w:t>et</w:t>
      </w:r>
      <w:r w:rsidR="004857AD" w:rsidRPr="00F47789">
        <w:rPr>
          <w:rFonts w:cs="Arial"/>
          <w:lang w:val="fr-FR"/>
        </w:rPr>
        <w:t xml:space="preserve"> QN/VS. </w:t>
      </w:r>
      <w:r w:rsidR="00364F87" w:rsidRPr="00F47789">
        <w:rPr>
          <w:rFonts w:cs="Arial"/>
          <w:lang w:val="fr-FR"/>
        </w:rPr>
        <w:t xml:space="preserve"> Il ne traite pas expressément des caractères PQ tels que la couleur </w:t>
      </w:r>
      <w:r w:rsidR="001A2626" w:rsidRPr="00F47789">
        <w:rPr>
          <w:rFonts w:cs="Arial"/>
          <w:lang w:val="fr-FR"/>
        </w:rPr>
        <w:t>ou</w:t>
      </w:r>
      <w:r w:rsidR="00364F87" w:rsidRPr="00F47789">
        <w:rPr>
          <w:rFonts w:cs="Arial"/>
          <w:lang w:val="fr-FR"/>
        </w:rPr>
        <w:t xml:space="preserve"> la forme</w:t>
      </w:r>
      <w:r w:rsidR="003B1591" w:rsidRPr="00F47789">
        <w:rPr>
          <w:rFonts w:cs="Arial"/>
          <w:lang w:val="fr-FR"/>
        </w:rPr>
        <w:t>.</w:t>
      </w:r>
      <w:r w:rsidR="002B5BB9" w:rsidRPr="00F47789">
        <w:rPr>
          <w:rFonts w:cs="Arial"/>
          <w:lang w:val="fr-FR"/>
        </w:rPr>
        <w:t xml:space="preserve"> </w:t>
      </w:r>
      <w:r w:rsidR="00364F87" w:rsidRPr="00F47789">
        <w:rPr>
          <w:rFonts w:cs="Arial"/>
          <w:lang w:val="fr-FR"/>
        </w:rPr>
        <w:t xml:space="preserve"> La méthode Kappa décrite est dans une large mesure applicable à ces caractères</w:t>
      </w:r>
      <w:r w:rsidR="001A2626" w:rsidRPr="00F47789">
        <w:rPr>
          <w:rFonts w:cs="Arial"/>
          <w:lang w:val="fr-FR"/>
        </w:rPr>
        <w:t xml:space="preserve">, </w:t>
      </w:r>
      <w:r w:rsidR="00364F87" w:rsidRPr="00F47789">
        <w:rPr>
          <w:rFonts w:cs="Arial"/>
          <w:lang w:val="fr-FR"/>
        </w:rPr>
        <w:t xml:space="preserve">le caractère Kappa standard </w:t>
      </w:r>
      <w:r w:rsidR="001A2626" w:rsidRPr="00F47789">
        <w:rPr>
          <w:rFonts w:cs="Arial"/>
          <w:lang w:val="fr-FR"/>
        </w:rPr>
        <w:t>étant</w:t>
      </w:r>
      <w:r w:rsidR="00364F87" w:rsidRPr="00F47789">
        <w:rPr>
          <w:rFonts w:cs="Arial"/>
          <w:lang w:val="fr-FR"/>
        </w:rPr>
        <w:t xml:space="preserve"> prévu</w:t>
      </w:r>
      <w:r w:rsidR="001A2626" w:rsidRPr="00F47789">
        <w:rPr>
          <w:rFonts w:cs="Arial"/>
          <w:lang w:val="fr-FR"/>
        </w:rPr>
        <w:t xml:space="preserve"> par exemple</w:t>
      </w:r>
      <w:r w:rsidR="00364F87" w:rsidRPr="00F47789">
        <w:rPr>
          <w:rFonts w:cs="Arial"/>
          <w:lang w:val="fr-FR"/>
        </w:rPr>
        <w:t xml:space="preserve"> pour les données nominales</w:t>
      </w:r>
      <w:r w:rsidR="004857AD" w:rsidRPr="00F47789">
        <w:rPr>
          <w:rFonts w:cs="Arial"/>
          <w:lang w:val="fr-FR"/>
        </w:rPr>
        <w:t xml:space="preserve">. </w:t>
      </w:r>
      <w:r w:rsidR="00103A1B" w:rsidRPr="00F47789">
        <w:rPr>
          <w:rFonts w:cs="Arial"/>
          <w:lang w:val="fr-FR"/>
        </w:rPr>
        <w:t xml:space="preserve"> </w:t>
      </w:r>
      <w:r w:rsidR="00364F87" w:rsidRPr="00F47789">
        <w:rPr>
          <w:rFonts w:cs="Arial"/>
          <w:lang w:val="fr-FR"/>
        </w:rPr>
        <w:t xml:space="preserve">Toutefois, </w:t>
      </w:r>
      <w:r w:rsidR="00364F87" w:rsidRPr="00F47789">
        <w:rPr>
          <w:rFonts w:cs="Arial"/>
          <w:strike/>
          <w:highlight w:val="lightGray"/>
          <w:lang w:val="fr-FR"/>
        </w:rPr>
        <w:t>à notre connaissance,</w:t>
      </w:r>
      <w:r w:rsidR="00364F87" w:rsidRPr="00F47789">
        <w:rPr>
          <w:rFonts w:cs="Arial"/>
          <w:lang w:val="fr-FR"/>
        </w:rPr>
        <w:t xml:space="preserve"> cette méthode </w:t>
      </w:r>
      <w:r w:rsidR="00364F87" w:rsidRPr="00F47789">
        <w:rPr>
          <w:lang w:val="fr-FR"/>
        </w:rPr>
        <w:t>n</w:t>
      </w:r>
      <w:r w:rsidR="004B3E00" w:rsidRPr="00F47789">
        <w:rPr>
          <w:lang w:val="fr-FR"/>
        </w:rPr>
        <w:t>’</w:t>
      </w:r>
      <w:r w:rsidR="00364F87" w:rsidRPr="00F47789">
        <w:rPr>
          <w:lang w:val="fr-FR"/>
        </w:rPr>
        <w:t xml:space="preserve">a pas été </w:t>
      </w:r>
      <w:r w:rsidR="00364F87" w:rsidRPr="00F47789">
        <w:rPr>
          <w:rFonts w:cs="Arial"/>
          <w:strike/>
          <w:highlight w:val="lightGray"/>
          <w:lang w:val="fr-FR"/>
        </w:rPr>
        <w:t>appliquée à</w:t>
      </w:r>
      <w:r w:rsidR="00364F87" w:rsidRPr="00F47789">
        <w:rPr>
          <w:rFonts w:cs="Arial"/>
          <w:lang w:val="fr-FR"/>
        </w:rPr>
        <w:t xml:space="preserve"> </w:t>
      </w:r>
      <w:proofErr w:type="spellStart"/>
      <w:r w:rsidR="00B64F50" w:rsidRPr="00F47789">
        <w:rPr>
          <w:rFonts w:cs="Arial"/>
          <w:highlight w:val="lightGray"/>
          <w:u w:val="single"/>
          <w:lang w:val="fr-FR"/>
        </w:rPr>
        <w:t>élaborée</w:t>
      </w:r>
      <w:proofErr w:type="spellEnd"/>
      <w:r w:rsidR="00B64F50" w:rsidRPr="00F47789">
        <w:rPr>
          <w:rFonts w:cs="Arial"/>
          <w:highlight w:val="lightGray"/>
          <w:u w:val="single"/>
          <w:lang w:val="fr-FR"/>
        </w:rPr>
        <w:t xml:space="preserve"> pour </w:t>
      </w:r>
      <w:r w:rsidR="00364F87" w:rsidRPr="00F47789">
        <w:rPr>
          <w:rFonts w:cs="Arial"/>
          <w:lang w:val="fr-FR"/>
        </w:rPr>
        <w:t>des caractères PQ</w:t>
      </w:r>
      <w:r w:rsidR="00364F87" w:rsidRPr="00F47789">
        <w:rPr>
          <w:rFonts w:cs="Arial"/>
          <w:strike/>
          <w:highlight w:val="lightGray"/>
          <w:lang w:val="fr-FR"/>
        </w:rPr>
        <w:t>, ces dernières pouvant</w:t>
      </w:r>
      <w:r w:rsidR="00364F87" w:rsidRPr="00F47789">
        <w:rPr>
          <w:rFonts w:cs="Arial"/>
          <w:lang w:val="fr-FR"/>
        </w:rPr>
        <w:t xml:space="preserve"> </w:t>
      </w:r>
      <w:r w:rsidR="003D082E" w:rsidRPr="00F47789">
        <w:rPr>
          <w:rFonts w:cs="Arial"/>
          <w:highlight w:val="lightGray"/>
          <w:u w:val="single"/>
          <w:lang w:val="fr-FR"/>
        </w:rPr>
        <w:t>et peut</w:t>
      </w:r>
      <w:r w:rsidR="003D082E" w:rsidRPr="00F47789">
        <w:rPr>
          <w:rFonts w:cs="Arial"/>
          <w:lang w:val="fr-FR"/>
        </w:rPr>
        <w:t xml:space="preserve"> </w:t>
      </w:r>
      <w:r w:rsidR="001A2626" w:rsidRPr="00F47789">
        <w:rPr>
          <w:rFonts w:cs="Arial"/>
          <w:lang w:val="fr-FR"/>
        </w:rPr>
        <w:t xml:space="preserve">également </w:t>
      </w:r>
      <w:r w:rsidR="00364F87" w:rsidRPr="00F47789">
        <w:rPr>
          <w:rFonts w:cs="Arial"/>
          <w:lang w:val="fr-FR"/>
        </w:rPr>
        <w:t>nécessiter des informations supplémentaires en matière d</w:t>
      </w:r>
      <w:r w:rsidR="004B3E00" w:rsidRPr="00F47789">
        <w:rPr>
          <w:rFonts w:cs="Arial"/>
          <w:lang w:val="fr-FR"/>
        </w:rPr>
        <w:t>’</w:t>
      </w:r>
      <w:r w:rsidR="00364F87" w:rsidRPr="00F47789">
        <w:rPr>
          <w:rFonts w:cs="Arial"/>
          <w:lang w:val="fr-FR"/>
        </w:rPr>
        <w:t>étalonnage</w:t>
      </w:r>
      <w:r w:rsidR="004857AD" w:rsidRPr="00F47789">
        <w:rPr>
          <w:rFonts w:cs="Arial"/>
          <w:lang w:val="fr-FR"/>
        </w:rPr>
        <w:t xml:space="preserve">. </w:t>
      </w:r>
      <w:r w:rsidR="00B66B92" w:rsidRPr="00F47789">
        <w:rPr>
          <w:rFonts w:cs="Arial"/>
          <w:lang w:val="fr-FR"/>
        </w:rPr>
        <w:t xml:space="preserve"> À titre d</w:t>
      </w:r>
      <w:r w:rsidR="004B3E00" w:rsidRPr="00F47789">
        <w:rPr>
          <w:rFonts w:cs="Arial"/>
          <w:lang w:val="fr-FR"/>
        </w:rPr>
        <w:t>’</w:t>
      </w:r>
      <w:r w:rsidR="00B66B92" w:rsidRPr="00F47789">
        <w:rPr>
          <w:rFonts w:cs="Arial"/>
          <w:lang w:val="fr-FR"/>
        </w:rPr>
        <w:t>exemple, pour l</w:t>
      </w:r>
      <w:r w:rsidR="004B3E00" w:rsidRPr="00F47789">
        <w:rPr>
          <w:rFonts w:cs="Arial"/>
          <w:lang w:val="fr-FR"/>
        </w:rPr>
        <w:t>’</w:t>
      </w:r>
      <w:r w:rsidR="00B66B92" w:rsidRPr="00F47789">
        <w:rPr>
          <w:rFonts w:cs="Arial"/>
          <w:lang w:val="fr-FR"/>
        </w:rPr>
        <w:t>étalonnage des couleurs, il faut également tenir compte du code de couleur RHS, des conditions d</w:t>
      </w:r>
      <w:r w:rsidR="004B3E00" w:rsidRPr="00F47789">
        <w:rPr>
          <w:rFonts w:cs="Arial"/>
          <w:lang w:val="fr-FR"/>
        </w:rPr>
        <w:t>’</w:t>
      </w:r>
      <w:r w:rsidR="00B66B92" w:rsidRPr="00F47789">
        <w:rPr>
          <w:rFonts w:cs="Arial"/>
          <w:lang w:val="fr-FR"/>
        </w:rPr>
        <w:t>éclairage, etc.</w:t>
      </w:r>
      <w:r w:rsidR="003D082E" w:rsidRPr="00F47789">
        <w:rPr>
          <w:rFonts w:cs="Arial"/>
          <w:lang w:val="fr-FR"/>
        </w:rPr>
        <w:t xml:space="preserve"> </w:t>
      </w:r>
      <w:r w:rsidR="00B66B92" w:rsidRPr="00F47789">
        <w:rPr>
          <w:rFonts w:cs="Arial"/>
          <w:lang w:val="fr-FR"/>
        </w:rPr>
        <w:t xml:space="preserve"> </w:t>
      </w:r>
      <w:r w:rsidR="00262BD9" w:rsidRPr="00F47789">
        <w:rPr>
          <w:rFonts w:eastAsia="Calibri" w:cs="Arial"/>
          <w:noProof/>
          <w:highlight w:val="lightGray"/>
          <w:u w:val="single"/>
          <w:lang w:val="fr-FR" w:eastAsia="ko-KR"/>
        </w:rPr>
        <w:t xml:space="preserve">Les différences entre les observateurs concernant les caractères </w:t>
      </w:r>
      <w:r w:rsidR="003D082E" w:rsidRPr="00F47789">
        <w:rPr>
          <w:rFonts w:eastAsia="Calibri" w:cs="Arial"/>
          <w:noProof/>
          <w:highlight w:val="lightGray"/>
          <w:u w:val="single"/>
          <w:lang w:val="fr-FR" w:eastAsia="ko-KR"/>
        </w:rPr>
        <w:t xml:space="preserve">PQ </w:t>
      </w:r>
      <w:r w:rsidR="00262BD9" w:rsidRPr="00F47789">
        <w:rPr>
          <w:rFonts w:eastAsia="Calibri" w:cs="Arial"/>
          <w:noProof/>
          <w:highlight w:val="lightGray"/>
          <w:u w:val="single"/>
          <w:lang w:val="fr-FR" w:eastAsia="ko-KR"/>
        </w:rPr>
        <w:t xml:space="preserve">pourraient être examinées au moyen de méthodes non </w:t>
      </w:r>
      <w:r w:rsidR="00561599" w:rsidRPr="00F47789">
        <w:rPr>
          <w:rFonts w:eastAsia="Calibri" w:cs="Arial"/>
          <w:noProof/>
          <w:highlight w:val="lightGray"/>
          <w:u w:val="single"/>
          <w:lang w:val="fr-FR" w:eastAsia="ko-KR"/>
        </w:rPr>
        <w:t>paramétriques</w:t>
      </w:r>
      <w:r w:rsidR="00981609" w:rsidRPr="00F47789">
        <w:rPr>
          <w:rFonts w:eastAsia="Calibri" w:cs="Arial"/>
          <w:noProof/>
          <w:highlight w:val="lightGray"/>
          <w:u w:val="single"/>
          <w:lang w:val="fr-FR" w:eastAsia="ko-KR"/>
        </w:rPr>
        <w:t>, comme par exemple la fréquence des écarts</w:t>
      </w:r>
      <w:r w:rsidR="003D082E" w:rsidRPr="00F47789">
        <w:rPr>
          <w:rFonts w:eastAsia="Calibri" w:cs="Arial"/>
          <w:noProof/>
          <w:highlight w:val="lightGray"/>
          <w:u w:val="single"/>
          <w:lang w:val="fr-FR" w:eastAsia="ko-KR"/>
        </w:rPr>
        <w:t>.</w:t>
      </w:r>
      <w:r w:rsidR="001C3B3F" w:rsidRPr="00F47789">
        <w:rPr>
          <w:rFonts w:eastAsia="Calibri"/>
          <w:highlight w:val="lightGray"/>
          <w:u w:val="single"/>
          <w:lang w:val="fr-FR"/>
        </w:rPr>
        <w:t xml:space="preserve">  </w:t>
      </w:r>
      <w:r w:rsidR="00B66B92" w:rsidRPr="00F47789">
        <w:rPr>
          <w:rFonts w:cs="Arial"/>
          <w:lang w:val="fr-FR"/>
        </w:rPr>
        <w:t>Ces éléments ne sont pas traités dans le présent document</w:t>
      </w:r>
      <w:r w:rsidR="004857AD" w:rsidRPr="00F47789">
        <w:rPr>
          <w:rFonts w:cs="Arial"/>
          <w:lang w:val="fr-FR"/>
        </w:rPr>
        <w:t>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1.1</w:t>
      </w:r>
      <w:r w:rsidRPr="00F47789">
        <w:rPr>
          <w:rFonts w:cs="Arial"/>
          <w:lang w:val="fr-FR"/>
        </w:rPr>
        <w:tab/>
      </w:r>
      <w:r w:rsidR="00566398" w:rsidRPr="00F47789">
        <w:rPr>
          <w:rFonts w:cs="Arial"/>
          <w:lang w:val="fr-FR"/>
        </w:rPr>
        <w:t>La variation des mesures ou des observations peut s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expliquer par de nombreux facteurs différents tels que le type de culture, le type de caractère,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année, le site, le protocole et la gestion des essais, la méthode et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observateur.</w:t>
      </w:r>
      <w:r w:rsidRPr="00F47789">
        <w:rPr>
          <w:rFonts w:cs="Arial"/>
          <w:lang w:val="fr-FR"/>
        </w:rPr>
        <w:t xml:space="preserve"> </w:t>
      </w:r>
      <w:r w:rsidR="00566398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Notamment en ce qui concerne les caractères observés visuellement (QN/VG ou QN/VS), les différences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un observateur à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autre peuvent expliquer de fortes variations et un biais éventuel entre observations.</w:t>
      </w:r>
      <w:r w:rsidRPr="00F47789">
        <w:rPr>
          <w:lang w:val="fr-FR"/>
        </w:rPr>
        <w:t xml:space="preserve"> </w:t>
      </w:r>
      <w:r w:rsidR="00B66B92" w:rsidRPr="00F47789">
        <w:rPr>
          <w:lang w:val="fr-FR"/>
        </w:rPr>
        <w:t xml:space="preserve"> </w:t>
      </w:r>
      <w:r w:rsidR="003B1591" w:rsidRPr="00F47789">
        <w:rPr>
          <w:rFonts w:cs="Arial"/>
          <w:lang w:val="fr-FR"/>
        </w:rPr>
        <w:t>Il se peut qu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un observateur soit moins bien formé ou interprète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une manière différente le caractère.</w:t>
      </w:r>
      <w:r w:rsidRPr="00F47789">
        <w:rPr>
          <w:lang w:val="fr-FR"/>
        </w:rPr>
        <w:t xml:space="preserve"> </w:t>
      </w:r>
      <w:r w:rsidR="00364F87" w:rsidRPr="00F47789">
        <w:rPr>
          <w:lang w:val="fr-FR"/>
        </w:rPr>
        <w:t xml:space="preserve"> </w:t>
      </w:r>
      <w:r w:rsidR="003B1591" w:rsidRPr="00F47789">
        <w:rPr>
          <w:rFonts w:cs="Arial"/>
          <w:lang w:val="fr-FR"/>
        </w:rPr>
        <w:t>Par conséquent, lorsque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observateur A mesure la variété 1 et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observateur B la variété 2, la différence mesurée peut s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expliquer par des différences entre observateurs A et B au lieu de différences entre variétés 1 et 2.  Il ne fait aucun doute que nous nous intéressons principalement aux différences entre variétés et non aux différences entre observateurs.</w:t>
      </w:r>
      <w:r w:rsidRPr="00F47789">
        <w:rPr>
          <w:lang w:val="fr-FR"/>
        </w:rPr>
        <w:t xml:space="preserve"> </w:t>
      </w:r>
      <w:r w:rsidR="00947858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Il est important de comprendre que la variation due aux différents observateurs ne peut pas être supprimée mais qu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il existe des moyens de la contrôler.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1.2</w:t>
      </w:r>
      <w:r w:rsidRPr="00F47789">
        <w:rPr>
          <w:rFonts w:cs="Arial"/>
          <w:lang w:val="fr-FR"/>
        </w:rPr>
        <w:tab/>
      </w:r>
      <w:r w:rsidR="00B66B92" w:rsidRPr="00F47789">
        <w:rPr>
          <w:rFonts w:cs="Arial"/>
          <w:lang w:val="fr-FR"/>
        </w:rPr>
        <w:t xml:space="preserve">Il est recommandé, </w:t>
      </w:r>
      <w:r w:rsidR="00B66B92" w:rsidRPr="00F47789">
        <w:rPr>
          <w:lang w:val="fr-FR"/>
        </w:rPr>
        <w:t xml:space="preserve">dans la mesure du possible, </w:t>
      </w:r>
      <w:r w:rsidR="001A2626" w:rsidRPr="00F47789">
        <w:rPr>
          <w:lang w:val="fr-FR"/>
        </w:rPr>
        <w:t>de confier l</w:t>
      </w:r>
      <w:r w:rsidR="004B3E00" w:rsidRPr="00F47789">
        <w:rPr>
          <w:lang w:val="fr-FR"/>
        </w:rPr>
        <w:t>’</w:t>
      </w:r>
      <w:r w:rsidR="001A2626" w:rsidRPr="00F47789">
        <w:rPr>
          <w:lang w:val="fr-FR"/>
        </w:rPr>
        <w:t>essai à un même observateur</w:t>
      </w:r>
      <w:r w:rsidR="00B66B92" w:rsidRPr="00F47789">
        <w:rPr>
          <w:lang w:val="fr-FR"/>
        </w:rPr>
        <w:t xml:space="preserve"> pour réduire de façon optimale la variation due à différents observateurs</w:t>
      </w:r>
      <w:r w:rsidRPr="00F47789">
        <w:rPr>
          <w:rFonts w:cs="Arial"/>
          <w:lang w:val="fr-FR"/>
        </w:rPr>
        <w:t>.</w:t>
      </w:r>
    </w:p>
    <w:p w:rsidR="008D0F00" w:rsidRPr="00F47789" w:rsidRDefault="008D0F00" w:rsidP="00621E06">
      <w:pPr>
        <w:spacing w:before="120" w:after="120"/>
        <w:rPr>
          <w:rFonts w:cs="Arial"/>
          <w:u w:val="single"/>
          <w:lang w:val="fr-FR"/>
        </w:rPr>
      </w:pPr>
    </w:p>
    <w:p w:rsidR="008D0F00" w:rsidRPr="00F47789" w:rsidRDefault="004857AD" w:rsidP="00621E06">
      <w:pPr>
        <w:spacing w:before="120" w:after="120"/>
        <w:rPr>
          <w:rFonts w:cs="Arial"/>
          <w:u w:val="single"/>
          <w:lang w:val="fr-FR"/>
        </w:rPr>
      </w:pPr>
      <w:r w:rsidRPr="00F47789">
        <w:rPr>
          <w:rFonts w:cs="Arial"/>
          <w:u w:val="single"/>
          <w:lang w:val="fr-FR"/>
        </w:rPr>
        <w:t xml:space="preserve">2. </w:t>
      </w:r>
      <w:r w:rsidR="00B66B92" w:rsidRPr="00F47789">
        <w:rPr>
          <w:rFonts w:cs="Arial"/>
          <w:u w:val="single"/>
          <w:lang w:val="fr-FR"/>
        </w:rPr>
        <w:t>Formation et importance de fournir des indications claires sur les caractères et la méthode d</w:t>
      </w:r>
      <w:r w:rsidR="004B3E00" w:rsidRPr="00F47789">
        <w:rPr>
          <w:rFonts w:cs="Arial"/>
          <w:u w:val="single"/>
          <w:lang w:val="fr-FR"/>
        </w:rPr>
        <w:t>’</w:t>
      </w:r>
      <w:r w:rsidR="00B66B92" w:rsidRPr="00F47789">
        <w:rPr>
          <w:rFonts w:cs="Arial"/>
          <w:u w:val="single"/>
          <w:lang w:val="fr-FR"/>
        </w:rPr>
        <w:t>observation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2.1</w:t>
      </w:r>
      <w:r w:rsidRPr="00F47789">
        <w:rPr>
          <w:rFonts w:cs="Arial"/>
          <w:lang w:val="fr-FR"/>
        </w:rPr>
        <w:tab/>
      </w:r>
      <w:r w:rsidR="00B66B92" w:rsidRPr="00F47789">
        <w:rPr>
          <w:rFonts w:cs="Arial"/>
          <w:lang w:val="fr-FR"/>
        </w:rPr>
        <w:t>Il est essentiel de former les nouveaux observateurs pour des raisons d</w:t>
      </w:r>
      <w:r w:rsidR="004B3E00" w:rsidRPr="00F47789">
        <w:rPr>
          <w:rFonts w:cs="Arial"/>
          <w:lang w:val="fr-FR"/>
        </w:rPr>
        <w:t>’</w:t>
      </w:r>
      <w:r w:rsidR="00B66B92" w:rsidRPr="00F47789">
        <w:rPr>
          <w:rFonts w:cs="Arial"/>
          <w:lang w:val="fr-FR"/>
        </w:rPr>
        <w:t>harmonisation et de continuité des observations</w:t>
      </w:r>
      <w:r w:rsidRPr="00F47789">
        <w:rPr>
          <w:rFonts w:cs="Arial"/>
          <w:lang w:val="fr-FR"/>
        </w:rPr>
        <w:t xml:space="preserve">. </w:t>
      </w:r>
      <w:r w:rsidR="00B66B92" w:rsidRPr="00F47789">
        <w:rPr>
          <w:rFonts w:cs="Arial"/>
          <w:lang w:val="fr-FR"/>
        </w:rPr>
        <w:t xml:space="preserve"> Les manuels d</w:t>
      </w:r>
      <w:r w:rsidR="004B3E00" w:rsidRPr="00F47789">
        <w:rPr>
          <w:rFonts w:cs="Arial"/>
          <w:lang w:val="fr-FR"/>
        </w:rPr>
        <w:t>’</w:t>
      </w:r>
      <w:r w:rsidR="00B66B92" w:rsidRPr="00F47789">
        <w:rPr>
          <w:rFonts w:cs="Arial"/>
          <w:lang w:val="fr-FR"/>
        </w:rPr>
        <w:t xml:space="preserve">étalonnage, </w:t>
      </w:r>
      <w:r w:rsidR="00AE6553" w:rsidRPr="00F47789">
        <w:rPr>
          <w:rFonts w:cs="Arial"/>
          <w:lang w:val="fr-FR"/>
        </w:rPr>
        <w:t>la supervision et les conseils des observateurs expérimentés, de même que l</w:t>
      </w:r>
      <w:r w:rsidR="004B3E00" w:rsidRPr="00F47789">
        <w:rPr>
          <w:rFonts w:cs="Arial"/>
          <w:lang w:val="fr-FR"/>
        </w:rPr>
        <w:t>’</w:t>
      </w:r>
      <w:r w:rsidR="00AE6553" w:rsidRPr="00F47789">
        <w:rPr>
          <w:rFonts w:cs="Arial"/>
          <w:lang w:val="fr-FR"/>
        </w:rPr>
        <w:t>utilisation de variétés indiquées à titre d</w:t>
      </w:r>
      <w:r w:rsidR="004B3E00" w:rsidRPr="00F47789">
        <w:rPr>
          <w:rFonts w:cs="Arial"/>
          <w:lang w:val="fr-FR"/>
        </w:rPr>
        <w:t>’</w:t>
      </w:r>
      <w:r w:rsidR="00AE6553" w:rsidRPr="00F47789">
        <w:rPr>
          <w:rFonts w:cs="Arial"/>
          <w:lang w:val="fr-FR"/>
        </w:rPr>
        <w:t>exemple pour illustrer la gamme d</w:t>
      </w:r>
      <w:r w:rsidR="004B3E00" w:rsidRPr="00F47789">
        <w:rPr>
          <w:rFonts w:cs="Arial"/>
          <w:lang w:val="fr-FR"/>
        </w:rPr>
        <w:t>’</w:t>
      </w:r>
      <w:r w:rsidR="00AE6553" w:rsidRPr="00F47789">
        <w:rPr>
          <w:rFonts w:cs="Arial"/>
          <w:lang w:val="fr-FR"/>
        </w:rPr>
        <w:t xml:space="preserve">expression, sont autant de moyens </w:t>
      </w:r>
      <w:r w:rsidR="001A2626" w:rsidRPr="00F47789">
        <w:rPr>
          <w:rFonts w:cs="Arial"/>
          <w:lang w:val="fr-FR"/>
        </w:rPr>
        <w:t>à</w:t>
      </w:r>
      <w:r w:rsidR="00AE6553" w:rsidRPr="00F47789">
        <w:rPr>
          <w:rFonts w:cs="Arial"/>
          <w:lang w:val="fr-FR"/>
        </w:rPr>
        <w:t xml:space="preserve"> exploit</w:t>
      </w:r>
      <w:r w:rsidR="001A2626" w:rsidRPr="00F47789">
        <w:rPr>
          <w:rFonts w:cs="Arial"/>
          <w:lang w:val="fr-FR"/>
        </w:rPr>
        <w:t>er</w:t>
      </w:r>
      <w:r w:rsidR="00AE6553" w:rsidRPr="00F47789">
        <w:rPr>
          <w:rFonts w:cs="Arial"/>
          <w:lang w:val="fr-FR"/>
        </w:rPr>
        <w:t xml:space="preserve"> pour </w:t>
      </w:r>
      <w:r w:rsidR="001A2626" w:rsidRPr="00F47789">
        <w:rPr>
          <w:rFonts w:cs="Arial"/>
          <w:lang w:val="fr-FR"/>
        </w:rPr>
        <w:t>y parvenir</w:t>
      </w:r>
      <w:r w:rsidRPr="00F47789">
        <w:rPr>
          <w:rFonts w:cs="Arial"/>
          <w:lang w:val="fr-FR"/>
        </w:rPr>
        <w:t>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2.2</w:t>
      </w:r>
      <w:r w:rsidRPr="00F47789">
        <w:rPr>
          <w:rFonts w:cs="Arial"/>
          <w:lang w:val="fr-FR"/>
        </w:rPr>
        <w:tab/>
      </w:r>
      <w:r w:rsidR="00566398" w:rsidRPr="00F47789">
        <w:rPr>
          <w:rFonts w:cs="Arial"/>
          <w:lang w:val="fr-FR"/>
        </w:rPr>
        <w:t>Les principes directeurs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examen de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UPOV visent à harmoniser le processus de description variétale et à décrire aussi clairement que possible les caractères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une plante et leurs niveaux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expression</w:t>
      </w:r>
      <w:r w:rsidRPr="00F47789">
        <w:rPr>
          <w:rFonts w:cs="Arial"/>
          <w:lang w:val="fr-FR"/>
        </w:rPr>
        <w:t xml:space="preserve">. </w:t>
      </w:r>
      <w:r w:rsidR="00AE6553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Il s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agit de la première étape de contrôle de la variation et du biais.</w:t>
      </w:r>
      <w:r w:rsidRPr="00F47789">
        <w:rPr>
          <w:lang w:val="fr-FR"/>
        </w:rPr>
        <w:t xml:space="preserve"> </w:t>
      </w:r>
      <w:r w:rsidR="00566398" w:rsidRPr="00F47789">
        <w:rPr>
          <w:lang w:val="fr-FR"/>
        </w:rPr>
        <w:t xml:space="preserve"> </w:t>
      </w:r>
      <w:r w:rsidR="00566398" w:rsidRPr="00F47789">
        <w:rPr>
          <w:rFonts w:cs="Arial"/>
          <w:lang w:val="fr-FR"/>
        </w:rPr>
        <w:t>Toutefois, la façon dont un caractère est observé ou mesuré peut varier en fonction</w:t>
      </w:r>
      <w:r w:rsidR="003D082E" w:rsidRPr="00F47789">
        <w:rPr>
          <w:rFonts w:cs="Arial"/>
          <w:lang w:val="fr-FR"/>
        </w:rPr>
        <w:t xml:space="preserve"> </w:t>
      </w:r>
      <w:r w:rsidR="003D082E" w:rsidRPr="00F47789">
        <w:rPr>
          <w:rFonts w:cs="Arial"/>
          <w:highlight w:val="lightGray"/>
          <w:u w:val="single"/>
          <w:lang w:val="fr-FR"/>
        </w:rPr>
        <w:t>de l</w:t>
      </w:r>
      <w:r w:rsidR="004B3E00" w:rsidRPr="00F47789">
        <w:rPr>
          <w:rFonts w:cs="Arial"/>
          <w:highlight w:val="lightGray"/>
          <w:u w:val="single"/>
          <w:lang w:val="fr-FR"/>
        </w:rPr>
        <w:t>’</w:t>
      </w:r>
      <w:r w:rsidR="003D082E" w:rsidRPr="00F47789">
        <w:rPr>
          <w:rFonts w:cs="Arial"/>
          <w:highlight w:val="lightGray"/>
          <w:u w:val="single"/>
          <w:lang w:val="fr-FR"/>
        </w:rPr>
        <w:t>année,</w:t>
      </w:r>
      <w:r w:rsidR="00566398" w:rsidRPr="00F47789">
        <w:rPr>
          <w:rFonts w:cs="Arial"/>
          <w:lang w:val="fr-FR"/>
        </w:rPr>
        <w:t xml:space="preserve"> du lieu ou du service chargé de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examen.  Les manuels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étalonnage mis au point par le service local chargé de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 xml:space="preserve">examen </w:t>
      </w:r>
      <w:r w:rsidR="003D082E" w:rsidRPr="00F47789">
        <w:rPr>
          <w:rFonts w:cs="Arial"/>
          <w:highlight w:val="lightGray"/>
          <w:u w:val="single"/>
          <w:lang w:val="fr-FR"/>
        </w:rPr>
        <w:t>et les variétés indiquées à titre d</w:t>
      </w:r>
      <w:r w:rsidR="004B3E00" w:rsidRPr="00F47789">
        <w:rPr>
          <w:rFonts w:cs="Arial"/>
          <w:highlight w:val="lightGray"/>
          <w:u w:val="single"/>
          <w:lang w:val="fr-FR"/>
        </w:rPr>
        <w:t>’</w:t>
      </w:r>
      <w:r w:rsidR="003D082E" w:rsidRPr="00F47789">
        <w:rPr>
          <w:rFonts w:cs="Arial"/>
          <w:highlight w:val="lightGray"/>
          <w:u w:val="single"/>
          <w:lang w:val="fr-FR"/>
        </w:rPr>
        <w:t>exemple</w:t>
      </w:r>
      <w:r w:rsidR="003D082E" w:rsidRPr="00F47789">
        <w:rPr>
          <w:rFonts w:cs="Arial"/>
          <w:lang w:val="fr-FR"/>
        </w:rPr>
        <w:t xml:space="preserve"> </w:t>
      </w:r>
      <w:r w:rsidR="00566398" w:rsidRPr="00F47789">
        <w:rPr>
          <w:rFonts w:cs="Arial"/>
          <w:lang w:val="fr-FR"/>
        </w:rPr>
        <w:t>sont très utiles pour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adaptation locale des principes directeurs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examen de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UPOV.</w:t>
      </w:r>
      <w:r w:rsidRPr="00F47789">
        <w:rPr>
          <w:lang w:val="fr-FR"/>
        </w:rPr>
        <w:t xml:space="preserve"> </w:t>
      </w:r>
      <w:r w:rsidR="00566398" w:rsidRPr="00F47789">
        <w:rPr>
          <w:lang w:val="fr-FR"/>
        </w:rPr>
        <w:t xml:space="preserve"> </w:t>
      </w:r>
      <w:r w:rsidR="00566398" w:rsidRPr="00F47789">
        <w:rPr>
          <w:rFonts w:cs="Arial"/>
          <w:lang w:val="fr-FR"/>
        </w:rPr>
        <w:t>Le cas échéant, ces manuels propres à une plante donnée expliquent plus en détail les caractères à observer, et précisent le lieu et les modalités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observation.  En outre, ils peuvent contenir des photos et des dessins pour chaque caractère, souvent pour chaque niveau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expression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un caractère.</w:t>
      </w:r>
    </w:p>
    <w:p w:rsidR="008D0F00" w:rsidRPr="00F47789" w:rsidRDefault="004857AD" w:rsidP="00621E06">
      <w:pPr>
        <w:spacing w:before="120" w:after="120"/>
        <w:jc w:val="left"/>
        <w:rPr>
          <w:rFonts w:cs="Arial"/>
          <w:lang w:val="fr-FR"/>
        </w:rPr>
      </w:pPr>
      <w:r w:rsidRPr="00F47789">
        <w:rPr>
          <w:rFonts w:cs="Arial"/>
          <w:lang w:val="fr-FR"/>
        </w:rPr>
        <w:t>2.</w:t>
      </w:r>
      <w:r w:rsidRPr="00F47789">
        <w:rPr>
          <w:rFonts w:cs="Arial"/>
          <w:strike/>
          <w:highlight w:val="lightGray"/>
          <w:u w:val="single"/>
          <w:lang w:val="fr-FR"/>
        </w:rPr>
        <w:t>4</w:t>
      </w:r>
      <w:r w:rsidR="000F6CAC" w:rsidRPr="00F47789">
        <w:rPr>
          <w:rFonts w:cs="Arial"/>
          <w:highlight w:val="lightGray"/>
          <w:u w:val="single"/>
          <w:lang w:val="fr-FR"/>
        </w:rPr>
        <w:t>3</w:t>
      </w:r>
      <w:r w:rsidR="00566398" w:rsidRPr="00F47789">
        <w:rPr>
          <w:rFonts w:cs="Arial"/>
          <w:lang w:val="fr-FR"/>
        </w:rPr>
        <w:tab/>
      </w:r>
      <w:r w:rsidR="00AE6553" w:rsidRPr="00F47789">
        <w:rPr>
          <w:rFonts w:cs="Arial"/>
          <w:lang w:val="fr-FR"/>
        </w:rPr>
        <w:t>Le Glossaire des termes utilisés dans les documents de l</w:t>
      </w:r>
      <w:r w:rsidR="004B3E00" w:rsidRPr="00F47789">
        <w:rPr>
          <w:rFonts w:cs="Arial"/>
          <w:lang w:val="fr-FR"/>
        </w:rPr>
        <w:t>’</w:t>
      </w:r>
      <w:r w:rsidR="00AE6553" w:rsidRPr="00F47789">
        <w:rPr>
          <w:rFonts w:cs="Arial"/>
          <w:lang w:val="fr-FR"/>
        </w:rPr>
        <w:t xml:space="preserve">UPOV </w:t>
      </w:r>
      <w:r w:rsidRPr="00F47789">
        <w:rPr>
          <w:rFonts w:cs="Arial"/>
          <w:lang w:val="fr-FR"/>
        </w:rPr>
        <w:t>(</w:t>
      </w:r>
      <w:r w:rsidR="00AE6553" w:rsidRPr="00F47789">
        <w:rPr>
          <w:rFonts w:cs="Arial"/>
          <w:lang w:val="fr-FR"/>
        </w:rPr>
        <w:t xml:space="preserve">document </w:t>
      </w:r>
      <w:r w:rsidRPr="00F47789">
        <w:rPr>
          <w:rFonts w:cs="Arial"/>
          <w:lang w:val="fr-FR"/>
        </w:rPr>
        <w:t>TGP/14</w:t>
      </w:r>
      <w:r w:rsidRPr="00F47789">
        <w:rPr>
          <w:rFonts w:cs="Arial"/>
          <w:strike/>
          <w:highlight w:val="lightGray"/>
          <w:lang w:val="fr-FR"/>
        </w:rPr>
        <w:t>/2</w:t>
      </w:r>
      <w:r w:rsidRPr="00F47789">
        <w:rPr>
          <w:rFonts w:cs="Arial"/>
          <w:lang w:val="fr-FR"/>
        </w:rPr>
        <w:t xml:space="preserve">) </w:t>
      </w:r>
      <w:r w:rsidR="00AE6553" w:rsidRPr="00F47789">
        <w:rPr>
          <w:rFonts w:cs="Arial"/>
          <w:lang w:val="fr-FR"/>
        </w:rPr>
        <w:t>donne des précisions utiles sur de nombreux caractères, notamment les caractères PQ.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2.</w:t>
      </w:r>
      <w:r w:rsidRPr="00F47789">
        <w:rPr>
          <w:rFonts w:cs="Arial"/>
          <w:strike/>
          <w:highlight w:val="lightGray"/>
          <w:u w:val="single"/>
          <w:lang w:val="fr-FR"/>
        </w:rPr>
        <w:t>3</w:t>
      </w:r>
      <w:r w:rsidR="00F47789" w:rsidRPr="00F47789">
        <w:rPr>
          <w:rFonts w:cs="Arial"/>
          <w:highlight w:val="lightGray"/>
          <w:u w:val="single"/>
          <w:lang w:val="fr-FR"/>
        </w:rPr>
        <w:t>4</w:t>
      </w:r>
      <w:r w:rsidRPr="00F47789">
        <w:rPr>
          <w:rFonts w:cs="Arial"/>
          <w:lang w:val="fr-FR"/>
        </w:rPr>
        <w:tab/>
      </w:r>
      <w:r w:rsidR="001A2626" w:rsidRPr="00F47789">
        <w:rPr>
          <w:rFonts w:cs="Arial"/>
          <w:lang w:val="fr-FR"/>
        </w:rPr>
        <w:t>Après que l</w:t>
      </w:r>
      <w:r w:rsidR="004B3E00" w:rsidRPr="00F47789">
        <w:rPr>
          <w:rFonts w:cs="Arial"/>
          <w:lang w:val="fr-FR"/>
        </w:rPr>
        <w:t>’</w:t>
      </w:r>
      <w:r w:rsidR="00AE6553" w:rsidRPr="00F47789">
        <w:rPr>
          <w:rFonts w:cs="Arial"/>
          <w:lang w:val="fr-FR"/>
        </w:rPr>
        <w:t>observateur a été formé, il est important de veiller à ce qu</w:t>
      </w:r>
      <w:r w:rsidR="004B3E00" w:rsidRPr="00F47789">
        <w:rPr>
          <w:rFonts w:cs="Arial"/>
          <w:lang w:val="fr-FR"/>
        </w:rPr>
        <w:t>’</w:t>
      </w:r>
      <w:r w:rsidR="00AE6553" w:rsidRPr="00F47789">
        <w:rPr>
          <w:rFonts w:cs="Arial"/>
          <w:lang w:val="fr-FR"/>
        </w:rPr>
        <w:t xml:space="preserve">il bénéficie </w:t>
      </w:r>
      <w:r w:rsidR="001A2626" w:rsidRPr="00F47789">
        <w:rPr>
          <w:rFonts w:cs="Arial"/>
          <w:lang w:val="fr-FR"/>
        </w:rPr>
        <w:t xml:space="preserve">régulièrement </w:t>
      </w:r>
      <w:r w:rsidR="00AE6553" w:rsidRPr="00F47789">
        <w:rPr>
          <w:rFonts w:cs="Arial"/>
          <w:lang w:val="fr-FR"/>
        </w:rPr>
        <w:t xml:space="preserve">de cours de perfectionnement </w:t>
      </w:r>
      <w:r w:rsidR="00BF3D54" w:rsidRPr="00F47789">
        <w:rPr>
          <w:rFonts w:cs="Arial"/>
          <w:lang w:val="fr-FR"/>
        </w:rPr>
        <w:t>et passe un test d</w:t>
      </w:r>
      <w:r w:rsidR="004B3E00" w:rsidRPr="00F47789">
        <w:rPr>
          <w:rFonts w:cs="Arial"/>
          <w:lang w:val="fr-FR"/>
        </w:rPr>
        <w:t>’</w:t>
      </w:r>
      <w:r w:rsidR="00BF3D54" w:rsidRPr="00F47789">
        <w:rPr>
          <w:rFonts w:cs="Arial"/>
          <w:lang w:val="fr-FR"/>
        </w:rPr>
        <w:t>étalonnage.</w:t>
      </w:r>
    </w:p>
    <w:p w:rsidR="008D0F00" w:rsidRPr="00F47789" w:rsidRDefault="008D0F00" w:rsidP="00621E06">
      <w:pPr>
        <w:spacing w:before="120" w:after="120"/>
        <w:rPr>
          <w:rFonts w:cs="Arial"/>
          <w:u w:val="single"/>
          <w:lang w:val="fr-FR"/>
        </w:rPr>
      </w:pPr>
    </w:p>
    <w:p w:rsidR="008D0F00" w:rsidRPr="00F47789" w:rsidRDefault="004857AD" w:rsidP="00621E06">
      <w:pPr>
        <w:keepNext/>
        <w:spacing w:before="120" w:after="120"/>
        <w:rPr>
          <w:rFonts w:cs="Arial"/>
          <w:u w:val="single"/>
          <w:lang w:val="fr-FR"/>
        </w:rPr>
      </w:pPr>
      <w:r w:rsidRPr="00F47789">
        <w:rPr>
          <w:rFonts w:cs="Arial"/>
          <w:u w:val="single"/>
          <w:lang w:val="fr-FR"/>
        </w:rPr>
        <w:lastRenderedPageBreak/>
        <w:t xml:space="preserve">3. </w:t>
      </w:r>
      <w:r w:rsidR="00566398" w:rsidRPr="00F47789">
        <w:rPr>
          <w:rFonts w:cs="Arial"/>
          <w:u w:val="single"/>
          <w:lang w:val="fr-FR"/>
        </w:rPr>
        <w:t>Essai d</w:t>
      </w:r>
      <w:r w:rsidR="004B3E00" w:rsidRPr="00F47789">
        <w:rPr>
          <w:rFonts w:cs="Arial"/>
          <w:u w:val="single"/>
          <w:lang w:val="fr-FR"/>
        </w:rPr>
        <w:t>’</w:t>
      </w:r>
      <w:r w:rsidR="00566398" w:rsidRPr="00F47789">
        <w:rPr>
          <w:rFonts w:cs="Arial"/>
          <w:u w:val="single"/>
          <w:lang w:val="fr-FR"/>
        </w:rPr>
        <w:t>étalonnage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3.1</w:t>
      </w:r>
      <w:r w:rsidRPr="00F47789">
        <w:rPr>
          <w:rFonts w:cs="Arial"/>
          <w:lang w:val="fr-FR"/>
        </w:rPr>
        <w:tab/>
      </w:r>
      <w:r w:rsidR="00566398" w:rsidRPr="00F47789">
        <w:rPr>
          <w:rFonts w:cs="Arial"/>
          <w:lang w:val="fr-FR"/>
        </w:rPr>
        <w:t>Après la formation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un observateur, l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étape suivante consiste à vérifier les acquisitions des observateurs dans le cadre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un essai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étalonnage</w:t>
      </w:r>
      <w:r w:rsidRPr="00F47789">
        <w:rPr>
          <w:rFonts w:cs="Arial"/>
          <w:lang w:val="fr-FR"/>
        </w:rPr>
        <w:t>.</w:t>
      </w:r>
      <w:r w:rsidRPr="00F47789">
        <w:rPr>
          <w:lang w:val="fr-FR"/>
        </w:rPr>
        <w:t xml:space="preserve"> </w:t>
      </w:r>
      <w:r w:rsidR="00566398" w:rsidRPr="00F47789">
        <w:rPr>
          <w:lang w:val="fr-FR"/>
        </w:rPr>
        <w:t xml:space="preserve"> </w:t>
      </w:r>
      <w:r w:rsidR="003B1591" w:rsidRPr="00F47789">
        <w:rPr>
          <w:rFonts w:cs="Arial"/>
          <w:lang w:val="fr-FR"/>
        </w:rPr>
        <w:t>C</w:t>
      </w:r>
      <w:r w:rsidR="001A2626" w:rsidRPr="00F47789">
        <w:rPr>
          <w:rFonts w:cs="Arial"/>
          <w:lang w:val="fr-FR"/>
        </w:rPr>
        <w:t>ela es</w:t>
      </w:r>
      <w:r w:rsidR="003B1591" w:rsidRPr="00F47789">
        <w:rPr>
          <w:rFonts w:cs="Arial"/>
          <w:lang w:val="fr-FR"/>
        </w:rPr>
        <w:t>t particulièrement utile pour les observateurs inexpérimentés qui doivent procéder à des observations visuelles (caractères QN/VG et QN/VS).</w:t>
      </w:r>
      <w:r w:rsidRPr="00F47789">
        <w:rPr>
          <w:lang w:val="fr-FR"/>
        </w:rPr>
        <w:t xml:space="preserve"> </w:t>
      </w:r>
      <w:r w:rsidR="00BF3D54" w:rsidRPr="00F47789">
        <w:rPr>
          <w:lang w:val="fr-FR"/>
        </w:rPr>
        <w:t xml:space="preserve"> </w:t>
      </w:r>
      <w:r w:rsidR="003B1591" w:rsidRPr="00F47789">
        <w:rPr>
          <w:rFonts w:cs="Arial"/>
          <w:lang w:val="fr-FR"/>
        </w:rPr>
        <w:t>S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ils se livrent à des observations visuelles, ils devraient de préférence faire un essai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étalonnage avant de formuler des observations durant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essai.</w:t>
      </w:r>
      <w:r w:rsidRPr="00F47789">
        <w:rPr>
          <w:lang w:val="fr-FR"/>
        </w:rPr>
        <w:t xml:space="preserve"> </w:t>
      </w:r>
      <w:r w:rsidR="00BF3D54" w:rsidRPr="00F47789">
        <w:rPr>
          <w:lang w:val="fr-FR"/>
        </w:rPr>
        <w:t xml:space="preserve"> </w:t>
      </w:r>
      <w:r w:rsidR="003B1591" w:rsidRPr="00F47789">
        <w:rPr>
          <w:rFonts w:cs="Arial"/>
          <w:lang w:val="fr-FR"/>
        </w:rPr>
        <w:t>Mais il est aussi important que les observateurs expérimentés vérifient eux</w:t>
      </w:r>
      <w:r w:rsidR="00401D77" w:rsidRPr="00F47789">
        <w:rPr>
          <w:rFonts w:cs="Arial"/>
          <w:lang w:val="fr-FR"/>
        </w:rPr>
        <w:noBreakHyphen/>
      </w:r>
      <w:r w:rsidR="003B1591" w:rsidRPr="00F47789">
        <w:rPr>
          <w:rFonts w:cs="Arial"/>
          <w:lang w:val="fr-FR"/>
        </w:rPr>
        <w:t>mêmes leurs connaissances régulièrement pour s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assurer qu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ils satisfont toujours aux critères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étalonnage</w:t>
      </w:r>
      <w:r w:rsidR="00BF3D54" w:rsidRPr="00F47789">
        <w:rPr>
          <w:rFonts w:cs="Arial"/>
          <w:lang w:val="fr-FR"/>
        </w:rPr>
        <w:t>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3.2</w:t>
      </w:r>
      <w:r w:rsidRPr="00F47789">
        <w:rPr>
          <w:rFonts w:cs="Arial"/>
          <w:lang w:val="fr-FR"/>
        </w:rPr>
        <w:tab/>
      </w:r>
      <w:r w:rsidR="00566398" w:rsidRPr="00F47789">
        <w:rPr>
          <w:rFonts w:cs="Arial"/>
          <w:lang w:val="fr-FR"/>
        </w:rPr>
        <w:t>Un essai d</w:t>
      </w:r>
      <w:r w:rsidR="004B3E00" w:rsidRPr="00F47789">
        <w:rPr>
          <w:rFonts w:cs="Arial"/>
          <w:lang w:val="fr-FR"/>
        </w:rPr>
        <w:t>’</w:t>
      </w:r>
      <w:r w:rsidR="00566398" w:rsidRPr="00F47789">
        <w:rPr>
          <w:rFonts w:cs="Arial"/>
          <w:lang w:val="fr-FR"/>
        </w:rPr>
        <w:t>étalonnage peut être organisé et analysé de différentes manières</w:t>
      </w:r>
      <w:r w:rsidRPr="00F47789">
        <w:rPr>
          <w:rFonts w:cs="Arial"/>
          <w:lang w:val="fr-FR"/>
        </w:rPr>
        <w:t xml:space="preserve">. </w:t>
      </w:r>
      <w:r w:rsidR="00566398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En général, il consiste à faire mesurer les mêmes éléments par plusieurs observateurs avant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évaluer les différences entre eux.</w:t>
      </w:r>
    </w:p>
    <w:p w:rsidR="008D0F00" w:rsidRPr="00F47789" w:rsidRDefault="008D0F00" w:rsidP="00621E06">
      <w:pPr>
        <w:spacing w:before="120" w:after="120"/>
        <w:rPr>
          <w:rFonts w:cs="Arial"/>
          <w:u w:val="single"/>
          <w:lang w:val="fr-FR"/>
        </w:rPr>
      </w:pPr>
    </w:p>
    <w:p w:rsidR="008D0F00" w:rsidRPr="00F47789" w:rsidRDefault="004857AD" w:rsidP="00621E06">
      <w:pPr>
        <w:spacing w:before="120" w:after="120"/>
        <w:rPr>
          <w:rFonts w:cs="Arial"/>
          <w:u w:val="single"/>
          <w:lang w:val="fr-FR"/>
        </w:rPr>
      </w:pPr>
      <w:r w:rsidRPr="00F47789">
        <w:rPr>
          <w:rFonts w:cs="Arial"/>
          <w:u w:val="single"/>
          <w:lang w:val="fr-FR"/>
        </w:rPr>
        <w:t xml:space="preserve">4. </w:t>
      </w:r>
      <w:r w:rsidR="009C0F76" w:rsidRPr="00F47789">
        <w:rPr>
          <w:rFonts w:cs="Arial"/>
          <w:u w:val="single"/>
          <w:lang w:val="fr-FR"/>
        </w:rPr>
        <w:t>Essai d</w:t>
      </w:r>
      <w:r w:rsidR="004B3E00" w:rsidRPr="00F47789">
        <w:rPr>
          <w:rFonts w:cs="Arial"/>
          <w:u w:val="single"/>
          <w:lang w:val="fr-FR"/>
        </w:rPr>
        <w:t>’</w:t>
      </w:r>
      <w:r w:rsidR="009C0F76" w:rsidRPr="00F47789">
        <w:rPr>
          <w:rFonts w:cs="Arial"/>
          <w:u w:val="single"/>
          <w:lang w:val="fr-FR"/>
        </w:rPr>
        <w:t>étalonnage pour les caractères QN/MG ou QN/MS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4.1</w:t>
      </w:r>
      <w:r w:rsidRPr="00F47789">
        <w:rPr>
          <w:rFonts w:cs="Arial"/>
          <w:lang w:val="fr-FR"/>
        </w:rPr>
        <w:tab/>
      </w:r>
      <w:r w:rsidR="009C0F76" w:rsidRPr="00F47789">
        <w:rPr>
          <w:rFonts w:cs="Arial"/>
          <w:lang w:val="fr-FR"/>
        </w:rPr>
        <w:t>Pour les observations effectuées à l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aide 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instruments de mesure, tels que des règles (généralement pour les caractères QN/MS), la mesure est souvent effectuée à l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aide 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une échelle 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 xml:space="preserve">intervalle ou de rapport.  Dans ce cas, la méthode de </w:t>
      </w:r>
      <w:proofErr w:type="spellStart"/>
      <w:r w:rsidR="009C0F76" w:rsidRPr="00F47789">
        <w:rPr>
          <w:rFonts w:cs="Arial"/>
          <w:lang w:val="fr-FR"/>
        </w:rPr>
        <w:t>Bland</w:t>
      </w:r>
      <w:proofErr w:type="spellEnd"/>
      <w:r w:rsidR="009C0F76" w:rsidRPr="00F47789">
        <w:rPr>
          <w:rFonts w:cs="Arial"/>
          <w:lang w:val="fr-FR"/>
        </w:rPr>
        <w:t xml:space="preserve"> et Altman (1986) peut être utilisée.  Cette méthode consiste à faire figurer les résultats obtenus par paire </w:t>
      </w:r>
      <w:r w:rsidR="00BF3D54" w:rsidRPr="00F47789">
        <w:rPr>
          <w:rFonts w:cs="Arial"/>
          <w:lang w:val="fr-FR"/>
        </w:rPr>
        <w:t>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observateurs dans un diagramme de dispersion et à les comparer avec la ligne y=x.  Cela permet 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évaluer à l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œil le degré de corrélation des mesures</w:t>
      </w:r>
      <w:r w:rsidRPr="00F47789">
        <w:rPr>
          <w:rFonts w:cs="Arial"/>
          <w:lang w:val="fr-FR"/>
        </w:rPr>
        <w:t xml:space="preserve">. </w:t>
      </w:r>
      <w:r w:rsidR="009C0F76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étape suivante consiste à prendre la différence par objet et à construire un graphique avec, sur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axe y, la différence entre les observateurs et, sur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axe x,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indice ou la valeur moyenne de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objet.</w:t>
      </w:r>
      <w:r w:rsidRPr="00F47789">
        <w:rPr>
          <w:lang w:val="fr-FR"/>
        </w:rPr>
        <w:t xml:space="preserve"> </w:t>
      </w:r>
      <w:r w:rsidR="009C0F76" w:rsidRPr="00F47789">
        <w:rPr>
          <w:lang w:val="fr-FR"/>
        </w:rPr>
        <w:t xml:space="preserve"> </w:t>
      </w:r>
      <w:r w:rsidR="009C0F76" w:rsidRPr="00F47789">
        <w:rPr>
          <w:rFonts w:cs="Arial"/>
          <w:lang w:val="fr-FR"/>
        </w:rPr>
        <w:t>En traçant les lignes horizontales y=0, y=</w:t>
      </w:r>
      <w:proofErr w:type="gramStart"/>
      <w:r w:rsidR="009C0F76" w:rsidRPr="00F47789">
        <w:rPr>
          <w:rFonts w:cs="Arial"/>
          <w:lang w:val="fr-FR"/>
        </w:rPr>
        <w:t>moyenne(</w:t>
      </w:r>
      <w:proofErr w:type="spellStart"/>
      <w:proofErr w:type="gramEnd"/>
      <w:r w:rsidR="009C0F76" w:rsidRPr="00F47789">
        <w:rPr>
          <w:rFonts w:cs="Arial"/>
          <w:lang w:val="fr-FR"/>
        </w:rPr>
        <w:t>dif</w:t>
      </w:r>
      <w:proofErr w:type="spellEnd"/>
      <w:r w:rsidR="009C0F76" w:rsidRPr="00F47789">
        <w:rPr>
          <w:rFonts w:cs="Arial"/>
          <w:lang w:val="fr-FR"/>
        </w:rPr>
        <w:t>) et les deux</w:t>
      </w:r>
      <w:r w:rsidR="00947858" w:rsidRPr="00F47789">
        <w:rPr>
          <w:rFonts w:cs="Arial"/>
          <w:lang w:val="fr-FR"/>
        </w:rPr>
        <w:t> </w:t>
      </w:r>
      <w:r w:rsidR="009C0F76" w:rsidRPr="00F47789">
        <w:rPr>
          <w:rFonts w:cs="Arial"/>
          <w:lang w:val="fr-FR"/>
        </w:rPr>
        <w:t>lignes y = moyenne(</w:t>
      </w:r>
      <w:proofErr w:type="spellStart"/>
      <w:r w:rsidR="009C0F76" w:rsidRPr="00F47789">
        <w:rPr>
          <w:rFonts w:cs="Arial"/>
          <w:lang w:val="fr-FR"/>
        </w:rPr>
        <w:t>dif</w:t>
      </w:r>
      <w:proofErr w:type="spellEnd"/>
      <w:r w:rsidR="009C0F76" w:rsidRPr="00F47789">
        <w:rPr>
          <w:rFonts w:cs="Arial"/>
          <w:lang w:val="fr-FR"/>
        </w:rPr>
        <w:t>)+/</w:t>
      </w:r>
      <w:r w:rsidR="00401D77" w:rsidRPr="00F47789">
        <w:rPr>
          <w:rFonts w:cs="Arial"/>
          <w:lang w:val="fr-FR"/>
        </w:rPr>
        <w:noBreakHyphen/>
      </w:r>
      <w:r w:rsidR="009C0F76" w:rsidRPr="00F47789">
        <w:rPr>
          <w:rFonts w:cs="Arial"/>
          <w:lang w:val="fr-FR"/>
        </w:rPr>
        <w:t xml:space="preserve"> 2 x l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écart type, le biais entre observateurs et toute autre valeur atypique peuvent être facilement détectés</w:t>
      </w:r>
      <w:r w:rsidRPr="00F47789">
        <w:rPr>
          <w:rFonts w:cs="Arial"/>
          <w:lang w:val="fr-FR"/>
        </w:rPr>
        <w:t xml:space="preserve">. </w:t>
      </w:r>
      <w:r w:rsidR="009C0F76" w:rsidRPr="00F47789">
        <w:rPr>
          <w:rFonts w:cs="Arial"/>
          <w:lang w:val="fr-FR"/>
        </w:rPr>
        <w:t xml:space="preserve"> </w:t>
      </w:r>
      <w:r w:rsidR="00BF3D54" w:rsidRPr="00F47789">
        <w:rPr>
          <w:rFonts w:cs="Arial"/>
          <w:lang w:val="fr-FR"/>
        </w:rPr>
        <w:t xml:space="preserve">De même, on peut </w:t>
      </w:r>
      <w:r w:rsidR="00FF2E1F" w:rsidRPr="00F47789">
        <w:rPr>
          <w:rFonts w:cs="Arial"/>
          <w:lang w:val="fr-FR"/>
        </w:rPr>
        <w:t>également</w:t>
      </w:r>
      <w:r w:rsidR="00BF3D54" w:rsidRPr="00F47789">
        <w:rPr>
          <w:rFonts w:cs="Arial"/>
          <w:lang w:val="fr-FR"/>
        </w:rPr>
        <w:t xml:space="preserve"> étudier la différence entre la mesure de chaque observateur et la moyenne de toutes les mesures des observateurs</w:t>
      </w:r>
      <w:r w:rsidRPr="00F47789">
        <w:rPr>
          <w:rFonts w:cs="Arial"/>
          <w:lang w:val="fr-FR"/>
        </w:rPr>
        <w:t xml:space="preserve">. </w:t>
      </w:r>
      <w:r w:rsidR="00BF3D54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Des méthodes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essai telles que le test t par paire peuvent être utilisées en cas de différence importante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un observateur à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autre ou par rapport à la moyenne des autres observateurs.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4.2</w:t>
      </w:r>
      <w:r w:rsidRPr="00F47789">
        <w:rPr>
          <w:rFonts w:cs="Arial"/>
          <w:lang w:val="fr-FR"/>
        </w:rPr>
        <w:tab/>
      </w:r>
      <w:r w:rsidR="001A2626" w:rsidRPr="00F47789">
        <w:rPr>
          <w:rFonts w:cs="Arial"/>
          <w:lang w:val="fr-FR"/>
        </w:rPr>
        <w:t>En prenant</w:t>
      </w:r>
      <w:r w:rsidR="00BF3D54" w:rsidRPr="00F47789">
        <w:rPr>
          <w:rFonts w:cs="Arial"/>
          <w:lang w:val="fr-FR"/>
        </w:rPr>
        <w:t xml:space="preserve"> deux</w:t>
      </w:r>
      <w:r w:rsidR="00947858" w:rsidRPr="00F47789">
        <w:rPr>
          <w:rFonts w:cs="Arial"/>
          <w:lang w:val="fr-FR"/>
        </w:rPr>
        <w:t> </w:t>
      </w:r>
      <w:r w:rsidR="00BF3D54" w:rsidRPr="00F47789">
        <w:rPr>
          <w:rFonts w:cs="Arial"/>
          <w:lang w:val="fr-FR"/>
        </w:rPr>
        <w:t xml:space="preserve">mesures chez chaque observateur pour chaque objet, </w:t>
      </w:r>
      <w:r w:rsidR="00831A5F" w:rsidRPr="00F47789">
        <w:rPr>
          <w:rFonts w:cs="Arial"/>
          <w:lang w:val="fr-FR"/>
        </w:rPr>
        <w:t>on peut observer les différences entre ces deux</w:t>
      </w:r>
      <w:r w:rsidR="00947858" w:rsidRPr="00F47789">
        <w:rPr>
          <w:rFonts w:cs="Arial"/>
          <w:lang w:val="fr-FR"/>
        </w:rPr>
        <w:t> </w:t>
      </w:r>
      <w:r w:rsidR="00831A5F" w:rsidRPr="00F47789">
        <w:rPr>
          <w:rFonts w:cs="Arial"/>
          <w:lang w:val="fr-FR"/>
        </w:rPr>
        <w:t>mesures.</w:t>
      </w:r>
      <w:r w:rsidRPr="00F47789">
        <w:rPr>
          <w:rFonts w:cs="Arial"/>
          <w:lang w:val="fr-FR"/>
        </w:rPr>
        <w:t xml:space="preserve"> </w:t>
      </w:r>
      <w:r w:rsidR="00831A5F" w:rsidRPr="00F47789">
        <w:rPr>
          <w:rFonts w:cs="Arial"/>
          <w:lang w:val="fr-FR"/>
        </w:rPr>
        <w:t xml:space="preserve"> Si ces différences sont importantes par rapport à celles d</w:t>
      </w:r>
      <w:r w:rsidR="004B3E00" w:rsidRPr="00F47789">
        <w:rPr>
          <w:rFonts w:cs="Arial"/>
          <w:lang w:val="fr-FR"/>
        </w:rPr>
        <w:t>’</w:t>
      </w:r>
      <w:r w:rsidR="00831A5F" w:rsidRPr="00F47789">
        <w:rPr>
          <w:rFonts w:cs="Arial"/>
          <w:lang w:val="fr-FR"/>
        </w:rPr>
        <w:t>autres observateurs, cet observateur pourrait avoir une faible reproductibilité.</w:t>
      </w:r>
      <w:r w:rsidRPr="00F47789">
        <w:rPr>
          <w:rFonts w:cs="Arial"/>
          <w:lang w:val="fr-FR"/>
        </w:rPr>
        <w:t xml:space="preserve"> </w:t>
      </w:r>
      <w:r w:rsidR="002B5BB9" w:rsidRPr="00F47789">
        <w:rPr>
          <w:rFonts w:cs="Arial"/>
          <w:lang w:val="fr-FR"/>
        </w:rPr>
        <w:t xml:space="preserve"> </w:t>
      </w:r>
      <w:r w:rsidR="00831A5F" w:rsidRPr="00F47789">
        <w:rPr>
          <w:rFonts w:cs="Arial"/>
          <w:lang w:val="fr-FR"/>
        </w:rPr>
        <w:t>Si l</w:t>
      </w:r>
      <w:r w:rsidR="004B3E00" w:rsidRPr="00F47789">
        <w:rPr>
          <w:rFonts w:cs="Arial"/>
          <w:lang w:val="fr-FR"/>
        </w:rPr>
        <w:t>’</w:t>
      </w:r>
      <w:r w:rsidR="00831A5F" w:rsidRPr="00F47789">
        <w:rPr>
          <w:rFonts w:cs="Arial"/>
          <w:lang w:val="fr-FR"/>
        </w:rPr>
        <w:t>on compte pour chaque observateur le nombre de valeurs aberrantes modérées et élevées</w:t>
      </w:r>
      <w:r w:rsidRPr="00F47789">
        <w:rPr>
          <w:rFonts w:cs="Arial"/>
          <w:lang w:val="fr-FR"/>
        </w:rPr>
        <w:t xml:space="preserve"> (</w:t>
      </w:r>
      <w:r w:rsidR="00831A5F" w:rsidRPr="00F47789">
        <w:rPr>
          <w:rFonts w:cs="Arial"/>
          <w:lang w:val="fr-FR"/>
        </w:rPr>
        <w:t>p.</w:t>
      </w:r>
      <w:r w:rsidR="00947858" w:rsidRPr="00F47789">
        <w:rPr>
          <w:rFonts w:cs="Arial"/>
          <w:lang w:val="fr-FR"/>
        </w:rPr>
        <w:t> </w:t>
      </w:r>
      <w:r w:rsidR="00831A5F" w:rsidRPr="00F47789">
        <w:rPr>
          <w:rFonts w:cs="Arial"/>
          <w:lang w:val="fr-FR"/>
        </w:rPr>
        <w:t>ex. supérieures à 2 et 3 fois l</w:t>
      </w:r>
      <w:r w:rsidR="004B3E00" w:rsidRPr="00F47789">
        <w:rPr>
          <w:rFonts w:cs="Arial"/>
          <w:lang w:val="fr-FR"/>
        </w:rPr>
        <w:t>’</w:t>
      </w:r>
      <w:r w:rsidR="00831A5F" w:rsidRPr="00F47789">
        <w:rPr>
          <w:rFonts w:cs="Arial"/>
          <w:lang w:val="fr-FR"/>
        </w:rPr>
        <w:t>écart type respectivement</w:t>
      </w:r>
      <w:r w:rsidRPr="00F47789">
        <w:rPr>
          <w:rFonts w:cs="Arial"/>
          <w:lang w:val="fr-FR"/>
        </w:rPr>
        <w:t>)</w:t>
      </w:r>
      <w:r w:rsidR="00831A5F" w:rsidRPr="00F47789">
        <w:rPr>
          <w:rFonts w:cs="Arial"/>
          <w:lang w:val="fr-FR"/>
        </w:rPr>
        <w:t>, on obtient un tableau indiquant le nombre de valeurs aberrantes par observateur qui peut être utilisé pour déterminer si l</w:t>
      </w:r>
      <w:r w:rsidR="004B3E00" w:rsidRPr="00F47789">
        <w:rPr>
          <w:rFonts w:cs="Arial"/>
          <w:lang w:val="fr-FR"/>
        </w:rPr>
        <w:t>’</w:t>
      </w:r>
      <w:r w:rsidR="00831A5F" w:rsidRPr="00F47789">
        <w:rPr>
          <w:rFonts w:cs="Arial"/>
          <w:lang w:val="fr-FR"/>
        </w:rPr>
        <w:t xml:space="preserve">observateur </w:t>
      </w:r>
      <w:r w:rsidR="006E1045" w:rsidRPr="00F47789">
        <w:rPr>
          <w:rFonts w:cs="Arial"/>
          <w:lang w:val="fr-FR"/>
        </w:rPr>
        <w:t xml:space="preserve">satisfait </w:t>
      </w:r>
      <w:r w:rsidR="00AE2756" w:rsidRPr="00F47789">
        <w:rPr>
          <w:rFonts w:cs="Arial"/>
          <w:lang w:val="fr-FR"/>
        </w:rPr>
        <w:t>aux exigences d</w:t>
      </w:r>
      <w:r w:rsidR="004B3E00" w:rsidRPr="00F47789">
        <w:rPr>
          <w:rFonts w:cs="Arial"/>
          <w:lang w:val="fr-FR"/>
        </w:rPr>
        <w:t>’</w:t>
      </w:r>
      <w:r w:rsidR="00AE2756" w:rsidRPr="00F47789">
        <w:rPr>
          <w:rFonts w:cs="Arial"/>
          <w:lang w:val="fr-FR"/>
        </w:rPr>
        <w:t>assurance</w:t>
      </w:r>
      <w:r w:rsidR="00401D77" w:rsidRPr="00F47789">
        <w:rPr>
          <w:rFonts w:cs="Arial"/>
          <w:lang w:val="fr-FR"/>
        </w:rPr>
        <w:noBreakHyphen/>
      </w:r>
      <w:r w:rsidR="00AE2756" w:rsidRPr="00F47789">
        <w:rPr>
          <w:rFonts w:cs="Arial"/>
          <w:lang w:val="fr-FR"/>
        </w:rPr>
        <w:t>qualité</w:t>
      </w:r>
      <w:r w:rsidRPr="00F47789">
        <w:rPr>
          <w:rFonts w:cs="Arial"/>
          <w:lang w:val="fr-FR"/>
        </w:rPr>
        <w:t>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4.3</w:t>
      </w:r>
      <w:r w:rsidRPr="00F47789">
        <w:rPr>
          <w:rFonts w:cs="Arial"/>
          <w:lang w:val="fr-FR"/>
        </w:rPr>
        <w:tab/>
      </w:r>
      <w:r w:rsidR="00AE2756" w:rsidRPr="00F47789">
        <w:rPr>
          <w:rFonts w:cs="Arial"/>
          <w:lang w:val="fr-FR"/>
        </w:rPr>
        <w:t>Les contrôles de la qualité peuvent également être fondés sur des essais de reproductibilité ou de répétabilité pour laboratoires tels que ceux décrits dans la norme</w:t>
      </w:r>
      <w:r w:rsidR="00947858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ISO 5725</w:t>
      </w:r>
      <w:r w:rsidR="00401D77" w:rsidRPr="00F47789">
        <w:rPr>
          <w:rFonts w:cs="Arial"/>
          <w:lang w:val="fr-FR"/>
        </w:rPr>
        <w:noBreakHyphen/>
      </w:r>
      <w:r w:rsidRPr="00F47789">
        <w:rPr>
          <w:rFonts w:cs="Arial"/>
          <w:lang w:val="fr-FR"/>
        </w:rPr>
        <w:t xml:space="preserve">2. </w:t>
      </w:r>
      <w:r w:rsidR="00AE2756" w:rsidRPr="00F47789">
        <w:rPr>
          <w:rFonts w:cs="Arial"/>
          <w:lang w:val="fr-FR"/>
        </w:rPr>
        <w:t xml:space="preserve"> Un logiciel gratuit disponible sur le site</w:t>
      </w:r>
      <w:r w:rsidR="00947858" w:rsidRPr="00F47789">
        <w:rPr>
          <w:rFonts w:cs="Arial"/>
          <w:lang w:val="fr-FR"/>
        </w:rPr>
        <w:t> </w:t>
      </w:r>
      <w:r w:rsidR="00AE2756" w:rsidRPr="00F47789">
        <w:rPr>
          <w:rFonts w:cs="Arial"/>
          <w:lang w:val="fr-FR"/>
        </w:rPr>
        <w:t>Web de l</w:t>
      </w:r>
      <w:r w:rsidR="004B3E00" w:rsidRPr="00F47789">
        <w:rPr>
          <w:rFonts w:cs="Arial"/>
          <w:lang w:val="fr-FR"/>
        </w:rPr>
        <w:t>’</w:t>
      </w:r>
      <w:r w:rsidR="00AE2756" w:rsidRPr="00F47789">
        <w:rPr>
          <w:rFonts w:cs="Arial"/>
          <w:lang w:val="fr-FR"/>
        </w:rPr>
        <w:t>ISTA permet d</w:t>
      </w:r>
      <w:r w:rsidR="004B3E00" w:rsidRPr="00F47789">
        <w:rPr>
          <w:rFonts w:cs="Arial"/>
          <w:lang w:val="fr-FR"/>
        </w:rPr>
        <w:t>’</w:t>
      </w:r>
      <w:r w:rsidR="00AE2756" w:rsidRPr="00F47789">
        <w:rPr>
          <w:rFonts w:cs="Arial"/>
          <w:lang w:val="fr-FR"/>
        </w:rPr>
        <w:t>obtenir des valeurs et des graphiques en accord avec cette norme</w:t>
      </w:r>
      <w:r w:rsidR="00947858" w:rsidRPr="00F47789">
        <w:rPr>
          <w:rFonts w:cs="Arial"/>
          <w:lang w:val="fr-FR"/>
        </w:rPr>
        <w:t> </w:t>
      </w:r>
      <w:r w:rsidR="00AE2756" w:rsidRPr="00F47789">
        <w:rPr>
          <w:rFonts w:cs="Arial"/>
          <w:lang w:val="fr-FR"/>
        </w:rPr>
        <w:t>ISO</w:t>
      </w:r>
      <w:r w:rsidRPr="00F47789">
        <w:rPr>
          <w:rFonts w:cs="Arial"/>
          <w:lang w:val="fr-FR"/>
        </w:rPr>
        <w:t>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4.4</w:t>
      </w:r>
      <w:r w:rsidRPr="00F47789">
        <w:rPr>
          <w:rFonts w:cs="Arial"/>
          <w:lang w:val="fr-FR"/>
        </w:rPr>
        <w:tab/>
      </w:r>
      <w:r w:rsidR="009060B1" w:rsidRPr="00F47789">
        <w:rPr>
          <w:rFonts w:cs="Arial"/>
          <w:lang w:val="fr-FR"/>
        </w:rPr>
        <w:t>Dans de nombreux cas de</w:t>
      </w:r>
      <w:r w:rsidRPr="00F47789">
        <w:rPr>
          <w:rFonts w:cs="Arial"/>
          <w:lang w:val="fr-FR"/>
        </w:rPr>
        <w:t xml:space="preserve"> QN/MG o</w:t>
      </w:r>
      <w:r w:rsidR="00AE2756" w:rsidRPr="00F47789">
        <w:rPr>
          <w:rFonts w:cs="Arial"/>
          <w:lang w:val="fr-FR"/>
        </w:rPr>
        <w:t>u</w:t>
      </w:r>
      <w:r w:rsidRPr="00F47789">
        <w:rPr>
          <w:rFonts w:cs="Arial"/>
          <w:lang w:val="fr-FR"/>
        </w:rPr>
        <w:t xml:space="preserve"> QN/MS, </w:t>
      </w:r>
      <w:r w:rsidR="009060B1" w:rsidRPr="00F47789">
        <w:rPr>
          <w:rFonts w:cs="Arial"/>
          <w:lang w:val="fr-FR"/>
        </w:rPr>
        <w:t>des instructions claires sont en général suffisantes et la variation ou le biais dans les mesures entre observateurs est souvent négligeable.</w:t>
      </w:r>
      <w:r w:rsidRPr="00F47789">
        <w:rPr>
          <w:rFonts w:cs="Arial"/>
          <w:lang w:val="fr-FR"/>
        </w:rPr>
        <w:t xml:space="preserve"> </w:t>
      </w:r>
      <w:r w:rsidR="00AE2756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En cas de doute, des essais d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étalonnage tels que décrits ci</w:t>
      </w:r>
      <w:r w:rsidR="00401D77" w:rsidRPr="00F47789">
        <w:rPr>
          <w:rFonts w:cs="Arial"/>
          <w:lang w:val="fr-FR"/>
        </w:rPr>
        <w:noBreakHyphen/>
      </w:r>
      <w:r w:rsidR="003B1591" w:rsidRPr="00F47789">
        <w:rPr>
          <w:rFonts w:cs="Arial"/>
          <w:lang w:val="fr-FR"/>
        </w:rPr>
        <w:t>dessus peuvent contribuer à préciser les choses.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4.5</w:t>
      </w:r>
      <w:r w:rsidRPr="00F47789">
        <w:rPr>
          <w:rFonts w:cs="Arial"/>
          <w:lang w:val="fr-FR"/>
        </w:rPr>
        <w:tab/>
      </w:r>
      <w:r w:rsidR="00AE2756" w:rsidRPr="00F47789">
        <w:rPr>
          <w:rFonts w:cs="Arial"/>
          <w:lang w:val="fr-FR"/>
        </w:rPr>
        <w:t xml:space="preserve">Dans le cas </w:t>
      </w:r>
      <w:r w:rsidR="009060B1" w:rsidRPr="00F47789">
        <w:rPr>
          <w:rFonts w:cs="Arial"/>
          <w:lang w:val="fr-FR"/>
        </w:rPr>
        <w:t>de caractères</w:t>
      </w:r>
      <w:r w:rsidRPr="00F47789">
        <w:rPr>
          <w:rFonts w:cs="Arial"/>
          <w:lang w:val="fr-FR"/>
        </w:rPr>
        <w:t xml:space="preserve"> QN/MG</w:t>
      </w:r>
      <w:r w:rsidR="009060B1" w:rsidRPr="00F47789">
        <w:rPr>
          <w:rFonts w:cs="Arial"/>
          <w:lang w:val="fr-FR"/>
        </w:rPr>
        <w:t>, il fau</w:t>
      </w:r>
      <w:r w:rsidR="005702C1" w:rsidRPr="00F47789">
        <w:rPr>
          <w:rFonts w:cs="Arial"/>
          <w:lang w:val="fr-FR"/>
        </w:rPr>
        <w:t>dra</w:t>
      </w:r>
      <w:r w:rsidR="009060B1" w:rsidRPr="00F47789">
        <w:rPr>
          <w:rFonts w:cs="Arial"/>
          <w:lang w:val="fr-FR"/>
        </w:rPr>
        <w:t xml:space="preserve"> </w:t>
      </w:r>
      <w:r w:rsidR="009060B1" w:rsidRPr="00F47789">
        <w:rPr>
          <w:lang w:val="fr-FR"/>
        </w:rPr>
        <w:t>tenir compte de l</w:t>
      </w:r>
      <w:r w:rsidR="004B3E00" w:rsidRPr="00F47789">
        <w:rPr>
          <w:lang w:val="fr-FR"/>
        </w:rPr>
        <w:t>’</w:t>
      </w:r>
      <w:r w:rsidR="009060B1" w:rsidRPr="00F47789">
        <w:rPr>
          <w:lang w:val="fr-FR"/>
        </w:rPr>
        <w:t xml:space="preserve">effet que peut avoir une </w:t>
      </w:r>
      <w:r w:rsidR="003F60BF" w:rsidRPr="00F47789">
        <w:rPr>
          <w:lang w:val="fr-FR"/>
        </w:rPr>
        <w:t>éventuelle</w:t>
      </w:r>
      <w:r w:rsidR="003F60BF" w:rsidRPr="00F47789">
        <w:rPr>
          <w:u w:val="single"/>
          <w:lang w:val="fr-FR"/>
        </w:rPr>
        <w:t xml:space="preserve"> </w:t>
      </w:r>
      <w:r w:rsidR="009060B1" w:rsidRPr="00F47789">
        <w:rPr>
          <w:lang w:val="fr-FR"/>
        </w:rPr>
        <w:t xml:space="preserve">variation </w:t>
      </w:r>
      <w:r w:rsidR="00FE3522" w:rsidRPr="00F47789">
        <w:rPr>
          <w:highlight w:val="lightGray"/>
          <w:u w:val="single"/>
          <w:lang w:val="fr-FR"/>
        </w:rPr>
        <w:t>aléatoire</w:t>
      </w:r>
      <w:r w:rsidR="00FE3522" w:rsidRPr="00F47789">
        <w:rPr>
          <w:lang w:val="fr-FR"/>
        </w:rPr>
        <w:t xml:space="preserve"> </w:t>
      </w:r>
      <w:r w:rsidR="009060B1" w:rsidRPr="00F47789">
        <w:rPr>
          <w:lang w:val="fr-FR"/>
        </w:rPr>
        <w:t>à l</w:t>
      </w:r>
      <w:r w:rsidR="004B3E00" w:rsidRPr="00F47789">
        <w:rPr>
          <w:lang w:val="fr-FR"/>
        </w:rPr>
        <w:t>’</w:t>
      </w:r>
      <w:r w:rsidR="009060B1" w:rsidRPr="00F47789">
        <w:rPr>
          <w:lang w:val="fr-FR"/>
        </w:rPr>
        <w:t>intérieur d</w:t>
      </w:r>
      <w:r w:rsidR="004B3E00" w:rsidRPr="00F47789">
        <w:rPr>
          <w:lang w:val="fr-FR"/>
        </w:rPr>
        <w:t>’</w:t>
      </w:r>
      <w:r w:rsidR="009060B1" w:rsidRPr="00F47789">
        <w:rPr>
          <w:lang w:val="fr-FR"/>
        </w:rPr>
        <w:t>une parcelle</w:t>
      </w:r>
      <w:r w:rsidRPr="00F47789">
        <w:rPr>
          <w:rFonts w:cs="Arial"/>
          <w:lang w:val="fr-FR"/>
        </w:rPr>
        <w:t>.</w:t>
      </w:r>
    </w:p>
    <w:p w:rsidR="008D0F00" w:rsidRPr="00F47789" w:rsidRDefault="008D0F00" w:rsidP="00621E06">
      <w:pPr>
        <w:spacing w:before="120" w:after="120"/>
        <w:rPr>
          <w:rFonts w:cs="Arial"/>
          <w:u w:val="single"/>
          <w:lang w:val="fr-FR"/>
        </w:rPr>
      </w:pP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u w:val="single"/>
          <w:lang w:val="fr-FR"/>
        </w:rPr>
        <w:t xml:space="preserve">5. </w:t>
      </w:r>
      <w:r w:rsidR="009C0F76" w:rsidRPr="00F47789">
        <w:rPr>
          <w:rFonts w:cs="Arial"/>
          <w:u w:val="single"/>
          <w:lang w:val="fr-FR"/>
        </w:rPr>
        <w:t>Essai d</w:t>
      </w:r>
      <w:r w:rsidR="004B3E00" w:rsidRPr="00F47789">
        <w:rPr>
          <w:rFonts w:cs="Arial"/>
          <w:u w:val="single"/>
          <w:lang w:val="fr-FR"/>
        </w:rPr>
        <w:t>’</w:t>
      </w:r>
      <w:r w:rsidR="009C0F76" w:rsidRPr="00F47789">
        <w:rPr>
          <w:rFonts w:cs="Arial"/>
          <w:u w:val="single"/>
          <w:lang w:val="fr-FR"/>
        </w:rPr>
        <w:t>étalonnage pour les caractères QN/VS ou</w:t>
      </w:r>
      <w:r w:rsidRPr="00F47789">
        <w:rPr>
          <w:rFonts w:cs="Arial"/>
          <w:u w:val="single"/>
          <w:lang w:val="fr-FR"/>
        </w:rPr>
        <w:t xml:space="preserve"> QN/VG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5.1</w:t>
      </w:r>
      <w:r w:rsidRPr="00F47789">
        <w:rPr>
          <w:rFonts w:cs="Arial"/>
          <w:lang w:val="fr-FR"/>
        </w:rPr>
        <w:tab/>
      </w:r>
      <w:r w:rsidR="009C0F76" w:rsidRPr="00F47789">
        <w:rPr>
          <w:rFonts w:cs="Arial"/>
          <w:lang w:val="fr-FR"/>
        </w:rPr>
        <w:t>Aux fins de l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analyse des données ordinales (caractères QN/VS ou QN/VG), il est très instructif 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établir des tableaux de contingence par paire d</w:t>
      </w:r>
      <w:r w:rsidR="004B3E00" w:rsidRPr="00F47789">
        <w:rPr>
          <w:rFonts w:cs="Arial"/>
          <w:lang w:val="fr-FR"/>
        </w:rPr>
        <w:t>’</w:t>
      </w:r>
      <w:r w:rsidR="009C0F76" w:rsidRPr="00F47789">
        <w:rPr>
          <w:rFonts w:cs="Arial"/>
          <w:lang w:val="fr-FR"/>
        </w:rPr>
        <w:t>observateurs pour les résultats différents</w:t>
      </w:r>
      <w:r w:rsidRPr="00F47789">
        <w:rPr>
          <w:rFonts w:cs="Arial"/>
          <w:lang w:val="fr-FR"/>
        </w:rPr>
        <w:t xml:space="preserve">. </w:t>
      </w:r>
      <w:r w:rsidR="009C0F76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Le test de comparaison des données de </w:t>
      </w:r>
      <w:proofErr w:type="spellStart"/>
      <w:r w:rsidR="003B1591" w:rsidRPr="00F47789">
        <w:rPr>
          <w:rFonts w:cs="Arial"/>
          <w:lang w:val="fr-FR"/>
        </w:rPr>
        <w:t>Wilcoxon</w:t>
      </w:r>
      <w:proofErr w:type="spellEnd"/>
      <w:r w:rsidR="003B1591" w:rsidRPr="00F47789">
        <w:rPr>
          <w:rFonts w:cs="Arial"/>
          <w:lang w:val="fr-FR"/>
        </w:rPr>
        <w:t xml:space="preserve"> permet de mettre en évidence une différence structurelle (biais) entre deux observateurs.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5.2</w:t>
      </w:r>
      <w:r w:rsidRPr="00F47789">
        <w:rPr>
          <w:rFonts w:cs="Arial"/>
          <w:lang w:val="fr-FR"/>
        </w:rPr>
        <w:tab/>
      </w:r>
      <w:r w:rsidR="009060B1" w:rsidRPr="00F47789">
        <w:rPr>
          <w:rFonts w:cs="Arial"/>
          <w:lang w:val="fr-FR"/>
        </w:rPr>
        <w:t xml:space="preserve">Pour mesurer le degré de concordance, on recourt souvent au test du Kappa de Cohen (Cohen, 1960). </w:t>
      </w:r>
      <w:r w:rsidRPr="00F47789">
        <w:rPr>
          <w:rFonts w:cs="Arial"/>
          <w:lang w:val="fr-FR"/>
        </w:rPr>
        <w:t xml:space="preserve"> </w:t>
      </w:r>
      <w:r w:rsidR="009060B1" w:rsidRPr="00F47789">
        <w:rPr>
          <w:rFonts w:cs="Arial"/>
          <w:lang w:val="fr-FR"/>
        </w:rPr>
        <w:t>Ce test statistique s</w:t>
      </w:r>
      <w:r w:rsidR="004B3E00" w:rsidRPr="00F47789">
        <w:rPr>
          <w:rFonts w:cs="Arial"/>
          <w:lang w:val="fr-FR"/>
        </w:rPr>
        <w:t>’</w:t>
      </w:r>
      <w:r w:rsidR="009060B1" w:rsidRPr="00F47789">
        <w:rPr>
          <w:rFonts w:cs="Arial"/>
          <w:lang w:val="fr-FR"/>
        </w:rPr>
        <w:t>efforce de rendre compte des concordances aléatoires</w:t>
      </w:r>
      <w:r w:rsidR="00947858" w:rsidRPr="00F47789">
        <w:rPr>
          <w:rFonts w:cs="Arial"/>
          <w:lang w:val="fr-FR"/>
        </w:rPr>
        <w:t> </w:t>
      </w:r>
      <w:r w:rsidR="009060B1" w:rsidRPr="00F47789">
        <w:rPr>
          <w:rFonts w:cs="Arial"/>
          <w:lang w:val="fr-FR"/>
        </w:rPr>
        <w:t>: κ = P(concordance) – P(e) / (1</w:t>
      </w:r>
      <w:r w:rsidR="00401D77" w:rsidRPr="00F47789">
        <w:rPr>
          <w:rFonts w:cs="Arial"/>
          <w:lang w:val="fr-FR"/>
        </w:rPr>
        <w:noBreakHyphen/>
      </w:r>
      <w:r w:rsidR="009060B1" w:rsidRPr="00F47789">
        <w:rPr>
          <w:rFonts w:cs="Arial"/>
          <w:lang w:val="fr-FR"/>
        </w:rPr>
        <w:t>P(e)), où P(concordance) est la fraction d</w:t>
      </w:r>
      <w:r w:rsidR="004B3E00" w:rsidRPr="00F47789">
        <w:rPr>
          <w:rFonts w:cs="Arial"/>
          <w:lang w:val="fr-FR"/>
        </w:rPr>
        <w:t>’</w:t>
      </w:r>
      <w:r w:rsidR="009060B1" w:rsidRPr="00F47789">
        <w:rPr>
          <w:rFonts w:cs="Arial"/>
          <w:lang w:val="fr-FR"/>
        </w:rPr>
        <w:t>objets se situant dans la même classe pour les deux</w:t>
      </w:r>
      <w:r w:rsidR="00947858" w:rsidRPr="00F47789">
        <w:rPr>
          <w:rFonts w:cs="Arial"/>
          <w:lang w:val="fr-FR"/>
        </w:rPr>
        <w:t> </w:t>
      </w:r>
      <w:r w:rsidR="009060B1" w:rsidRPr="00F47789">
        <w:rPr>
          <w:rFonts w:cs="Arial"/>
          <w:lang w:val="fr-FR"/>
        </w:rPr>
        <w:t>observateurs (la diagonale principale du tableau de contingence) et P(e) la probabilité de concordance aléatoire, compte tenu des valeurs marginales (comme dans le test du Khi carré).</w:t>
      </w:r>
      <w:r w:rsidRPr="00F47789">
        <w:rPr>
          <w:rFonts w:cs="Arial"/>
          <w:lang w:val="fr-FR"/>
        </w:rPr>
        <w:t xml:space="preserve"> </w:t>
      </w:r>
      <w:r w:rsidR="009060B1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Lorsque les observateurs sont en parfaite concordance, valeur Kappa κ = 1.  S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il n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>y a pas de concordance entre les observateurs au</w:t>
      </w:r>
      <w:r w:rsidR="00401D77" w:rsidRPr="00F47789">
        <w:rPr>
          <w:rFonts w:cs="Arial"/>
          <w:lang w:val="fr-FR"/>
        </w:rPr>
        <w:noBreakHyphen/>
      </w:r>
      <w:r w:rsidR="003B1591" w:rsidRPr="00F47789">
        <w:rPr>
          <w:rFonts w:cs="Arial"/>
          <w:lang w:val="fr-FR"/>
        </w:rPr>
        <w:t>delà des résultats pouvant être le fruit du hasard (P(e)), κ = 0.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5.3</w:t>
      </w:r>
      <w:r w:rsidRPr="00F47789">
        <w:rPr>
          <w:rFonts w:cs="Arial"/>
          <w:lang w:val="fr-FR"/>
        </w:rPr>
        <w:tab/>
      </w:r>
      <w:r w:rsidR="00E37A60" w:rsidRPr="00F47789">
        <w:rPr>
          <w:rFonts w:cs="Arial"/>
          <w:lang w:val="fr-FR"/>
        </w:rPr>
        <w:t>Le test statistique Kappa de Cohen standard envisage uniquement la possibilité d</w:t>
      </w:r>
      <w:r w:rsidR="004B3E00" w:rsidRPr="00F47789">
        <w:rPr>
          <w:rFonts w:cs="Arial"/>
          <w:lang w:val="fr-FR"/>
        </w:rPr>
        <w:t>’</w:t>
      </w:r>
      <w:r w:rsidR="00E37A60" w:rsidRPr="00F47789">
        <w:rPr>
          <w:rFonts w:cs="Arial"/>
          <w:lang w:val="fr-FR"/>
        </w:rPr>
        <w:t>une concordance parfaite ou d</w:t>
      </w:r>
      <w:r w:rsidR="004B3E00" w:rsidRPr="00F47789">
        <w:rPr>
          <w:rFonts w:cs="Arial"/>
          <w:lang w:val="fr-FR"/>
        </w:rPr>
        <w:t>’</w:t>
      </w:r>
      <w:r w:rsidR="00E37A60" w:rsidRPr="00F47789">
        <w:rPr>
          <w:rFonts w:cs="Arial"/>
          <w:lang w:val="fr-FR"/>
        </w:rPr>
        <w:t>une discordance</w:t>
      </w:r>
      <w:r w:rsidRPr="00F47789">
        <w:rPr>
          <w:rFonts w:cs="Arial"/>
          <w:lang w:val="fr-FR"/>
        </w:rPr>
        <w:t xml:space="preserve">. </w:t>
      </w:r>
      <w:r w:rsidR="00E37A60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Si l</w:t>
      </w:r>
      <w:r w:rsidR="004B3E00" w:rsidRPr="00F47789">
        <w:rPr>
          <w:rFonts w:cs="Arial"/>
          <w:lang w:val="fr-FR"/>
        </w:rPr>
        <w:t>’</w:t>
      </w:r>
      <w:r w:rsidR="00FF2E1F" w:rsidRPr="00F47789">
        <w:rPr>
          <w:rFonts w:cs="Arial"/>
          <w:lang w:val="fr-FR"/>
        </w:rPr>
        <w:t>on met</w:t>
      </w:r>
      <w:r w:rsidR="003B1591" w:rsidRPr="00F47789">
        <w:rPr>
          <w:rFonts w:cs="Arial"/>
          <w:lang w:val="fr-FR"/>
        </w:rPr>
        <w:t xml:space="preserve"> en évidence le degré de discordance (par exemple, avec les caractères ordinaux), on peut appliquer un test du Kappa linéaire ou carré (Cohen, 1968).</w:t>
      </w:r>
      <w:r w:rsidRPr="00F47789">
        <w:rPr>
          <w:lang w:val="fr-FR"/>
        </w:rPr>
        <w:t xml:space="preserve"> </w:t>
      </w:r>
      <w:r w:rsidR="00947858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Si l</w:t>
      </w:r>
      <w:r w:rsidR="004B3E00" w:rsidRPr="00F47789">
        <w:rPr>
          <w:rFonts w:cs="Arial"/>
          <w:lang w:val="fr-FR"/>
        </w:rPr>
        <w:t>’</w:t>
      </w:r>
      <w:r w:rsidR="003B1591" w:rsidRPr="00F47789">
        <w:rPr>
          <w:rFonts w:cs="Arial"/>
          <w:lang w:val="fr-FR"/>
        </w:rPr>
        <w:t xml:space="preserve">on souhaite avoir une statistique unique pour tous les observateurs simultanément, on peut calculer un coefficient Kappa </w:t>
      </w:r>
      <w:r w:rsidR="003B1591" w:rsidRPr="00F47789">
        <w:rPr>
          <w:rFonts w:cs="Arial"/>
          <w:lang w:val="fr-FR"/>
        </w:rPr>
        <w:lastRenderedPageBreak/>
        <w:t>général.</w:t>
      </w:r>
      <w:r w:rsidRPr="00F47789">
        <w:rPr>
          <w:lang w:val="fr-FR"/>
        </w:rPr>
        <w:t xml:space="preserve"> </w:t>
      </w:r>
      <w:r w:rsidR="00905075" w:rsidRPr="00F47789">
        <w:rPr>
          <w:lang w:val="fr-FR"/>
        </w:rPr>
        <w:t xml:space="preserve"> </w:t>
      </w:r>
      <w:r w:rsidR="003B1591" w:rsidRPr="00F47789">
        <w:rPr>
          <w:rFonts w:cs="Arial"/>
          <w:lang w:val="fr-FR"/>
        </w:rPr>
        <w:t xml:space="preserve">La plupart des programmes statistiques, dont SPSS, </w:t>
      </w:r>
      <w:proofErr w:type="spellStart"/>
      <w:r w:rsidR="003B1591" w:rsidRPr="00F47789">
        <w:rPr>
          <w:rFonts w:cs="Arial"/>
          <w:lang w:val="fr-FR"/>
        </w:rPr>
        <w:t>Genstat</w:t>
      </w:r>
      <w:proofErr w:type="spellEnd"/>
      <w:r w:rsidR="003B1591" w:rsidRPr="00F47789">
        <w:rPr>
          <w:rFonts w:cs="Arial"/>
          <w:lang w:val="fr-FR"/>
        </w:rPr>
        <w:t xml:space="preserve"> et R (programme Concord), fournissent des instruments de calcul du coefficient Kappa.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5.4</w:t>
      </w:r>
      <w:r w:rsidRPr="00F47789">
        <w:rPr>
          <w:rFonts w:cs="Arial"/>
          <w:lang w:val="fr-FR"/>
        </w:rPr>
        <w:tab/>
      </w:r>
      <w:r w:rsidR="00E37A60" w:rsidRPr="00F47789">
        <w:rPr>
          <w:rFonts w:cs="Arial"/>
          <w:lang w:val="fr-FR"/>
        </w:rPr>
        <w:t>Ainsi qu</w:t>
      </w:r>
      <w:r w:rsidR="004B3E00" w:rsidRPr="00F47789">
        <w:rPr>
          <w:rFonts w:cs="Arial"/>
          <w:lang w:val="fr-FR"/>
        </w:rPr>
        <w:t>’</w:t>
      </w:r>
      <w:r w:rsidR="00E37A60" w:rsidRPr="00F47789">
        <w:rPr>
          <w:rFonts w:cs="Arial"/>
          <w:lang w:val="fr-FR"/>
        </w:rPr>
        <w:t>il a été noté, une valeur κ faible indique une faible concordance alors que les valeurs avoisinant 1 indiquent une excellente concordance</w:t>
      </w:r>
      <w:r w:rsidRPr="00F47789">
        <w:rPr>
          <w:rFonts w:cs="Arial"/>
          <w:lang w:val="fr-FR"/>
        </w:rPr>
        <w:t>.</w:t>
      </w:r>
      <w:r w:rsidR="00E37A60" w:rsidRPr="00F47789">
        <w:rPr>
          <w:rFonts w:cs="Arial"/>
          <w:lang w:val="fr-FR"/>
        </w:rPr>
        <w:t xml:space="preserve"> </w:t>
      </w:r>
      <w:r w:rsidR="002B5BB9" w:rsidRPr="00F47789">
        <w:rPr>
          <w:rFonts w:cs="Arial"/>
          <w:lang w:val="fr-FR"/>
        </w:rPr>
        <w:t xml:space="preserve"> </w:t>
      </w:r>
      <w:r w:rsidR="003B1591" w:rsidRPr="00F47789">
        <w:rPr>
          <w:rFonts w:cs="Arial"/>
          <w:lang w:val="fr-FR"/>
        </w:rPr>
        <w:t>Souvent, les chiffres entre 0,6 et 0,8 sont réputés dénoter une concordance importante et les chiffres au</w:t>
      </w:r>
      <w:r w:rsidR="00401D77" w:rsidRPr="00F47789">
        <w:rPr>
          <w:rFonts w:cs="Arial"/>
          <w:lang w:val="fr-FR"/>
        </w:rPr>
        <w:noBreakHyphen/>
      </w:r>
      <w:r w:rsidR="003B1591" w:rsidRPr="00F47789">
        <w:rPr>
          <w:rFonts w:cs="Arial"/>
          <w:lang w:val="fr-FR"/>
        </w:rPr>
        <w:t>dessus de 0,8 une concordance presque parfaite.</w:t>
      </w:r>
      <w:r w:rsidR="002B5BB9" w:rsidRPr="00F47789">
        <w:rPr>
          <w:rFonts w:cs="Arial"/>
          <w:lang w:val="fr-FR"/>
        </w:rPr>
        <w:t xml:space="preserve"> </w:t>
      </w:r>
      <w:r w:rsidRPr="00F47789">
        <w:rPr>
          <w:lang w:val="fr-FR"/>
        </w:rPr>
        <w:t xml:space="preserve"> </w:t>
      </w:r>
      <w:r w:rsidR="00530EBA" w:rsidRPr="00F47789">
        <w:rPr>
          <w:rFonts w:cs="Arial"/>
          <w:lang w:val="fr-FR"/>
        </w:rPr>
        <w:t>Si</w:t>
      </w:r>
      <w:r w:rsidR="003F4587" w:rsidRPr="00F47789">
        <w:rPr>
          <w:rFonts w:cs="Arial"/>
          <w:lang w:val="fr-FR"/>
        </w:rPr>
        <w:t> </w:t>
      </w:r>
      <w:r w:rsidR="00530EBA" w:rsidRPr="00F47789">
        <w:rPr>
          <w:rFonts w:cs="Arial"/>
          <w:lang w:val="fr-FR"/>
        </w:rPr>
        <w:t>nécessaire, il existe des écarts réduits pour Kappa (à supposer que la distribution est à peu près normale).</w:t>
      </w:r>
      <w:r w:rsidRPr="00F47789">
        <w:rPr>
          <w:lang w:val="fr-FR"/>
        </w:rPr>
        <w:t xml:space="preserve"> </w:t>
      </w:r>
      <w:r w:rsidR="002B5BB9" w:rsidRPr="00F47789">
        <w:rPr>
          <w:rFonts w:cs="Arial"/>
          <w:lang w:val="fr-FR"/>
        </w:rPr>
        <w:t xml:space="preserve"> </w:t>
      </w:r>
      <w:r w:rsidR="00905075" w:rsidRPr="00F47789">
        <w:rPr>
          <w:rFonts w:cs="Arial"/>
          <w:lang w:val="fr-FR"/>
        </w:rPr>
        <w:t>Les critères appliqués aux experts DHS chevronnés pourraient être plus stricts que ceux appliqués aux personnes inexpérimentées</w:t>
      </w:r>
      <w:r w:rsidRPr="00F47789">
        <w:rPr>
          <w:rFonts w:cs="Arial"/>
          <w:lang w:val="fr-FR"/>
        </w:rPr>
        <w:t>.</w:t>
      </w:r>
    </w:p>
    <w:p w:rsidR="008D0F00" w:rsidRPr="00F47789" w:rsidRDefault="00530EBA" w:rsidP="00621E06">
      <w:pPr>
        <w:spacing w:before="120" w:after="120"/>
        <w:rPr>
          <w:rFonts w:cs="Arial"/>
          <w:u w:val="single"/>
          <w:lang w:val="fr-FR"/>
        </w:rPr>
      </w:pPr>
      <w:r w:rsidRPr="00F47789">
        <w:rPr>
          <w:rFonts w:cs="Arial"/>
          <w:lang w:val="fr-FR"/>
        </w:rPr>
        <w:t>6</w:t>
      </w:r>
      <w:r w:rsidR="00F47789" w:rsidRPr="00F47789">
        <w:rPr>
          <w:rFonts w:cs="Arial"/>
          <w:lang w:val="fr-FR"/>
        </w:rPr>
        <w:t>.</w:t>
      </w:r>
      <w:r w:rsidRPr="00F47789">
        <w:rPr>
          <w:rFonts w:cs="Arial"/>
          <w:lang w:val="fr-FR"/>
        </w:rPr>
        <w:t xml:space="preserve"> </w:t>
      </w:r>
      <w:r w:rsidRPr="00F47789">
        <w:rPr>
          <w:rFonts w:cs="Arial"/>
          <w:u w:val="single"/>
          <w:lang w:val="fr-FR"/>
        </w:rPr>
        <w:t>Protocole d</w:t>
      </w:r>
      <w:r w:rsidR="004B3E00" w:rsidRPr="00F47789">
        <w:rPr>
          <w:rFonts w:cs="Arial"/>
          <w:u w:val="single"/>
          <w:lang w:val="fr-FR"/>
        </w:rPr>
        <w:t>’</w:t>
      </w:r>
      <w:r w:rsidRPr="00F47789">
        <w:rPr>
          <w:rFonts w:cs="Arial"/>
          <w:u w:val="single"/>
          <w:lang w:val="fr-FR"/>
        </w:rPr>
        <w:t>essai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6.1</w:t>
      </w:r>
      <w:r w:rsidRPr="00F47789">
        <w:rPr>
          <w:rFonts w:cs="Arial"/>
          <w:lang w:val="fr-FR"/>
        </w:rPr>
        <w:tab/>
      </w:r>
      <w:r w:rsidR="00E37A60" w:rsidRPr="00F47789">
        <w:rPr>
          <w:rFonts w:cs="Arial"/>
          <w:lang w:val="fr-FR"/>
        </w:rPr>
        <w:t>En cas de pluralité d</w:t>
      </w:r>
      <w:r w:rsidR="004B3E00" w:rsidRPr="00F47789">
        <w:rPr>
          <w:rFonts w:cs="Arial"/>
          <w:lang w:val="fr-FR"/>
        </w:rPr>
        <w:t>’</w:t>
      </w:r>
      <w:r w:rsidR="00E37A60" w:rsidRPr="00F47789">
        <w:rPr>
          <w:rFonts w:cs="Arial"/>
          <w:lang w:val="fr-FR"/>
        </w:rPr>
        <w:t>observateurs dans un essai, la meilleure méthode consiste à confier à une même personne l</w:t>
      </w:r>
      <w:r w:rsidR="004B3E00" w:rsidRPr="00F47789">
        <w:rPr>
          <w:rFonts w:cs="Arial"/>
          <w:lang w:val="fr-FR"/>
        </w:rPr>
        <w:t>’</w:t>
      </w:r>
      <w:r w:rsidR="00E37A60" w:rsidRPr="00F47789">
        <w:rPr>
          <w:rFonts w:cs="Arial"/>
          <w:lang w:val="fr-FR"/>
        </w:rPr>
        <w:t>observation d</w:t>
      </w:r>
      <w:r w:rsidR="004B3E00" w:rsidRPr="00F47789">
        <w:rPr>
          <w:rFonts w:cs="Arial"/>
          <w:lang w:val="fr-FR"/>
        </w:rPr>
        <w:t>’</w:t>
      </w:r>
      <w:r w:rsidR="00E37A60" w:rsidRPr="00F47789">
        <w:rPr>
          <w:rFonts w:cs="Arial"/>
          <w:lang w:val="fr-FR"/>
        </w:rPr>
        <w:t>une ou plusieurs répétitions complètes</w:t>
      </w:r>
      <w:r w:rsidRPr="00F47789">
        <w:rPr>
          <w:rFonts w:cs="Arial"/>
          <w:lang w:val="fr-FR"/>
        </w:rPr>
        <w:t xml:space="preserve">. </w:t>
      </w:r>
      <w:r w:rsidR="00E37A60" w:rsidRPr="00F47789">
        <w:rPr>
          <w:rFonts w:cs="Arial"/>
          <w:lang w:val="fr-FR"/>
        </w:rPr>
        <w:t xml:space="preserve"> </w:t>
      </w:r>
      <w:r w:rsidR="00530EBA" w:rsidRPr="00F47789">
        <w:rPr>
          <w:rFonts w:cs="Arial"/>
          <w:lang w:val="fr-FR"/>
        </w:rPr>
        <w:t>Dans ce cas, la correction des effets de blocs tient aussi compte du biais entre observateurs.</w:t>
      </w:r>
      <w:r w:rsidRPr="00F47789">
        <w:rPr>
          <w:lang w:val="fr-FR"/>
        </w:rPr>
        <w:t xml:space="preserve">  </w:t>
      </w:r>
      <w:r w:rsidR="00530EBA" w:rsidRPr="00F47789">
        <w:rPr>
          <w:rFonts w:cs="Arial"/>
          <w:lang w:val="fr-FR"/>
        </w:rPr>
        <w:t>Lorsqu</w:t>
      </w:r>
      <w:r w:rsidR="004B3E00" w:rsidRPr="00F47789">
        <w:rPr>
          <w:rFonts w:cs="Arial"/>
          <w:lang w:val="fr-FR"/>
        </w:rPr>
        <w:t>’</w:t>
      </w:r>
      <w:r w:rsidR="00530EBA" w:rsidRPr="00F47789">
        <w:rPr>
          <w:rFonts w:cs="Arial"/>
          <w:lang w:val="fr-FR"/>
        </w:rPr>
        <w:t>il est nécessaire de recourir à plus d</w:t>
      </w:r>
      <w:r w:rsidR="004B3E00" w:rsidRPr="00F47789">
        <w:rPr>
          <w:rFonts w:cs="Arial"/>
          <w:lang w:val="fr-FR"/>
        </w:rPr>
        <w:t>’</w:t>
      </w:r>
      <w:r w:rsidR="00530EBA" w:rsidRPr="00F47789">
        <w:rPr>
          <w:rFonts w:cs="Arial"/>
          <w:lang w:val="fr-FR"/>
        </w:rPr>
        <w:t>un observateur par répétition, il convient d</w:t>
      </w:r>
      <w:r w:rsidR="004B3E00" w:rsidRPr="00F47789">
        <w:rPr>
          <w:rFonts w:cs="Arial"/>
          <w:lang w:val="fr-FR"/>
        </w:rPr>
        <w:t>’</w:t>
      </w:r>
      <w:r w:rsidR="00530EBA" w:rsidRPr="00F47789">
        <w:rPr>
          <w:rFonts w:cs="Arial"/>
          <w:lang w:val="fr-FR"/>
        </w:rPr>
        <w:t>accorder davantage d</w:t>
      </w:r>
      <w:r w:rsidR="004B3E00" w:rsidRPr="00F47789">
        <w:rPr>
          <w:rFonts w:cs="Arial"/>
          <w:lang w:val="fr-FR"/>
        </w:rPr>
        <w:t>’</w:t>
      </w:r>
      <w:r w:rsidR="00530EBA" w:rsidRPr="00F47789">
        <w:rPr>
          <w:rFonts w:cs="Arial"/>
          <w:lang w:val="fr-FR"/>
        </w:rPr>
        <w:t>attention à l</w:t>
      </w:r>
      <w:r w:rsidR="004B3E00" w:rsidRPr="00F47789">
        <w:rPr>
          <w:rFonts w:cs="Arial"/>
          <w:lang w:val="fr-FR"/>
        </w:rPr>
        <w:t>’</w:t>
      </w:r>
      <w:r w:rsidR="00530EBA" w:rsidRPr="00F47789">
        <w:rPr>
          <w:rFonts w:cs="Arial"/>
          <w:lang w:val="fr-FR"/>
        </w:rPr>
        <w:t>étalonnage et à</w:t>
      </w:r>
      <w:r w:rsidRPr="00F47789">
        <w:rPr>
          <w:rFonts w:cs="Arial"/>
          <w:lang w:val="fr-FR"/>
        </w:rPr>
        <w:t xml:space="preserve"> </w:t>
      </w:r>
      <w:r w:rsidR="00530EBA" w:rsidRPr="00F47789">
        <w:rPr>
          <w:rFonts w:cs="Arial"/>
          <w:lang w:val="fr-FR"/>
        </w:rPr>
        <w:t xml:space="preserve">la concordance. </w:t>
      </w:r>
      <w:r w:rsidR="002B5BB9" w:rsidRPr="00F47789">
        <w:rPr>
          <w:rFonts w:cs="Arial"/>
          <w:lang w:val="fr-FR"/>
        </w:rPr>
        <w:t xml:space="preserve"> </w:t>
      </w:r>
      <w:r w:rsidR="00530EBA" w:rsidRPr="00F47789">
        <w:rPr>
          <w:rFonts w:cs="Arial"/>
          <w:lang w:val="fr-FR"/>
        </w:rPr>
        <w:t>Dans certains cas, des plans en blocs incomplets (plans alpha) peuvent être utiles, et un observateur peut être affecté aux sous</w:t>
      </w:r>
      <w:r w:rsidR="00401D77" w:rsidRPr="00F47789">
        <w:rPr>
          <w:rFonts w:cs="Arial"/>
          <w:lang w:val="fr-FR"/>
        </w:rPr>
        <w:noBreakHyphen/>
      </w:r>
      <w:r w:rsidR="00530EBA" w:rsidRPr="00F47789">
        <w:rPr>
          <w:rFonts w:cs="Arial"/>
          <w:lang w:val="fr-FR"/>
        </w:rPr>
        <w:t>blocs.</w:t>
      </w:r>
      <w:r w:rsidR="002B5BB9" w:rsidRPr="00F47789">
        <w:rPr>
          <w:rFonts w:cs="Arial"/>
          <w:lang w:val="fr-FR"/>
        </w:rPr>
        <w:t xml:space="preserve"> </w:t>
      </w:r>
      <w:r w:rsidRPr="00F47789">
        <w:rPr>
          <w:lang w:val="fr-FR"/>
        </w:rPr>
        <w:t xml:space="preserve"> </w:t>
      </w:r>
      <w:r w:rsidR="006E1045" w:rsidRPr="00F47789">
        <w:rPr>
          <w:rFonts w:cs="Arial"/>
          <w:lang w:val="fr-FR"/>
        </w:rPr>
        <w:t>On peut ainsi</w:t>
      </w:r>
      <w:r w:rsidR="009509F4" w:rsidRPr="00F47789">
        <w:rPr>
          <w:rFonts w:cs="Arial"/>
          <w:lang w:val="fr-FR"/>
        </w:rPr>
        <w:t xml:space="preserve"> corriger les différences systématiques entre observateurs</w:t>
      </w:r>
      <w:r w:rsidRPr="00F47789">
        <w:rPr>
          <w:rFonts w:cs="Arial"/>
          <w:lang w:val="fr-FR"/>
        </w:rPr>
        <w:t>.</w:t>
      </w:r>
    </w:p>
    <w:p w:rsidR="008D0F00" w:rsidRPr="00F47789" w:rsidRDefault="008D0F00" w:rsidP="00621E06">
      <w:pPr>
        <w:spacing w:before="120" w:after="120"/>
        <w:rPr>
          <w:rFonts w:cs="Arial"/>
          <w:lang w:val="fr-FR"/>
        </w:rPr>
      </w:pPr>
    </w:p>
    <w:p w:rsidR="008D0F00" w:rsidRPr="00F47789" w:rsidRDefault="004857AD" w:rsidP="00621E06">
      <w:pPr>
        <w:keepNext/>
        <w:keepLines/>
        <w:spacing w:before="120" w:after="120"/>
        <w:rPr>
          <w:rFonts w:cs="Arial"/>
          <w:u w:val="single"/>
          <w:lang w:val="fr-FR"/>
        </w:rPr>
      </w:pPr>
      <w:r w:rsidRPr="00F47789">
        <w:rPr>
          <w:rFonts w:cs="Arial"/>
          <w:u w:val="single"/>
          <w:lang w:val="fr-FR"/>
        </w:rPr>
        <w:t xml:space="preserve">7. </w:t>
      </w:r>
      <w:r w:rsidR="00E37A60" w:rsidRPr="00F47789">
        <w:rPr>
          <w:rFonts w:cs="Arial"/>
          <w:u w:val="single"/>
          <w:lang w:val="fr-FR"/>
        </w:rPr>
        <w:t>Kappa de Cohen</w:t>
      </w:r>
      <w:r w:rsidR="00947858" w:rsidRPr="00F47789">
        <w:rPr>
          <w:rFonts w:cs="Arial"/>
          <w:u w:val="single"/>
          <w:lang w:val="fr-FR"/>
        </w:rPr>
        <w:t> </w:t>
      </w:r>
      <w:r w:rsidR="00E37A60" w:rsidRPr="00F47789">
        <w:rPr>
          <w:rFonts w:cs="Arial"/>
          <w:u w:val="single"/>
          <w:lang w:val="fr-FR"/>
        </w:rPr>
        <w:t>: exemple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7.1</w:t>
      </w:r>
      <w:r w:rsidRPr="00F47789">
        <w:rPr>
          <w:rFonts w:cs="Arial"/>
          <w:lang w:val="fr-FR"/>
        </w:rPr>
        <w:tab/>
      </w:r>
      <w:r w:rsidR="00E37A60" w:rsidRPr="00F47789">
        <w:rPr>
          <w:rFonts w:cs="Arial"/>
          <w:lang w:val="fr-FR"/>
        </w:rPr>
        <w:t>Dans cet exemple, il y a trois</w:t>
      </w:r>
      <w:r w:rsidR="00947858" w:rsidRPr="00F47789">
        <w:rPr>
          <w:rFonts w:cs="Arial"/>
          <w:lang w:val="fr-FR"/>
        </w:rPr>
        <w:t> </w:t>
      </w:r>
      <w:r w:rsidR="00E37A60" w:rsidRPr="00F47789">
        <w:rPr>
          <w:rFonts w:cs="Arial"/>
          <w:lang w:val="fr-FR"/>
        </w:rPr>
        <w:t>observateurs et 30 objets (parcelles ou variétés).  Le caractère est observé sur une échelle de 1 à 6.  Les données brutes et leurs notes figurent dans les tableaux qui suivent</w:t>
      </w:r>
      <w:r w:rsidR="007159DE" w:rsidRPr="00F47789">
        <w:rPr>
          <w:rFonts w:cs="Arial"/>
          <w:lang w:val="fr-FR"/>
        </w:rPr>
        <w:t> :</w:t>
      </w:r>
    </w:p>
    <w:p w:rsidR="00DF02B7" w:rsidRPr="00F47789" w:rsidRDefault="00DF02B7" w:rsidP="00621E06">
      <w:pPr>
        <w:spacing w:before="120" w:after="120"/>
        <w:rPr>
          <w:rFonts w:cs="Arial"/>
          <w:lang w:val="fr-FR"/>
        </w:rPr>
      </w:pPr>
    </w:p>
    <w:tbl>
      <w:tblPr>
        <w:tblW w:w="4116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052"/>
        <w:gridCol w:w="1052"/>
        <w:gridCol w:w="1052"/>
      </w:tblGrid>
      <w:tr w:rsidR="000A6D30" w:rsidRPr="00F47789" w:rsidTr="007159DE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530EBA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Variété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0F00" w:rsidRPr="00F47789" w:rsidRDefault="00530EBA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Observateur</w:t>
            </w:r>
          </w:p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0F00" w:rsidRPr="00F47789" w:rsidRDefault="00530EBA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Observateur</w:t>
            </w:r>
          </w:p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F00" w:rsidRPr="00F47789" w:rsidRDefault="00530EBA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Observateur</w:t>
            </w:r>
          </w:p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7159D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</w:tr>
      <w:tr w:rsidR="000A6D30" w:rsidRPr="00F47789" w:rsidTr="007159DE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</w:tr>
    </w:tbl>
    <w:p w:rsidR="00DF02B7" w:rsidRPr="00F47789" w:rsidRDefault="00DF02B7" w:rsidP="00621E06">
      <w:pPr>
        <w:rPr>
          <w:lang w:val="fr-FR"/>
        </w:rPr>
      </w:pPr>
    </w:p>
    <w:tbl>
      <w:tblPr>
        <w:tblW w:w="4536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0A6D30" w:rsidRPr="00F47789" w:rsidTr="00327134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E37A60" w:rsidP="00621E06">
            <w:pPr>
              <w:keepNext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lastRenderedPageBreak/>
              <w:t>Notes de la variété pour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F47789" w:rsidTr="003271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keepNext/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F47789" w:rsidTr="0032713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V30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</w:tbl>
    <w:p w:rsidR="008D0F00" w:rsidRPr="00F47789" w:rsidRDefault="008D0F00" w:rsidP="00621E06">
      <w:pPr>
        <w:rPr>
          <w:lang w:val="fr-FR"/>
        </w:rPr>
      </w:pPr>
    </w:p>
    <w:p w:rsidR="008D0F00" w:rsidRPr="00F47789" w:rsidRDefault="008D0F00" w:rsidP="00621E06">
      <w:pPr>
        <w:rPr>
          <w:lang w:val="fr-FR"/>
        </w:rPr>
      </w:pPr>
    </w:p>
    <w:p w:rsidR="004857AD" w:rsidRPr="00F47789" w:rsidRDefault="00E37A60" w:rsidP="00621E06">
      <w:pPr>
        <w:keepNext/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Le tableau de contingence pour les observateurs 1 et 2 est le suivant</w:t>
      </w:r>
      <w:r w:rsidR="00947858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:</w:t>
      </w:r>
    </w:p>
    <w:tbl>
      <w:tblPr>
        <w:tblW w:w="5542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0"/>
        <w:gridCol w:w="720"/>
        <w:gridCol w:w="700"/>
        <w:gridCol w:w="640"/>
        <w:gridCol w:w="680"/>
        <w:gridCol w:w="680"/>
        <w:gridCol w:w="673"/>
        <w:gridCol w:w="709"/>
      </w:tblGrid>
      <w:tr w:rsidR="000A6D30" w:rsidRPr="00F47789" w:rsidTr="00327134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O1\O2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Total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17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F47789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F47789" w:rsidRDefault="004857AD" w:rsidP="00621E06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F47789">
              <w:rPr>
                <w:rFonts w:ascii="Calibri" w:hAnsi="Calibri" w:cs="Calibri"/>
                <w:sz w:val="18"/>
                <w:szCs w:val="18"/>
                <w:lang w:val="fr-FR"/>
              </w:rPr>
              <w:t>30</w:t>
            </w:r>
          </w:p>
        </w:tc>
      </w:tr>
    </w:tbl>
    <w:p w:rsidR="008D0F00" w:rsidRPr="00F47789" w:rsidRDefault="00E37A60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Le coefficient Kappa entre l</w:t>
      </w:r>
      <w:r w:rsidR="004B3E00" w:rsidRPr="00F47789">
        <w:rPr>
          <w:rFonts w:cs="Arial"/>
          <w:lang w:val="fr-FR"/>
        </w:rPr>
        <w:t>’</w:t>
      </w:r>
      <w:r w:rsidRPr="00F47789">
        <w:rPr>
          <w:rFonts w:cs="Arial"/>
          <w:lang w:val="fr-FR"/>
        </w:rPr>
        <w:t>observateur 1 et l</w:t>
      </w:r>
      <w:r w:rsidR="004B3E00" w:rsidRPr="00F47789">
        <w:rPr>
          <w:rFonts w:cs="Arial"/>
          <w:lang w:val="fr-FR"/>
        </w:rPr>
        <w:t>’</w:t>
      </w:r>
      <w:r w:rsidRPr="00F47789">
        <w:rPr>
          <w:rFonts w:cs="Arial"/>
          <w:lang w:val="fr-FR"/>
        </w:rPr>
        <w:t xml:space="preserve">observateur 2, </w:t>
      </w:r>
      <w:proofErr w:type="gramStart"/>
      <w:r w:rsidRPr="00F47789">
        <w:rPr>
          <w:rFonts w:cs="Arial"/>
          <w:lang w:val="fr-FR"/>
        </w:rPr>
        <w:t>κ(</w:t>
      </w:r>
      <w:proofErr w:type="gramEnd"/>
      <w:r w:rsidRPr="00F47789">
        <w:rPr>
          <w:rFonts w:cs="Arial"/>
          <w:lang w:val="fr-FR"/>
        </w:rPr>
        <w:t>O1,O2), est calculé comme suit</w:t>
      </w:r>
      <w:r w:rsidR="00947858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:</w:t>
      </w:r>
    </w:p>
    <w:p w:rsidR="008D0F00" w:rsidRPr="00F47789" w:rsidRDefault="000410B2" w:rsidP="00621E06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proofErr w:type="gramStart"/>
      <w:r w:rsidRPr="00F47789">
        <w:rPr>
          <w:rFonts w:cs="Arial"/>
          <w:lang w:val="fr-FR"/>
        </w:rPr>
        <w:t>κ(</w:t>
      </w:r>
      <w:proofErr w:type="gramEnd"/>
      <w:r w:rsidRPr="00F47789">
        <w:rPr>
          <w:rFonts w:cs="Arial"/>
          <w:lang w:val="fr-FR"/>
        </w:rPr>
        <w:t>O1,O2) = P(concordance entre O1 et O2) – P(e)) / (1 – P(e)), où</w:t>
      </w:r>
      <w:r w:rsidR="00947858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:</w:t>
      </w:r>
    </w:p>
    <w:p w:rsidR="008D0F00" w:rsidRPr="00F47789" w:rsidRDefault="000410B2" w:rsidP="00621E06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proofErr w:type="gramStart"/>
      <w:r w:rsidRPr="00F47789">
        <w:rPr>
          <w:rFonts w:cs="Arial"/>
          <w:lang w:val="fr-FR"/>
        </w:rPr>
        <w:t>P(</w:t>
      </w:r>
      <w:proofErr w:type="gramEnd"/>
      <w:r w:rsidRPr="00F47789">
        <w:rPr>
          <w:rFonts w:cs="Arial"/>
          <w:lang w:val="fr-FR"/>
        </w:rPr>
        <w:t>concordance) = (3+5+0+1+0+2)/30 = 11/30 ≈ 0.3667 (éléments diagonaux)</w:t>
      </w:r>
    </w:p>
    <w:p w:rsidR="008D0F00" w:rsidRPr="00F47789" w:rsidRDefault="004857AD" w:rsidP="00621E06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r w:rsidRPr="00F47789">
        <w:rPr>
          <w:rFonts w:cs="Arial"/>
          <w:lang w:val="fr-FR"/>
        </w:rPr>
        <w:t xml:space="preserve">P(e) = (3/30).(15/30) + (17/30).(6/30) + (3/30).(1/30) + (1/30).(3/30) + (3/30).(0/30) + (3/30).(5/30) ≈ 0.1867. </w:t>
      </w:r>
      <w:r w:rsidR="00947858" w:rsidRPr="00F47789">
        <w:rPr>
          <w:rFonts w:cs="Arial"/>
          <w:lang w:val="fr-FR"/>
        </w:rPr>
        <w:t xml:space="preserve"> </w:t>
      </w:r>
      <w:r w:rsidRPr="00F47789">
        <w:rPr>
          <w:rFonts w:cs="Arial"/>
          <w:lang w:val="fr-FR"/>
        </w:rPr>
        <w:t>(</w:t>
      </w:r>
      <w:r w:rsidR="000410B2" w:rsidRPr="00F47789">
        <w:rPr>
          <w:rFonts w:cs="Arial"/>
          <w:lang w:val="fr-FR"/>
        </w:rPr>
        <w:t>marges par paire</w:t>
      </w:r>
      <w:r w:rsidRPr="00F47789">
        <w:rPr>
          <w:rFonts w:cs="Arial"/>
          <w:lang w:val="fr-FR"/>
        </w:rPr>
        <w:t>)</w:t>
      </w:r>
    </w:p>
    <w:p w:rsidR="008D0F00" w:rsidRPr="00F47789" w:rsidRDefault="000410B2" w:rsidP="00621E06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r w:rsidRPr="00F47789">
        <w:rPr>
          <w:rFonts w:cs="Arial"/>
          <w:lang w:val="fr-FR"/>
        </w:rPr>
        <w:t>Donc</w:t>
      </w:r>
      <w:r w:rsidR="004857AD" w:rsidRPr="00F47789">
        <w:rPr>
          <w:rFonts w:cs="Arial"/>
          <w:lang w:val="fr-FR"/>
        </w:rPr>
        <w:t xml:space="preserve"> </w:t>
      </w:r>
      <w:proofErr w:type="gramStart"/>
      <w:r w:rsidR="004857AD" w:rsidRPr="00F47789">
        <w:rPr>
          <w:rFonts w:cs="Arial"/>
          <w:lang w:val="fr-FR"/>
        </w:rPr>
        <w:t>κ(</w:t>
      </w:r>
      <w:proofErr w:type="gramEnd"/>
      <w:r w:rsidR="004857AD" w:rsidRPr="00F47789">
        <w:rPr>
          <w:rFonts w:cs="Arial"/>
          <w:lang w:val="fr-FR"/>
        </w:rPr>
        <w:t>O1,O2) ≈ (0.3667</w:t>
      </w:r>
      <w:r w:rsidR="00401D77" w:rsidRPr="00F47789">
        <w:rPr>
          <w:rFonts w:cs="Arial"/>
          <w:lang w:val="fr-FR"/>
        </w:rPr>
        <w:noBreakHyphen/>
      </w:r>
      <w:r w:rsidR="004857AD" w:rsidRPr="00F47789">
        <w:rPr>
          <w:rFonts w:cs="Arial"/>
          <w:lang w:val="fr-FR"/>
        </w:rPr>
        <w:t>0.1867) / (1</w:t>
      </w:r>
      <w:r w:rsidR="00401D77" w:rsidRPr="00F47789">
        <w:rPr>
          <w:rFonts w:cs="Arial"/>
          <w:lang w:val="fr-FR"/>
        </w:rPr>
        <w:noBreakHyphen/>
      </w:r>
      <w:r w:rsidR="004857AD" w:rsidRPr="00F47789">
        <w:rPr>
          <w:rFonts w:cs="Arial"/>
          <w:lang w:val="fr-FR"/>
        </w:rPr>
        <w:t>0.1867) ≈ 0.22</w:t>
      </w:r>
    </w:p>
    <w:p w:rsidR="008D0F00" w:rsidRPr="00F47789" w:rsidRDefault="000410B2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lang w:val="fr-FR"/>
        </w:rPr>
        <w:t>Il s</w:t>
      </w:r>
      <w:r w:rsidR="004B3E00" w:rsidRPr="00F47789">
        <w:rPr>
          <w:rFonts w:cs="Arial"/>
          <w:lang w:val="fr-FR"/>
        </w:rPr>
        <w:t>’</w:t>
      </w:r>
      <w:r w:rsidRPr="00F47789">
        <w:rPr>
          <w:rFonts w:cs="Arial"/>
          <w:lang w:val="fr-FR"/>
        </w:rPr>
        <w:t>agit d</w:t>
      </w:r>
      <w:r w:rsidR="004B3E00" w:rsidRPr="00F47789">
        <w:rPr>
          <w:rFonts w:cs="Arial"/>
          <w:lang w:val="fr-FR"/>
        </w:rPr>
        <w:t>’</w:t>
      </w:r>
      <w:r w:rsidRPr="00F47789">
        <w:rPr>
          <w:rFonts w:cs="Arial"/>
          <w:lang w:val="fr-FR"/>
        </w:rPr>
        <w:t>une valeur faible, indiquant une concordance très faible entre ces deux</w:t>
      </w:r>
      <w:r w:rsidR="00947858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 xml:space="preserve">observateurs. </w:t>
      </w:r>
      <w:r w:rsidR="002B5BB9" w:rsidRPr="00F47789">
        <w:rPr>
          <w:rFonts w:cs="Arial"/>
          <w:lang w:val="fr-FR"/>
        </w:rPr>
        <w:t xml:space="preserve"> </w:t>
      </w:r>
      <w:r w:rsidRPr="00F47789">
        <w:rPr>
          <w:rFonts w:cs="Arial"/>
          <w:lang w:val="fr-FR"/>
        </w:rPr>
        <w:t>Cela</w:t>
      </w:r>
      <w:r w:rsidR="003F4587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constitue un sujet de préoccupation et des mesures devraient être prises pour améliorer la concordance.</w:t>
      </w:r>
      <w:r w:rsidR="002B5BB9" w:rsidRPr="00F47789">
        <w:rPr>
          <w:rFonts w:cs="Arial"/>
          <w:lang w:val="fr-FR"/>
        </w:rPr>
        <w:t xml:space="preserve"> </w:t>
      </w:r>
      <w:r w:rsidR="004857AD" w:rsidRPr="00F47789">
        <w:rPr>
          <w:rFonts w:cs="Arial"/>
          <w:lang w:val="fr-FR"/>
        </w:rPr>
        <w:t xml:space="preserve"> </w:t>
      </w:r>
      <w:r w:rsidRPr="00F47789">
        <w:rPr>
          <w:rFonts w:cs="Arial"/>
          <w:lang w:val="fr-FR"/>
        </w:rPr>
        <w:t>De</w:t>
      </w:r>
      <w:r w:rsidR="003F4587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la même manière, les valeurs pour les autres paires peuvent être calculées comme suit</w:t>
      </w:r>
      <w:r w:rsidR="00947858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 xml:space="preserve">: </w:t>
      </w:r>
      <w:proofErr w:type="gramStart"/>
      <w:r w:rsidR="004857AD" w:rsidRPr="00F47789">
        <w:rPr>
          <w:rFonts w:cs="Arial"/>
          <w:lang w:val="fr-FR"/>
        </w:rPr>
        <w:t>κ(</w:t>
      </w:r>
      <w:proofErr w:type="gramEnd"/>
      <w:r w:rsidR="004857AD" w:rsidRPr="00F47789">
        <w:rPr>
          <w:rFonts w:cs="Arial"/>
          <w:lang w:val="fr-FR"/>
        </w:rPr>
        <w:t>O1,O3) ≈ 0.72, κ(O2,O3) ≈ 0.22.</w:t>
      </w:r>
      <w:r w:rsidRPr="00F47789">
        <w:rPr>
          <w:rFonts w:cs="Arial"/>
          <w:lang w:val="fr-FR"/>
        </w:rPr>
        <w:t xml:space="preserve"> </w:t>
      </w:r>
      <w:r w:rsidR="002B5BB9" w:rsidRPr="00F47789">
        <w:rPr>
          <w:rFonts w:cs="Arial"/>
          <w:lang w:val="fr-FR"/>
        </w:rPr>
        <w:t xml:space="preserve"> </w:t>
      </w:r>
      <w:r w:rsidRPr="00F47789">
        <w:rPr>
          <w:rFonts w:cs="Arial"/>
          <w:lang w:val="fr-FR"/>
        </w:rPr>
        <w:t>Les observateurs 1 et 3 affichent une bonne concordance.</w:t>
      </w:r>
      <w:r w:rsidR="002B5BB9" w:rsidRPr="00F47789">
        <w:rPr>
          <w:rFonts w:cs="Arial"/>
          <w:lang w:val="fr-FR"/>
        </w:rPr>
        <w:t xml:space="preserve"> </w:t>
      </w:r>
      <w:r w:rsidRPr="00F47789">
        <w:rPr>
          <w:rFonts w:cs="Arial"/>
          <w:lang w:val="fr-FR"/>
        </w:rPr>
        <w:t xml:space="preserve"> </w:t>
      </w:r>
      <w:r w:rsidR="009509F4" w:rsidRPr="00F47789">
        <w:rPr>
          <w:rFonts w:cs="Arial"/>
          <w:lang w:val="fr-FR"/>
        </w:rPr>
        <w:t>L</w:t>
      </w:r>
      <w:r w:rsidR="004B3E00" w:rsidRPr="00F47789">
        <w:rPr>
          <w:rFonts w:cs="Arial"/>
          <w:lang w:val="fr-FR"/>
        </w:rPr>
        <w:t>’</w:t>
      </w:r>
      <w:r w:rsidR="004B1F68" w:rsidRPr="00F47789">
        <w:rPr>
          <w:rFonts w:cs="Arial"/>
          <w:lang w:val="fr-FR"/>
        </w:rPr>
        <w:t>observateur </w:t>
      </w:r>
      <w:r w:rsidR="009509F4" w:rsidRPr="00F47789">
        <w:rPr>
          <w:rFonts w:cs="Arial"/>
          <w:lang w:val="fr-FR"/>
        </w:rPr>
        <w:t xml:space="preserve">2 est clairement divergent et les raisons de cette </w:t>
      </w:r>
      <w:r w:rsidR="00C85571" w:rsidRPr="00F47789">
        <w:rPr>
          <w:rFonts w:cs="Arial"/>
          <w:lang w:val="fr-FR"/>
        </w:rPr>
        <w:t xml:space="preserve">différence </w:t>
      </w:r>
      <w:r w:rsidR="00FF2E1F" w:rsidRPr="00F47789">
        <w:rPr>
          <w:rFonts w:cs="Arial"/>
          <w:lang w:val="fr-FR"/>
        </w:rPr>
        <w:t>nécessitent</w:t>
      </w:r>
      <w:r w:rsidR="00C85571" w:rsidRPr="00F47789">
        <w:rPr>
          <w:rFonts w:cs="Arial"/>
          <w:lang w:val="fr-FR"/>
        </w:rPr>
        <w:t xml:space="preserve"> un examen plus approfondi</w:t>
      </w:r>
      <w:r w:rsidR="004857AD" w:rsidRPr="00F47789">
        <w:rPr>
          <w:rFonts w:cs="Arial"/>
          <w:lang w:val="fr-FR"/>
        </w:rPr>
        <w:t xml:space="preserve"> (</w:t>
      </w:r>
      <w:r w:rsidR="00C85571" w:rsidRPr="00F47789">
        <w:rPr>
          <w:rFonts w:cs="Arial"/>
          <w:lang w:val="fr-FR"/>
        </w:rPr>
        <w:t>p.</w:t>
      </w:r>
      <w:r w:rsidR="00947858" w:rsidRPr="00F47789">
        <w:rPr>
          <w:rFonts w:cs="Arial"/>
          <w:lang w:val="fr-FR"/>
        </w:rPr>
        <w:t> </w:t>
      </w:r>
      <w:r w:rsidR="00C85571" w:rsidRPr="00F47789">
        <w:rPr>
          <w:rFonts w:cs="Arial"/>
          <w:lang w:val="fr-FR"/>
        </w:rPr>
        <w:t>ex.</w:t>
      </w:r>
      <w:r w:rsidR="002B5BB9" w:rsidRPr="00F47789">
        <w:rPr>
          <w:rFonts w:cs="Arial"/>
          <w:lang w:val="fr-FR"/>
        </w:rPr>
        <w:t xml:space="preserve"> </w:t>
      </w:r>
      <w:r w:rsidR="00C85571" w:rsidRPr="00F47789">
        <w:rPr>
          <w:rFonts w:cs="Arial"/>
          <w:lang w:val="fr-FR"/>
        </w:rPr>
        <w:t>envisager une formation supplémentaire</w:t>
      </w:r>
      <w:r w:rsidR="004857AD" w:rsidRPr="00F47789">
        <w:rPr>
          <w:rFonts w:cs="Arial"/>
          <w:lang w:val="fr-FR"/>
        </w:rPr>
        <w:t>).</w:t>
      </w:r>
    </w:p>
    <w:p w:rsidR="008D0F00" w:rsidRPr="00F47789" w:rsidRDefault="008D0F00" w:rsidP="00621E06">
      <w:pPr>
        <w:spacing w:before="120" w:after="120"/>
        <w:rPr>
          <w:rFonts w:cs="Arial"/>
          <w:u w:val="single"/>
          <w:lang w:val="fr-FR"/>
        </w:rPr>
      </w:pPr>
    </w:p>
    <w:p w:rsidR="008D0F00" w:rsidRPr="00F47789" w:rsidRDefault="000410B2" w:rsidP="00621E06">
      <w:pPr>
        <w:keepNext/>
        <w:spacing w:before="120" w:after="120"/>
        <w:rPr>
          <w:rFonts w:cs="Arial"/>
          <w:u w:val="single"/>
          <w:lang w:val="fr-FR"/>
        </w:rPr>
      </w:pPr>
      <w:r w:rsidRPr="00F47789">
        <w:rPr>
          <w:rFonts w:cs="Arial"/>
          <w:u w:val="single"/>
          <w:lang w:val="fr-FR"/>
        </w:rPr>
        <w:lastRenderedPageBreak/>
        <w:t>8. Réfé</w:t>
      </w:r>
      <w:r w:rsidR="004857AD" w:rsidRPr="00F47789">
        <w:rPr>
          <w:rFonts w:cs="Arial"/>
          <w:u w:val="single"/>
          <w:lang w:val="fr-FR"/>
        </w:rPr>
        <w:t>rences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b/>
          <w:lang w:val="fr-FR"/>
        </w:rPr>
        <w:t>Cohen, J</w:t>
      </w:r>
      <w:r w:rsidRPr="00F47789">
        <w:rPr>
          <w:b/>
          <w:lang w:val="fr-FR"/>
        </w:rPr>
        <w:t>.</w:t>
      </w:r>
      <w:r w:rsidR="002B5BB9" w:rsidRPr="00F47789">
        <w:rPr>
          <w:rFonts w:cs="Arial"/>
          <w:b/>
          <w:lang w:val="fr-FR"/>
        </w:rPr>
        <w:t> </w:t>
      </w:r>
      <w:r w:rsidRPr="00F47789">
        <w:rPr>
          <w:rFonts w:cs="Arial"/>
          <w:lang w:val="fr-FR"/>
        </w:rPr>
        <w:t xml:space="preserve">(1960) A coefficient of agreement for nominal </w:t>
      </w:r>
      <w:proofErr w:type="spellStart"/>
      <w:r w:rsidRPr="00F47789">
        <w:rPr>
          <w:rFonts w:cs="Arial"/>
          <w:lang w:val="fr-FR"/>
        </w:rPr>
        <w:t>scales</w:t>
      </w:r>
      <w:proofErr w:type="spellEnd"/>
      <w:r w:rsidRPr="00F47789">
        <w:rPr>
          <w:rFonts w:cs="Arial"/>
          <w:lang w:val="fr-FR"/>
        </w:rPr>
        <w:t xml:space="preserve">. </w:t>
      </w:r>
      <w:r w:rsidR="002B5BB9"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Educational</w:t>
      </w:r>
      <w:proofErr w:type="spellEnd"/>
      <w:r w:rsidRPr="00F47789">
        <w:rPr>
          <w:rFonts w:cs="Arial"/>
          <w:lang w:val="fr-FR"/>
        </w:rPr>
        <w:t xml:space="preserve"> and </w:t>
      </w:r>
      <w:proofErr w:type="spellStart"/>
      <w:r w:rsidRPr="00F47789">
        <w:rPr>
          <w:rFonts w:cs="Arial"/>
          <w:lang w:val="fr-FR"/>
        </w:rPr>
        <w:t>Psychological</w:t>
      </w:r>
      <w:proofErr w:type="spellEnd"/>
      <w:r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Measurement</w:t>
      </w:r>
      <w:proofErr w:type="spellEnd"/>
      <w:r w:rsidRPr="00F47789">
        <w:rPr>
          <w:rFonts w:cs="Arial"/>
          <w:lang w:val="fr-FR"/>
        </w:rPr>
        <w:t xml:space="preserve"> 20</w:t>
      </w:r>
      <w:r w:rsidR="002B5BB9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: 37</w:t>
      </w:r>
      <w:r w:rsidR="00401D77" w:rsidRPr="00F47789">
        <w:rPr>
          <w:rFonts w:cs="Arial"/>
          <w:lang w:val="fr-FR"/>
        </w:rPr>
        <w:noBreakHyphen/>
      </w:r>
      <w:r w:rsidRPr="00F47789">
        <w:rPr>
          <w:rFonts w:cs="Arial"/>
          <w:lang w:val="fr-FR"/>
        </w:rPr>
        <w:t>46.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r w:rsidRPr="00F47789">
        <w:rPr>
          <w:rFonts w:cs="Arial"/>
          <w:b/>
          <w:lang w:val="fr-FR"/>
        </w:rPr>
        <w:t>Cohen, J</w:t>
      </w:r>
      <w:r w:rsidRPr="00F47789">
        <w:rPr>
          <w:b/>
          <w:lang w:val="fr-FR"/>
        </w:rPr>
        <w:t>.</w:t>
      </w:r>
      <w:r w:rsidR="002B5BB9" w:rsidRPr="00F47789">
        <w:rPr>
          <w:rFonts w:cs="Arial"/>
          <w:b/>
          <w:lang w:val="fr-FR"/>
        </w:rPr>
        <w:t> </w:t>
      </w:r>
      <w:r w:rsidRPr="00F47789">
        <w:rPr>
          <w:rFonts w:cs="Arial"/>
          <w:lang w:val="fr-FR"/>
        </w:rPr>
        <w:t xml:space="preserve">(1968) </w:t>
      </w:r>
      <w:proofErr w:type="spellStart"/>
      <w:r w:rsidRPr="00F47789">
        <w:rPr>
          <w:rFonts w:cs="Arial"/>
          <w:lang w:val="fr-FR"/>
        </w:rPr>
        <w:t>Weighted</w:t>
      </w:r>
      <w:proofErr w:type="spellEnd"/>
      <w:r w:rsidRPr="00F47789">
        <w:rPr>
          <w:rFonts w:cs="Arial"/>
          <w:lang w:val="fr-FR"/>
        </w:rPr>
        <w:t xml:space="preserve"> kappa</w:t>
      </w:r>
      <w:r w:rsidR="002B5BB9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 xml:space="preserve">: Nominal </w:t>
      </w:r>
      <w:proofErr w:type="spellStart"/>
      <w:r w:rsidRPr="00F47789">
        <w:rPr>
          <w:rFonts w:cs="Arial"/>
          <w:lang w:val="fr-FR"/>
        </w:rPr>
        <w:t>scale</w:t>
      </w:r>
      <w:proofErr w:type="spellEnd"/>
      <w:r w:rsidRPr="00F47789">
        <w:rPr>
          <w:rFonts w:cs="Arial"/>
          <w:lang w:val="fr-FR"/>
        </w:rPr>
        <w:t xml:space="preserve"> agreement provision for </w:t>
      </w:r>
      <w:proofErr w:type="spellStart"/>
      <w:r w:rsidRPr="00F47789">
        <w:rPr>
          <w:rFonts w:cs="Arial"/>
          <w:lang w:val="fr-FR"/>
        </w:rPr>
        <w:t>scaled</w:t>
      </w:r>
      <w:proofErr w:type="spellEnd"/>
      <w:r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disagreement</w:t>
      </w:r>
      <w:proofErr w:type="spellEnd"/>
      <w:r w:rsidRPr="00F47789">
        <w:rPr>
          <w:rFonts w:cs="Arial"/>
          <w:lang w:val="fr-FR"/>
        </w:rPr>
        <w:t xml:space="preserve"> or partial </w:t>
      </w:r>
      <w:proofErr w:type="spellStart"/>
      <w:r w:rsidRPr="00F47789">
        <w:rPr>
          <w:rFonts w:cs="Arial"/>
          <w:lang w:val="fr-FR"/>
        </w:rPr>
        <w:t>credit</w:t>
      </w:r>
      <w:proofErr w:type="spellEnd"/>
      <w:r w:rsidRPr="00F47789">
        <w:rPr>
          <w:rFonts w:cs="Arial"/>
          <w:lang w:val="fr-FR"/>
        </w:rPr>
        <w:t xml:space="preserve">. </w:t>
      </w:r>
      <w:r w:rsidR="002B5BB9"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Psychological</w:t>
      </w:r>
      <w:proofErr w:type="spellEnd"/>
      <w:r w:rsidRPr="00F47789">
        <w:rPr>
          <w:rFonts w:cs="Arial"/>
          <w:lang w:val="fr-FR"/>
        </w:rPr>
        <w:t xml:space="preserve"> Bulletin, 70(4)</w:t>
      </w:r>
      <w:r w:rsidR="002B5BB9" w:rsidRPr="00F47789">
        <w:rPr>
          <w:rFonts w:cs="Arial"/>
          <w:lang w:val="fr-FR"/>
        </w:rPr>
        <w:t> :</w:t>
      </w:r>
      <w:r w:rsidRPr="00F47789">
        <w:rPr>
          <w:rFonts w:cs="Arial"/>
          <w:lang w:val="fr-FR"/>
        </w:rPr>
        <w:t xml:space="preserve"> 213</w:t>
      </w:r>
      <w:r w:rsidR="00401D77" w:rsidRPr="00F47789">
        <w:rPr>
          <w:rFonts w:cs="Arial"/>
          <w:lang w:val="fr-FR"/>
        </w:rPr>
        <w:noBreakHyphen/>
      </w:r>
      <w:r w:rsidRPr="00F47789">
        <w:rPr>
          <w:rFonts w:cs="Arial"/>
          <w:lang w:val="fr-FR"/>
        </w:rPr>
        <w:t>220.</w:t>
      </w:r>
    </w:p>
    <w:p w:rsidR="008D0F00" w:rsidRPr="00F47789" w:rsidRDefault="004857AD" w:rsidP="00621E06">
      <w:pPr>
        <w:spacing w:before="120" w:after="120"/>
        <w:rPr>
          <w:rFonts w:cs="Arial"/>
          <w:lang w:val="fr-FR"/>
        </w:rPr>
      </w:pPr>
      <w:proofErr w:type="spellStart"/>
      <w:r w:rsidRPr="00F47789">
        <w:rPr>
          <w:rFonts w:cs="Arial"/>
          <w:b/>
          <w:lang w:val="fr-FR"/>
        </w:rPr>
        <w:t>Bland</w:t>
      </w:r>
      <w:proofErr w:type="spellEnd"/>
      <w:r w:rsidRPr="00F47789">
        <w:rPr>
          <w:rFonts w:cs="Arial"/>
          <w:b/>
          <w:lang w:val="fr-FR"/>
        </w:rPr>
        <w:t>, J.</w:t>
      </w:r>
      <w:r w:rsidR="002B5BB9" w:rsidRPr="00F47789">
        <w:rPr>
          <w:rFonts w:cs="Arial"/>
          <w:b/>
          <w:lang w:val="fr-FR"/>
        </w:rPr>
        <w:t> </w:t>
      </w:r>
      <w:r w:rsidRPr="00F47789">
        <w:rPr>
          <w:rFonts w:cs="Arial"/>
          <w:b/>
          <w:lang w:val="fr-FR"/>
        </w:rPr>
        <w:t>M.</w:t>
      </w:r>
      <w:r w:rsidR="002B5BB9" w:rsidRPr="00F47789">
        <w:rPr>
          <w:rFonts w:cs="Arial"/>
          <w:b/>
          <w:lang w:val="fr-FR"/>
        </w:rPr>
        <w:t> </w:t>
      </w:r>
      <w:r w:rsidRPr="00F47789">
        <w:rPr>
          <w:rFonts w:cs="Arial"/>
          <w:b/>
          <w:lang w:val="fr-FR"/>
        </w:rPr>
        <w:t>Altman D.</w:t>
      </w:r>
      <w:r w:rsidR="002B5BB9" w:rsidRPr="00F47789">
        <w:rPr>
          <w:rFonts w:cs="Arial"/>
          <w:b/>
          <w:lang w:val="fr-FR"/>
        </w:rPr>
        <w:t> </w:t>
      </w:r>
      <w:r w:rsidRPr="00F47789">
        <w:rPr>
          <w:rFonts w:cs="Arial"/>
          <w:b/>
          <w:lang w:val="fr-FR"/>
        </w:rPr>
        <w:t>G.</w:t>
      </w:r>
      <w:r w:rsidR="002B5BB9" w:rsidRPr="00F47789">
        <w:rPr>
          <w:rFonts w:cs="Arial"/>
          <w:b/>
          <w:lang w:val="fr-FR"/>
        </w:rPr>
        <w:t> </w:t>
      </w:r>
      <w:r w:rsidRPr="00F47789">
        <w:rPr>
          <w:rFonts w:cs="Arial"/>
          <w:lang w:val="fr-FR"/>
        </w:rPr>
        <w:t xml:space="preserve">(1986) </w:t>
      </w:r>
      <w:proofErr w:type="spellStart"/>
      <w:r w:rsidRPr="00F47789">
        <w:rPr>
          <w:rFonts w:cs="Arial"/>
          <w:lang w:val="fr-FR"/>
        </w:rPr>
        <w:t>Statistical</w:t>
      </w:r>
      <w:proofErr w:type="spellEnd"/>
      <w:r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methods</w:t>
      </w:r>
      <w:proofErr w:type="spellEnd"/>
      <w:r w:rsidRPr="00F47789">
        <w:rPr>
          <w:rFonts w:cs="Arial"/>
          <w:lang w:val="fr-FR"/>
        </w:rPr>
        <w:t xml:space="preserve"> for </w:t>
      </w:r>
      <w:proofErr w:type="spellStart"/>
      <w:r w:rsidRPr="00F47789">
        <w:rPr>
          <w:rFonts w:cs="Arial"/>
          <w:lang w:val="fr-FR"/>
        </w:rPr>
        <w:t>assessing</w:t>
      </w:r>
      <w:proofErr w:type="spellEnd"/>
      <w:r w:rsidRPr="00F47789">
        <w:rPr>
          <w:rFonts w:cs="Arial"/>
          <w:lang w:val="fr-FR"/>
        </w:rPr>
        <w:t xml:space="preserve"> agreement </w:t>
      </w:r>
      <w:proofErr w:type="spellStart"/>
      <w:r w:rsidRPr="00F47789">
        <w:rPr>
          <w:rFonts w:cs="Arial"/>
          <w:lang w:val="fr-FR"/>
        </w:rPr>
        <w:t>between</w:t>
      </w:r>
      <w:proofErr w:type="spellEnd"/>
      <w:r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two</w:t>
      </w:r>
      <w:proofErr w:type="spellEnd"/>
      <w:r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methods</w:t>
      </w:r>
      <w:proofErr w:type="spellEnd"/>
      <w:r w:rsidRPr="00F47789">
        <w:rPr>
          <w:rFonts w:cs="Arial"/>
          <w:lang w:val="fr-FR"/>
        </w:rPr>
        <w:t xml:space="preserve"> of </w:t>
      </w:r>
      <w:proofErr w:type="spellStart"/>
      <w:r w:rsidRPr="00F47789">
        <w:rPr>
          <w:rFonts w:cs="Arial"/>
          <w:lang w:val="fr-FR"/>
        </w:rPr>
        <w:t>clinical</w:t>
      </w:r>
      <w:proofErr w:type="spellEnd"/>
      <w:r w:rsidRPr="00F47789">
        <w:rPr>
          <w:rFonts w:cs="Arial"/>
          <w:lang w:val="fr-FR"/>
        </w:rPr>
        <w:t xml:space="preserve"> </w:t>
      </w:r>
      <w:proofErr w:type="spellStart"/>
      <w:r w:rsidRPr="00F47789">
        <w:rPr>
          <w:rFonts w:cs="Arial"/>
          <w:lang w:val="fr-FR"/>
        </w:rPr>
        <w:t>measurement</w:t>
      </w:r>
      <w:proofErr w:type="spellEnd"/>
      <w:r w:rsidRPr="00F47789">
        <w:rPr>
          <w:rFonts w:cs="Arial"/>
          <w:lang w:val="fr-FR"/>
        </w:rPr>
        <w:t>, Lancet</w:t>
      </w:r>
      <w:r w:rsidR="002B5BB9" w:rsidRPr="00F47789">
        <w:rPr>
          <w:rFonts w:cs="Arial"/>
          <w:lang w:val="fr-FR"/>
        </w:rPr>
        <w:t> </w:t>
      </w:r>
      <w:r w:rsidRPr="00F47789">
        <w:rPr>
          <w:rFonts w:cs="Arial"/>
          <w:lang w:val="fr-FR"/>
        </w:rPr>
        <w:t>: 307–310.</w:t>
      </w:r>
    </w:p>
    <w:p w:rsidR="008D0F00" w:rsidRPr="00F47789" w:rsidRDefault="000F6CAC" w:rsidP="00621E06">
      <w:pPr>
        <w:spacing w:before="120" w:after="120"/>
        <w:rPr>
          <w:lang w:val="fr-FR"/>
        </w:rPr>
      </w:pPr>
      <w:hyperlink r:id="rId12" w:history="1">
        <w:r w:rsidR="004857AD" w:rsidRPr="00F47789">
          <w:rPr>
            <w:color w:val="0000FF"/>
            <w:u w:val="single"/>
            <w:lang w:val="fr-FR"/>
          </w:rPr>
          <w:t>http://www.seedtest.org/en/stats</w:t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857AD" w:rsidRPr="00F47789">
          <w:rPr>
            <w:color w:val="0000FF"/>
            <w:u w:val="single"/>
            <w:lang w:val="fr-FR"/>
          </w:rPr>
          <w:t>tool</w:t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857AD" w:rsidRPr="00F47789">
          <w:rPr>
            <w:color w:val="0000FF"/>
            <w:u w:val="single"/>
            <w:lang w:val="fr-FR"/>
          </w:rPr>
          <w:t>box</w:t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857AD" w:rsidRPr="00F47789">
          <w:rPr>
            <w:color w:val="0000FF"/>
            <w:u w:val="single"/>
            <w:lang w:val="fr-FR"/>
          </w:rPr>
          <w:t>_content</w:t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857AD" w:rsidRPr="00F47789">
          <w:rPr>
            <w:color w:val="0000FF"/>
            <w:u w:val="single"/>
            <w:lang w:val="fr-FR"/>
          </w:rPr>
          <w:t>1</w:t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01D77" w:rsidRPr="00F47789">
          <w:rPr>
            <w:color w:val="0000FF"/>
            <w:u w:val="single"/>
            <w:lang w:val="fr-FR"/>
          </w:rPr>
          <w:noBreakHyphen/>
        </w:r>
        <w:r w:rsidR="004857AD" w:rsidRPr="00F47789">
          <w:rPr>
            <w:color w:val="0000FF"/>
            <w:u w:val="single"/>
            <w:lang w:val="fr-FR"/>
          </w:rPr>
          <w:t>1143.html</w:t>
        </w:r>
      </w:hyperlink>
      <w:r w:rsidR="004857AD" w:rsidRPr="00F47789">
        <w:rPr>
          <w:lang w:val="fr-FR"/>
        </w:rPr>
        <w:t xml:space="preserve"> (</w:t>
      </w:r>
      <w:r w:rsidR="0046798C" w:rsidRPr="00F47789">
        <w:rPr>
          <w:lang w:val="fr-FR"/>
        </w:rPr>
        <w:t>logiciel fondé sur la norme</w:t>
      </w:r>
      <w:r w:rsidR="00947858" w:rsidRPr="00F47789">
        <w:rPr>
          <w:lang w:val="fr-FR"/>
        </w:rPr>
        <w:t> </w:t>
      </w:r>
      <w:r w:rsidR="004857AD" w:rsidRPr="00F47789">
        <w:rPr>
          <w:lang w:val="fr-FR"/>
        </w:rPr>
        <w:t>ISO 5725</w:t>
      </w:r>
      <w:r w:rsidR="00401D77" w:rsidRPr="00F47789">
        <w:rPr>
          <w:lang w:val="fr-FR"/>
        </w:rPr>
        <w:noBreakHyphen/>
      </w:r>
      <w:r w:rsidR="004857AD" w:rsidRPr="00F47789">
        <w:rPr>
          <w:lang w:val="fr-FR"/>
        </w:rPr>
        <w:t>2)</w:t>
      </w:r>
    </w:p>
    <w:p w:rsidR="008D0F00" w:rsidRDefault="008D0F00" w:rsidP="00F47789">
      <w:pPr>
        <w:rPr>
          <w:lang w:val="fr-FR"/>
        </w:rPr>
      </w:pPr>
      <w:bookmarkStart w:id="18" w:name="_GoBack"/>
      <w:bookmarkEnd w:id="18"/>
    </w:p>
    <w:p w:rsidR="00F47789" w:rsidRPr="00F47789" w:rsidRDefault="00F47789" w:rsidP="00F47789">
      <w:pPr>
        <w:rPr>
          <w:lang w:val="fr-FR"/>
        </w:rPr>
      </w:pPr>
    </w:p>
    <w:p w:rsidR="008D0F00" w:rsidRPr="00F47789" w:rsidRDefault="000410B2" w:rsidP="00F47789">
      <w:pPr>
        <w:ind w:left="567" w:hanging="567"/>
        <w:jc w:val="right"/>
        <w:rPr>
          <w:lang w:val="fr-FR"/>
        </w:rPr>
      </w:pPr>
      <w:r w:rsidRPr="00F47789">
        <w:rPr>
          <w:lang w:val="fr-FR"/>
        </w:rPr>
        <w:t>[Fin</w:t>
      </w:r>
      <w:r w:rsidR="008B1C36" w:rsidRPr="00F47789">
        <w:rPr>
          <w:lang w:val="fr-FR"/>
        </w:rPr>
        <w:t xml:space="preserve"> de l</w:t>
      </w:r>
      <w:r w:rsidR="004B3E00" w:rsidRPr="00F47789">
        <w:rPr>
          <w:lang w:val="fr-FR"/>
        </w:rPr>
        <w:t>’</w:t>
      </w:r>
      <w:r w:rsidR="008B1C36" w:rsidRPr="00F47789">
        <w:rPr>
          <w:lang w:val="fr-FR"/>
        </w:rPr>
        <w:t>annexe et</w:t>
      </w:r>
      <w:r w:rsidRPr="00F47789">
        <w:rPr>
          <w:lang w:val="fr-FR"/>
        </w:rPr>
        <w:t xml:space="preserve"> du</w:t>
      </w:r>
      <w:r w:rsidR="004857AD" w:rsidRPr="00F47789">
        <w:rPr>
          <w:lang w:val="fr-FR"/>
        </w:rPr>
        <w:t xml:space="preserve"> document]</w:t>
      </w:r>
    </w:p>
    <w:p w:rsidR="008D0F00" w:rsidRPr="00F47789" w:rsidRDefault="008D0F00" w:rsidP="00621E06">
      <w:pPr>
        <w:rPr>
          <w:lang w:val="fr-FR"/>
        </w:rPr>
      </w:pPr>
    </w:p>
    <w:sectPr w:rsidR="008D0F00" w:rsidRPr="00F47789" w:rsidSect="00401D77">
      <w:head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AC" w:rsidRDefault="000F6CAC" w:rsidP="006655D3">
      <w:r>
        <w:separator/>
      </w:r>
    </w:p>
    <w:p w:rsidR="000F6CAC" w:rsidRDefault="000F6CAC" w:rsidP="006655D3"/>
    <w:p w:rsidR="000F6CAC" w:rsidRDefault="000F6CAC" w:rsidP="006655D3"/>
  </w:endnote>
  <w:endnote w:type="continuationSeparator" w:id="0">
    <w:p w:rsidR="000F6CAC" w:rsidRDefault="000F6CAC" w:rsidP="006655D3">
      <w:r>
        <w:separator/>
      </w:r>
    </w:p>
    <w:p w:rsidR="000F6CAC" w:rsidRPr="00704EB7" w:rsidRDefault="000F6CAC">
      <w:pPr>
        <w:pStyle w:val="Footer"/>
        <w:spacing w:after="60"/>
        <w:rPr>
          <w:sz w:val="18"/>
          <w:lang w:val="fr-FR"/>
        </w:rPr>
      </w:pPr>
      <w:r w:rsidRPr="00704EB7">
        <w:rPr>
          <w:sz w:val="18"/>
          <w:lang w:val="fr-FR"/>
        </w:rPr>
        <w:t>[Suite de la note de la page précédente]</w:t>
      </w:r>
    </w:p>
    <w:p w:rsidR="000F6CAC" w:rsidRPr="00704EB7" w:rsidRDefault="000F6CAC" w:rsidP="006655D3">
      <w:pPr>
        <w:rPr>
          <w:lang w:val="fr-FR"/>
        </w:rPr>
      </w:pPr>
    </w:p>
    <w:p w:rsidR="000F6CAC" w:rsidRPr="00704EB7" w:rsidRDefault="000F6CAC" w:rsidP="006655D3">
      <w:pPr>
        <w:rPr>
          <w:lang w:val="fr-FR"/>
        </w:rPr>
      </w:pPr>
    </w:p>
  </w:endnote>
  <w:endnote w:type="continuationNotice" w:id="1">
    <w:p w:rsidR="000F6CAC" w:rsidRPr="00704EB7" w:rsidRDefault="000F6CAC" w:rsidP="006655D3">
      <w:pPr>
        <w:rPr>
          <w:lang w:val="fr-FR"/>
        </w:rPr>
      </w:pPr>
      <w:r w:rsidRPr="00704EB7">
        <w:rPr>
          <w:lang w:val="fr-FR"/>
        </w:rPr>
        <w:t>[Suite de la note page suivante]</w:t>
      </w:r>
    </w:p>
    <w:p w:rsidR="000F6CAC" w:rsidRPr="00704EB7" w:rsidRDefault="000F6CAC" w:rsidP="006655D3">
      <w:pPr>
        <w:rPr>
          <w:lang w:val="fr-FR"/>
        </w:rPr>
      </w:pPr>
    </w:p>
    <w:p w:rsidR="000F6CAC" w:rsidRPr="00704EB7" w:rsidRDefault="000F6CA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C" w:rsidRPr="00561599" w:rsidRDefault="000F6CAC" w:rsidP="00943195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n:\orglan\aem\pool\tc_52_16_38851_fr.docx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AC" w:rsidRDefault="000F6CAC" w:rsidP="006655D3">
      <w:r>
        <w:separator/>
      </w:r>
    </w:p>
  </w:footnote>
  <w:footnote w:type="continuationSeparator" w:id="0">
    <w:p w:rsidR="000F6CAC" w:rsidRDefault="000F6CAC" w:rsidP="006655D3">
      <w:r>
        <w:separator/>
      </w:r>
    </w:p>
  </w:footnote>
  <w:footnote w:type="continuationNotice" w:id="1">
    <w:p w:rsidR="000F6CAC" w:rsidRPr="00AB530F" w:rsidRDefault="000F6CA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C" w:rsidRDefault="000F6CAC">
    <w:pPr>
      <w:pStyle w:val="Header"/>
    </w:pPr>
    <w:r>
      <w:t>TC/52/16</w:t>
    </w:r>
  </w:p>
  <w:p w:rsidR="000F6CAC" w:rsidRDefault="000F6CAC">
    <w:pPr>
      <w:pStyle w:val="Header"/>
    </w:pPr>
    <w:proofErr w:type="gramStart"/>
    <w:r>
      <w:t>page</w:t>
    </w:r>
    <w:proofErr w:type="gramEnd"/>
    <w:r>
      <w:t xml:space="preserve"> </w:t>
    </w:r>
    <w:sdt>
      <w:sdtPr>
        <w:id w:val="-9843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789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0F6CAC" w:rsidRDefault="000F6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C" w:rsidRDefault="000F6CAC" w:rsidP="002F174B">
    <w:pPr>
      <w:pStyle w:val="Header"/>
    </w:pPr>
    <w:r>
      <w:t>TC/52/16</w:t>
    </w:r>
  </w:p>
  <w:p w:rsidR="000F6CAC" w:rsidRDefault="000F6CAC" w:rsidP="002F174B">
    <w:pPr>
      <w:pStyle w:val="Header"/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, </w:t>
    </w: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F47789">
      <w:rPr>
        <w:noProof/>
      </w:rPr>
      <w:t>2</w:t>
    </w:r>
    <w:r>
      <w:fldChar w:fldCharType="end"/>
    </w:r>
  </w:p>
  <w:p w:rsidR="000F6CAC" w:rsidRPr="00C5280D" w:rsidRDefault="000F6CAC" w:rsidP="00FD1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C" w:rsidRDefault="000F6CAC" w:rsidP="002F174B">
    <w:pPr>
      <w:pStyle w:val="Header"/>
    </w:pPr>
    <w:r>
      <w:t>TC/52/16</w:t>
    </w:r>
  </w:p>
  <w:p w:rsidR="000F6CAC" w:rsidRDefault="000F6CAC" w:rsidP="002F174B">
    <w:pPr>
      <w:pStyle w:val="Header"/>
      <w:rPr>
        <w:lang w:val="en-US"/>
      </w:rPr>
    </w:pPr>
  </w:p>
  <w:p w:rsidR="000F6CAC" w:rsidRPr="00C5280D" w:rsidRDefault="000F6CAC" w:rsidP="002F174B">
    <w:pPr>
      <w:pStyle w:val="Header"/>
    </w:pPr>
    <w:r>
      <w:rPr>
        <w:lang w:val="en-US"/>
      </w:rPr>
      <w:t>ANNEXE</w:t>
    </w:r>
  </w:p>
  <w:p w:rsidR="000F6CAC" w:rsidRDefault="000F6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BA4"/>
    <w:multiLevelType w:val="hybridMultilevel"/>
    <w:tmpl w:val="87B2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B10"/>
    <w:multiLevelType w:val="hybridMultilevel"/>
    <w:tmpl w:val="20944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72CFC"/>
    <w:multiLevelType w:val="hybridMultilevel"/>
    <w:tmpl w:val="E3EC918C"/>
    <w:lvl w:ilvl="0" w:tplc="6C2C5380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781"/>
    <w:multiLevelType w:val="hybridMultilevel"/>
    <w:tmpl w:val="C748B13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10217"/>
    <w:multiLevelType w:val="hybridMultilevel"/>
    <w:tmpl w:val="C2C4937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61FB7"/>
    <w:multiLevelType w:val="hybridMultilevel"/>
    <w:tmpl w:val="E0047C26"/>
    <w:lvl w:ilvl="0" w:tplc="17101ADC">
      <w:start w:val="1"/>
      <w:numFmt w:val="lowerLetter"/>
      <w:lvlText w:val="(%1)"/>
      <w:lvlJc w:val="righ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UPOV_Beta|WIPONew"/>
    <w:docVar w:name="TermBaseURL" w:val="empty"/>
    <w:docVar w:name="TextBases" w:val="TextBase TMs\WorkspaceFTS\EN-FR\UPOV|TextBase TMs\UPOV\Meetings|TextBase TMs\UPOV\Other|TextBase TMs\UPOV\Publications|TextBase TMs\UPOV\Technical Guidelines"/>
    <w:docVar w:name="TextBaseURL" w:val="empty"/>
    <w:docVar w:name="UILng" w:val="en"/>
  </w:docVars>
  <w:rsids>
    <w:rsidRoot w:val="007D7322"/>
    <w:rsid w:val="00002FC2"/>
    <w:rsid w:val="0000770A"/>
    <w:rsid w:val="00007A2E"/>
    <w:rsid w:val="00010CF3"/>
    <w:rsid w:val="00011E27"/>
    <w:rsid w:val="000146F8"/>
    <w:rsid w:val="000148BC"/>
    <w:rsid w:val="00024AB8"/>
    <w:rsid w:val="00030854"/>
    <w:rsid w:val="00036028"/>
    <w:rsid w:val="000410B2"/>
    <w:rsid w:val="00044642"/>
    <w:rsid w:val="000446B9"/>
    <w:rsid w:val="0004574A"/>
    <w:rsid w:val="00047E21"/>
    <w:rsid w:val="00050E16"/>
    <w:rsid w:val="0008292B"/>
    <w:rsid w:val="00085505"/>
    <w:rsid w:val="0009222B"/>
    <w:rsid w:val="00095079"/>
    <w:rsid w:val="000A4B8D"/>
    <w:rsid w:val="000A6D30"/>
    <w:rsid w:val="000C7021"/>
    <w:rsid w:val="000D6BBC"/>
    <w:rsid w:val="000D7780"/>
    <w:rsid w:val="000D77AD"/>
    <w:rsid w:val="000E1E8E"/>
    <w:rsid w:val="000E5320"/>
    <w:rsid w:val="000F2F11"/>
    <w:rsid w:val="000F51AB"/>
    <w:rsid w:val="000F6CAC"/>
    <w:rsid w:val="00101CB3"/>
    <w:rsid w:val="00103A1B"/>
    <w:rsid w:val="001042F6"/>
    <w:rsid w:val="00105929"/>
    <w:rsid w:val="001066DC"/>
    <w:rsid w:val="001104F9"/>
    <w:rsid w:val="001131D5"/>
    <w:rsid w:val="00113A51"/>
    <w:rsid w:val="00130631"/>
    <w:rsid w:val="001311B5"/>
    <w:rsid w:val="001328F0"/>
    <w:rsid w:val="0013508D"/>
    <w:rsid w:val="00141DB8"/>
    <w:rsid w:val="00146FB5"/>
    <w:rsid w:val="0017474A"/>
    <w:rsid w:val="001758C6"/>
    <w:rsid w:val="00180609"/>
    <w:rsid w:val="00180C59"/>
    <w:rsid w:val="00182B99"/>
    <w:rsid w:val="00193D5D"/>
    <w:rsid w:val="0019691C"/>
    <w:rsid w:val="001A0E15"/>
    <w:rsid w:val="001A2626"/>
    <w:rsid w:val="001C3B3F"/>
    <w:rsid w:val="001D3FC0"/>
    <w:rsid w:val="001D7C68"/>
    <w:rsid w:val="001F4859"/>
    <w:rsid w:val="001F76F5"/>
    <w:rsid w:val="0021332C"/>
    <w:rsid w:val="00213982"/>
    <w:rsid w:val="00215517"/>
    <w:rsid w:val="00231178"/>
    <w:rsid w:val="00241D9A"/>
    <w:rsid w:val="0024416D"/>
    <w:rsid w:val="0025430E"/>
    <w:rsid w:val="00256D98"/>
    <w:rsid w:val="00262BD9"/>
    <w:rsid w:val="00263F06"/>
    <w:rsid w:val="00266A50"/>
    <w:rsid w:val="0027182F"/>
    <w:rsid w:val="00271911"/>
    <w:rsid w:val="002759DC"/>
    <w:rsid w:val="00277E2D"/>
    <w:rsid w:val="00277FA7"/>
    <w:rsid w:val="002800A0"/>
    <w:rsid w:val="002801B3"/>
    <w:rsid w:val="00281060"/>
    <w:rsid w:val="002940E8"/>
    <w:rsid w:val="002A299C"/>
    <w:rsid w:val="002A3943"/>
    <w:rsid w:val="002A6E50"/>
    <w:rsid w:val="002B2127"/>
    <w:rsid w:val="002B2F14"/>
    <w:rsid w:val="002B5BB9"/>
    <w:rsid w:val="002C256A"/>
    <w:rsid w:val="002D0CBC"/>
    <w:rsid w:val="002D5B74"/>
    <w:rsid w:val="002D630D"/>
    <w:rsid w:val="002F174B"/>
    <w:rsid w:val="002F7C2E"/>
    <w:rsid w:val="00305A7F"/>
    <w:rsid w:val="003152FE"/>
    <w:rsid w:val="00327134"/>
    <w:rsid w:val="00327436"/>
    <w:rsid w:val="00330232"/>
    <w:rsid w:val="00343EE5"/>
    <w:rsid w:val="00344BD6"/>
    <w:rsid w:val="0035006C"/>
    <w:rsid w:val="0035528D"/>
    <w:rsid w:val="00361821"/>
    <w:rsid w:val="0036410E"/>
    <w:rsid w:val="00364F87"/>
    <w:rsid w:val="00365D5B"/>
    <w:rsid w:val="00381038"/>
    <w:rsid w:val="003B1591"/>
    <w:rsid w:val="003D082E"/>
    <w:rsid w:val="003D227C"/>
    <w:rsid w:val="003D2B4D"/>
    <w:rsid w:val="003F4587"/>
    <w:rsid w:val="003F60BF"/>
    <w:rsid w:val="00401D77"/>
    <w:rsid w:val="00422B88"/>
    <w:rsid w:val="00435619"/>
    <w:rsid w:val="004408B4"/>
    <w:rsid w:val="00444A88"/>
    <w:rsid w:val="004664C6"/>
    <w:rsid w:val="0046798C"/>
    <w:rsid w:val="004717F7"/>
    <w:rsid w:val="00472625"/>
    <w:rsid w:val="00474DA4"/>
    <w:rsid w:val="00476B4D"/>
    <w:rsid w:val="004805FA"/>
    <w:rsid w:val="004857AD"/>
    <w:rsid w:val="004A1F3A"/>
    <w:rsid w:val="004B1F68"/>
    <w:rsid w:val="004B22BD"/>
    <w:rsid w:val="004B3E00"/>
    <w:rsid w:val="004B5768"/>
    <w:rsid w:val="004C4ACB"/>
    <w:rsid w:val="004D047D"/>
    <w:rsid w:val="004D10CC"/>
    <w:rsid w:val="004E3EF0"/>
    <w:rsid w:val="004E5D3F"/>
    <w:rsid w:val="004F305A"/>
    <w:rsid w:val="00511163"/>
    <w:rsid w:val="00511ADF"/>
    <w:rsid w:val="00512164"/>
    <w:rsid w:val="00520297"/>
    <w:rsid w:val="00530EBA"/>
    <w:rsid w:val="005332B9"/>
    <w:rsid w:val="005338F9"/>
    <w:rsid w:val="0053429E"/>
    <w:rsid w:val="0054281C"/>
    <w:rsid w:val="00544A93"/>
    <w:rsid w:val="00547928"/>
    <w:rsid w:val="00551BE1"/>
    <w:rsid w:val="0055268D"/>
    <w:rsid w:val="00561599"/>
    <w:rsid w:val="00566398"/>
    <w:rsid w:val="005702C1"/>
    <w:rsid w:val="00576BE4"/>
    <w:rsid w:val="00582344"/>
    <w:rsid w:val="00583A57"/>
    <w:rsid w:val="005A07BC"/>
    <w:rsid w:val="005A400A"/>
    <w:rsid w:val="005F320C"/>
    <w:rsid w:val="006113A2"/>
    <w:rsid w:val="00612379"/>
    <w:rsid w:val="0061555F"/>
    <w:rsid w:val="00621866"/>
    <w:rsid w:val="00621E06"/>
    <w:rsid w:val="00637CFE"/>
    <w:rsid w:val="00641200"/>
    <w:rsid w:val="0065191D"/>
    <w:rsid w:val="00651C69"/>
    <w:rsid w:val="00661531"/>
    <w:rsid w:val="006622E4"/>
    <w:rsid w:val="006655D3"/>
    <w:rsid w:val="00667404"/>
    <w:rsid w:val="00680E7C"/>
    <w:rsid w:val="00687EB4"/>
    <w:rsid w:val="006A1BE9"/>
    <w:rsid w:val="006A27B5"/>
    <w:rsid w:val="006A573A"/>
    <w:rsid w:val="006B17D2"/>
    <w:rsid w:val="006C224E"/>
    <w:rsid w:val="006D780A"/>
    <w:rsid w:val="006E1045"/>
    <w:rsid w:val="00701CCC"/>
    <w:rsid w:val="00704EB7"/>
    <w:rsid w:val="00707047"/>
    <w:rsid w:val="007159DE"/>
    <w:rsid w:val="00717B91"/>
    <w:rsid w:val="00732DEC"/>
    <w:rsid w:val="00735BD5"/>
    <w:rsid w:val="00737C00"/>
    <w:rsid w:val="00747690"/>
    <w:rsid w:val="007556F6"/>
    <w:rsid w:val="007560A4"/>
    <w:rsid w:val="00760EEF"/>
    <w:rsid w:val="007758B2"/>
    <w:rsid w:val="00777EE5"/>
    <w:rsid w:val="00784836"/>
    <w:rsid w:val="0079023E"/>
    <w:rsid w:val="00797356"/>
    <w:rsid w:val="007A2854"/>
    <w:rsid w:val="007D0B9D"/>
    <w:rsid w:val="007D19B0"/>
    <w:rsid w:val="007D7322"/>
    <w:rsid w:val="007F3AC1"/>
    <w:rsid w:val="007F498F"/>
    <w:rsid w:val="0080679D"/>
    <w:rsid w:val="008108B0"/>
    <w:rsid w:val="00811B20"/>
    <w:rsid w:val="00811C7D"/>
    <w:rsid w:val="0082008B"/>
    <w:rsid w:val="0082296E"/>
    <w:rsid w:val="00824099"/>
    <w:rsid w:val="00831A5F"/>
    <w:rsid w:val="00844CF0"/>
    <w:rsid w:val="00853E5D"/>
    <w:rsid w:val="00860745"/>
    <w:rsid w:val="00864A0F"/>
    <w:rsid w:val="00867AC1"/>
    <w:rsid w:val="008A743F"/>
    <w:rsid w:val="008B1C36"/>
    <w:rsid w:val="008B79A6"/>
    <w:rsid w:val="008C0970"/>
    <w:rsid w:val="008C63A0"/>
    <w:rsid w:val="008C77C1"/>
    <w:rsid w:val="008D0F00"/>
    <w:rsid w:val="008D2CF7"/>
    <w:rsid w:val="00900C26"/>
    <w:rsid w:val="0090197F"/>
    <w:rsid w:val="00903BA9"/>
    <w:rsid w:val="00904EE4"/>
    <w:rsid w:val="00905075"/>
    <w:rsid w:val="009060B1"/>
    <w:rsid w:val="00906DDC"/>
    <w:rsid w:val="00907773"/>
    <w:rsid w:val="00912AC7"/>
    <w:rsid w:val="00912CB0"/>
    <w:rsid w:val="009260EE"/>
    <w:rsid w:val="00934E09"/>
    <w:rsid w:val="00936253"/>
    <w:rsid w:val="00943195"/>
    <w:rsid w:val="009435B0"/>
    <w:rsid w:val="00947858"/>
    <w:rsid w:val="009509F4"/>
    <w:rsid w:val="00952DD4"/>
    <w:rsid w:val="009656B4"/>
    <w:rsid w:val="00970FED"/>
    <w:rsid w:val="009718E2"/>
    <w:rsid w:val="009805CC"/>
    <w:rsid w:val="00981609"/>
    <w:rsid w:val="00985BF8"/>
    <w:rsid w:val="00992D82"/>
    <w:rsid w:val="00997029"/>
    <w:rsid w:val="009A24AB"/>
    <w:rsid w:val="009C0F76"/>
    <w:rsid w:val="009C6DD8"/>
    <w:rsid w:val="009D690D"/>
    <w:rsid w:val="009D7CB2"/>
    <w:rsid w:val="009E2F45"/>
    <w:rsid w:val="009E65B6"/>
    <w:rsid w:val="009F03A1"/>
    <w:rsid w:val="00A05486"/>
    <w:rsid w:val="00A10C55"/>
    <w:rsid w:val="00A14599"/>
    <w:rsid w:val="00A24110"/>
    <w:rsid w:val="00A24C10"/>
    <w:rsid w:val="00A260DE"/>
    <w:rsid w:val="00A266D2"/>
    <w:rsid w:val="00A30001"/>
    <w:rsid w:val="00A32BB1"/>
    <w:rsid w:val="00A3305C"/>
    <w:rsid w:val="00A36525"/>
    <w:rsid w:val="00A37268"/>
    <w:rsid w:val="00A4133B"/>
    <w:rsid w:val="00A42AC3"/>
    <w:rsid w:val="00A430CF"/>
    <w:rsid w:val="00A54309"/>
    <w:rsid w:val="00A573A4"/>
    <w:rsid w:val="00A73529"/>
    <w:rsid w:val="00A75418"/>
    <w:rsid w:val="00A91576"/>
    <w:rsid w:val="00AA342C"/>
    <w:rsid w:val="00AA394F"/>
    <w:rsid w:val="00AB2B93"/>
    <w:rsid w:val="00AB530F"/>
    <w:rsid w:val="00AB62C5"/>
    <w:rsid w:val="00AB7E5B"/>
    <w:rsid w:val="00AC0278"/>
    <w:rsid w:val="00AD64D9"/>
    <w:rsid w:val="00AE0EF1"/>
    <w:rsid w:val="00AE1EA0"/>
    <w:rsid w:val="00AE2756"/>
    <w:rsid w:val="00AE2937"/>
    <w:rsid w:val="00AE6553"/>
    <w:rsid w:val="00B07301"/>
    <w:rsid w:val="00B13269"/>
    <w:rsid w:val="00B224DE"/>
    <w:rsid w:val="00B25A18"/>
    <w:rsid w:val="00B27346"/>
    <w:rsid w:val="00B46575"/>
    <w:rsid w:val="00B47DBB"/>
    <w:rsid w:val="00B51CD2"/>
    <w:rsid w:val="00B5211B"/>
    <w:rsid w:val="00B54B63"/>
    <w:rsid w:val="00B64F50"/>
    <w:rsid w:val="00B66B92"/>
    <w:rsid w:val="00B723E6"/>
    <w:rsid w:val="00B8369D"/>
    <w:rsid w:val="00B8472A"/>
    <w:rsid w:val="00B84BBD"/>
    <w:rsid w:val="00B9171F"/>
    <w:rsid w:val="00BA43FB"/>
    <w:rsid w:val="00BA790A"/>
    <w:rsid w:val="00BB1296"/>
    <w:rsid w:val="00BC127D"/>
    <w:rsid w:val="00BC1FE6"/>
    <w:rsid w:val="00BD2C9F"/>
    <w:rsid w:val="00BE385C"/>
    <w:rsid w:val="00BE4EA4"/>
    <w:rsid w:val="00BF17DF"/>
    <w:rsid w:val="00BF1888"/>
    <w:rsid w:val="00BF3D54"/>
    <w:rsid w:val="00C013B7"/>
    <w:rsid w:val="00C0409D"/>
    <w:rsid w:val="00C061B6"/>
    <w:rsid w:val="00C2446C"/>
    <w:rsid w:val="00C305B2"/>
    <w:rsid w:val="00C31582"/>
    <w:rsid w:val="00C347B7"/>
    <w:rsid w:val="00C36AE5"/>
    <w:rsid w:val="00C4034F"/>
    <w:rsid w:val="00C41F17"/>
    <w:rsid w:val="00C5280D"/>
    <w:rsid w:val="00C52D02"/>
    <w:rsid w:val="00C5791C"/>
    <w:rsid w:val="00C66290"/>
    <w:rsid w:val="00C679AB"/>
    <w:rsid w:val="00C70401"/>
    <w:rsid w:val="00C715B3"/>
    <w:rsid w:val="00C72B7A"/>
    <w:rsid w:val="00C73084"/>
    <w:rsid w:val="00C85571"/>
    <w:rsid w:val="00C91620"/>
    <w:rsid w:val="00C973F2"/>
    <w:rsid w:val="00C97585"/>
    <w:rsid w:val="00CA1453"/>
    <w:rsid w:val="00CA304C"/>
    <w:rsid w:val="00CA774A"/>
    <w:rsid w:val="00CB78B3"/>
    <w:rsid w:val="00CC0462"/>
    <w:rsid w:val="00CC11B0"/>
    <w:rsid w:val="00CD3918"/>
    <w:rsid w:val="00CD6BCA"/>
    <w:rsid w:val="00CF177B"/>
    <w:rsid w:val="00CF7E36"/>
    <w:rsid w:val="00D042FD"/>
    <w:rsid w:val="00D04323"/>
    <w:rsid w:val="00D058FB"/>
    <w:rsid w:val="00D05C68"/>
    <w:rsid w:val="00D12F1D"/>
    <w:rsid w:val="00D15DF1"/>
    <w:rsid w:val="00D22DB2"/>
    <w:rsid w:val="00D3708D"/>
    <w:rsid w:val="00D40426"/>
    <w:rsid w:val="00D448E6"/>
    <w:rsid w:val="00D46830"/>
    <w:rsid w:val="00D57C96"/>
    <w:rsid w:val="00D62F32"/>
    <w:rsid w:val="00D7377D"/>
    <w:rsid w:val="00D73D56"/>
    <w:rsid w:val="00D840A9"/>
    <w:rsid w:val="00D865DD"/>
    <w:rsid w:val="00D91203"/>
    <w:rsid w:val="00D95174"/>
    <w:rsid w:val="00DA4C75"/>
    <w:rsid w:val="00DA5450"/>
    <w:rsid w:val="00DA6F36"/>
    <w:rsid w:val="00DB596E"/>
    <w:rsid w:val="00DB7773"/>
    <w:rsid w:val="00DC00EA"/>
    <w:rsid w:val="00DC36DB"/>
    <w:rsid w:val="00DF02B7"/>
    <w:rsid w:val="00E00DD4"/>
    <w:rsid w:val="00E12AF3"/>
    <w:rsid w:val="00E1624B"/>
    <w:rsid w:val="00E32F7E"/>
    <w:rsid w:val="00E378FB"/>
    <w:rsid w:val="00E37A60"/>
    <w:rsid w:val="00E40E8B"/>
    <w:rsid w:val="00E40EF4"/>
    <w:rsid w:val="00E60E2F"/>
    <w:rsid w:val="00E72D49"/>
    <w:rsid w:val="00E7334B"/>
    <w:rsid w:val="00E7593C"/>
    <w:rsid w:val="00E7678A"/>
    <w:rsid w:val="00E773F9"/>
    <w:rsid w:val="00E8092E"/>
    <w:rsid w:val="00E935F1"/>
    <w:rsid w:val="00E94A81"/>
    <w:rsid w:val="00EA1FFB"/>
    <w:rsid w:val="00EB048E"/>
    <w:rsid w:val="00EB2182"/>
    <w:rsid w:val="00ED270B"/>
    <w:rsid w:val="00EE34DF"/>
    <w:rsid w:val="00EF2F89"/>
    <w:rsid w:val="00EF3D79"/>
    <w:rsid w:val="00F035DB"/>
    <w:rsid w:val="00F1237A"/>
    <w:rsid w:val="00F22CBD"/>
    <w:rsid w:val="00F32418"/>
    <w:rsid w:val="00F34E7C"/>
    <w:rsid w:val="00F37CBA"/>
    <w:rsid w:val="00F45372"/>
    <w:rsid w:val="00F47789"/>
    <w:rsid w:val="00F560F7"/>
    <w:rsid w:val="00F6334D"/>
    <w:rsid w:val="00F807B3"/>
    <w:rsid w:val="00FA49AB"/>
    <w:rsid w:val="00FD136C"/>
    <w:rsid w:val="00FE3522"/>
    <w:rsid w:val="00FE39C7"/>
    <w:rsid w:val="00FF0FD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25A1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5430E"/>
    <w:pPr>
      <w:tabs>
        <w:tab w:val="right" w:leader="dot" w:pos="9639"/>
      </w:tabs>
      <w:spacing w:before="120"/>
      <w:ind w:left="567" w:right="851"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5430E"/>
    <w:pPr>
      <w:tabs>
        <w:tab w:val="right" w:leader="dot" w:pos="9639"/>
      </w:tabs>
      <w:spacing w:before="12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EB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B5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25A18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25A1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5430E"/>
    <w:pPr>
      <w:tabs>
        <w:tab w:val="right" w:leader="dot" w:pos="9639"/>
      </w:tabs>
      <w:spacing w:before="120"/>
      <w:ind w:left="567" w:right="851"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5430E"/>
    <w:pPr>
      <w:tabs>
        <w:tab w:val="right" w:leader="dot" w:pos="9639"/>
      </w:tabs>
      <w:spacing w:before="12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EB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B5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25A18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eedtest.org/en/stats-tool-box-_content---1--1143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57AE-052B-4463-A087-05DF27A0A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2EB7F-547F-4DDE-8459-A4779BA5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9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25354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PB/mhf</cp:keywords>
  <cp:lastModifiedBy>GIACHINO Erika</cp:lastModifiedBy>
  <cp:revision>74</cp:revision>
  <cp:lastPrinted>2016-01-26T10:59:00Z</cp:lastPrinted>
  <dcterms:created xsi:type="dcterms:W3CDTF">2016-01-21T14:10:00Z</dcterms:created>
  <dcterms:modified xsi:type="dcterms:W3CDTF">2016-02-01T11:31:00Z</dcterms:modified>
</cp:coreProperties>
</file>