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9000EB" w:rsidTr="00025E70">
        <w:trPr>
          <w:trHeight w:val="1760"/>
        </w:trPr>
        <w:tc>
          <w:tcPr>
            <w:tcW w:w="4243" w:type="dxa"/>
          </w:tcPr>
          <w:p w:rsidR="0067078A" w:rsidRPr="009000EB" w:rsidRDefault="0067078A" w:rsidP="00686552">
            <w:pPr>
              <w:rPr>
                <w:lang w:val="fr-FR"/>
              </w:rPr>
            </w:pPr>
          </w:p>
        </w:tc>
        <w:tc>
          <w:tcPr>
            <w:tcW w:w="1646" w:type="dxa"/>
            <w:vAlign w:val="center"/>
          </w:tcPr>
          <w:p w:rsidR="0067078A" w:rsidRPr="009000EB" w:rsidRDefault="0067078A" w:rsidP="00686552">
            <w:pPr>
              <w:pStyle w:val="LogoUPOV"/>
              <w:rPr>
                <w:lang w:val="fr-FR"/>
              </w:rPr>
            </w:pPr>
            <w:r w:rsidRPr="009000EB">
              <w:rPr>
                <w:noProof/>
              </w:rPr>
              <w:drawing>
                <wp:inline distT="0" distB="0" distL="0" distR="0" wp14:anchorId="201C4183" wp14:editId="7709F2D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7078A" w:rsidRPr="009000EB" w:rsidRDefault="00C5762F" w:rsidP="00686552">
            <w:pPr>
              <w:pStyle w:val="Lettrine"/>
              <w:rPr>
                <w:lang w:val="fr-FR"/>
              </w:rPr>
            </w:pPr>
            <w:r w:rsidRPr="009000EB">
              <w:rPr>
                <w:lang w:val="fr-FR"/>
              </w:rPr>
              <w:t>F</w:t>
            </w:r>
          </w:p>
          <w:p w:rsidR="0067078A" w:rsidRPr="009000EB" w:rsidRDefault="002521B6" w:rsidP="00686552">
            <w:pPr>
              <w:pStyle w:val="Docoriginal"/>
              <w:rPr>
                <w:lang w:val="fr-FR"/>
              </w:rPr>
            </w:pPr>
            <w:r w:rsidRPr="009000EB">
              <w:rPr>
                <w:lang w:val="fr-FR"/>
              </w:rPr>
              <w:t>C/49</w:t>
            </w:r>
            <w:r w:rsidR="0067078A" w:rsidRPr="009000EB">
              <w:rPr>
                <w:lang w:val="fr-FR"/>
              </w:rPr>
              <w:t>/</w:t>
            </w:r>
            <w:bookmarkStart w:id="0" w:name="Code"/>
            <w:bookmarkEnd w:id="0"/>
            <w:r w:rsidR="00ED6EFE" w:rsidRPr="009000EB">
              <w:rPr>
                <w:lang w:val="fr-FR"/>
              </w:rPr>
              <w:t>1</w:t>
            </w:r>
            <w:r w:rsidR="00223470" w:rsidRPr="009000EB">
              <w:rPr>
                <w:lang w:val="fr-FR"/>
              </w:rPr>
              <w:t>4</w:t>
            </w:r>
          </w:p>
          <w:p w:rsidR="0067078A" w:rsidRPr="009000EB" w:rsidRDefault="0067078A" w:rsidP="00686552">
            <w:pPr>
              <w:pStyle w:val="Docoriginal"/>
              <w:rPr>
                <w:b w:val="0"/>
                <w:spacing w:val="0"/>
                <w:lang w:val="fr-FR"/>
              </w:rPr>
            </w:pPr>
            <w:r w:rsidRPr="009000EB">
              <w:rPr>
                <w:rStyle w:val="StyleDoclangBold"/>
                <w:b/>
                <w:bCs/>
                <w:spacing w:val="0"/>
                <w:lang w:val="fr-FR"/>
              </w:rPr>
              <w:t>ORIGINAL</w:t>
            </w:r>
            <w:r w:rsidR="006A61F0" w:rsidRPr="009000EB">
              <w:rPr>
                <w:rStyle w:val="StyleDoclangBold"/>
                <w:b/>
                <w:bCs/>
                <w:spacing w:val="0"/>
                <w:lang w:val="fr-FR"/>
              </w:rPr>
              <w:t> </w:t>
            </w:r>
            <w:r w:rsidRPr="009000EB">
              <w:rPr>
                <w:rStyle w:val="StyleDoclangBold"/>
                <w:b/>
                <w:bCs/>
                <w:spacing w:val="0"/>
                <w:lang w:val="fr-FR"/>
              </w:rPr>
              <w:t>:</w:t>
            </w:r>
            <w:r w:rsidRPr="009000EB">
              <w:rPr>
                <w:lang w:val="fr-FR"/>
              </w:rPr>
              <w:t xml:space="preserve"> </w:t>
            </w:r>
            <w:bookmarkStart w:id="1" w:name="Original"/>
            <w:bookmarkEnd w:id="1"/>
            <w:r w:rsidR="00025E70" w:rsidRPr="009000EB">
              <w:rPr>
                <w:b w:val="0"/>
                <w:spacing w:val="0"/>
                <w:lang w:val="fr-FR"/>
              </w:rPr>
              <w:t>anglais</w:t>
            </w:r>
          </w:p>
          <w:p w:rsidR="0067078A" w:rsidRPr="009000EB" w:rsidRDefault="0067078A" w:rsidP="00411490">
            <w:pPr>
              <w:pStyle w:val="Docoriginal"/>
              <w:rPr>
                <w:lang w:val="fr-FR"/>
              </w:rPr>
            </w:pPr>
            <w:r w:rsidRPr="009000EB">
              <w:rPr>
                <w:lang w:val="fr-FR"/>
              </w:rPr>
              <w:t>DATE</w:t>
            </w:r>
            <w:r w:rsidR="006A61F0" w:rsidRPr="009000EB">
              <w:rPr>
                <w:lang w:val="fr-FR"/>
              </w:rPr>
              <w:t> </w:t>
            </w:r>
            <w:r w:rsidRPr="009000EB">
              <w:rPr>
                <w:lang w:val="fr-FR"/>
              </w:rPr>
              <w:t xml:space="preserve">: </w:t>
            </w:r>
            <w:bookmarkStart w:id="2" w:name="Date"/>
            <w:bookmarkEnd w:id="2"/>
            <w:r w:rsidR="00411490">
              <w:rPr>
                <w:b w:val="0"/>
                <w:spacing w:val="0"/>
                <w:lang w:val="fr-FR"/>
              </w:rPr>
              <w:t>14 septembre 2015</w:t>
            </w:r>
          </w:p>
        </w:tc>
      </w:tr>
      <w:tr w:rsidR="0067078A" w:rsidRPr="009000EB" w:rsidTr="00025E70">
        <w:tc>
          <w:tcPr>
            <w:tcW w:w="10131" w:type="dxa"/>
            <w:gridSpan w:val="3"/>
          </w:tcPr>
          <w:p w:rsidR="0067078A" w:rsidRPr="009000EB" w:rsidRDefault="00025E70" w:rsidP="00686552">
            <w:pPr>
              <w:pStyle w:val="upove"/>
              <w:rPr>
                <w:sz w:val="28"/>
                <w:lang w:val="fr-FR"/>
              </w:rPr>
            </w:pPr>
            <w:r w:rsidRPr="009000EB">
              <w:rPr>
                <w:snapToGrid w:val="0"/>
                <w:lang w:val="fr-FR"/>
              </w:rPr>
              <w:t>UNION INTERNATIONALE POUR LA PROTECTION DES OBTENTIONS VÉGÉTALES</w:t>
            </w:r>
          </w:p>
        </w:tc>
      </w:tr>
      <w:tr w:rsidR="0067078A" w:rsidRPr="009000EB" w:rsidTr="00025E70">
        <w:tc>
          <w:tcPr>
            <w:tcW w:w="10131" w:type="dxa"/>
            <w:gridSpan w:val="3"/>
          </w:tcPr>
          <w:p w:rsidR="0067078A" w:rsidRPr="009000EB" w:rsidRDefault="0067078A" w:rsidP="00025E70">
            <w:pPr>
              <w:pStyle w:val="Country"/>
              <w:rPr>
                <w:lang w:val="fr-FR"/>
              </w:rPr>
            </w:pPr>
            <w:r w:rsidRPr="009000EB">
              <w:rPr>
                <w:lang w:val="fr-FR"/>
              </w:rPr>
              <w:t>Gen</w:t>
            </w:r>
            <w:r w:rsidR="00025E70" w:rsidRPr="009000EB">
              <w:rPr>
                <w:lang w:val="fr-FR"/>
              </w:rPr>
              <w:t>ève</w:t>
            </w:r>
          </w:p>
        </w:tc>
      </w:tr>
    </w:tbl>
    <w:p w:rsidR="0067078A" w:rsidRPr="009000EB" w:rsidRDefault="00025E70" w:rsidP="0067078A">
      <w:pPr>
        <w:pStyle w:val="Sessiontc"/>
        <w:rPr>
          <w:lang w:val="fr-FR"/>
        </w:rPr>
      </w:pPr>
      <w:r w:rsidRPr="009000EB">
        <w:rPr>
          <w:lang w:val="fr-FR"/>
        </w:rPr>
        <w:t>CONSEIL</w:t>
      </w:r>
    </w:p>
    <w:p w:rsidR="0067078A" w:rsidRPr="009000EB" w:rsidRDefault="00025E70" w:rsidP="0067078A">
      <w:pPr>
        <w:pStyle w:val="Sessiontcplacedate"/>
        <w:rPr>
          <w:lang w:val="fr-FR"/>
        </w:rPr>
      </w:pPr>
      <w:r w:rsidRPr="009000EB">
        <w:rPr>
          <w:lang w:val="fr-FR"/>
        </w:rPr>
        <w:t>Quarante</w:t>
      </w:r>
      <w:r w:rsidR="00535F54" w:rsidRPr="009000EB">
        <w:rPr>
          <w:lang w:val="fr-FR"/>
        </w:rPr>
        <w:noBreakHyphen/>
      </w:r>
      <w:r w:rsidRPr="009000EB">
        <w:rPr>
          <w:lang w:val="fr-FR"/>
        </w:rPr>
        <w:t>neuvième session ordinaire</w:t>
      </w:r>
      <w:r w:rsidR="0067078A" w:rsidRPr="009000EB">
        <w:rPr>
          <w:lang w:val="fr-FR"/>
        </w:rPr>
        <w:br/>
      </w:r>
      <w:r w:rsidRPr="009000EB">
        <w:rPr>
          <w:lang w:val="fr-FR"/>
        </w:rPr>
        <w:t>Genève, 29 octobre </w:t>
      </w:r>
      <w:r w:rsidR="0067078A" w:rsidRPr="009000EB">
        <w:rPr>
          <w:lang w:val="fr-FR"/>
        </w:rPr>
        <w:t>201</w:t>
      </w:r>
      <w:r w:rsidR="002521B6" w:rsidRPr="009000EB">
        <w:rPr>
          <w:lang w:val="fr-FR"/>
        </w:rPr>
        <w:t>5</w:t>
      </w:r>
    </w:p>
    <w:p w:rsidR="00DC5BC4" w:rsidRPr="009000EB" w:rsidRDefault="00DC5BC4" w:rsidP="006A61F0">
      <w:pPr>
        <w:pStyle w:val="Titleofdoc0"/>
        <w:rPr>
          <w:bCs/>
          <w:snapToGrid w:val="0"/>
          <w:szCs w:val="24"/>
          <w:lang w:val="fr-FR"/>
        </w:rPr>
      </w:pPr>
      <w:bookmarkStart w:id="3" w:name="Prepared"/>
      <w:bookmarkEnd w:id="3"/>
      <w:r w:rsidRPr="009000EB">
        <w:rPr>
          <w:bCs/>
          <w:snapToGrid w:val="0"/>
          <w:szCs w:val="24"/>
          <w:lang w:val="fr-FR"/>
        </w:rPr>
        <w:t>Adoption de documents</w:t>
      </w:r>
    </w:p>
    <w:p w:rsidR="000D7780" w:rsidRPr="009000EB" w:rsidRDefault="00DC5BC4" w:rsidP="006655D3">
      <w:pPr>
        <w:pStyle w:val="preparedby1"/>
        <w:rPr>
          <w:lang w:val="fr-FR"/>
        </w:rPr>
      </w:pPr>
      <w:r w:rsidRPr="009000EB">
        <w:rPr>
          <w:lang w:val="fr-FR"/>
        </w:rPr>
        <w:t>Document établi par le Bureau de l</w:t>
      </w:r>
      <w:r w:rsidR="006A61F0" w:rsidRPr="009000EB">
        <w:rPr>
          <w:lang w:val="fr-FR"/>
        </w:rPr>
        <w:t>’</w:t>
      </w:r>
      <w:r w:rsidRPr="009000EB">
        <w:rPr>
          <w:lang w:val="fr-FR"/>
        </w:rPr>
        <w:t>Union</w:t>
      </w:r>
      <w:r w:rsidR="00560A6D" w:rsidRPr="009000EB">
        <w:rPr>
          <w:lang w:val="fr-FR"/>
        </w:rPr>
        <w:br/>
      </w:r>
      <w:r w:rsidR="00560A6D" w:rsidRPr="009000EB">
        <w:rPr>
          <w:lang w:val="fr-FR"/>
        </w:rPr>
        <w:br/>
      </w:r>
      <w:r w:rsidRPr="009000EB">
        <w:rPr>
          <w:color w:val="A6A6A6" w:themeColor="background1" w:themeShade="A6"/>
          <w:lang w:val="fr-FR"/>
        </w:rPr>
        <w:t>Avertissement : le présent document ne représente pas les principes ou les orientations de l</w:t>
      </w:r>
      <w:r w:rsidR="006A61F0" w:rsidRPr="009000EB">
        <w:rPr>
          <w:color w:val="A6A6A6" w:themeColor="background1" w:themeShade="A6"/>
          <w:lang w:val="fr-FR"/>
        </w:rPr>
        <w:t>’</w:t>
      </w:r>
      <w:r w:rsidRPr="009000EB">
        <w:rPr>
          <w:color w:val="A6A6A6" w:themeColor="background1" w:themeShade="A6"/>
          <w:lang w:val="fr-FR"/>
        </w:rPr>
        <w:t>UPOV</w:t>
      </w:r>
    </w:p>
    <w:p w:rsidR="00ED6EFE" w:rsidRPr="009000EB" w:rsidRDefault="00ED6EFE" w:rsidP="00030C17">
      <w:pPr>
        <w:rPr>
          <w:spacing w:val="-2"/>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DC5BC4" w:rsidRPr="009000EB">
        <w:rPr>
          <w:lang w:val="fr-FR"/>
        </w:rPr>
        <w:t>L</w:t>
      </w:r>
      <w:r w:rsidR="006A61F0" w:rsidRPr="009000EB">
        <w:rPr>
          <w:lang w:val="fr-FR"/>
        </w:rPr>
        <w:t>’</w:t>
      </w:r>
      <w:r w:rsidR="00DC5BC4" w:rsidRPr="009000EB">
        <w:rPr>
          <w:lang w:val="fr-FR"/>
        </w:rPr>
        <w:t>objet du présent document est de fournir des informations sur les documents ci</w:t>
      </w:r>
      <w:r w:rsidR="00535F54" w:rsidRPr="009000EB">
        <w:rPr>
          <w:lang w:val="fr-FR"/>
        </w:rPr>
        <w:noBreakHyphen/>
      </w:r>
      <w:r w:rsidR="00DC5BC4" w:rsidRPr="009000EB">
        <w:rPr>
          <w:lang w:val="fr-FR"/>
        </w:rPr>
        <w:t>après, que le Conseil sera invité à adopter à sa quarante</w:t>
      </w:r>
      <w:r w:rsidR="00535F54" w:rsidRPr="009000EB">
        <w:rPr>
          <w:lang w:val="fr-FR"/>
        </w:rPr>
        <w:noBreakHyphen/>
      </w:r>
      <w:r w:rsidR="00DC5BC4" w:rsidRPr="009000EB">
        <w:rPr>
          <w:lang w:val="fr-FR"/>
        </w:rPr>
        <w:t>neuvième session ordinaire</w:t>
      </w:r>
      <w:r w:rsidR="009C056B" w:rsidRPr="009000EB">
        <w:rPr>
          <w:lang w:val="fr-FR"/>
        </w:rPr>
        <w:t> </w:t>
      </w:r>
      <w:r w:rsidRPr="009000EB">
        <w:rPr>
          <w:lang w:val="fr-FR"/>
        </w:rPr>
        <w:t>:</w:t>
      </w:r>
    </w:p>
    <w:p w:rsidR="00ED6EFE" w:rsidRPr="009000EB" w:rsidRDefault="00ED6EFE" w:rsidP="00030C17">
      <w:pPr>
        <w:rPr>
          <w:lang w:val="fr-FR"/>
        </w:rPr>
      </w:pPr>
    </w:p>
    <w:p w:rsidR="00ED6EFE" w:rsidRPr="009000EB" w:rsidRDefault="005A0D20" w:rsidP="00030C17">
      <w:pPr>
        <w:ind w:left="567"/>
        <w:rPr>
          <w:bCs/>
          <w:snapToGrid w:val="0"/>
          <w:szCs w:val="24"/>
          <w:lang w:val="fr-FR"/>
        </w:rPr>
      </w:pPr>
      <w:r w:rsidRPr="009000EB">
        <w:rPr>
          <w:bCs/>
          <w:snapToGrid w:val="0"/>
          <w:szCs w:val="24"/>
          <w:u w:val="single"/>
          <w:lang w:val="fr-FR"/>
        </w:rPr>
        <w:t>D</w:t>
      </w:r>
      <w:r w:rsidR="00ED6EFE" w:rsidRPr="009000EB">
        <w:rPr>
          <w:bCs/>
          <w:snapToGrid w:val="0"/>
          <w:szCs w:val="24"/>
          <w:u w:val="single"/>
          <w:lang w:val="fr-FR"/>
        </w:rPr>
        <w:t>ocuments</w:t>
      </w:r>
      <w:r w:rsidRPr="009000EB">
        <w:rPr>
          <w:bCs/>
          <w:snapToGrid w:val="0"/>
          <w:szCs w:val="24"/>
          <w:u w:val="single"/>
          <w:lang w:val="fr-FR"/>
        </w:rPr>
        <w:t xml:space="preserve"> TGP</w:t>
      </w:r>
      <w:r w:rsidR="009C056B" w:rsidRPr="009000EB">
        <w:rPr>
          <w:bCs/>
          <w:snapToGrid w:val="0"/>
          <w:szCs w:val="24"/>
          <w:u w:val="single"/>
          <w:lang w:val="fr-FR"/>
        </w:rPr>
        <w:t> </w:t>
      </w:r>
      <w:r w:rsidR="00ED6EFE" w:rsidRPr="009000EB">
        <w:rPr>
          <w:u w:val="single"/>
          <w:lang w:val="fr-FR"/>
        </w:rPr>
        <w:t>:</w:t>
      </w:r>
    </w:p>
    <w:p w:rsidR="00ED6EFE" w:rsidRPr="009000EB" w:rsidRDefault="00ED6EFE" w:rsidP="00030C17">
      <w:pPr>
        <w:ind w:left="2268" w:hanging="1701"/>
        <w:rPr>
          <w:bCs/>
          <w:snapToGrid w:val="0"/>
          <w:szCs w:val="24"/>
          <w:lang w:val="fr-FR"/>
        </w:rPr>
      </w:pPr>
    </w:p>
    <w:p w:rsidR="00ED6EFE" w:rsidRPr="009000EB" w:rsidRDefault="00ED6EFE" w:rsidP="00030C17">
      <w:pPr>
        <w:ind w:left="1418" w:hanging="851"/>
        <w:rPr>
          <w:bCs/>
          <w:snapToGrid w:val="0"/>
          <w:szCs w:val="24"/>
          <w:lang w:val="fr-FR"/>
        </w:rPr>
      </w:pPr>
      <w:r w:rsidRPr="009000EB">
        <w:rPr>
          <w:bCs/>
          <w:snapToGrid w:val="0"/>
          <w:szCs w:val="24"/>
          <w:lang w:val="fr-FR"/>
        </w:rPr>
        <w:t>TGP/5</w:t>
      </w:r>
      <w:r w:rsidRPr="009000EB">
        <w:rPr>
          <w:bCs/>
          <w:snapToGrid w:val="0"/>
          <w:szCs w:val="24"/>
          <w:lang w:val="fr-FR"/>
        </w:rPr>
        <w:tab/>
      </w:r>
      <w:r w:rsidR="00341533" w:rsidRPr="009000EB">
        <w:rPr>
          <w:bCs/>
          <w:snapToGrid w:val="0"/>
          <w:szCs w:val="24"/>
          <w:lang w:val="fr-FR"/>
        </w:rPr>
        <w:t>Expérience et coopération en matière d</w:t>
      </w:r>
      <w:r w:rsidR="006A61F0" w:rsidRPr="009000EB">
        <w:rPr>
          <w:bCs/>
          <w:snapToGrid w:val="0"/>
          <w:szCs w:val="24"/>
          <w:lang w:val="fr-FR"/>
        </w:rPr>
        <w:t>’</w:t>
      </w:r>
      <w:r w:rsidR="00341533" w:rsidRPr="009000EB">
        <w:rPr>
          <w:bCs/>
          <w:snapToGrid w:val="0"/>
          <w:szCs w:val="24"/>
          <w:lang w:val="fr-FR"/>
        </w:rPr>
        <w:t>examen</w:t>
      </w:r>
      <w:r w:rsidR="009C056B" w:rsidRPr="009000EB">
        <w:rPr>
          <w:bCs/>
          <w:snapToGrid w:val="0"/>
          <w:szCs w:val="24"/>
          <w:lang w:val="fr-FR"/>
        </w:rPr>
        <w:t> </w:t>
      </w:r>
      <w:r w:rsidR="00341533" w:rsidRPr="009000EB">
        <w:rPr>
          <w:bCs/>
          <w:snapToGrid w:val="0"/>
          <w:szCs w:val="24"/>
          <w:lang w:val="fr-FR"/>
        </w:rPr>
        <w:t>DHS</w:t>
      </w:r>
      <w:r w:rsidRPr="009000EB">
        <w:rPr>
          <w:bCs/>
          <w:snapToGrid w:val="0"/>
          <w:szCs w:val="24"/>
          <w:lang w:val="fr-FR"/>
        </w:rPr>
        <w:t xml:space="preserve"> (</w:t>
      </w:r>
      <w:r w:rsidR="00341533" w:rsidRPr="009000EB">
        <w:rPr>
          <w:bCs/>
          <w:snapToGrid w:val="0"/>
          <w:szCs w:val="24"/>
          <w:lang w:val="fr-FR"/>
        </w:rPr>
        <w:t>révisions</w:t>
      </w:r>
      <w:r w:rsidRPr="009000EB">
        <w:rPr>
          <w:bCs/>
          <w:snapToGrid w:val="0"/>
          <w:szCs w:val="24"/>
          <w:lang w:val="fr-FR"/>
        </w:rPr>
        <w:t>)</w:t>
      </w:r>
      <w:r w:rsidR="00691783" w:rsidRPr="009000EB">
        <w:rPr>
          <w:bCs/>
          <w:snapToGrid w:val="0"/>
          <w:szCs w:val="24"/>
          <w:lang w:val="fr-FR"/>
        </w:rPr>
        <w:t xml:space="preserve"> </w:t>
      </w:r>
      <w:r w:rsidRPr="009000EB">
        <w:rPr>
          <w:bCs/>
          <w:snapToGrid w:val="0"/>
          <w:szCs w:val="24"/>
          <w:lang w:val="fr-FR"/>
        </w:rPr>
        <w:t xml:space="preserve">(document </w:t>
      </w:r>
      <w:r w:rsidR="00223470" w:rsidRPr="009000EB">
        <w:rPr>
          <w:bCs/>
          <w:snapToGrid w:val="0"/>
          <w:szCs w:val="24"/>
          <w:lang w:val="fr-FR"/>
        </w:rPr>
        <w:t>C/49/14</w:t>
      </w:r>
      <w:r w:rsidR="005F2811" w:rsidRPr="009000EB">
        <w:rPr>
          <w:bCs/>
          <w:snapToGrid w:val="0"/>
          <w:szCs w:val="24"/>
          <w:lang w:val="fr-FR"/>
        </w:rPr>
        <w:t xml:space="preserve">, </w:t>
      </w:r>
      <w:r w:rsidR="00C86EE2" w:rsidRPr="009000EB">
        <w:rPr>
          <w:bCs/>
          <w:snapToGrid w:val="0"/>
          <w:szCs w:val="24"/>
          <w:lang w:val="fr-FR"/>
        </w:rPr>
        <w:t>a</w:t>
      </w:r>
      <w:r w:rsidR="005F2811" w:rsidRPr="009000EB">
        <w:rPr>
          <w:bCs/>
          <w:snapToGrid w:val="0"/>
          <w:szCs w:val="24"/>
          <w:lang w:val="fr-FR"/>
        </w:rPr>
        <w:t>nnex</w:t>
      </w:r>
      <w:r w:rsidR="00C86EE2" w:rsidRPr="009000EB">
        <w:rPr>
          <w:bCs/>
          <w:snapToGrid w:val="0"/>
          <w:szCs w:val="24"/>
          <w:lang w:val="fr-FR"/>
        </w:rPr>
        <w:t>e</w:t>
      </w:r>
      <w:r w:rsidR="00C5762F" w:rsidRPr="009000EB">
        <w:rPr>
          <w:bCs/>
          <w:snapToGrid w:val="0"/>
          <w:szCs w:val="24"/>
          <w:lang w:val="fr-FR"/>
        </w:rPr>
        <w:t> </w:t>
      </w:r>
      <w:r w:rsidR="005F2811" w:rsidRPr="009000EB">
        <w:rPr>
          <w:bCs/>
          <w:snapToGrid w:val="0"/>
          <w:szCs w:val="24"/>
          <w:lang w:val="fr-FR"/>
        </w:rPr>
        <w:t>I)</w:t>
      </w:r>
      <w:r w:rsidR="009C056B" w:rsidRPr="009000EB">
        <w:rPr>
          <w:bCs/>
          <w:snapToGrid w:val="0"/>
          <w:szCs w:val="24"/>
          <w:lang w:val="fr-FR"/>
        </w:rPr>
        <w:t> </w:t>
      </w:r>
      <w:r w:rsidR="005F2811" w:rsidRPr="009000EB">
        <w:rPr>
          <w:bCs/>
          <w:snapToGrid w:val="0"/>
          <w:szCs w:val="24"/>
          <w:lang w:val="fr-FR"/>
        </w:rPr>
        <w:t>:</w:t>
      </w:r>
    </w:p>
    <w:p w:rsidR="00ED6EFE" w:rsidRPr="009000EB" w:rsidRDefault="00ED6EFE" w:rsidP="00030C17">
      <w:pPr>
        <w:ind w:left="2552" w:hanging="1134"/>
        <w:rPr>
          <w:bCs/>
          <w:snapToGrid w:val="0"/>
          <w:szCs w:val="24"/>
          <w:lang w:val="fr-FR"/>
        </w:rPr>
      </w:pPr>
    </w:p>
    <w:p w:rsidR="00ED6EFE" w:rsidRPr="009000EB" w:rsidRDefault="00411490" w:rsidP="00030C17">
      <w:pPr>
        <w:ind w:left="2552" w:hanging="1134"/>
        <w:rPr>
          <w:bCs/>
          <w:snapToGrid w:val="0"/>
          <w:szCs w:val="24"/>
          <w:lang w:val="fr-FR"/>
        </w:rPr>
      </w:pPr>
      <w:r>
        <w:rPr>
          <w:bCs/>
          <w:snapToGrid w:val="0"/>
          <w:szCs w:val="24"/>
          <w:lang w:val="fr-FR"/>
        </w:rPr>
        <w:t>Section</w:t>
      </w:r>
      <w:r w:rsidRPr="009000EB">
        <w:rPr>
          <w:bCs/>
          <w:snapToGrid w:val="0"/>
          <w:szCs w:val="24"/>
          <w:lang w:val="fr-FR"/>
        </w:rPr>
        <w:t> </w:t>
      </w:r>
      <w:r w:rsidR="00ED6EFE" w:rsidRPr="009000EB">
        <w:rPr>
          <w:bCs/>
          <w:snapToGrid w:val="0"/>
          <w:szCs w:val="24"/>
          <w:lang w:val="fr-FR"/>
        </w:rPr>
        <w:t>3</w:t>
      </w:r>
      <w:r w:rsidR="009C056B" w:rsidRPr="009000EB">
        <w:rPr>
          <w:bCs/>
          <w:snapToGrid w:val="0"/>
          <w:szCs w:val="24"/>
          <w:lang w:val="fr-FR"/>
        </w:rPr>
        <w:t xml:space="preserve"> : </w:t>
      </w:r>
      <w:r w:rsidR="00ED6EFE" w:rsidRPr="009000EB">
        <w:rPr>
          <w:bCs/>
          <w:snapToGrid w:val="0"/>
          <w:szCs w:val="24"/>
          <w:lang w:val="fr-FR"/>
        </w:rPr>
        <w:tab/>
      </w:r>
      <w:r w:rsidR="00575D69" w:rsidRPr="009000EB">
        <w:rPr>
          <w:bCs/>
          <w:snapToGrid w:val="0"/>
          <w:szCs w:val="24"/>
          <w:lang w:val="fr-FR"/>
        </w:rPr>
        <w:t>Questionnaire technique à remplir en relation avec une demande de certificat d</w:t>
      </w:r>
      <w:r w:rsidR="006A61F0" w:rsidRPr="009000EB">
        <w:rPr>
          <w:bCs/>
          <w:snapToGrid w:val="0"/>
          <w:szCs w:val="24"/>
          <w:lang w:val="fr-FR"/>
        </w:rPr>
        <w:t>’</w:t>
      </w:r>
      <w:r w:rsidR="00575D69" w:rsidRPr="009000EB">
        <w:rPr>
          <w:bCs/>
          <w:snapToGrid w:val="0"/>
          <w:szCs w:val="24"/>
          <w:lang w:val="fr-FR"/>
        </w:rPr>
        <w:t>obtention végétale</w:t>
      </w:r>
    </w:p>
    <w:p w:rsidR="00ED6EFE" w:rsidRPr="009000EB" w:rsidRDefault="00ED6EFE" w:rsidP="00030C17">
      <w:pPr>
        <w:ind w:left="2552" w:hanging="1134"/>
        <w:rPr>
          <w:bCs/>
          <w:snapToGrid w:val="0"/>
          <w:szCs w:val="24"/>
          <w:lang w:val="fr-FR"/>
        </w:rPr>
      </w:pPr>
    </w:p>
    <w:p w:rsidR="00ED6EFE" w:rsidRPr="009000EB" w:rsidRDefault="00411490" w:rsidP="00030C17">
      <w:pPr>
        <w:ind w:left="2552" w:hanging="1134"/>
        <w:rPr>
          <w:bCs/>
          <w:snapToGrid w:val="0"/>
          <w:szCs w:val="24"/>
          <w:lang w:val="fr-FR"/>
        </w:rPr>
      </w:pPr>
      <w:r>
        <w:rPr>
          <w:bCs/>
          <w:snapToGrid w:val="0"/>
          <w:szCs w:val="24"/>
          <w:lang w:val="fr-FR"/>
        </w:rPr>
        <w:t>Section</w:t>
      </w:r>
      <w:r w:rsidRPr="009000EB">
        <w:rPr>
          <w:bCs/>
          <w:snapToGrid w:val="0"/>
          <w:szCs w:val="24"/>
          <w:lang w:val="fr-FR"/>
        </w:rPr>
        <w:t> </w:t>
      </w:r>
      <w:r w:rsidR="00ED6EFE" w:rsidRPr="009000EB">
        <w:rPr>
          <w:bCs/>
          <w:snapToGrid w:val="0"/>
          <w:szCs w:val="24"/>
          <w:lang w:val="fr-FR"/>
        </w:rPr>
        <w:t>8</w:t>
      </w:r>
      <w:r w:rsidR="009C056B" w:rsidRPr="009000EB">
        <w:rPr>
          <w:bCs/>
          <w:snapToGrid w:val="0"/>
          <w:szCs w:val="24"/>
          <w:lang w:val="fr-FR"/>
        </w:rPr>
        <w:t xml:space="preserve"> : </w:t>
      </w:r>
      <w:r w:rsidR="00ED6EFE" w:rsidRPr="009000EB">
        <w:rPr>
          <w:bCs/>
          <w:snapToGrid w:val="0"/>
          <w:szCs w:val="24"/>
          <w:lang w:val="fr-FR"/>
        </w:rPr>
        <w:tab/>
      </w:r>
      <w:r w:rsidR="00575D69" w:rsidRPr="009000EB">
        <w:rPr>
          <w:bCs/>
          <w:snapToGrid w:val="0"/>
          <w:szCs w:val="24"/>
          <w:lang w:val="fr-FR"/>
        </w:rPr>
        <w:t>Coopération en matière d</w:t>
      </w:r>
      <w:r w:rsidR="006A61F0" w:rsidRPr="009000EB">
        <w:rPr>
          <w:bCs/>
          <w:snapToGrid w:val="0"/>
          <w:szCs w:val="24"/>
          <w:lang w:val="fr-FR"/>
        </w:rPr>
        <w:t>’</w:t>
      </w:r>
      <w:r w:rsidR="00575D69" w:rsidRPr="009000EB">
        <w:rPr>
          <w:bCs/>
          <w:snapToGrid w:val="0"/>
          <w:szCs w:val="24"/>
          <w:lang w:val="fr-FR"/>
        </w:rPr>
        <w:t>examen</w:t>
      </w:r>
    </w:p>
    <w:p w:rsidR="00ED6EFE" w:rsidRPr="009000EB" w:rsidRDefault="00ED6EFE" w:rsidP="00030C17">
      <w:pPr>
        <w:ind w:left="2552" w:hanging="1134"/>
        <w:rPr>
          <w:bCs/>
          <w:snapToGrid w:val="0"/>
          <w:szCs w:val="24"/>
          <w:lang w:val="fr-FR"/>
        </w:rPr>
      </w:pPr>
    </w:p>
    <w:p w:rsidR="00ED6EFE" w:rsidRPr="009000EB" w:rsidRDefault="00411490" w:rsidP="00030C17">
      <w:pPr>
        <w:ind w:left="2552" w:hanging="1134"/>
        <w:rPr>
          <w:bCs/>
          <w:snapToGrid w:val="0"/>
          <w:szCs w:val="24"/>
          <w:lang w:val="fr-FR"/>
        </w:rPr>
      </w:pPr>
      <w:r>
        <w:rPr>
          <w:bCs/>
          <w:snapToGrid w:val="0"/>
          <w:szCs w:val="24"/>
          <w:lang w:val="fr-FR"/>
        </w:rPr>
        <w:t>Section</w:t>
      </w:r>
      <w:r w:rsidRPr="009000EB">
        <w:rPr>
          <w:bCs/>
          <w:snapToGrid w:val="0"/>
          <w:szCs w:val="24"/>
          <w:lang w:val="fr-FR"/>
        </w:rPr>
        <w:t> </w:t>
      </w:r>
      <w:r w:rsidR="00ED6EFE" w:rsidRPr="009000EB">
        <w:rPr>
          <w:bCs/>
          <w:snapToGrid w:val="0"/>
          <w:szCs w:val="24"/>
          <w:lang w:val="fr-FR"/>
        </w:rPr>
        <w:t>9</w:t>
      </w:r>
      <w:r w:rsidR="009C056B" w:rsidRPr="009000EB">
        <w:rPr>
          <w:bCs/>
          <w:snapToGrid w:val="0"/>
          <w:szCs w:val="24"/>
          <w:lang w:val="fr-FR"/>
        </w:rPr>
        <w:t xml:space="preserve"> : </w:t>
      </w:r>
      <w:r w:rsidR="00ED6EFE" w:rsidRPr="009000EB">
        <w:rPr>
          <w:bCs/>
          <w:snapToGrid w:val="0"/>
          <w:szCs w:val="24"/>
          <w:lang w:val="fr-FR"/>
        </w:rPr>
        <w:tab/>
      </w:r>
      <w:r w:rsidR="00575D69" w:rsidRPr="009000EB">
        <w:rPr>
          <w:bCs/>
          <w:snapToGrid w:val="0"/>
          <w:szCs w:val="24"/>
          <w:lang w:val="fr-FR"/>
        </w:rPr>
        <w:t>Liste des espèces sur lesquelles des connaissances pratiques ont été acquises ou pour lesquelles des principes directeurs d</w:t>
      </w:r>
      <w:r w:rsidR="006A61F0" w:rsidRPr="009000EB">
        <w:rPr>
          <w:bCs/>
          <w:snapToGrid w:val="0"/>
          <w:szCs w:val="24"/>
          <w:lang w:val="fr-FR"/>
        </w:rPr>
        <w:t>’</w:t>
      </w:r>
      <w:r w:rsidR="00575D69" w:rsidRPr="009000EB">
        <w:rPr>
          <w:bCs/>
          <w:snapToGrid w:val="0"/>
          <w:szCs w:val="24"/>
          <w:lang w:val="fr-FR"/>
        </w:rPr>
        <w:t>examen nationaux ont été établis</w:t>
      </w:r>
    </w:p>
    <w:p w:rsidR="00ED6EFE" w:rsidRPr="009000EB" w:rsidRDefault="00ED6EFE" w:rsidP="00030C17">
      <w:pPr>
        <w:ind w:left="1701" w:hanging="1134"/>
        <w:rPr>
          <w:bCs/>
          <w:snapToGrid w:val="0"/>
          <w:szCs w:val="24"/>
          <w:lang w:val="fr-FR"/>
        </w:rPr>
      </w:pPr>
    </w:p>
    <w:p w:rsidR="00ED6EFE" w:rsidRPr="009000EB" w:rsidRDefault="00ED6EFE" w:rsidP="00030C17">
      <w:pPr>
        <w:ind w:left="1418" w:hanging="851"/>
        <w:rPr>
          <w:bCs/>
          <w:snapToGrid w:val="0"/>
          <w:szCs w:val="24"/>
          <w:lang w:val="fr-FR"/>
        </w:rPr>
      </w:pPr>
      <w:r w:rsidRPr="009000EB">
        <w:rPr>
          <w:bCs/>
          <w:snapToGrid w:val="0"/>
          <w:szCs w:val="24"/>
          <w:lang w:val="fr-FR"/>
        </w:rPr>
        <w:t>TGP/9</w:t>
      </w:r>
      <w:r w:rsidRPr="009000EB">
        <w:rPr>
          <w:bCs/>
          <w:snapToGrid w:val="0"/>
          <w:szCs w:val="24"/>
          <w:lang w:val="fr-FR"/>
        </w:rPr>
        <w:tab/>
      </w:r>
      <w:r w:rsidR="00575D69" w:rsidRPr="009000EB">
        <w:rPr>
          <w:bCs/>
          <w:snapToGrid w:val="0"/>
          <w:szCs w:val="24"/>
          <w:lang w:val="fr-FR"/>
        </w:rPr>
        <w:t xml:space="preserve">Examen de la distinction </w:t>
      </w:r>
      <w:r w:rsidRPr="009000EB">
        <w:rPr>
          <w:bCs/>
          <w:snapToGrid w:val="0"/>
          <w:szCs w:val="24"/>
          <w:lang w:val="fr-FR"/>
        </w:rPr>
        <w:t>(</w:t>
      </w:r>
      <w:r w:rsidR="00575D69" w:rsidRPr="009000EB">
        <w:rPr>
          <w:bCs/>
          <w:snapToGrid w:val="0"/>
          <w:szCs w:val="24"/>
          <w:lang w:val="fr-FR"/>
        </w:rPr>
        <w:t>ré</w:t>
      </w:r>
      <w:r w:rsidRPr="009000EB">
        <w:rPr>
          <w:bCs/>
          <w:snapToGrid w:val="0"/>
          <w:szCs w:val="24"/>
          <w:lang w:val="fr-FR"/>
        </w:rPr>
        <w:t>vision)</w:t>
      </w:r>
      <w:r w:rsidR="00691783" w:rsidRPr="009000EB">
        <w:rPr>
          <w:bCs/>
          <w:snapToGrid w:val="0"/>
          <w:szCs w:val="24"/>
          <w:lang w:val="fr-FR"/>
        </w:rPr>
        <w:t xml:space="preserve"> </w:t>
      </w:r>
      <w:r w:rsidRPr="009000EB">
        <w:rPr>
          <w:bCs/>
          <w:snapToGrid w:val="0"/>
          <w:szCs w:val="24"/>
          <w:lang w:val="fr-FR"/>
        </w:rPr>
        <w:t xml:space="preserve">(document </w:t>
      </w:r>
      <w:r w:rsidR="00AB3BB1">
        <w:rPr>
          <w:bCs/>
          <w:snapToGrid w:val="0"/>
          <w:szCs w:val="24"/>
          <w:lang w:val="fr-FR"/>
        </w:rPr>
        <w:t>TGP/9/2 </w:t>
      </w:r>
      <w:proofErr w:type="spellStart"/>
      <w:r w:rsidR="009E4018">
        <w:rPr>
          <w:bCs/>
          <w:snapToGrid w:val="0"/>
          <w:szCs w:val="24"/>
          <w:lang w:val="fr-FR"/>
        </w:rPr>
        <w:t>Draft</w:t>
      </w:r>
      <w:proofErr w:type="spellEnd"/>
      <w:r w:rsidR="009E4018">
        <w:rPr>
          <w:bCs/>
          <w:snapToGrid w:val="0"/>
          <w:szCs w:val="24"/>
          <w:lang w:val="fr-FR"/>
        </w:rPr>
        <w:t> </w:t>
      </w:r>
      <w:r w:rsidRPr="009000EB">
        <w:rPr>
          <w:bCs/>
          <w:snapToGrid w:val="0"/>
          <w:szCs w:val="24"/>
          <w:lang w:val="fr-FR"/>
        </w:rPr>
        <w:t>1)</w:t>
      </w:r>
    </w:p>
    <w:p w:rsidR="00ED6EFE" w:rsidRPr="009000EB" w:rsidRDefault="00ED6EFE" w:rsidP="00030C17">
      <w:pPr>
        <w:ind w:left="1418" w:hanging="851"/>
        <w:rPr>
          <w:bCs/>
          <w:snapToGrid w:val="0"/>
          <w:szCs w:val="24"/>
          <w:lang w:val="fr-FR"/>
        </w:rPr>
      </w:pPr>
    </w:p>
    <w:p w:rsidR="006A61F0" w:rsidRPr="009000EB" w:rsidRDefault="00ED6EFE" w:rsidP="00030C17">
      <w:pPr>
        <w:ind w:left="1418" w:hanging="851"/>
        <w:rPr>
          <w:bCs/>
          <w:snapToGrid w:val="0"/>
          <w:szCs w:val="24"/>
          <w:lang w:val="fr-FR"/>
        </w:rPr>
      </w:pPr>
      <w:r w:rsidRPr="009000EB">
        <w:rPr>
          <w:bCs/>
          <w:snapToGrid w:val="0"/>
          <w:szCs w:val="24"/>
          <w:lang w:val="fr-FR"/>
        </w:rPr>
        <w:t>TGP/14</w:t>
      </w:r>
      <w:r w:rsidRPr="009000EB">
        <w:rPr>
          <w:bCs/>
          <w:snapToGrid w:val="0"/>
          <w:szCs w:val="24"/>
          <w:lang w:val="fr-FR"/>
        </w:rPr>
        <w:tab/>
      </w:r>
      <w:r w:rsidR="00356FC4" w:rsidRPr="009000EB">
        <w:rPr>
          <w:bCs/>
          <w:snapToGrid w:val="0"/>
          <w:szCs w:val="24"/>
          <w:lang w:val="fr-FR"/>
        </w:rPr>
        <w:t>Glossaire de termes utilisés dans les documents de l</w:t>
      </w:r>
      <w:r w:rsidR="006A61F0" w:rsidRPr="009000EB">
        <w:rPr>
          <w:bCs/>
          <w:snapToGrid w:val="0"/>
          <w:szCs w:val="24"/>
          <w:lang w:val="fr-FR"/>
        </w:rPr>
        <w:t>’</w:t>
      </w:r>
      <w:r w:rsidR="00356FC4" w:rsidRPr="009000EB">
        <w:rPr>
          <w:bCs/>
          <w:snapToGrid w:val="0"/>
          <w:szCs w:val="24"/>
          <w:lang w:val="fr-FR"/>
        </w:rPr>
        <w:t>UPOV</w:t>
      </w:r>
      <w:r w:rsidRPr="009000EB">
        <w:rPr>
          <w:bCs/>
          <w:snapToGrid w:val="0"/>
          <w:szCs w:val="24"/>
          <w:lang w:val="fr-FR"/>
        </w:rPr>
        <w:t xml:space="preserve"> (</w:t>
      </w:r>
      <w:r w:rsidR="00356FC4" w:rsidRPr="009000EB">
        <w:rPr>
          <w:bCs/>
          <w:snapToGrid w:val="0"/>
          <w:szCs w:val="24"/>
          <w:lang w:val="fr-FR"/>
        </w:rPr>
        <w:t>ré</w:t>
      </w:r>
      <w:r w:rsidRPr="009000EB">
        <w:rPr>
          <w:bCs/>
          <w:snapToGrid w:val="0"/>
          <w:szCs w:val="24"/>
          <w:lang w:val="fr-FR"/>
        </w:rPr>
        <w:t>vision)</w:t>
      </w:r>
      <w:r w:rsidR="00691783" w:rsidRPr="009000EB">
        <w:rPr>
          <w:bCs/>
          <w:snapToGrid w:val="0"/>
          <w:szCs w:val="24"/>
          <w:lang w:val="fr-FR"/>
        </w:rPr>
        <w:t xml:space="preserve"> </w:t>
      </w:r>
      <w:r w:rsidRPr="009000EB">
        <w:rPr>
          <w:bCs/>
          <w:snapToGrid w:val="0"/>
          <w:szCs w:val="24"/>
          <w:lang w:val="fr-FR"/>
        </w:rPr>
        <w:t xml:space="preserve">(document </w:t>
      </w:r>
      <w:r w:rsidR="00223470" w:rsidRPr="009000EB">
        <w:rPr>
          <w:bCs/>
          <w:snapToGrid w:val="0"/>
          <w:szCs w:val="24"/>
          <w:lang w:val="fr-FR"/>
        </w:rPr>
        <w:t>C/49/14</w:t>
      </w:r>
      <w:r w:rsidRPr="009000EB">
        <w:rPr>
          <w:bCs/>
          <w:snapToGrid w:val="0"/>
          <w:szCs w:val="24"/>
          <w:lang w:val="fr-FR"/>
        </w:rPr>
        <w:t xml:space="preserve">, </w:t>
      </w:r>
      <w:r w:rsidR="00356FC4" w:rsidRPr="009000EB">
        <w:rPr>
          <w:bCs/>
          <w:snapToGrid w:val="0"/>
          <w:szCs w:val="24"/>
          <w:lang w:val="fr-FR"/>
        </w:rPr>
        <w:t>a</w:t>
      </w:r>
      <w:r w:rsidRPr="009000EB">
        <w:rPr>
          <w:bCs/>
          <w:snapToGrid w:val="0"/>
          <w:szCs w:val="24"/>
          <w:lang w:val="fr-FR"/>
        </w:rPr>
        <w:t>nnex</w:t>
      </w:r>
      <w:r w:rsidR="00356FC4" w:rsidRPr="009000EB">
        <w:rPr>
          <w:bCs/>
          <w:snapToGrid w:val="0"/>
          <w:szCs w:val="24"/>
          <w:lang w:val="fr-FR"/>
        </w:rPr>
        <w:t>e</w:t>
      </w:r>
      <w:r w:rsidR="009C056B" w:rsidRPr="009000EB">
        <w:rPr>
          <w:bCs/>
          <w:snapToGrid w:val="0"/>
          <w:szCs w:val="24"/>
          <w:lang w:val="fr-FR"/>
        </w:rPr>
        <w:t> </w:t>
      </w:r>
      <w:r w:rsidRPr="009000EB">
        <w:rPr>
          <w:bCs/>
          <w:snapToGrid w:val="0"/>
          <w:szCs w:val="24"/>
          <w:lang w:val="fr-FR"/>
        </w:rPr>
        <w:t>II)</w:t>
      </w:r>
    </w:p>
    <w:p w:rsidR="00ED6EFE" w:rsidRPr="009000EB" w:rsidRDefault="00ED6EFE" w:rsidP="00030C17">
      <w:pPr>
        <w:ind w:left="1418" w:hanging="851"/>
        <w:rPr>
          <w:bCs/>
          <w:snapToGrid w:val="0"/>
          <w:szCs w:val="24"/>
          <w:lang w:val="fr-FR"/>
        </w:rPr>
      </w:pPr>
    </w:p>
    <w:p w:rsidR="006A61F0" w:rsidRPr="009000EB" w:rsidRDefault="00ED6EFE" w:rsidP="00030C17">
      <w:pPr>
        <w:ind w:left="1418" w:hanging="851"/>
        <w:rPr>
          <w:bCs/>
          <w:snapToGrid w:val="0"/>
          <w:szCs w:val="24"/>
          <w:lang w:val="fr-FR"/>
        </w:rPr>
      </w:pPr>
      <w:r w:rsidRPr="009000EB">
        <w:rPr>
          <w:bCs/>
          <w:snapToGrid w:val="0"/>
          <w:szCs w:val="24"/>
          <w:lang w:val="fr-FR"/>
        </w:rPr>
        <w:t>TGP/0</w:t>
      </w:r>
      <w:r w:rsidRPr="009000EB">
        <w:rPr>
          <w:bCs/>
          <w:snapToGrid w:val="0"/>
          <w:szCs w:val="24"/>
          <w:lang w:val="fr-FR"/>
        </w:rPr>
        <w:tab/>
      </w:r>
      <w:r w:rsidR="00275C1C" w:rsidRPr="009000EB">
        <w:rPr>
          <w:bCs/>
          <w:snapToGrid w:val="0"/>
          <w:szCs w:val="24"/>
          <w:lang w:val="fr-FR"/>
        </w:rPr>
        <w:t>Liste des documents TGP et date de la version la plus récente de ces documents</w:t>
      </w:r>
      <w:r w:rsidRPr="009000EB">
        <w:rPr>
          <w:bCs/>
          <w:snapToGrid w:val="0"/>
          <w:szCs w:val="24"/>
          <w:lang w:val="fr-FR"/>
        </w:rPr>
        <w:t xml:space="preserve"> (</w:t>
      </w:r>
      <w:r w:rsidR="00275C1C" w:rsidRPr="009000EB">
        <w:rPr>
          <w:bCs/>
          <w:snapToGrid w:val="0"/>
          <w:szCs w:val="24"/>
          <w:lang w:val="fr-FR"/>
        </w:rPr>
        <w:t>ré</w:t>
      </w:r>
      <w:r w:rsidRPr="009000EB">
        <w:rPr>
          <w:bCs/>
          <w:snapToGrid w:val="0"/>
          <w:szCs w:val="24"/>
          <w:lang w:val="fr-FR"/>
        </w:rPr>
        <w:t>vision)</w:t>
      </w:r>
      <w:r w:rsidR="00691783" w:rsidRPr="009000EB">
        <w:rPr>
          <w:bCs/>
          <w:snapToGrid w:val="0"/>
          <w:szCs w:val="24"/>
          <w:lang w:val="fr-FR"/>
        </w:rPr>
        <w:t xml:space="preserve"> </w:t>
      </w:r>
      <w:r w:rsidRPr="009000EB">
        <w:rPr>
          <w:bCs/>
          <w:snapToGrid w:val="0"/>
          <w:szCs w:val="24"/>
          <w:lang w:val="fr-FR"/>
        </w:rPr>
        <w:t>(</w:t>
      </w:r>
      <w:r w:rsidR="006A61F0" w:rsidRPr="009000EB">
        <w:rPr>
          <w:bCs/>
          <w:snapToGrid w:val="0"/>
          <w:szCs w:val="24"/>
          <w:lang w:val="fr-FR"/>
        </w:rPr>
        <w:t>document TG</w:t>
      </w:r>
      <w:r w:rsidR="00AB3BB1">
        <w:rPr>
          <w:bCs/>
          <w:snapToGrid w:val="0"/>
          <w:szCs w:val="24"/>
          <w:lang w:val="fr-FR"/>
        </w:rPr>
        <w:t>P/0/8 </w:t>
      </w:r>
      <w:proofErr w:type="spellStart"/>
      <w:r w:rsidRPr="009000EB">
        <w:rPr>
          <w:bCs/>
          <w:snapToGrid w:val="0"/>
          <w:szCs w:val="24"/>
          <w:lang w:val="fr-FR"/>
        </w:rPr>
        <w:t>Draft</w:t>
      </w:r>
      <w:proofErr w:type="spellEnd"/>
      <w:r w:rsidRPr="009000EB">
        <w:rPr>
          <w:bCs/>
          <w:snapToGrid w:val="0"/>
          <w:szCs w:val="24"/>
          <w:lang w:val="fr-FR"/>
        </w:rPr>
        <w:t> 1)</w:t>
      </w:r>
    </w:p>
    <w:p w:rsidR="00ED6EFE" w:rsidRPr="009000EB" w:rsidRDefault="00ED6EFE" w:rsidP="00030C17">
      <w:pPr>
        <w:ind w:left="2268" w:hanging="1701"/>
        <w:rPr>
          <w:bCs/>
          <w:snapToGrid w:val="0"/>
          <w:szCs w:val="24"/>
          <w:lang w:val="fr-FR"/>
        </w:rPr>
      </w:pPr>
    </w:p>
    <w:p w:rsidR="00ED6EFE" w:rsidRPr="009000EB" w:rsidRDefault="00B803B8" w:rsidP="00030C17">
      <w:pPr>
        <w:ind w:left="567"/>
        <w:rPr>
          <w:bCs/>
          <w:snapToGrid w:val="0"/>
          <w:szCs w:val="24"/>
          <w:lang w:val="fr-FR"/>
        </w:rPr>
      </w:pPr>
      <w:r w:rsidRPr="009000EB">
        <w:rPr>
          <w:bCs/>
          <w:snapToGrid w:val="0"/>
          <w:szCs w:val="24"/>
          <w:u w:val="single"/>
          <w:lang w:val="fr-FR"/>
        </w:rPr>
        <w:t>Notes explicatives</w:t>
      </w:r>
      <w:r w:rsidR="009C056B" w:rsidRPr="009000EB">
        <w:rPr>
          <w:bCs/>
          <w:snapToGrid w:val="0"/>
          <w:szCs w:val="24"/>
          <w:u w:val="single"/>
          <w:lang w:val="fr-FR"/>
        </w:rPr>
        <w:t> </w:t>
      </w:r>
      <w:r w:rsidR="00ED6EFE" w:rsidRPr="009000EB">
        <w:rPr>
          <w:u w:val="single"/>
          <w:lang w:val="fr-FR"/>
        </w:rPr>
        <w:t>:</w:t>
      </w:r>
    </w:p>
    <w:p w:rsidR="00ED6EFE" w:rsidRPr="009000EB" w:rsidRDefault="00ED6EFE" w:rsidP="00030C17">
      <w:pPr>
        <w:ind w:left="567"/>
        <w:rPr>
          <w:bCs/>
          <w:snapToGrid w:val="0"/>
          <w:szCs w:val="24"/>
          <w:lang w:val="fr-FR"/>
        </w:rPr>
      </w:pPr>
    </w:p>
    <w:p w:rsidR="00ED6EFE" w:rsidRPr="009000EB" w:rsidRDefault="00ED6EFE" w:rsidP="00030C17">
      <w:pPr>
        <w:ind w:left="2268" w:hanging="1701"/>
        <w:rPr>
          <w:bCs/>
          <w:snapToGrid w:val="0"/>
          <w:szCs w:val="24"/>
          <w:lang w:val="fr-FR"/>
        </w:rPr>
      </w:pPr>
      <w:r w:rsidRPr="009000EB">
        <w:rPr>
          <w:bCs/>
          <w:snapToGrid w:val="0"/>
          <w:szCs w:val="24"/>
          <w:lang w:val="fr-FR"/>
        </w:rPr>
        <w:t>UPOV/EXN/CAN</w:t>
      </w:r>
      <w:r w:rsidRPr="009000EB">
        <w:rPr>
          <w:bCs/>
          <w:snapToGrid w:val="0"/>
          <w:szCs w:val="24"/>
          <w:lang w:val="fr-FR"/>
        </w:rPr>
        <w:tab/>
      </w:r>
      <w:r w:rsidR="00B803B8" w:rsidRPr="009000EB">
        <w:rPr>
          <w:bCs/>
          <w:snapToGrid w:val="0"/>
          <w:szCs w:val="24"/>
          <w:lang w:val="fr-FR"/>
        </w:rPr>
        <w:t>Notes explicatives sur la déchéance de l</w:t>
      </w:r>
      <w:r w:rsidR="006A61F0" w:rsidRPr="009000EB">
        <w:rPr>
          <w:bCs/>
          <w:snapToGrid w:val="0"/>
          <w:szCs w:val="24"/>
          <w:lang w:val="fr-FR"/>
        </w:rPr>
        <w:t>’</w:t>
      </w:r>
      <w:r w:rsidR="00B803B8" w:rsidRPr="009000EB">
        <w:rPr>
          <w:bCs/>
          <w:snapToGrid w:val="0"/>
          <w:szCs w:val="24"/>
          <w:lang w:val="fr-FR"/>
        </w:rPr>
        <w:t xml:space="preserve">obtenteur selon la </w:t>
      </w:r>
      <w:r w:rsidR="006A61F0" w:rsidRPr="009000EB">
        <w:rPr>
          <w:bCs/>
          <w:snapToGrid w:val="0"/>
          <w:szCs w:val="24"/>
          <w:lang w:val="fr-FR"/>
        </w:rPr>
        <w:t>Convention UPOV</w:t>
      </w:r>
      <w:r w:rsidR="00B803B8" w:rsidRPr="009000EB">
        <w:rPr>
          <w:bCs/>
          <w:snapToGrid w:val="0"/>
          <w:szCs w:val="24"/>
          <w:lang w:val="fr-FR"/>
        </w:rPr>
        <w:t xml:space="preserve"> (révision)</w:t>
      </w:r>
      <w:r w:rsidRPr="009000EB">
        <w:rPr>
          <w:bCs/>
          <w:snapToGrid w:val="0"/>
          <w:szCs w:val="24"/>
          <w:lang w:val="fr-FR"/>
        </w:rPr>
        <w:t xml:space="preserve"> (document </w:t>
      </w:r>
      <w:r w:rsidR="00AB3BB1">
        <w:rPr>
          <w:bCs/>
          <w:snapToGrid w:val="0"/>
          <w:szCs w:val="24"/>
          <w:lang w:val="fr-FR"/>
        </w:rPr>
        <w:t>UPOV/EXN/CAN/2 </w:t>
      </w:r>
      <w:proofErr w:type="spellStart"/>
      <w:r w:rsidR="009E4018">
        <w:rPr>
          <w:bCs/>
          <w:snapToGrid w:val="0"/>
          <w:szCs w:val="24"/>
          <w:lang w:val="fr-FR"/>
        </w:rPr>
        <w:t>Draft</w:t>
      </w:r>
      <w:proofErr w:type="spellEnd"/>
      <w:r w:rsidR="009E4018">
        <w:rPr>
          <w:bCs/>
          <w:snapToGrid w:val="0"/>
          <w:szCs w:val="24"/>
          <w:lang w:val="fr-FR"/>
        </w:rPr>
        <w:t> </w:t>
      </w:r>
      <w:r w:rsidR="00340713" w:rsidRPr="009000EB">
        <w:rPr>
          <w:bCs/>
          <w:snapToGrid w:val="0"/>
          <w:szCs w:val="24"/>
          <w:lang w:val="fr-FR"/>
        </w:rPr>
        <w:t>4</w:t>
      </w:r>
      <w:r w:rsidRPr="009000EB">
        <w:rPr>
          <w:bCs/>
          <w:snapToGrid w:val="0"/>
          <w:szCs w:val="24"/>
          <w:lang w:val="fr-FR"/>
        </w:rPr>
        <w:t>)</w:t>
      </w:r>
    </w:p>
    <w:p w:rsidR="00ED6EFE" w:rsidRPr="009000EB" w:rsidRDefault="00ED6EFE" w:rsidP="00030C17">
      <w:pPr>
        <w:ind w:left="2268" w:hanging="1701"/>
        <w:rPr>
          <w:bCs/>
          <w:snapToGrid w:val="0"/>
          <w:szCs w:val="24"/>
          <w:lang w:val="fr-FR"/>
        </w:rPr>
      </w:pPr>
    </w:p>
    <w:p w:rsidR="00ED6EFE" w:rsidRPr="009000EB" w:rsidRDefault="00ED6EFE" w:rsidP="00030C17">
      <w:pPr>
        <w:ind w:left="2268" w:hanging="1701"/>
        <w:rPr>
          <w:bCs/>
          <w:snapToGrid w:val="0"/>
          <w:szCs w:val="24"/>
          <w:lang w:val="fr-FR"/>
        </w:rPr>
      </w:pPr>
      <w:r w:rsidRPr="009000EB">
        <w:rPr>
          <w:bCs/>
          <w:snapToGrid w:val="0"/>
          <w:szCs w:val="24"/>
          <w:lang w:val="fr-FR"/>
        </w:rPr>
        <w:t>UPOV/EXN/NUL</w:t>
      </w:r>
      <w:r w:rsidRPr="009000EB">
        <w:rPr>
          <w:bCs/>
          <w:snapToGrid w:val="0"/>
          <w:szCs w:val="24"/>
          <w:lang w:val="fr-FR"/>
        </w:rPr>
        <w:tab/>
      </w:r>
      <w:r w:rsidR="00800719" w:rsidRPr="009000EB">
        <w:rPr>
          <w:bCs/>
          <w:snapToGrid w:val="0"/>
          <w:szCs w:val="24"/>
          <w:lang w:val="fr-FR"/>
        </w:rPr>
        <w:t>Notes explicatives sur la nullité du droit d</w:t>
      </w:r>
      <w:r w:rsidR="006A61F0" w:rsidRPr="009000EB">
        <w:rPr>
          <w:bCs/>
          <w:snapToGrid w:val="0"/>
          <w:szCs w:val="24"/>
          <w:lang w:val="fr-FR"/>
        </w:rPr>
        <w:t>’</w:t>
      </w:r>
      <w:r w:rsidR="00800719" w:rsidRPr="009000EB">
        <w:rPr>
          <w:bCs/>
          <w:snapToGrid w:val="0"/>
          <w:szCs w:val="24"/>
          <w:lang w:val="fr-FR"/>
        </w:rPr>
        <w:t xml:space="preserve">obtenteur selon la </w:t>
      </w:r>
      <w:r w:rsidR="006A61F0" w:rsidRPr="009000EB">
        <w:rPr>
          <w:bCs/>
          <w:snapToGrid w:val="0"/>
          <w:szCs w:val="24"/>
          <w:lang w:val="fr-FR"/>
        </w:rPr>
        <w:t>Convention UPOV</w:t>
      </w:r>
      <w:r w:rsidR="00800719" w:rsidRPr="009000EB">
        <w:rPr>
          <w:bCs/>
          <w:snapToGrid w:val="0"/>
          <w:szCs w:val="24"/>
          <w:lang w:val="fr-FR"/>
        </w:rPr>
        <w:t xml:space="preserve"> (révision)</w:t>
      </w:r>
      <w:r w:rsidRPr="009000EB">
        <w:rPr>
          <w:bCs/>
          <w:snapToGrid w:val="0"/>
          <w:szCs w:val="24"/>
          <w:lang w:val="fr-FR"/>
        </w:rPr>
        <w:t xml:space="preserve"> (document </w:t>
      </w:r>
      <w:r w:rsidR="00AB3BB1">
        <w:rPr>
          <w:bCs/>
          <w:snapToGrid w:val="0"/>
          <w:szCs w:val="24"/>
          <w:lang w:val="fr-FR"/>
        </w:rPr>
        <w:t>UPOV/EXN/NUL/2 </w:t>
      </w:r>
      <w:proofErr w:type="spellStart"/>
      <w:r w:rsidR="009E4018">
        <w:rPr>
          <w:bCs/>
          <w:snapToGrid w:val="0"/>
          <w:szCs w:val="24"/>
          <w:lang w:val="fr-FR"/>
        </w:rPr>
        <w:t>Draft</w:t>
      </w:r>
      <w:proofErr w:type="spellEnd"/>
      <w:r w:rsidR="009E4018">
        <w:rPr>
          <w:bCs/>
          <w:snapToGrid w:val="0"/>
          <w:szCs w:val="24"/>
          <w:lang w:val="fr-FR"/>
        </w:rPr>
        <w:t> </w:t>
      </w:r>
      <w:r w:rsidR="00340713" w:rsidRPr="009000EB">
        <w:rPr>
          <w:bCs/>
          <w:snapToGrid w:val="0"/>
          <w:szCs w:val="24"/>
          <w:lang w:val="fr-FR"/>
        </w:rPr>
        <w:t>4</w:t>
      </w:r>
      <w:r w:rsidRPr="009000EB">
        <w:rPr>
          <w:bCs/>
          <w:snapToGrid w:val="0"/>
          <w:szCs w:val="24"/>
          <w:lang w:val="fr-FR"/>
        </w:rPr>
        <w:t>)</w:t>
      </w:r>
    </w:p>
    <w:p w:rsidR="00ED6EFE" w:rsidRPr="009000EB" w:rsidRDefault="00ED6EFE" w:rsidP="00030C17">
      <w:pPr>
        <w:ind w:left="2268" w:hanging="1701"/>
        <w:rPr>
          <w:bCs/>
          <w:snapToGrid w:val="0"/>
          <w:szCs w:val="24"/>
          <w:lang w:val="fr-FR"/>
        </w:rPr>
      </w:pPr>
    </w:p>
    <w:p w:rsidR="00ED6EFE" w:rsidRPr="009000EB" w:rsidRDefault="00ED6EFE" w:rsidP="00030C17">
      <w:pPr>
        <w:keepNext/>
        <w:ind w:left="2268" w:hanging="1701"/>
        <w:rPr>
          <w:bCs/>
          <w:snapToGrid w:val="0"/>
          <w:szCs w:val="24"/>
          <w:lang w:val="fr-FR"/>
        </w:rPr>
      </w:pPr>
      <w:r w:rsidRPr="009000EB">
        <w:rPr>
          <w:bCs/>
          <w:snapToGrid w:val="0"/>
          <w:szCs w:val="24"/>
          <w:lang w:val="fr-FR"/>
        </w:rPr>
        <w:t>UPOV/EXN/PRP</w:t>
      </w:r>
      <w:r w:rsidRPr="009000EB">
        <w:rPr>
          <w:bCs/>
          <w:snapToGrid w:val="0"/>
          <w:szCs w:val="24"/>
          <w:lang w:val="fr-FR"/>
        </w:rPr>
        <w:tab/>
      </w:r>
      <w:r w:rsidR="00800719" w:rsidRPr="009000EB">
        <w:rPr>
          <w:bCs/>
          <w:snapToGrid w:val="0"/>
          <w:szCs w:val="24"/>
          <w:lang w:val="fr-FR"/>
        </w:rPr>
        <w:t xml:space="preserve">Notes explicatives sur la protection provisoire selon la </w:t>
      </w:r>
      <w:r w:rsidR="006A61F0" w:rsidRPr="009000EB">
        <w:rPr>
          <w:bCs/>
          <w:snapToGrid w:val="0"/>
          <w:szCs w:val="24"/>
          <w:lang w:val="fr-FR"/>
        </w:rPr>
        <w:t>Convention UPOV</w:t>
      </w:r>
      <w:r w:rsidR="00800719" w:rsidRPr="009000EB">
        <w:rPr>
          <w:bCs/>
          <w:snapToGrid w:val="0"/>
          <w:szCs w:val="24"/>
          <w:lang w:val="fr-FR"/>
        </w:rPr>
        <w:t xml:space="preserve"> (révision)</w:t>
      </w:r>
      <w:r w:rsidRPr="009000EB">
        <w:rPr>
          <w:bCs/>
          <w:snapToGrid w:val="0"/>
          <w:szCs w:val="24"/>
          <w:lang w:val="fr-FR"/>
        </w:rPr>
        <w:t xml:space="preserve"> (document </w:t>
      </w:r>
      <w:r w:rsidR="00AB3BB1">
        <w:rPr>
          <w:bCs/>
          <w:snapToGrid w:val="0"/>
          <w:szCs w:val="24"/>
          <w:lang w:val="fr-FR"/>
        </w:rPr>
        <w:t>UPOV/EXN/PRP/2 </w:t>
      </w:r>
      <w:proofErr w:type="spellStart"/>
      <w:r w:rsidR="009E4018">
        <w:rPr>
          <w:bCs/>
          <w:snapToGrid w:val="0"/>
          <w:szCs w:val="24"/>
          <w:lang w:val="fr-FR"/>
        </w:rPr>
        <w:t>Draft</w:t>
      </w:r>
      <w:proofErr w:type="spellEnd"/>
      <w:r w:rsidR="009E4018">
        <w:rPr>
          <w:bCs/>
          <w:snapToGrid w:val="0"/>
          <w:szCs w:val="24"/>
          <w:lang w:val="fr-FR"/>
        </w:rPr>
        <w:t> </w:t>
      </w:r>
      <w:r w:rsidR="00340713" w:rsidRPr="009000EB">
        <w:rPr>
          <w:bCs/>
          <w:snapToGrid w:val="0"/>
          <w:szCs w:val="24"/>
          <w:lang w:val="fr-FR"/>
        </w:rPr>
        <w:t>4</w:t>
      </w:r>
      <w:r w:rsidRPr="009000EB">
        <w:rPr>
          <w:bCs/>
          <w:snapToGrid w:val="0"/>
          <w:szCs w:val="24"/>
          <w:lang w:val="fr-FR"/>
        </w:rPr>
        <w:t>)</w:t>
      </w:r>
    </w:p>
    <w:p w:rsidR="00ED6EFE" w:rsidRPr="009000EB" w:rsidRDefault="00ED6EFE" w:rsidP="00030C17">
      <w:pPr>
        <w:rPr>
          <w:bCs/>
          <w:snapToGrid w:val="0"/>
          <w:szCs w:val="24"/>
          <w:lang w:val="fr-FR"/>
        </w:rPr>
      </w:pPr>
    </w:p>
    <w:p w:rsidR="00ED6EFE" w:rsidRPr="009000EB" w:rsidRDefault="001E19AA" w:rsidP="00030C17">
      <w:pPr>
        <w:keepNext/>
        <w:ind w:left="567"/>
        <w:rPr>
          <w:bCs/>
          <w:snapToGrid w:val="0"/>
          <w:szCs w:val="24"/>
          <w:lang w:val="fr-FR"/>
        </w:rPr>
      </w:pPr>
      <w:r w:rsidRPr="009000EB">
        <w:rPr>
          <w:bCs/>
          <w:snapToGrid w:val="0"/>
          <w:szCs w:val="24"/>
          <w:u w:val="single"/>
          <w:lang w:val="fr-FR"/>
        </w:rPr>
        <w:lastRenderedPageBreak/>
        <w:t>Documents d</w:t>
      </w:r>
      <w:r w:rsidR="006A61F0" w:rsidRPr="009000EB">
        <w:rPr>
          <w:bCs/>
          <w:snapToGrid w:val="0"/>
          <w:szCs w:val="24"/>
          <w:u w:val="single"/>
          <w:lang w:val="fr-FR"/>
        </w:rPr>
        <w:t>’</w:t>
      </w:r>
      <w:r w:rsidRPr="009000EB">
        <w:rPr>
          <w:bCs/>
          <w:snapToGrid w:val="0"/>
          <w:szCs w:val="24"/>
          <w:u w:val="single"/>
          <w:lang w:val="fr-FR"/>
        </w:rPr>
        <w:t>information</w:t>
      </w:r>
      <w:r w:rsidR="009C056B" w:rsidRPr="009000EB">
        <w:rPr>
          <w:bCs/>
          <w:snapToGrid w:val="0"/>
          <w:szCs w:val="24"/>
          <w:u w:val="single"/>
          <w:lang w:val="fr-FR"/>
        </w:rPr>
        <w:t> </w:t>
      </w:r>
      <w:r w:rsidR="00ED6EFE" w:rsidRPr="009000EB">
        <w:rPr>
          <w:u w:val="single"/>
          <w:lang w:val="fr-FR"/>
        </w:rPr>
        <w:t>:</w:t>
      </w:r>
    </w:p>
    <w:p w:rsidR="00ED6EFE" w:rsidRPr="009000EB" w:rsidRDefault="00ED6EFE" w:rsidP="00030C17">
      <w:pPr>
        <w:keepNext/>
        <w:ind w:left="2268" w:hanging="1701"/>
        <w:rPr>
          <w:bCs/>
          <w:snapToGrid w:val="0"/>
          <w:szCs w:val="24"/>
          <w:lang w:val="fr-FR"/>
        </w:rPr>
      </w:pPr>
    </w:p>
    <w:p w:rsidR="00ED6EFE" w:rsidRPr="009000EB" w:rsidRDefault="00ED6EFE" w:rsidP="00030C17">
      <w:pPr>
        <w:ind w:left="2268" w:hanging="1701"/>
        <w:rPr>
          <w:bCs/>
          <w:snapToGrid w:val="0"/>
          <w:szCs w:val="24"/>
          <w:lang w:val="fr-FR"/>
        </w:rPr>
      </w:pPr>
      <w:r w:rsidRPr="009000EB">
        <w:rPr>
          <w:bCs/>
          <w:snapToGrid w:val="0"/>
          <w:szCs w:val="24"/>
          <w:lang w:val="fr-FR"/>
        </w:rPr>
        <w:t>UPOV/INF/6</w:t>
      </w:r>
      <w:r w:rsidRPr="009000EB">
        <w:rPr>
          <w:bCs/>
          <w:snapToGrid w:val="0"/>
          <w:szCs w:val="24"/>
          <w:lang w:val="fr-FR"/>
        </w:rPr>
        <w:tab/>
      </w:r>
      <w:r w:rsidR="00396927" w:rsidRPr="009000EB">
        <w:rPr>
          <w:bCs/>
          <w:snapToGrid w:val="0"/>
          <w:szCs w:val="24"/>
          <w:lang w:val="fr-FR"/>
        </w:rPr>
        <w:t>Orientations en vue de la rédaction de lois fondées sur l</w:t>
      </w:r>
      <w:r w:rsidR="006A61F0" w:rsidRPr="009000EB">
        <w:rPr>
          <w:bCs/>
          <w:snapToGrid w:val="0"/>
          <w:szCs w:val="24"/>
          <w:lang w:val="fr-FR"/>
        </w:rPr>
        <w:t>’</w:t>
      </w:r>
      <w:r w:rsidR="00396927" w:rsidRPr="009000EB">
        <w:rPr>
          <w:bCs/>
          <w:snapToGrid w:val="0"/>
          <w:szCs w:val="24"/>
          <w:lang w:val="fr-FR"/>
        </w:rPr>
        <w:t>Acte de</w:t>
      </w:r>
      <w:r w:rsidR="009C056B" w:rsidRPr="009000EB">
        <w:rPr>
          <w:bCs/>
          <w:snapToGrid w:val="0"/>
          <w:szCs w:val="24"/>
          <w:lang w:val="fr-FR"/>
        </w:rPr>
        <w:t> </w:t>
      </w:r>
      <w:r w:rsidR="00396927" w:rsidRPr="009000EB">
        <w:rPr>
          <w:bCs/>
          <w:snapToGrid w:val="0"/>
          <w:szCs w:val="24"/>
          <w:lang w:val="fr-FR"/>
        </w:rPr>
        <w:t xml:space="preserve">1991 de la </w:t>
      </w:r>
      <w:r w:rsidR="006A61F0" w:rsidRPr="009000EB">
        <w:rPr>
          <w:bCs/>
          <w:snapToGrid w:val="0"/>
          <w:szCs w:val="24"/>
          <w:lang w:val="fr-FR"/>
        </w:rPr>
        <w:t>Convention UPOV</w:t>
      </w:r>
      <w:r w:rsidR="00691783" w:rsidRPr="009000EB">
        <w:rPr>
          <w:bCs/>
          <w:snapToGrid w:val="0"/>
          <w:szCs w:val="24"/>
          <w:lang w:val="fr-FR"/>
        </w:rPr>
        <w:t xml:space="preserve"> </w:t>
      </w:r>
      <w:r w:rsidR="00891600">
        <w:rPr>
          <w:bCs/>
          <w:snapToGrid w:val="0"/>
          <w:szCs w:val="24"/>
          <w:lang w:val="fr-FR"/>
        </w:rPr>
        <w:t xml:space="preserve">(révision) </w:t>
      </w:r>
      <w:r w:rsidRPr="009000EB">
        <w:rPr>
          <w:bCs/>
          <w:snapToGrid w:val="0"/>
          <w:szCs w:val="24"/>
          <w:lang w:val="fr-FR"/>
        </w:rPr>
        <w:t xml:space="preserve">(document </w:t>
      </w:r>
      <w:r w:rsidR="00223470" w:rsidRPr="009000EB">
        <w:rPr>
          <w:bCs/>
          <w:snapToGrid w:val="0"/>
          <w:szCs w:val="24"/>
          <w:lang w:val="fr-FR"/>
        </w:rPr>
        <w:t>C/49/14</w:t>
      </w:r>
      <w:r w:rsidRPr="009000EB">
        <w:rPr>
          <w:bCs/>
          <w:snapToGrid w:val="0"/>
          <w:szCs w:val="24"/>
          <w:lang w:val="fr-FR"/>
        </w:rPr>
        <w:t xml:space="preserve">, </w:t>
      </w:r>
      <w:r w:rsidR="00396927" w:rsidRPr="009000EB">
        <w:rPr>
          <w:bCs/>
          <w:snapToGrid w:val="0"/>
          <w:szCs w:val="24"/>
          <w:lang w:val="fr-FR"/>
        </w:rPr>
        <w:t>a</w:t>
      </w:r>
      <w:r w:rsidRPr="009000EB">
        <w:rPr>
          <w:bCs/>
          <w:snapToGrid w:val="0"/>
          <w:szCs w:val="24"/>
          <w:lang w:val="fr-FR"/>
        </w:rPr>
        <w:t>nnex</w:t>
      </w:r>
      <w:r w:rsidR="00396927" w:rsidRPr="009000EB">
        <w:rPr>
          <w:bCs/>
          <w:snapToGrid w:val="0"/>
          <w:szCs w:val="24"/>
          <w:lang w:val="fr-FR"/>
        </w:rPr>
        <w:t>e</w:t>
      </w:r>
      <w:r w:rsidR="009C056B" w:rsidRPr="009000EB">
        <w:rPr>
          <w:bCs/>
          <w:snapToGrid w:val="0"/>
          <w:szCs w:val="24"/>
          <w:lang w:val="fr-FR"/>
        </w:rPr>
        <w:t> </w:t>
      </w:r>
      <w:r w:rsidRPr="009000EB">
        <w:rPr>
          <w:bCs/>
          <w:snapToGrid w:val="0"/>
          <w:szCs w:val="24"/>
          <w:lang w:val="fr-FR"/>
        </w:rPr>
        <w:t>IV)</w:t>
      </w:r>
    </w:p>
    <w:p w:rsidR="00ED6EFE" w:rsidRPr="009000EB" w:rsidRDefault="00ED6EFE" w:rsidP="00030C17">
      <w:pPr>
        <w:ind w:left="2268" w:hanging="1701"/>
        <w:rPr>
          <w:bCs/>
          <w:snapToGrid w:val="0"/>
          <w:szCs w:val="24"/>
          <w:lang w:val="fr-FR"/>
        </w:rPr>
      </w:pPr>
    </w:p>
    <w:p w:rsidR="00ED6EFE" w:rsidRPr="009000EB" w:rsidRDefault="00ED6EFE" w:rsidP="00030C17">
      <w:pPr>
        <w:ind w:left="2268" w:hanging="1701"/>
        <w:rPr>
          <w:bCs/>
          <w:snapToGrid w:val="0"/>
          <w:szCs w:val="24"/>
          <w:lang w:val="fr-FR"/>
        </w:rPr>
      </w:pPr>
      <w:r w:rsidRPr="009000EB">
        <w:rPr>
          <w:bCs/>
          <w:snapToGrid w:val="0"/>
          <w:szCs w:val="24"/>
          <w:lang w:val="fr-FR"/>
        </w:rPr>
        <w:t>UPOV/INF/12</w:t>
      </w:r>
      <w:r w:rsidRPr="009000EB">
        <w:rPr>
          <w:bCs/>
          <w:snapToGrid w:val="0"/>
          <w:szCs w:val="24"/>
          <w:lang w:val="fr-FR"/>
        </w:rPr>
        <w:tab/>
      </w:r>
      <w:r w:rsidR="000B50FA" w:rsidRPr="009000EB">
        <w:rPr>
          <w:bCs/>
          <w:snapToGrid w:val="0"/>
          <w:szCs w:val="24"/>
          <w:lang w:val="fr-FR"/>
        </w:rPr>
        <w:t xml:space="preserve">Notes explicatives concernant les dénominations variétales en vertu de la </w:t>
      </w:r>
      <w:r w:rsidR="006A61F0" w:rsidRPr="009000EB">
        <w:rPr>
          <w:bCs/>
          <w:snapToGrid w:val="0"/>
          <w:szCs w:val="24"/>
          <w:lang w:val="fr-FR"/>
        </w:rPr>
        <w:t>Convention UPOV</w:t>
      </w:r>
      <w:r w:rsidR="000B50FA" w:rsidRPr="009000EB">
        <w:rPr>
          <w:bCs/>
          <w:snapToGrid w:val="0"/>
          <w:szCs w:val="24"/>
          <w:lang w:val="fr-FR"/>
        </w:rPr>
        <w:t xml:space="preserve"> (révision)</w:t>
      </w:r>
      <w:r w:rsidRPr="009000EB">
        <w:rPr>
          <w:bCs/>
          <w:snapToGrid w:val="0"/>
          <w:szCs w:val="24"/>
          <w:lang w:val="fr-FR"/>
        </w:rPr>
        <w:t xml:space="preserve"> (document </w:t>
      </w:r>
      <w:r w:rsidR="00223470" w:rsidRPr="009000EB">
        <w:rPr>
          <w:bCs/>
          <w:snapToGrid w:val="0"/>
          <w:szCs w:val="24"/>
          <w:lang w:val="fr-FR"/>
        </w:rPr>
        <w:t>C/49/14</w:t>
      </w:r>
      <w:r w:rsidRPr="009000EB">
        <w:rPr>
          <w:bCs/>
          <w:snapToGrid w:val="0"/>
          <w:szCs w:val="24"/>
          <w:lang w:val="fr-FR"/>
        </w:rPr>
        <w:t xml:space="preserve">, </w:t>
      </w:r>
      <w:r w:rsidR="000B50FA" w:rsidRPr="009000EB">
        <w:rPr>
          <w:bCs/>
          <w:snapToGrid w:val="0"/>
          <w:szCs w:val="24"/>
          <w:lang w:val="fr-FR"/>
        </w:rPr>
        <w:t>a</w:t>
      </w:r>
      <w:r w:rsidRPr="009000EB">
        <w:rPr>
          <w:bCs/>
          <w:snapToGrid w:val="0"/>
          <w:szCs w:val="24"/>
          <w:lang w:val="fr-FR"/>
        </w:rPr>
        <w:t>nnex</w:t>
      </w:r>
      <w:r w:rsidR="000B50FA" w:rsidRPr="009000EB">
        <w:rPr>
          <w:bCs/>
          <w:snapToGrid w:val="0"/>
          <w:szCs w:val="24"/>
          <w:lang w:val="fr-FR"/>
        </w:rPr>
        <w:t>e</w:t>
      </w:r>
      <w:r w:rsidR="009C056B" w:rsidRPr="009000EB">
        <w:rPr>
          <w:bCs/>
          <w:snapToGrid w:val="0"/>
          <w:szCs w:val="24"/>
          <w:lang w:val="fr-FR"/>
        </w:rPr>
        <w:t> </w:t>
      </w:r>
      <w:r w:rsidRPr="009000EB">
        <w:rPr>
          <w:bCs/>
          <w:snapToGrid w:val="0"/>
          <w:szCs w:val="24"/>
          <w:lang w:val="fr-FR"/>
        </w:rPr>
        <w:t>III)</w:t>
      </w:r>
    </w:p>
    <w:p w:rsidR="00ED6EFE" w:rsidRPr="009000EB" w:rsidRDefault="00ED6EFE" w:rsidP="00030C17">
      <w:pPr>
        <w:ind w:left="1701" w:hanging="1701"/>
        <w:rPr>
          <w:bCs/>
          <w:snapToGrid w:val="0"/>
          <w:szCs w:val="24"/>
          <w:lang w:val="fr-FR"/>
        </w:rPr>
      </w:pPr>
    </w:p>
    <w:p w:rsidR="00ED6EFE" w:rsidRPr="009000EB" w:rsidRDefault="00ED6EFE" w:rsidP="00030C17">
      <w:pPr>
        <w:ind w:left="2268" w:hanging="1701"/>
        <w:rPr>
          <w:kern w:val="28"/>
          <w:lang w:val="fr-FR"/>
        </w:rPr>
      </w:pPr>
      <w:r w:rsidRPr="009000EB">
        <w:rPr>
          <w:bCs/>
          <w:snapToGrid w:val="0"/>
          <w:szCs w:val="24"/>
          <w:lang w:val="fr-FR"/>
        </w:rPr>
        <w:t>UPOV/INF/16</w:t>
      </w:r>
      <w:r w:rsidRPr="009000EB">
        <w:rPr>
          <w:bCs/>
          <w:snapToGrid w:val="0"/>
          <w:szCs w:val="24"/>
          <w:lang w:val="fr-FR"/>
        </w:rPr>
        <w:tab/>
      </w:r>
      <w:r w:rsidR="009F4E6E" w:rsidRPr="009000EB">
        <w:rPr>
          <w:bCs/>
          <w:snapToGrid w:val="0"/>
          <w:spacing w:val="-4"/>
          <w:szCs w:val="24"/>
          <w:lang w:val="fr-FR"/>
        </w:rPr>
        <w:t>Logiciels échangeables (révision)</w:t>
      </w:r>
      <w:r w:rsidRPr="009000EB">
        <w:rPr>
          <w:bCs/>
          <w:snapToGrid w:val="0"/>
          <w:spacing w:val="-4"/>
          <w:szCs w:val="24"/>
          <w:lang w:val="fr-FR"/>
        </w:rPr>
        <w:t xml:space="preserve"> (document UPOV/INF/16/5 </w:t>
      </w:r>
      <w:proofErr w:type="spellStart"/>
      <w:r w:rsidRPr="009000EB">
        <w:rPr>
          <w:bCs/>
          <w:snapToGrid w:val="0"/>
          <w:spacing w:val="-4"/>
          <w:szCs w:val="24"/>
          <w:lang w:val="fr-FR"/>
        </w:rPr>
        <w:t>Draft</w:t>
      </w:r>
      <w:proofErr w:type="spellEnd"/>
      <w:r w:rsidRPr="009000EB">
        <w:rPr>
          <w:bCs/>
          <w:snapToGrid w:val="0"/>
          <w:spacing w:val="-4"/>
          <w:szCs w:val="24"/>
          <w:lang w:val="fr-FR"/>
        </w:rPr>
        <w:t> 1)</w:t>
      </w:r>
    </w:p>
    <w:p w:rsidR="00ED6EFE" w:rsidRPr="009000EB" w:rsidRDefault="00ED6EFE" w:rsidP="00030C17">
      <w:pPr>
        <w:ind w:left="1134" w:hanging="1134"/>
        <w:rPr>
          <w:bCs/>
          <w:snapToGrid w:val="0"/>
          <w:szCs w:val="24"/>
          <w:lang w:val="fr-FR"/>
        </w:rPr>
      </w:pPr>
    </w:p>
    <w:p w:rsidR="00ED6EFE" w:rsidRPr="009000EB" w:rsidRDefault="00ED6EFE" w:rsidP="00030C17">
      <w:pPr>
        <w:ind w:left="2268" w:hanging="1701"/>
        <w:rPr>
          <w:bCs/>
          <w:snapToGrid w:val="0"/>
          <w:spacing w:val="-4"/>
          <w:szCs w:val="24"/>
          <w:lang w:val="fr-FR"/>
        </w:rPr>
      </w:pPr>
      <w:r w:rsidRPr="009000EB">
        <w:rPr>
          <w:bCs/>
          <w:snapToGrid w:val="0"/>
          <w:szCs w:val="24"/>
          <w:lang w:val="fr-FR"/>
        </w:rPr>
        <w:t>UPOV/INF/22</w:t>
      </w:r>
      <w:r w:rsidRPr="009000EB">
        <w:rPr>
          <w:bCs/>
          <w:snapToGrid w:val="0"/>
          <w:szCs w:val="24"/>
          <w:lang w:val="fr-FR"/>
        </w:rPr>
        <w:tab/>
      </w:r>
      <w:r w:rsidR="009F4E6E" w:rsidRPr="009000EB">
        <w:rPr>
          <w:bCs/>
          <w:snapToGrid w:val="0"/>
          <w:spacing w:val="-4"/>
          <w:szCs w:val="24"/>
          <w:lang w:val="fr-FR"/>
        </w:rPr>
        <w:t>Logiciels et équipements utilisés par les membres de l</w:t>
      </w:r>
      <w:r w:rsidR="006A61F0" w:rsidRPr="009000EB">
        <w:rPr>
          <w:bCs/>
          <w:snapToGrid w:val="0"/>
          <w:spacing w:val="-4"/>
          <w:szCs w:val="24"/>
          <w:lang w:val="fr-FR"/>
        </w:rPr>
        <w:t>’</w:t>
      </w:r>
      <w:r w:rsidR="009F4E6E" w:rsidRPr="009000EB">
        <w:rPr>
          <w:bCs/>
          <w:snapToGrid w:val="0"/>
          <w:spacing w:val="-4"/>
          <w:szCs w:val="24"/>
          <w:lang w:val="fr-FR"/>
        </w:rPr>
        <w:t>Union</w:t>
      </w:r>
      <w:r w:rsidR="00891600">
        <w:rPr>
          <w:bCs/>
          <w:snapToGrid w:val="0"/>
          <w:spacing w:val="-4"/>
          <w:szCs w:val="24"/>
          <w:lang w:val="fr-FR"/>
        </w:rPr>
        <w:t xml:space="preserve"> (révision)</w:t>
      </w:r>
      <w:r w:rsidRPr="009000EB">
        <w:rPr>
          <w:bCs/>
          <w:snapToGrid w:val="0"/>
          <w:spacing w:val="-4"/>
          <w:szCs w:val="24"/>
          <w:lang w:val="fr-FR"/>
        </w:rPr>
        <w:t xml:space="preserve"> (</w:t>
      </w:r>
      <w:r w:rsidR="00891600">
        <w:rPr>
          <w:bCs/>
          <w:snapToGrid w:val="0"/>
          <w:spacing w:val="-4"/>
          <w:szCs w:val="24"/>
          <w:lang w:val="fr-FR"/>
        </w:rPr>
        <w:t>document </w:t>
      </w:r>
      <w:r w:rsidR="00AB3BB1">
        <w:rPr>
          <w:bCs/>
          <w:snapToGrid w:val="0"/>
          <w:spacing w:val="-4"/>
          <w:szCs w:val="24"/>
          <w:lang w:val="fr-FR"/>
        </w:rPr>
        <w:t>UPOV/INF/22/2 </w:t>
      </w:r>
      <w:proofErr w:type="spellStart"/>
      <w:r w:rsidR="009E4018">
        <w:rPr>
          <w:bCs/>
          <w:snapToGrid w:val="0"/>
          <w:spacing w:val="-4"/>
          <w:szCs w:val="24"/>
          <w:lang w:val="fr-FR"/>
        </w:rPr>
        <w:t>Draft</w:t>
      </w:r>
      <w:proofErr w:type="spellEnd"/>
      <w:r w:rsidR="009E4018">
        <w:rPr>
          <w:bCs/>
          <w:snapToGrid w:val="0"/>
          <w:spacing w:val="-4"/>
          <w:szCs w:val="24"/>
          <w:lang w:val="fr-FR"/>
        </w:rPr>
        <w:t> </w:t>
      </w:r>
      <w:r w:rsidRPr="009000EB">
        <w:rPr>
          <w:bCs/>
          <w:snapToGrid w:val="0"/>
          <w:spacing w:val="-4"/>
          <w:szCs w:val="24"/>
          <w:lang w:val="fr-FR"/>
        </w:rPr>
        <w:t>1)</w:t>
      </w:r>
    </w:p>
    <w:p w:rsidR="004D266B" w:rsidRPr="009000EB" w:rsidRDefault="004D266B" w:rsidP="00030C17">
      <w:pPr>
        <w:ind w:left="2268" w:hanging="1701"/>
        <w:rPr>
          <w:bCs/>
          <w:snapToGrid w:val="0"/>
          <w:spacing w:val="-4"/>
          <w:szCs w:val="24"/>
          <w:lang w:val="fr-FR"/>
        </w:rPr>
      </w:pPr>
    </w:p>
    <w:p w:rsidR="004D266B" w:rsidRPr="009000EB" w:rsidRDefault="004D266B" w:rsidP="00030C17">
      <w:pPr>
        <w:ind w:left="2268" w:hanging="1701"/>
        <w:rPr>
          <w:kern w:val="28"/>
          <w:lang w:val="fr-FR"/>
        </w:rPr>
      </w:pPr>
      <w:r w:rsidRPr="009000EB">
        <w:rPr>
          <w:kern w:val="28"/>
          <w:lang w:val="fr-FR"/>
        </w:rPr>
        <w:t>UPOV/INF</w:t>
      </w:r>
      <w:r w:rsidR="00535F54" w:rsidRPr="009000EB">
        <w:rPr>
          <w:kern w:val="28"/>
          <w:lang w:val="fr-FR"/>
        </w:rPr>
        <w:noBreakHyphen/>
      </w:r>
      <w:r w:rsidRPr="009000EB">
        <w:rPr>
          <w:kern w:val="28"/>
          <w:lang w:val="fr-FR"/>
        </w:rPr>
        <w:t>EXN</w:t>
      </w:r>
      <w:r w:rsidR="009C056B" w:rsidRPr="009000EB">
        <w:rPr>
          <w:kern w:val="28"/>
          <w:lang w:val="fr-FR"/>
        </w:rPr>
        <w:t xml:space="preserve"> : </w:t>
      </w:r>
      <w:r w:rsidRPr="009000EB">
        <w:rPr>
          <w:kern w:val="28"/>
          <w:lang w:val="fr-FR"/>
        </w:rPr>
        <w:tab/>
      </w:r>
      <w:r w:rsidR="009E4018">
        <w:rPr>
          <w:kern w:val="28"/>
          <w:lang w:val="fr-FR"/>
        </w:rPr>
        <w:t>Liste des documents INF</w:t>
      </w:r>
      <w:r w:rsidR="009E4018">
        <w:rPr>
          <w:kern w:val="28"/>
          <w:lang w:val="fr-FR"/>
        </w:rPr>
        <w:noBreakHyphen/>
      </w:r>
      <w:r w:rsidR="009F4E6E" w:rsidRPr="009000EB">
        <w:rPr>
          <w:kern w:val="28"/>
          <w:lang w:val="fr-FR"/>
        </w:rPr>
        <w:t>EXN et date de la version la plus récente de ces documents</w:t>
      </w:r>
      <w:r w:rsidR="00691783" w:rsidRPr="009000EB">
        <w:rPr>
          <w:kern w:val="28"/>
          <w:lang w:val="fr-FR"/>
        </w:rPr>
        <w:t xml:space="preserve"> </w:t>
      </w:r>
      <w:r w:rsidR="00AF10E4">
        <w:rPr>
          <w:kern w:val="28"/>
          <w:lang w:val="fr-FR"/>
        </w:rPr>
        <w:t xml:space="preserve">(révision) </w:t>
      </w:r>
      <w:r w:rsidRPr="009000EB">
        <w:rPr>
          <w:kern w:val="28"/>
          <w:lang w:val="fr-FR"/>
        </w:rPr>
        <w:t>(document UPOV/INF</w:t>
      </w:r>
      <w:r w:rsidR="00535F54" w:rsidRPr="009000EB">
        <w:rPr>
          <w:kern w:val="28"/>
          <w:lang w:val="fr-FR"/>
        </w:rPr>
        <w:noBreakHyphen/>
      </w:r>
      <w:r w:rsidR="009E4018">
        <w:rPr>
          <w:kern w:val="28"/>
          <w:lang w:val="fr-FR"/>
        </w:rPr>
        <w:t>EXN/8 </w:t>
      </w:r>
      <w:proofErr w:type="spellStart"/>
      <w:r w:rsidR="009E4018">
        <w:rPr>
          <w:kern w:val="28"/>
          <w:lang w:val="fr-FR"/>
        </w:rPr>
        <w:t>Draft</w:t>
      </w:r>
      <w:proofErr w:type="spellEnd"/>
      <w:r w:rsidR="009E4018">
        <w:rPr>
          <w:kern w:val="28"/>
          <w:lang w:val="fr-FR"/>
        </w:rPr>
        <w:t> </w:t>
      </w:r>
      <w:r w:rsidRPr="009000EB">
        <w:rPr>
          <w:kern w:val="28"/>
          <w:lang w:val="fr-FR"/>
        </w:rPr>
        <w:t>1)</w:t>
      </w:r>
    </w:p>
    <w:p w:rsidR="00ED6EFE" w:rsidRPr="009000EB" w:rsidRDefault="00ED6EFE" w:rsidP="00030C17">
      <w:pPr>
        <w:rPr>
          <w:lang w:val="fr-FR"/>
        </w:rPr>
      </w:pPr>
    </w:p>
    <w:p w:rsidR="002B5F1D" w:rsidRPr="009000EB" w:rsidRDefault="002B5F1D" w:rsidP="00030C17">
      <w:pPr>
        <w:rPr>
          <w:lang w:val="fr-FR"/>
        </w:rPr>
      </w:pPr>
    </w:p>
    <w:p w:rsidR="00683D0A" w:rsidRPr="009000EB" w:rsidRDefault="00683D0A" w:rsidP="00030C17">
      <w:pPr>
        <w:rPr>
          <w:lang w:val="fr-FR"/>
        </w:rPr>
      </w:pPr>
    </w:p>
    <w:p w:rsidR="00ED6EFE" w:rsidRPr="009000EB" w:rsidRDefault="007A3F44" w:rsidP="00030C17">
      <w:pPr>
        <w:pStyle w:val="Heading1"/>
        <w:rPr>
          <w:lang w:val="fr-FR"/>
        </w:rPr>
      </w:pPr>
      <w:r w:rsidRPr="009000EB">
        <w:rPr>
          <w:lang w:val="fr-FR"/>
        </w:rPr>
        <w:t>DOCUMENTS TGP</w:t>
      </w:r>
    </w:p>
    <w:p w:rsidR="00ED6EFE" w:rsidRPr="009000EB" w:rsidRDefault="00ED6EFE" w:rsidP="00030C17">
      <w:pPr>
        <w:keepNext/>
        <w:rPr>
          <w:lang w:val="fr-FR"/>
        </w:rPr>
      </w:pPr>
    </w:p>
    <w:p w:rsidR="009E2443" w:rsidRPr="009000EB" w:rsidRDefault="009E2443" w:rsidP="00030C17">
      <w:pPr>
        <w:keepNext/>
        <w:tabs>
          <w:tab w:val="left" w:pos="0"/>
        </w:tabs>
        <w:rPr>
          <w:u w:val="single"/>
          <w:lang w:val="fr-FR"/>
        </w:rPr>
      </w:pPr>
      <w:r w:rsidRPr="009000EB">
        <w:rPr>
          <w:u w:val="single"/>
          <w:lang w:val="fr-FR"/>
        </w:rPr>
        <w:t>TGP/5</w:t>
      </w:r>
      <w:r w:rsidR="009C056B" w:rsidRPr="009000EB">
        <w:rPr>
          <w:u w:val="single"/>
          <w:lang w:val="fr-FR"/>
        </w:rPr>
        <w:t> :</w:t>
      </w:r>
      <w:r w:rsidR="00794125" w:rsidRPr="009000EB">
        <w:rPr>
          <w:u w:val="single"/>
          <w:lang w:val="fr-FR"/>
        </w:rPr>
        <w:t xml:space="preserve"> </w:t>
      </w:r>
      <w:r w:rsidR="007A3F44" w:rsidRPr="009000EB">
        <w:rPr>
          <w:bCs/>
          <w:u w:val="single"/>
          <w:lang w:val="fr-FR"/>
        </w:rPr>
        <w:t>Expérience et coopération en matière d</w:t>
      </w:r>
      <w:r w:rsidR="006A61F0" w:rsidRPr="009000EB">
        <w:rPr>
          <w:bCs/>
          <w:u w:val="single"/>
          <w:lang w:val="fr-FR"/>
        </w:rPr>
        <w:t>’</w:t>
      </w:r>
      <w:r w:rsidR="007A3F44" w:rsidRPr="009000EB">
        <w:rPr>
          <w:bCs/>
          <w:u w:val="single"/>
          <w:lang w:val="fr-FR"/>
        </w:rPr>
        <w:t>examen DHS</w:t>
      </w:r>
      <w:r w:rsidRPr="009000EB">
        <w:rPr>
          <w:u w:val="single"/>
          <w:lang w:val="fr-FR"/>
        </w:rPr>
        <w:t xml:space="preserve"> (</w:t>
      </w:r>
      <w:r w:rsidR="007A3F44" w:rsidRPr="009000EB">
        <w:rPr>
          <w:u w:val="single"/>
          <w:lang w:val="fr-FR"/>
        </w:rPr>
        <w:t>révisions</w:t>
      </w:r>
      <w:r w:rsidRPr="009000EB">
        <w:rPr>
          <w:u w:val="single"/>
          <w:lang w:val="fr-FR"/>
        </w:rPr>
        <w:t>)</w:t>
      </w:r>
      <w:r w:rsidR="00A9243D" w:rsidRPr="009000EB">
        <w:rPr>
          <w:u w:val="single"/>
          <w:lang w:val="fr-FR"/>
        </w:rPr>
        <w:t xml:space="preserve"> (document </w:t>
      </w:r>
      <w:r w:rsidR="00223470" w:rsidRPr="009000EB">
        <w:rPr>
          <w:u w:val="single"/>
          <w:lang w:val="fr-FR"/>
        </w:rPr>
        <w:t>C/49/14</w:t>
      </w:r>
      <w:r w:rsidR="00A9243D" w:rsidRPr="009000EB">
        <w:rPr>
          <w:u w:val="single"/>
          <w:lang w:val="fr-FR"/>
        </w:rPr>
        <w:t xml:space="preserve">, </w:t>
      </w:r>
      <w:r w:rsidR="007A3F44" w:rsidRPr="009000EB">
        <w:rPr>
          <w:u w:val="single"/>
          <w:lang w:val="fr-FR"/>
        </w:rPr>
        <w:t>a</w:t>
      </w:r>
      <w:r w:rsidR="00A9243D" w:rsidRPr="009000EB">
        <w:rPr>
          <w:u w:val="single"/>
          <w:lang w:val="fr-FR"/>
        </w:rPr>
        <w:t>nnex</w:t>
      </w:r>
      <w:r w:rsidR="007A3F44" w:rsidRPr="009000EB">
        <w:rPr>
          <w:u w:val="single"/>
          <w:lang w:val="fr-FR"/>
        </w:rPr>
        <w:t>e</w:t>
      </w:r>
      <w:r w:rsidR="009C056B" w:rsidRPr="009000EB">
        <w:rPr>
          <w:u w:val="single"/>
          <w:lang w:val="fr-FR"/>
        </w:rPr>
        <w:t> </w:t>
      </w:r>
      <w:r w:rsidR="00A9243D" w:rsidRPr="009000EB">
        <w:rPr>
          <w:u w:val="single"/>
          <w:lang w:val="fr-FR"/>
        </w:rPr>
        <w:t>I)</w:t>
      </w:r>
    </w:p>
    <w:p w:rsidR="009E2443" w:rsidRPr="009000EB" w:rsidRDefault="009E2443" w:rsidP="00030C17">
      <w:pPr>
        <w:keepNext/>
        <w:rPr>
          <w:lang w:val="fr-FR"/>
        </w:rPr>
      </w:pPr>
    </w:p>
    <w:p w:rsidR="003C10BC" w:rsidRPr="009000EB" w:rsidRDefault="003C10BC" w:rsidP="00030C17">
      <w:pPr>
        <w:keepNext/>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14355A" w:rsidRPr="00411490">
        <w:rPr>
          <w:spacing w:val="-2"/>
          <w:lang w:val="fr-FR"/>
        </w:rPr>
        <w:t xml:space="preserve">Le </w:t>
      </w:r>
      <w:r w:rsidR="00BC5782" w:rsidRPr="00411490">
        <w:rPr>
          <w:spacing w:val="-2"/>
          <w:lang w:val="fr-FR"/>
        </w:rPr>
        <w:t xml:space="preserve">Comité technique </w:t>
      </w:r>
      <w:r w:rsidR="0014355A" w:rsidRPr="00411490">
        <w:rPr>
          <w:spacing w:val="-2"/>
          <w:lang w:val="fr-FR"/>
        </w:rPr>
        <w:t>(TC)</w:t>
      </w:r>
      <w:r w:rsidR="00411490" w:rsidRPr="00411490">
        <w:rPr>
          <w:spacing w:val="-2"/>
          <w:lang w:val="fr-FR"/>
        </w:rPr>
        <w:t>,</w:t>
      </w:r>
      <w:r w:rsidR="0014355A" w:rsidRPr="00411490">
        <w:rPr>
          <w:spacing w:val="-2"/>
          <w:lang w:val="fr-FR"/>
        </w:rPr>
        <w:t xml:space="preserve"> </w:t>
      </w:r>
      <w:r w:rsidR="00BC5782" w:rsidRPr="00411490">
        <w:rPr>
          <w:spacing w:val="-2"/>
          <w:lang w:val="fr-FR"/>
        </w:rPr>
        <w:t>à sa cinquante</w:t>
      </w:r>
      <w:r w:rsidR="009C056B" w:rsidRPr="00411490">
        <w:rPr>
          <w:spacing w:val="-2"/>
          <w:lang w:val="fr-FR"/>
        </w:rPr>
        <w:t> </w:t>
      </w:r>
      <w:r w:rsidR="00BC5782" w:rsidRPr="00411490">
        <w:rPr>
          <w:spacing w:val="-2"/>
          <w:lang w:val="fr-FR"/>
        </w:rPr>
        <w:t>et</w:t>
      </w:r>
      <w:r w:rsidR="009C056B" w:rsidRPr="00411490">
        <w:rPr>
          <w:spacing w:val="-2"/>
          <w:lang w:val="fr-FR"/>
        </w:rPr>
        <w:t> </w:t>
      </w:r>
      <w:r w:rsidR="00BC5782" w:rsidRPr="00411490">
        <w:rPr>
          <w:spacing w:val="-2"/>
          <w:lang w:val="fr-FR"/>
        </w:rPr>
        <w:t>unième</w:t>
      </w:r>
      <w:r w:rsidR="009C056B" w:rsidRPr="00411490">
        <w:rPr>
          <w:spacing w:val="-2"/>
          <w:lang w:val="fr-FR"/>
        </w:rPr>
        <w:t> </w:t>
      </w:r>
      <w:r w:rsidR="00BC5782" w:rsidRPr="00411490">
        <w:rPr>
          <w:spacing w:val="-2"/>
          <w:lang w:val="fr-FR"/>
        </w:rPr>
        <w:t>session</w:t>
      </w:r>
      <w:r w:rsidRPr="00411490">
        <w:rPr>
          <w:spacing w:val="-2"/>
          <w:lang w:val="fr-FR"/>
        </w:rPr>
        <w:t xml:space="preserve">, </w:t>
      </w:r>
      <w:r w:rsidR="00BC5782" w:rsidRPr="00411490">
        <w:rPr>
          <w:spacing w:val="-2"/>
          <w:lang w:val="fr-FR"/>
        </w:rPr>
        <w:t xml:space="preserve">tenue à </w:t>
      </w:r>
      <w:r w:rsidRPr="00411490">
        <w:rPr>
          <w:spacing w:val="-2"/>
          <w:lang w:val="fr-FR"/>
        </w:rPr>
        <w:t>Gen</w:t>
      </w:r>
      <w:r w:rsidR="00BC5782" w:rsidRPr="00411490">
        <w:rPr>
          <w:spacing w:val="-2"/>
          <w:lang w:val="fr-FR"/>
        </w:rPr>
        <w:t xml:space="preserve">ève du </w:t>
      </w:r>
      <w:r w:rsidRPr="00411490">
        <w:rPr>
          <w:spacing w:val="-2"/>
          <w:lang w:val="fr-FR"/>
        </w:rPr>
        <w:t xml:space="preserve">23 </w:t>
      </w:r>
      <w:r w:rsidR="00BC5782" w:rsidRPr="00411490">
        <w:rPr>
          <w:spacing w:val="-2"/>
          <w:lang w:val="fr-FR"/>
        </w:rPr>
        <w:t>au</w:t>
      </w:r>
      <w:r w:rsidRPr="00411490">
        <w:rPr>
          <w:spacing w:val="-2"/>
          <w:lang w:val="fr-FR"/>
        </w:rPr>
        <w:t xml:space="preserve"> 2</w:t>
      </w:r>
      <w:r w:rsidR="006A61F0" w:rsidRPr="00411490">
        <w:rPr>
          <w:spacing w:val="-2"/>
          <w:lang w:val="fr-FR"/>
        </w:rPr>
        <w:t>5 mars 20</w:t>
      </w:r>
      <w:r w:rsidRPr="00411490">
        <w:rPr>
          <w:spacing w:val="-2"/>
          <w:lang w:val="fr-FR"/>
        </w:rPr>
        <w:t xml:space="preserve">15, </w:t>
      </w:r>
      <w:r w:rsidR="00BC5782" w:rsidRPr="009000EB">
        <w:rPr>
          <w:lang w:val="fr-FR"/>
        </w:rPr>
        <w:t xml:space="preserve">et le Comité administratif et juridique </w:t>
      </w:r>
      <w:r w:rsidR="0014355A" w:rsidRPr="009000EB">
        <w:rPr>
          <w:lang w:val="fr-FR"/>
        </w:rPr>
        <w:t>(CAJ)</w:t>
      </w:r>
      <w:r w:rsidR="00411490">
        <w:rPr>
          <w:lang w:val="fr-FR"/>
        </w:rPr>
        <w:t>,</w:t>
      </w:r>
      <w:r w:rsidR="0014355A" w:rsidRPr="009000EB">
        <w:rPr>
          <w:lang w:val="fr-FR"/>
        </w:rPr>
        <w:t xml:space="preserve"> </w:t>
      </w:r>
      <w:r w:rsidR="00BC5782" w:rsidRPr="009000EB">
        <w:rPr>
          <w:lang w:val="fr-FR"/>
        </w:rPr>
        <w:t>à sa soixante</w:t>
      </w:r>
      <w:r w:rsidR="00535F54" w:rsidRPr="009000EB">
        <w:rPr>
          <w:lang w:val="fr-FR"/>
        </w:rPr>
        <w:t> </w:t>
      </w:r>
      <w:r w:rsidR="00BC5782" w:rsidRPr="009000EB">
        <w:rPr>
          <w:lang w:val="fr-FR"/>
        </w:rPr>
        <w:t>et</w:t>
      </w:r>
      <w:r w:rsidR="00535F54" w:rsidRPr="009000EB">
        <w:rPr>
          <w:lang w:val="fr-FR"/>
        </w:rPr>
        <w:t> </w:t>
      </w:r>
      <w:r w:rsidR="00BC5782" w:rsidRPr="009000EB">
        <w:rPr>
          <w:lang w:val="fr-FR"/>
        </w:rPr>
        <w:t>onzième</w:t>
      </w:r>
      <w:r w:rsidR="009C056B" w:rsidRPr="009000EB">
        <w:rPr>
          <w:lang w:val="fr-FR"/>
        </w:rPr>
        <w:t> </w:t>
      </w:r>
      <w:r w:rsidR="00BC5782" w:rsidRPr="009000EB">
        <w:rPr>
          <w:lang w:val="fr-FR"/>
        </w:rPr>
        <w:t>session</w:t>
      </w:r>
      <w:r w:rsidRPr="009000EB">
        <w:rPr>
          <w:lang w:val="fr-FR"/>
        </w:rPr>
        <w:t xml:space="preserve">, </w:t>
      </w:r>
      <w:r w:rsidR="00BC5782" w:rsidRPr="009000EB">
        <w:rPr>
          <w:lang w:val="fr-FR"/>
        </w:rPr>
        <w:t xml:space="preserve">tenue à </w:t>
      </w:r>
      <w:r w:rsidRPr="009000EB">
        <w:rPr>
          <w:lang w:val="fr-FR"/>
        </w:rPr>
        <w:t>Gen</w:t>
      </w:r>
      <w:r w:rsidR="00BC5782" w:rsidRPr="009000EB">
        <w:rPr>
          <w:lang w:val="fr-FR"/>
        </w:rPr>
        <w:t>ève</w:t>
      </w:r>
      <w:r w:rsidRPr="009000EB">
        <w:rPr>
          <w:lang w:val="fr-FR"/>
        </w:rPr>
        <w:t xml:space="preserve"> </w:t>
      </w:r>
      <w:r w:rsidR="00BC5782" w:rsidRPr="009000EB">
        <w:rPr>
          <w:lang w:val="fr-FR"/>
        </w:rPr>
        <w:t>le 2</w:t>
      </w:r>
      <w:r w:rsidR="006A61F0" w:rsidRPr="009000EB">
        <w:rPr>
          <w:lang w:val="fr-FR"/>
        </w:rPr>
        <w:t>6 mars 20</w:t>
      </w:r>
      <w:r w:rsidRPr="009000EB">
        <w:rPr>
          <w:lang w:val="fr-FR"/>
        </w:rPr>
        <w:t xml:space="preserve">15, </w:t>
      </w:r>
      <w:r w:rsidR="00BC5782" w:rsidRPr="009000EB">
        <w:rPr>
          <w:lang w:val="fr-FR"/>
        </w:rPr>
        <w:t xml:space="preserve">ont approuvé les propositions de révision du </w:t>
      </w:r>
      <w:r w:rsidRPr="009000EB">
        <w:rPr>
          <w:lang w:val="fr-FR"/>
        </w:rPr>
        <w:t>document TGP/5 “</w:t>
      </w:r>
      <w:r w:rsidR="00BC5782" w:rsidRPr="009000EB">
        <w:rPr>
          <w:bCs/>
          <w:lang w:val="fr-FR"/>
        </w:rPr>
        <w:t>Expérience et coopération en matière d</w:t>
      </w:r>
      <w:r w:rsidR="006A61F0" w:rsidRPr="009000EB">
        <w:rPr>
          <w:bCs/>
          <w:lang w:val="fr-FR"/>
        </w:rPr>
        <w:t>’</w:t>
      </w:r>
      <w:r w:rsidR="00BC5782" w:rsidRPr="009000EB">
        <w:rPr>
          <w:bCs/>
          <w:lang w:val="fr-FR"/>
        </w:rPr>
        <w:t>examen DHS</w:t>
      </w:r>
      <w:r w:rsidRPr="009000EB">
        <w:rPr>
          <w:lang w:val="fr-FR"/>
        </w:rPr>
        <w:t xml:space="preserve">”, </w:t>
      </w:r>
      <w:r w:rsidR="001D50E7">
        <w:rPr>
          <w:lang w:val="fr-FR"/>
        </w:rPr>
        <w:t>section</w:t>
      </w:r>
      <w:r w:rsidR="00F76193" w:rsidRPr="009000EB">
        <w:rPr>
          <w:lang w:val="fr-FR"/>
        </w:rPr>
        <w:t> 3</w:t>
      </w:r>
      <w:r w:rsidR="009C056B" w:rsidRPr="009000EB">
        <w:rPr>
          <w:lang w:val="fr-FR"/>
        </w:rPr>
        <w:t> </w:t>
      </w:r>
      <w:r w:rsidR="009E4018">
        <w:rPr>
          <w:lang w:val="fr-FR"/>
        </w:rPr>
        <w:t xml:space="preserve">: </w:t>
      </w:r>
      <w:r w:rsidRPr="009000EB">
        <w:rPr>
          <w:lang w:val="fr-FR"/>
        </w:rPr>
        <w:t>“</w:t>
      </w:r>
      <w:r w:rsidR="00C3611F" w:rsidRPr="009000EB">
        <w:rPr>
          <w:bCs/>
          <w:lang w:val="fr-FR"/>
        </w:rPr>
        <w:t>Questionnaire technique à remplir en relation avec une demande de certificat d</w:t>
      </w:r>
      <w:r w:rsidR="006A61F0" w:rsidRPr="009000EB">
        <w:rPr>
          <w:bCs/>
          <w:lang w:val="fr-FR"/>
        </w:rPr>
        <w:t>’</w:t>
      </w:r>
      <w:r w:rsidR="00C3611F" w:rsidRPr="009000EB">
        <w:rPr>
          <w:bCs/>
          <w:lang w:val="fr-FR"/>
        </w:rPr>
        <w:t>obtention végétale</w:t>
      </w:r>
      <w:r w:rsidRPr="009000EB">
        <w:rPr>
          <w:lang w:val="fr-FR"/>
        </w:rPr>
        <w:t xml:space="preserve">”, </w:t>
      </w:r>
      <w:r w:rsidR="001D50E7">
        <w:rPr>
          <w:lang w:val="fr-FR"/>
        </w:rPr>
        <w:t>section</w:t>
      </w:r>
      <w:r w:rsidR="009C056B" w:rsidRPr="009000EB">
        <w:rPr>
          <w:lang w:val="fr-FR"/>
        </w:rPr>
        <w:t> </w:t>
      </w:r>
      <w:r w:rsidRPr="009000EB">
        <w:rPr>
          <w:lang w:val="fr-FR"/>
        </w:rPr>
        <w:t>8</w:t>
      </w:r>
      <w:r w:rsidR="009C056B" w:rsidRPr="009000EB">
        <w:rPr>
          <w:lang w:val="fr-FR"/>
        </w:rPr>
        <w:t> </w:t>
      </w:r>
      <w:r w:rsidRPr="009000EB">
        <w:rPr>
          <w:lang w:val="fr-FR"/>
        </w:rPr>
        <w:t>: “</w:t>
      </w:r>
      <w:r w:rsidR="00C3611F" w:rsidRPr="009000EB">
        <w:rPr>
          <w:bCs/>
          <w:lang w:val="fr-FR"/>
        </w:rPr>
        <w:t>Coopération en matière d</w:t>
      </w:r>
      <w:r w:rsidR="006A61F0" w:rsidRPr="009000EB">
        <w:rPr>
          <w:bCs/>
          <w:lang w:val="fr-FR"/>
        </w:rPr>
        <w:t>’</w:t>
      </w:r>
      <w:r w:rsidR="00C3611F" w:rsidRPr="009000EB">
        <w:rPr>
          <w:bCs/>
          <w:lang w:val="fr-FR"/>
        </w:rPr>
        <w:t>examen</w:t>
      </w:r>
      <w:r w:rsidRPr="009000EB">
        <w:rPr>
          <w:lang w:val="fr-FR"/>
        </w:rPr>
        <w:t xml:space="preserve">” </w:t>
      </w:r>
      <w:r w:rsidR="00C3611F" w:rsidRPr="009000EB">
        <w:rPr>
          <w:lang w:val="fr-FR"/>
        </w:rPr>
        <w:t xml:space="preserve">et </w:t>
      </w:r>
      <w:r w:rsidR="001D50E7">
        <w:rPr>
          <w:lang w:val="fr-FR"/>
        </w:rPr>
        <w:t>section</w:t>
      </w:r>
      <w:r w:rsidR="009C056B" w:rsidRPr="009000EB">
        <w:rPr>
          <w:lang w:val="fr-FR"/>
        </w:rPr>
        <w:t> </w:t>
      </w:r>
      <w:r w:rsidRPr="009000EB">
        <w:rPr>
          <w:lang w:val="fr-FR"/>
        </w:rPr>
        <w:t>9</w:t>
      </w:r>
      <w:r w:rsidR="009C056B" w:rsidRPr="009000EB">
        <w:rPr>
          <w:lang w:val="fr-FR"/>
        </w:rPr>
        <w:t> </w:t>
      </w:r>
      <w:r w:rsidRPr="009000EB">
        <w:rPr>
          <w:lang w:val="fr-FR"/>
        </w:rPr>
        <w:t>: “</w:t>
      </w:r>
      <w:r w:rsidR="00C3611F" w:rsidRPr="009000EB">
        <w:rPr>
          <w:bCs/>
          <w:lang w:val="fr-FR"/>
        </w:rPr>
        <w:t>Liste des espèces sur lesquelles des connaissances pratiques ont été acquises ou pour lesquelles des principes directeurs d</w:t>
      </w:r>
      <w:r w:rsidR="006A61F0" w:rsidRPr="009000EB">
        <w:rPr>
          <w:bCs/>
          <w:lang w:val="fr-FR"/>
        </w:rPr>
        <w:t>’</w:t>
      </w:r>
      <w:r w:rsidR="00C3611F" w:rsidRPr="009000EB">
        <w:rPr>
          <w:bCs/>
          <w:lang w:val="fr-FR"/>
        </w:rPr>
        <w:t>examen nationaux ont été établis</w:t>
      </w:r>
      <w:r w:rsidR="00D52F15" w:rsidRPr="009000EB">
        <w:rPr>
          <w:lang w:val="fr-FR"/>
        </w:rPr>
        <w:t xml:space="preserve">”, contenues dans </w:t>
      </w:r>
      <w:r w:rsidR="00FA102A">
        <w:rPr>
          <w:lang w:val="fr-FR"/>
        </w:rPr>
        <w:t>l’</w:t>
      </w:r>
      <w:r w:rsidR="00D52F15" w:rsidRPr="009000EB">
        <w:rPr>
          <w:lang w:val="fr-FR"/>
        </w:rPr>
        <w:t>a</w:t>
      </w:r>
      <w:r w:rsidRPr="009000EB">
        <w:rPr>
          <w:lang w:val="fr-FR"/>
        </w:rPr>
        <w:t>nnex</w:t>
      </w:r>
      <w:r w:rsidR="00D52F15" w:rsidRPr="009000EB">
        <w:rPr>
          <w:lang w:val="fr-FR"/>
        </w:rPr>
        <w:t>e</w:t>
      </w:r>
      <w:r w:rsidR="009C056B" w:rsidRPr="009000EB">
        <w:rPr>
          <w:lang w:val="fr-FR"/>
        </w:rPr>
        <w:t> </w:t>
      </w:r>
      <w:r w:rsidRPr="009000EB">
        <w:rPr>
          <w:lang w:val="fr-FR"/>
        </w:rPr>
        <w:t xml:space="preserve">I </w:t>
      </w:r>
      <w:r w:rsidR="00D52F15" w:rsidRPr="009000EB">
        <w:rPr>
          <w:lang w:val="fr-FR"/>
        </w:rPr>
        <w:t xml:space="preserve">du présent </w:t>
      </w:r>
      <w:r w:rsidRPr="009000EB">
        <w:rPr>
          <w:lang w:val="fr-FR"/>
        </w:rPr>
        <w:t>document</w:t>
      </w:r>
      <w:r w:rsidR="00683D0A" w:rsidRPr="009000EB">
        <w:rPr>
          <w:lang w:val="fr-FR"/>
        </w:rPr>
        <w:t xml:space="preserve"> (</w:t>
      </w:r>
      <w:r w:rsidR="00D52F15" w:rsidRPr="009000EB">
        <w:rPr>
          <w:lang w:val="fr-FR"/>
        </w:rPr>
        <w:t>voir les</w:t>
      </w:r>
      <w:r w:rsidR="00683D0A" w:rsidRPr="009000EB">
        <w:rPr>
          <w:lang w:val="fr-FR"/>
        </w:rPr>
        <w:t xml:space="preserve"> </w:t>
      </w:r>
      <w:r w:rsidR="00D52F15" w:rsidRPr="009000EB">
        <w:rPr>
          <w:lang w:val="fr-FR"/>
        </w:rPr>
        <w:t>paragraphes</w:t>
      </w:r>
      <w:r w:rsidR="009C056B" w:rsidRPr="009000EB">
        <w:rPr>
          <w:lang w:val="fr-FR"/>
        </w:rPr>
        <w:t> </w:t>
      </w:r>
      <w:r w:rsidR="00AB3BB1">
        <w:rPr>
          <w:lang w:val="fr-FR"/>
        </w:rPr>
        <w:t>163 à </w:t>
      </w:r>
      <w:r w:rsidR="00D52F15" w:rsidRPr="009000EB">
        <w:rPr>
          <w:lang w:val="fr-FR"/>
        </w:rPr>
        <w:t xml:space="preserve">165 du </w:t>
      </w:r>
      <w:r w:rsidR="006A61F0" w:rsidRPr="009000EB">
        <w:rPr>
          <w:lang w:val="fr-FR"/>
        </w:rPr>
        <w:t>document TC</w:t>
      </w:r>
      <w:r w:rsidR="00683D0A" w:rsidRPr="009000EB">
        <w:rPr>
          <w:lang w:val="fr-FR"/>
        </w:rPr>
        <w:t>/5</w:t>
      </w:r>
      <w:r w:rsidR="002A7768" w:rsidRPr="009000EB">
        <w:rPr>
          <w:lang w:val="fr-FR"/>
        </w:rPr>
        <w:t>1</w:t>
      </w:r>
      <w:r w:rsidR="00683D0A" w:rsidRPr="009000EB">
        <w:rPr>
          <w:lang w:val="fr-FR"/>
        </w:rPr>
        <w:t>/3</w:t>
      </w:r>
      <w:r w:rsidR="002A7768" w:rsidRPr="009000EB">
        <w:rPr>
          <w:lang w:val="fr-FR"/>
        </w:rPr>
        <w:t>9</w:t>
      </w:r>
      <w:r w:rsidR="00683D0A" w:rsidRPr="009000EB">
        <w:rPr>
          <w:lang w:val="fr-FR"/>
        </w:rPr>
        <w:t xml:space="preserve"> “</w:t>
      </w:r>
      <w:r w:rsidR="00D52F15" w:rsidRPr="009000EB">
        <w:rPr>
          <w:lang w:val="fr-FR"/>
        </w:rPr>
        <w:t>Compte rendu</w:t>
      </w:r>
      <w:r w:rsidR="00683D0A" w:rsidRPr="009000EB">
        <w:rPr>
          <w:lang w:val="fr-FR"/>
        </w:rPr>
        <w:t xml:space="preserve">”, </w:t>
      </w:r>
      <w:r w:rsidR="00D52F15" w:rsidRPr="009000EB">
        <w:rPr>
          <w:lang w:val="fr-FR"/>
        </w:rPr>
        <w:t xml:space="preserve">et les </w:t>
      </w:r>
      <w:r w:rsidR="00683D0A" w:rsidRPr="009000EB">
        <w:rPr>
          <w:lang w:val="fr-FR"/>
        </w:rPr>
        <w:t>paragraph</w:t>
      </w:r>
      <w:r w:rsidR="00D52F15" w:rsidRPr="009000EB">
        <w:rPr>
          <w:lang w:val="fr-FR"/>
        </w:rPr>
        <w:t>e</w:t>
      </w:r>
      <w:r w:rsidR="002A7768" w:rsidRPr="009000EB">
        <w:rPr>
          <w:lang w:val="fr-FR"/>
        </w:rPr>
        <w:t>s</w:t>
      </w:r>
      <w:r w:rsidR="00683D0A" w:rsidRPr="009000EB">
        <w:rPr>
          <w:lang w:val="fr-FR"/>
        </w:rPr>
        <w:t> </w:t>
      </w:r>
      <w:r w:rsidR="00EC73E6">
        <w:rPr>
          <w:lang w:val="fr-FR"/>
        </w:rPr>
        <w:t>74 à </w:t>
      </w:r>
      <w:r w:rsidR="00D52F15" w:rsidRPr="009000EB">
        <w:rPr>
          <w:lang w:val="fr-FR"/>
        </w:rPr>
        <w:t>76 du document</w:t>
      </w:r>
      <w:r w:rsidR="00683D0A" w:rsidRPr="009000EB">
        <w:rPr>
          <w:lang w:val="fr-FR"/>
        </w:rPr>
        <w:t xml:space="preserve"> CAJ/</w:t>
      </w:r>
      <w:r w:rsidR="002A7768" w:rsidRPr="009000EB">
        <w:rPr>
          <w:lang w:val="fr-FR"/>
        </w:rPr>
        <w:t>71</w:t>
      </w:r>
      <w:r w:rsidR="00683D0A" w:rsidRPr="009000EB">
        <w:rPr>
          <w:lang w:val="fr-FR"/>
        </w:rPr>
        <w:t>/1</w:t>
      </w:r>
      <w:r w:rsidR="002A7768" w:rsidRPr="009000EB">
        <w:rPr>
          <w:lang w:val="fr-FR"/>
        </w:rPr>
        <w:t>0</w:t>
      </w:r>
      <w:r w:rsidR="00683D0A" w:rsidRPr="009000EB">
        <w:rPr>
          <w:lang w:val="fr-FR"/>
        </w:rPr>
        <w:t xml:space="preserve"> “</w:t>
      </w:r>
      <w:r w:rsidR="00D52F15" w:rsidRPr="009000EB">
        <w:rPr>
          <w:lang w:val="fr-FR"/>
        </w:rPr>
        <w:t>Compte rendu des conclusions</w:t>
      </w:r>
      <w:r w:rsidR="00683D0A" w:rsidRPr="009000EB">
        <w:rPr>
          <w:rFonts w:cs="Arial"/>
          <w:lang w:val="fr-FR"/>
        </w:rPr>
        <w:t>”)</w:t>
      </w:r>
      <w:r w:rsidRPr="009000EB">
        <w:rPr>
          <w:lang w:val="fr-FR"/>
        </w:rPr>
        <w:t>.</w:t>
      </w:r>
    </w:p>
    <w:p w:rsidR="003C10BC" w:rsidRPr="009000EB" w:rsidRDefault="003C10BC" w:rsidP="00030C17">
      <w:pPr>
        <w:keepNext/>
        <w:rPr>
          <w:lang w:val="fr-FR"/>
        </w:rPr>
      </w:pPr>
    </w:p>
    <w:p w:rsidR="003C10BC" w:rsidRPr="009000EB" w:rsidRDefault="003C10BC"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14355A" w:rsidRPr="009000EB">
        <w:rPr>
          <w:lang w:val="fr-FR"/>
        </w:rPr>
        <w:t>Compte tenu de ce qui précède</w:t>
      </w:r>
      <w:r w:rsidRPr="009000EB">
        <w:rPr>
          <w:lang w:val="fr-FR"/>
        </w:rPr>
        <w:t xml:space="preserve">, </w:t>
      </w:r>
      <w:r w:rsidR="001505BF" w:rsidRPr="009000EB">
        <w:rPr>
          <w:lang w:val="fr-FR"/>
        </w:rPr>
        <w:t>l</w:t>
      </w:r>
      <w:r w:rsidRPr="009000EB">
        <w:rPr>
          <w:lang w:val="fr-FR"/>
        </w:rPr>
        <w:t>e</w:t>
      </w:r>
      <w:r w:rsidR="006A61F0" w:rsidRPr="009000EB">
        <w:rPr>
          <w:lang w:val="fr-FR"/>
        </w:rPr>
        <w:t> TC</w:t>
      </w:r>
      <w:r w:rsidRPr="009000EB">
        <w:rPr>
          <w:lang w:val="fr-FR"/>
        </w:rPr>
        <w:t xml:space="preserve"> </w:t>
      </w:r>
      <w:r w:rsidR="001505BF" w:rsidRPr="009000EB">
        <w:rPr>
          <w:lang w:val="fr-FR"/>
        </w:rPr>
        <w:t>et</w:t>
      </w:r>
      <w:r w:rsidR="006A61F0" w:rsidRPr="009000EB">
        <w:rPr>
          <w:lang w:val="fr-FR"/>
        </w:rPr>
        <w:t xml:space="preserve"> le CAJ</w:t>
      </w:r>
      <w:r w:rsidRPr="009000EB">
        <w:rPr>
          <w:lang w:val="fr-FR"/>
        </w:rPr>
        <w:t xml:space="preserve"> </w:t>
      </w:r>
      <w:r w:rsidR="001505BF" w:rsidRPr="009000EB">
        <w:rPr>
          <w:lang w:val="fr-FR"/>
        </w:rPr>
        <w:t xml:space="preserve">sont convenus que la </w:t>
      </w:r>
      <w:r w:rsidR="00FA102A">
        <w:rPr>
          <w:lang w:val="fr-FR"/>
        </w:rPr>
        <w:t>version révisée</w:t>
      </w:r>
      <w:r w:rsidR="001505BF" w:rsidRPr="009000EB">
        <w:rPr>
          <w:lang w:val="fr-FR"/>
        </w:rPr>
        <w:t xml:space="preserve"> du </w:t>
      </w:r>
      <w:r w:rsidRPr="009000EB">
        <w:rPr>
          <w:lang w:val="fr-FR"/>
        </w:rPr>
        <w:t>document TGP/5</w:t>
      </w:r>
      <w:r w:rsidR="00683D0A" w:rsidRPr="009000EB">
        <w:rPr>
          <w:lang w:val="fr-FR"/>
        </w:rPr>
        <w:t>,</w:t>
      </w:r>
      <w:r w:rsidRPr="009000EB">
        <w:rPr>
          <w:lang w:val="fr-FR"/>
        </w:rPr>
        <w:t xml:space="preserve"> </w:t>
      </w:r>
      <w:r w:rsidR="00535F54" w:rsidRPr="009000EB">
        <w:rPr>
          <w:lang w:val="fr-FR"/>
        </w:rPr>
        <w:t>s</w:t>
      </w:r>
      <w:r w:rsidRPr="009000EB">
        <w:rPr>
          <w:lang w:val="fr-FR"/>
        </w:rPr>
        <w:t>ection</w:t>
      </w:r>
      <w:r w:rsidR="00683D0A" w:rsidRPr="009000EB">
        <w:rPr>
          <w:lang w:val="fr-FR"/>
        </w:rPr>
        <w:t>s</w:t>
      </w:r>
      <w:r w:rsidR="009C056B" w:rsidRPr="009000EB">
        <w:rPr>
          <w:lang w:val="fr-FR"/>
        </w:rPr>
        <w:t> </w:t>
      </w:r>
      <w:r w:rsidR="00683D0A" w:rsidRPr="009000EB">
        <w:rPr>
          <w:lang w:val="fr-FR"/>
        </w:rPr>
        <w:t xml:space="preserve">3, 8 </w:t>
      </w:r>
      <w:r w:rsidR="001505BF" w:rsidRPr="009000EB">
        <w:rPr>
          <w:lang w:val="fr-FR"/>
        </w:rPr>
        <w:t>et</w:t>
      </w:r>
      <w:r w:rsidR="00EC73E6">
        <w:rPr>
          <w:lang w:val="fr-FR"/>
        </w:rPr>
        <w:t> </w:t>
      </w:r>
      <w:r w:rsidR="00683D0A" w:rsidRPr="009000EB">
        <w:rPr>
          <w:lang w:val="fr-FR"/>
        </w:rPr>
        <w:t>9</w:t>
      </w:r>
      <w:r w:rsidRPr="009000EB">
        <w:rPr>
          <w:lang w:val="fr-FR"/>
        </w:rPr>
        <w:t xml:space="preserve"> </w:t>
      </w:r>
      <w:r w:rsidR="001505BF" w:rsidRPr="009000EB">
        <w:rPr>
          <w:lang w:val="fr-FR"/>
        </w:rPr>
        <w:t>devrait être soumis</w:t>
      </w:r>
      <w:r w:rsidR="009C222F" w:rsidRPr="009000EB">
        <w:rPr>
          <w:lang w:val="fr-FR"/>
        </w:rPr>
        <w:t>e</w:t>
      </w:r>
      <w:r w:rsidR="001505BF" w:rsidRPr="009000EB">
        <w:rPr>
          <w:lang w:val="fr-FR"/>
        </w:rPr>
        <w:t xml:space="preserve"> au Conseil pour adoption à sa quarante</w:t>
      </w:r>
      <w:r w:rsidR="00535F54" w:rsidRPr="009000EB">
        <w:rPr>
          <w:lang w:val="fr-FR"/>
        </w:rPr>
        <w:noBreakHyphen/>
      </w:r>
      <w:r w:rsidR="001505BF" w:rsidRPr="009000EB">
        <w:rPr>
          <w:lang w:val="fr-FR"/>
        </w:rPr>
        <w:t>neuvième</w:t>
      </w:r>
      <w:r w:rsidR="009C056B" w:rsidRPr="009000EB">
        <w:rPr>
          <w:lang w:val="fr-FR"/>
        </w:rPr>
        <w:t> </w:t>
      </w:r>
      <w:r w:rsidR="001505BF" w:rsidRPr="009000EB">
        <w:rPr>
          <w:lang w:val="fr-FR"/>
        </w:rPr>
        <w:t>session ordinaire</w:t>
      </w:r>
      <w:r w:rsidRPr="009000EB">
        <w:rPr>
          <w:lang w:val="fr-FR"/>
        </w:rPr>
        <w:t>.</w:t>
      </w:r>
    </w:p>
    <w:p w:rsidR="003C10BC" w:rsidRPr="009000EB" w:rsidRDefault="003C10BC" w:rsidP="00030C17">
      <w:pPr>
        <w:rPr>
          <w:lang w:val="fr-FR"/>
        </w:rPr>
      </w:pPr>
    </w:p>
    <w:p w:rsidR="005F2811" w:rsidRPr="009000EB" w:rsidRDefault="003C10BC" w:rsidP="00030C17">
      <w:pPr>
        <w:pStyle w:val="DecisionParagraphs"/>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CB0E47" w:rsidRPr="009000EB">
        <w:rPr>
          <w:lang w:val="fr-FR"/>
        </w:rPr>
        <w:t xml:space="preserve">Le Conseil est invité à adopter la </w:t>
      </w:r>
      <w:r w:rsidR="00FA102A">
        <w:rPr>
          <w:lang w:val="fr-FR"/>
        </w:rPr>
        <w:t>version révisée</w:t>
      </w:r>
      <w:r w:rsidR="00CB0E47" w:rsidRPr="009000EB">
        <w:rPr>
          <w:lang w:val="fr-FR"/>
        </w:rPr>
        <w:t xml:space="preserve"> du document</w:t>
      </w:r>
      <w:r w:rsidRPr="009000EB">
        <w:rPr>
          <w:lang w:val="fr-FR"/>
        </w:rPr>
        <w:t xml:space="preserve"> TGP/5 “</w:t>
      </w:r>
      <w:r w:rsidR="00842973" w:rsidRPr="009000EB">
        <w:rPr>
          <w:bCs/>
          <w:lang w:val="fr-FR"/>
        </w:rPr>
        <w:t>Expérience et coopération en matière d</w:t>
      </w:r>
      <w:r w:rsidR="006A61F0" w:rsidRPr="009000EB">
        <w:rPr>
          <w:bCs/>
          <w:lang w:val="fr-FR"/>
        </w:rPr>
        <w:t>’</w:t>
      </w:r>
      <w:r w:rsidR="00842973" w:rsidRPr="009000EB">
        <w:rPr>
          <w:bCs/>
          <w:lang w:val="fr-FR"/>
        </w:rPr>
        <w:t>examen DHS</w:t>
      </w:r>
      <w:r w:rsidRPr="009000EB">
        <w:rPr>
          <w:lang w:val="fr-FR"/>
        </w:rPr>
        <w:t>”</w:t>
      </w:r>
      <w:r w:rsidR="009C056B" w:rsidRPr="009000EB">
        <w:rPr>
          <w:lang w:val="fr-FR"/>
        </w:rPr>
        <w:t> </w:t>
      </w:r>
      <w:r w:rsidR="005F2811" w:rsidRPr="009000EB">
        <w:rPr>
          <w:lang w:val="fr-FR"/>
        </w:rPr>
        <w:t>:</w:t>
      </w:r>
    </w:p>
    <w:p w:rsidR="005F2811" w:rsidRPr="009000EB" w:rsidRDefault="005F2811" w:rsidP="00030C17">
      <w:pPr>
        <w:pStyle w:val="DecisionParagraphs"/>
        <w:rPr>
          <w:lang w:val="fr-FR"/>
        </w:rPr>
      </w:pPr>
    </w:p>
    <w:p w:rsidR="005F2811" w:rsidRPr="009000EB" w:rsidRDefault="005F2811" w:rsidP="00030C17">
      <w:pPr>
        <w:pStyle w:val="DecisionParagraphs"/>
        <w:tabs>
          <w:tab w:val="left" w:pos="5954"/>
        </w:tabs>
        <w:rPr>
          <w:lang w:val="fr-FR"/>
        </w:rPr>
      </w:pPr>
      <w:r w:rsidRPr="009000EB">
        <w:rPr>
          <w:lang w:val="fr-FR"/>
        </w:rPr>
        <w:tab/>
        <w:t>a)</w:t>
      </w:r>
      <w:r w:rsidRPr="009000EB">
        <w:rPr>
          <w:lang w:val="fr-FR"/>
        </w:rPr>
        <w:tab/>
      </w:r>
      <w:r w:rsidR="001D50E7">
        <w:rPr>
          <w:lang w:val="fr-FR"/>
        </w:rPr>
        <w:t>section</w:t>
      </w:r>
      <w:r w:rsidR="009C056B" w:rsidRPr="009000EB">
        <w:rPr>
          <w:lang w:val="fr-FR"/>
        </w:rPr>
        <w:t> </w:t>
      </w:r>
      <w:r w:rsidR="00683D0A" w:rsidRPr="009000EB">
        <w:rPr>
          <w:lang w:val="fr-FR"/>
        </w:rPr>
        <w:t>3</w:t>
      </w:r>
      <w:r w:rsidR="009C056B" w:rsidRPr="009000EB">
        <w:rPr>
          <w:lang w:val="fr-FR"/>
        </w:rPr>
        <w:t> </w:t>
      </w:r>
      <w:r w:rsidR="00683D0A" w:rsidRPr="009000EB">
        <w:rPr>
          <w:lang w:val="fr-FR"/>
        </w:rPr>
        <w:t>: “</w:t>
      </w:r>
      <w:r w:rsidR="00EB1C90" w:rsidRPr="009000EB">
        <w:rPr>
          <w:bCs/>
          <w:lang w:val="fr-FR"/>
        </w:rPr>
        <w:t>Questionnaire technique à remplir en relation avec une demande de certificat d</w:t>
      </w:r>
      <w:r w:rsidR="006A61F0" w:rsidRPr="009000EB">
        <w:rPr>
          <w:bCs/>
          <w:lang w:val="fr-FR"/>
        </w:rPr>
        <w:t>’</w:t>
      </w:r>
      <w:r w:rsidR="00EB1C90" w:rsidRPr="009000EB">
        <w:rPr>
          <w:bCs/>
          <w:lang w:val="fr-FR"/>
        </w:rPr>
        <w:t>obtention végétale</w:t>
      </w:r>
      <w:r w:rsidRPr="009000EB">
        <w:rPr>
          <w:lang w:val="fr-FR"/>
        </w:rPr>
        <w:t>”,</w:t>
      </w:r>
    </w:p>
    <w:p w:rsidR="005F2811" w:rsidRPr="009000EB" w:rsidRDefault="005F2811" w:rsidP="00030C17">
      <w:pPr>
        <w:pStyle w:val="DecisionParagraphs"/>
        <w:tabs>
          <w:tab w:val="left" w:pos="5954"/>
        </w:tabs>
        <w:rPr>
          <w:lang w:val="fr-FR"/>
        </w:rPr>
      </w:pPr>
    </w:p>
    <w:p w:rsidR="006A61F0" w:rsidRPr="009000EB" w:rsidRDefault="005F2811" w:rsidP="00030C17">
      <w:pPr>
        <w:pStyle w:val="DecisionParagraphs"/>
        <w:tabs>
          <w:tab w:val="left" w:pos="5954"/>
        </w:tabs>
        <w:rPr>
          <w:lang w:val="fr-FR"/>
        </w:rPr>
      </w:pPr>
      <w:r w:rsidRPr="009000EB">
        <w:rPr>
          <w:lang w:val="fr-FR"/>
        </w:rPr>
        <w:tab/>
        <w:t>b)</w:t>
      </w:r>
      <w:r w:rsidRPr="009000EB">
        <w:rPr>
          <w:lang w:val="fr-FR"/>
        </w:rPr>
        <w:tab/>
      </w:r>
      <w:r w:rsidR="001D50E7">
        <w:rPr>
          <w:lang w:val="fr-FR"/>
        </w:rPr>
        <w:t>section</w:t>
      </w:r>
      <w:r w:rsidR="009C056B" w:rsidRPr="009000EB">
        <w:rPr>
          <w:lang w:val="fr-FR"/>
        </w:rPr>
        <w:t> </w:t>
      </w:r>
      <w:r w:rsidR="00683D0A" w:rsidRPr="009000EB">
        <w:rPr>
          <w:lang w:val="fr-FR"/>
        </w:rPr>
        <w:t>8</w:t>
      </w:r>
      <w:r w:rsidR="009C056B" w:rsidRPr="009000EB">
        <w:rPr>
          <w:lang w:val="fr-FR"/>
        </w:rPr>
        <w:t> </w:t>
      </w:r>
      <w:r w:rsidR="00683D0A" w:rsidRPr="009000EB">
        <w:rPr>
          <w:lang w:val="fr-FR"/>
        </w:rPr>
        <w:t>: “</w:t>
      </w:r>
      <w:r w:rsidR="00EB1C90" w:rsidRPr="009000EB">
        <w:rPr>
          <w:bCs/>
          <w:lang w:val="fr-FR"/>
        </w:rPr>
        <w:t>Coopération en matière d</w:t>
      </w:r>
      <w:r w:rsidR="006A61F0" w:rsidRPr="009000EB">
        <w:rPr>
          <w:bCs/>
          <w:lang w:val="fr-FR"/>
        </w:rPr>
        <w:t>’</w:t>
      </w:r>
      <w:r w:rsidR="00EB1C90" w:rsidRPr="009000EB">
        <w:rPr>
          <w:bCs/>
          <w:lang w:val="fr-FR"/>
        </w:rPr>
        <w:t>examen</w:t>
      </w:r>
      <w:r w:rsidR="00683D0A" w:rsidRPr="009000EB">
        <w:rPr>
          <w:lang w:val="fr-FR"/>
        </w:rPr>
        <w:t>”</w:t>
      </w:r>
      <w:r w:rsidRPr="009000EB">
        <w:rPr>
          <w:lang w:val="fr-FR"/>
        </w:rPr>
        <w:t>,</w:t>
      </w:r>
      <w:r w:rsidR="00683D0A" w:rsidRPr="009000EB">
        <w:rPr>
          <w:lang w:val="fr-FR"/>
        </w:rPr>
        <w:t xml:space="preserve"> </w:t>
      </w:r>
      <w:r w:rsidR="008F2761" w:rsidRPr="009000EB">
        <w:rPr>
          <w:lang w:val="fr-FR"/>
        </w:rPr>
        <w:t>et</w:t>
      </w:r>
    </w:p>
    <w:p w:rsidR="005F2811" w:rsidRPr="009000EB" w:rsidRDefault="005F2811" w:rsidP="00030C17">
      <w:pPr>
        <w:pStyle w:val="DecisionParagraphs"/>
        <w:tabs>
          <w:tab w:val="left" w:pos="5954"/>
        </w:tabs>
        <w:rPr>
          <w:lang w:val="fr-FR"/>
        </w:rPr>
      </w:pPr>
    </w:p>
    <w:p w:rsidR="006A61F0" w:rsidRPr="009000EB" w:rsidRDefault="005F2811" w:rsidP="00030C17">
      <w:pPr>
        <w:pStyle w:val="DecisionParagraphs"/>
        <w:tabs>
          <w:tab w:val="left" w:pos="5954"/>
        </w:tabs>
        <w:rPr>
          <w:lang w:val="fr-FR"/>
        </w:rPr>
      </w:pPr>
      <w:r w:rsidRPr="009000EB">
        <w:rPr>
          <w:lang w:val="fr-FR"/>
        </w:rPr>
        <w:tab/>
        <w:t>c)</w:t>
      </w:r>
      <w:r w:rsidRPr="009000EB">
        <w:rPr>
          <w:lang w:val="fr-FR"/>
        </w:rPr>
        <w:tab/>
      </w:r>
      <w:r w:rsidR="001D50E7">
        <w:rPr>
          <w:lang w:val="fr-FR"/>
        </w:rPr>
        <w:t>section</w:t>
      </w:r>
      <w:r w:rsidR="009C056B" w:rsidRPr="009000EB">
        <w:rPr>
          <w:lang w:val="fr-FR"/>
        </w:rPr>
        <w:t> </w:t>
      </w:r>
      <w:r w:rsidR="00683D0A" w:rsidRPr="009000EB">
        <w:rPr>
          <w:lang w:val="fr-FR"/>
        </w:rPr>
        <w:t>9</w:t>
      </w:r>
      <w:r w:rsidR="009C056B" w:rsidRPr="009000EB">
        <w:rPr>
          <w:lang w:val="fr-FR"/>
        </w:rPr>
        <w:t> </w:t>
      </w:r>
      <w:r w:rsidR="00683D0A" w:rsidRPr="009000EB">
        <w:rPr>
          <w:lang w:val="fr-FR"/>
        </w:rPr>
        <w:t>: “</w:t>
      </w:r>
      <w:r w:rsidR="00EB1C90" w:rsidRPr="009000EB">
        <w:rPr>
          <w:bCs/>
          <w:lang w:val="fr-FR"/>
        </w:rPr>
        <w:t>Liste des espèces sur lesquelles des connaissances pratiques ont été acquises ou pour lesquelles des principes directeurs d</w:t>
      </w:r>
      <w:r w:rsidR="006A61F0" w:rsidRPr="009000EB">
        <w:rPr>
          <w:bCs/>
          <w:lang w:val="fr-FR"/>
        </w:rPr>
        <w:t>’</w:t>
      </w:r>
      <w:r w:rsidR="00EB1C90" w:rsidRPr="009000EB">
        <w:rPr>
          <w:bCs/>
          <w:lang w:val="fr-FR"/>
        </w:rPr>
        <w:t>examen nationaux ont été établis</w:t>
      </w:r>
      <w:r w:rsidR="00683D0A" w:rsidRPr="009000EB">
        <w:rPr>
          <w:lang w:val="fr-FR"/>
        </w:rPr>
        <w:t>”,</w:t>
      </w:r>
    </w:p>
    <w:p w:rsidR="005F2811" w:rsidRPr="009000EB" w:rsidRDefault="005F2811" w:rsidP="00030C17">
      <w:pPr>
        <w:pStyle w:val="DecisionParagraphs"/>
        <w:tabs>
          <w:tab w:val="left" w:pos="5954"/>
        </w:tabs>
        <w:rPr>
          <w:lang w:val="fr-FR"/>
        </w:rPr>
      </w:pPr>
    </w:p>
    <w:p w:rsidR="003C10BC" w:rsidRPr="009000EB" w:rsidRDefault="00EB1C90" w:rsidP="00030C17">
      <w:pPr>
        <w:pStyle w:val="DecisionParagraphs"/>
        <w:tabs>
          <w:tab w:val="left" w:pos="5954"/>
        </w:tabs>
        <w:rPr>
          <w:lang w:val="fr-FR"/>
        </w:rPr>
      </w:pPr>
      <w:proofErr w:type="gramStart"/>
      <w:r w:rsidRPr="009000EB">
        <w:rPr>
          <w:lang w:val="fr-FR"/>
        </w:rPr>
        <w:t>sur</w:t>
      </w:r>
      <w:proofErr w:type="gramEnd"/>
      <w:r w:rsidRPr="009000EB">
        <w:rPr>
          <w:lang w:val="fr-FR"/>
        </w:rPr>
        <w:t xml:space="preserve"> la base des modifications proposées à l</w:t>
      </w:r>
      <w:r w:rsidR="006A61F0" w:rsidRPr="009000EB">
        <w:rPr>
          <w:lang w:val="fr-FR"/>
        </w:rPr>
        <w:t>’</w:t>
      </w:r>
      <w:r w:rsidRPr="009000EB">
        <w:rPr>
          <w:lang w:val="fr-FR"/>
        </w:rPr>
        <w:t>annexe</w:t>
      </w:r>
      <w:r w:rsidR="00683D0A" w:rsidRPr="009000EB">
        <w:rPr>
          <w:lang w:val="fr-FR"/>
        </w:rPr>
        <w:t xml:space="preserve"> I </w:t>
      </w:r>
      <w:r w:rsidRPr="009000EB">
        <w:rPr>
          <w:lang w:val="fr-FR"/>
        </w:rPr>
        <w:t xml:space="preserve">du présent </w:t>
      </w:r>
      <w:r w:rsidR="00683D0A" w:rsidRPr="009000EB">
        <w:rPr>
          <w:lang w:val="fr-FR"/>
        </w:rPr>
        <w:t>document.</w:t>
      </w:r>
    </w:p>
    <w:p w:rsidR="003C10BC" w:rsidRPr="009000EB" w:rsidRDefault="003C10BC" w:rsidP="00030C17">
      <w:pPr>
        <w:rPr>
          <w:lang w:val="fr-FR"/>
        </w:rPr>
      </w:pPr>
    </w:p>
    <w:p w:rsidR="00F4605B" w:rsidRPr="009000EB" w:rsidRDefault="00F4605B" w:rsidP="00030C17">
      <w:pPr>
        <w:rPr>
          <w:lang w:val="fr-FR"/>
        </w:rPr>
      </w:pPr>
    </w:p>
    <w:p w:rsidR="00F4605B" w:rsidRPr="009000EB" w:rsidRDefault="00F4605B" w:rsidP="00030C17">
      <w:pPr>
        <w:keepNext/>
        <w:rPr>
          <w:u w:val="single"/>
          <w:lang w:val="fr-FR"/>
        </w:rPr>
      </w:pPr>
      <w:r w:rsidRPr="009000EB">
        <w:rPr>
          <w:u w:val="single"/>
          <w:lang w:val="fr-FR"/>
        </w:rPr>
        <w:t>TGP/9</w:t>
      </w:r>
      <w:r w:rsidR="009C056B" w:rsidRPr="009000EB">
        <w:rPr>
          <w:u w:val="single"/>
          <w:lang w:val="fr-FR"/>
        </w:rPr>
        <w:t> :</w:t>
      </w:r>
      <w:r w:rsidRPr="009000EB">
        <w:rPr>
          <w:u w:val="single"/>
          <w:lang w:val="fr-FR"/>
        </w:rPr>
        <w:t xml:space="preserve"> </w:t>
      </w:r>
      <w:r w:rsidR="00B3225D" w:rsidRPr="009000EB">
        <w:rPr>
          <w:bCs/>
          <w:u w:val="single"/>
          <w:lang w:val="fr-FR"/>
        </w:rPr>
        <w:t xml:space="preserve">Examen de la distinction </w:t>
      </w:r>
      <w:r w:rsidRPr="009000EB">
        <w:rPr>
          <w:u w:val="single"/>
          <w:lang w:val="fr-FR"/>
        </w:rPr>
        <w:t>(</w:t>
      </w:r>
      <w:r w:rsidR="00B3225D" w:rsidRPr="009000EB">
        <w:rPr>
          <w:u w:val="single"/>
          <w:lang w:val="fr-FR"/>
        </w:rPr>
        <w:t>ré</w:t>
      </w:r>
      <w:r w:rsidRPr="009000EB">
        <w:rPr>
          <w:u w:val="single"/>
          <w:lang w:val="fr-FR"/>
        </w:rPr>
        <w:t>vision)</w:t>
      </w:r>
      <w:r w:rsidR="00A9243D" w:rsidRPr="009000EB">
        <w:rPr>
          <w:u w:val="single"/>
          <w:lang w:val="fr-FR"/>
        </w:rPr>
        <w:t xml:space="preserve"> (document TGP/9/2 </w:t>
      </w:r>
      <w:proofErr w:type="spellStart"/>
      <w:r w:rsidR="00A9243D" w:rsidRPr="009000EB">
        <w:rPr>
          <w:u w:val="single"/>
          <w:lang w:val="fr-FR"/>
        </w:rPr>
        <w:t>Draft</w:t>
      </w:r>
      <w:proofErr w:type="spellEnd"/>
      <w:r w:rsidR="00A9243D" w:rsidRPr="009000EB">
        <w:rPr>
          <w:u w:val="single"/>
          <w:lang w:val="fr-FR"/>
        </w:rPr>
        <w:t xml:space="preserve"> 1)</w:t>
      </w:r>
    </w:p>
    <w:p w:rsidR="002A7768" w:rsidRPr="009000EB" w:rsidRDefault="002A7768" w:rsidP="00030C17">
      <w:pPr>
        <w:keepNext/>
        <w:rPr>
          <w:lang w:val="fr-FR"/>
        </w:rPr>
      </w:pPr>
    </w:p>
    <w:p w:rsidR="0057780D" w:rsidRPr="009000EB" w:rsidRDefault="0057780D"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8D111D" w:rsidRPr="009000EB">
        <w:rPr>
          <w:lang w:val="fr-FR"/>
        </w:rPr>
        <w:t>Le</w:t>
      </w:r>
      <w:r w:rsidR="006A61F0" w:rsidRPr="009000EB">
        <w:rPr>
          <w:lang w:val="fr-FR"/>
        </w:rPr>
        <w:t> TC</w:t>
      </w:r>
      <w:r w:rsidR="008D111D" w:rsidRPr="009000EB">
        <w:rPr>
          <w:lang w:val="fr-FR"/>
        </w:rPr>
        <w:t>, à sa cinquante</w:t>
      </w:r>
      <w:r w:rsidR="009C056B" w:rsidRPr="009000EB">
        <w:rPr>
          <w:lang w:val="fr-FR"/>
        </w:rPr>
        <w:t> </w:t>
      </w:r>
      <w:r w:rsidR="008D111D" w:rsidRPr="009000EB">
        <w:rPr>
          <w:lang w:val="fr-FR"/>
        </w:rPr>
        <w:t>et</w:t>
      </w:r>
      <w:r w:rsidR="009C056B" w:rsidRPr="009000EB">
        <w:rPr>
          <w:lang w:val="fr-FR"/>
        </w:rPr>
        <w:t> </w:t>
      </w:r>
      <w:r w:rsidR="008D111D" w:rsidRPr="009000EB">
        <w:rPr>
          <w:lang w:val="fr-FR"/>
        </w:rPr>
        <w:t>unième</w:t>
      </w:r>
      <w:r w:rsidR="009C056B" w:rsidRPr="009000EB">
        <w:rPr>
          <w:lang w:val="fr-FR"/>
        </w:rPr>
        <w:t> </w:t>
      </w:r>
      <w:r w:rsidR="008D111D" w:rsidRPr="009000EB">
        <w:rPr>
          <w:lang w:val="fr-FR"/>
        </w:rPr>
        <w:t>session, et</w:t>
      </w:r>
      <w:r w:rsidR="006A61F0" w:rsidRPr="009000EB">
        <w:rPr>
          <w:lang w:val="fr-FR"/>
        </w:rPr>
        <w:t xml:space="preserve"> le CAJ</w:t>
      </w:r>
      <w:r w:rsidR="008D111D" w:rsidRPr="009000EB">
        <w:rPr>
          <w:lang w:val="fr-FR"/>
        </w:rPr>
        <w:t>,</w:t>
      </w:r>
      <w:r w:rsidR="00535F54" w:rsidRPr="009000EB">
        <w:rPr>
          <w:lang w:val="fr-FR"/>
        </w:rPr>
        <w:t xml:space="preserve"> à sa soixante et </w:t>
      </w:r>
      <w:r w:rsidR="008D111D" w:rsidRPr="009000EB">
        <w:rPr>
          <w:lang w:val="fr-FR"/>
        </w:rPr>
        <w:t>onzième</w:t>
      </w:r>
      <w:r w:rsidR="009C056B" w:rsidRPr="009000EB">
        <w:rPr>
          <w:lang w:val="fr-FR"/>
        </w:rPr>
        <w:t> </w:t>
      </w:r>
      <w:r w:rsidR="008D111D" w:rsidRPr="009000EB">
        <w:rPr>
          <w:lang w:val="fr-FR"/>
        </w:rPr>
        <w:t>session, ont approuvé les propositions de révision du texte du</w:t>
      </w:r>
      <w:r w:rsidRPr="009000EB">
        <w:rPr>
          <w:lang w:val="fr-FR"/>
        </w:rPr>
        <w:t xml:space="preserve"> document </w:t>
      </w:r>
      <w:r w:rsidR="00A9243D" w:rsidRPr="009000EB">
        <w:rPr>
          <w:lang w:val="fr-FR"/>
        </w:rPr>
        <w:t>TGP/9/1</w:t>
      </w:r>
      <w:r w:rsidRPr="009000EB">
        <w:rPr>
          <w:lang w:val="fr-FR"/>
        </w:rPr>
        <w:t xml:space="preserve"> “</w:t>
      </w:r>
      <w:r w:rsidR="008D111D" w:rsidRPr="009000EB">
        <w:rPr>
          <w:bCs/>
          <w:lang w:val="fr-FR"/>
        </w:rPr>
        <w:t>Examen de la distinction</w:t>
      </w:r>
      <w:r w:rsidRPr="009000EB">
        <w:rPr>
          <w:lang w:val="fr-FR"/>
        </w:rPr>
        <w:t xml:space="preserve">” </w:t>
      </w:r>
      <w:r w:rsidR="008D111D" w:rsidRPr="009000EB">
        <w:rPr>
          <w:lang w:val="fr-FR"/>
        </w:rPr>
        <w:t>et sont convenus qu</w:t>
      </w:r>
      <w:r w:rsidR="006A61F0" w:rsidRPr="009000EB">
        <w:rPr>
          <w:lang w:val="fr-FR"/>
        </w:rPr>
        <w:t>’</w:t>
      </w:r>
      <w:r w:rsidR="008D111D" w:rsidRPr="009000EB">
        <w:rPr>
          <w:lang w:val="fr-FR"/>
        </w:rPr>
        <w:t>une version révisée du document en question</w:t>
      </w:r>
      <w:r w:rsidRPr="009000EB">
        <w:rPr>
          <w:lang w:val="fr-FR"/>
        </w:rPr>
        <w:t xml:space="preserve"> (document </w:t>
      </w:r>
      <w:r w:rsidR="00AB3BB1">
        <w:rPr>
          <w:lang w:val="fr-FR"/>
        </w:rPr>
        <w:t>TGP/9/2 </w:t>
      </w:r>
      <w:proofErr w:type="spellStart"/>
      <w:r w:rsidR="00AB3BB1">
        <w:rPr>
          <w:lang w:val="fr-FR"/>
        </w:rPr>
        <w:t>Draft</w:t>
      </w:r>
      <w:proofErr w:type="spellEnd"/>
      <w:r w:rsidR="00AB3BB1">
        <w:rPr>
          <w:lang w:val="fr-FR"/>
        </w:rPr>
        <w:t> </w:t>
      </w:r>
      <w:r w:rsidR="00A9243D" w:rsidRPr="009000EB">
        <w:rPr>
          <w:lang w:val="fr-FR"/>
        </w:rPr>
        <w:t>1</w:t>
      </w:r>
      <w:r w:rsidRPr="009000EB">
        <w:rPr>
          <w:lang w:val="fr-FR"/>
        </w:rPr>
        <w:t xml:space="preserve">) </w:t>
      </w:r>
      <w:r w:rsidR="008D111D" w:rsidRPr="009000EB">
        <w:rPr>
          <w:lang w:val="fr-FR"/>
        </w:rPr>
        <w:t xml:space="preserve">devrait </w:t>
      </w:r>
      <w:r w:rsidR="00EB4FBC" w:rsidRPr="009000EB">
        <w:rPr>
          <w:lang w:val="fr-FR"/>
        </w:rPr>
        <w:t>être soumis</w:t>
      </w:r>
      <w:r w:rsidR="00FA102A">
        <w:rPr>
          <w:lang w:val="fr-FR"/>
        </w:rPr>
        <w:t>e</w:t>
      </w:r>
      <w:r w:rsidR="00EB4FBC" w:rsidRPr="009000EB">
        <w:rPr>
          <w:lang w:val="fr-FR"/>
        </w:rPr>
        <w:t xml:space="preserve"> au Conseil pour adoption à sa quarante</w:t>
      </w:r>
      <w:r w:rsidR="00535F54" w:rsidRPr="009000EB">
        <w:rPr>
          <w:lang w:val="fr-FR"/>
        </w:rPr>
        <w:noBreakHyphen/>
      </w:r>
      <w:r w:rsidR="00EB4FBC" w:rsidRPr="009000EB">
        <w:rPr>
          <w:lang w:val="fr-FR"/>
        </w:rPr>
        <w:t>neuvième</w:t>
      </w:r>
      <w:r w:rsidR="009C056B" w:rsidRPr="009000EB">
        <w:rPr>
          <w:lang w:val="fr-FR"/>
        </w:rPr>
        <w:t> </w:t>
      </w:r>
      <w:r w:rsidR="00EB4FBC" w:rsidRPr="009000EB">
        <w:rPr>
          <w:lang w:val="fr-FR"/>
        </w:rPr>
        <w:t>session ordinaire</w:t>
      </w:r>
      <w:r w:rsidR="00820068" w:rsidRPr="009000EB">
        <w:rPr>
          <w:lang w:val="fr-FR"/>
        </w:rPr>
        <w:t xml:space="preserve"> (</w:t>
      </w:r>
      <w:r w:rsidR="00EB4FBC" w:rsidRPr="009000EB">
        <w:rPr>
          <w:lang w:val="fr-FR"/>
        </w:rPr>
        <w:t>voir les paragraphes</w:t>
      </w:r>
      <w:r w:rsidR="009C056B" w:rsidRPr="009000EB">
        <w:rPr>
          <w:lang w:val="fr-FR"/>
        </w:rPr>
        <w:t> </w:t>
      </w:r>
      <w:r w:rsidR="00EB4FBC" w:rsidRPr="009000EB">
        <w:rPr>
          <w:lang w:val="fr-FR"/>
        </w:rPr>
        <w:t>114 à</w:t>
      </w:r>
      <w:r w:rsidR="00535F54" w:rsidRPr="009000EB">
        <w:rPr>
          <w:lang w:val="fr-FR"/>
        </w:rPr>
        <w:t> </w:t>
      </w:r>
      <w:r w:rsidR="00EB4FBC" w:rsidRPr="009000EB">
        <w:rPr>
          <w:lang w:val="fr-FR"/>
        </w:rPr>
        <w:t xml:space="preserve">121 du </w:t>
      </w:r>
      <w:r w:rsidR="006A61F0" w:rsidRPr="009000EB">
        <w:rPr>
          <w:lang w:val="fr-FR"/>
        </w:rPr>
        <w:lastRenderedPageBreak/>
        <w:t>document TC</w:t>
      </w:r>
      <w:r w:rsidR="00EB4FBC" w:rsidRPr="009000EB">
        <w:rPr>
          <w:lang w:val="fr-FR"/>
        </w:rPr>
        <w:t>/51/39 “Compte rendu”, et les paragraphes 6</w:t>
      </w:r>
      <w:r w:rsidR="00AB3BB1">
        <w:rPr>
          <w:lang w:val="fr-FR"/>
        </w:rPr>
        <w:t>4 à </w:t>
      </w:r>
      <w:r w:rsidR="00EB4FBC" w:rsidRPr="009000EB">
        <w:rPr>
          <w:lang w:val="fr-FR"/>
        </w:rPr>
        <w:t>69 du document CAJ/71/10 “Compte rendu des conclusions”</w:t>
      </w:r>
      <w:r w:rsidR="00820068" w:rsidRPr="009000EB">
        <w:rPr>
          <w:rFonts w:cs="Arial"/>
          <w:lang w:val="fr-FR"/>
        </w:rPr>
        <w:t>)</w:t>
      </w:r>
      <w:r w:rsidRPr="009000EB">
        <w:rPr>
          <w:lang w:val="fr-FR"/>
        </w:rPr>
        <w:t>.</w:t>
      </w:r>
    </w:p>
    <w:p w:rsidR="00820068" w:rsidRPr="009000EB" w:rsidRDefault="00820068" w:rsidP="00030C17">
      <w:pPr>
        <w:rPr>
          <w:lang w:val="fr-FR"/>
        </w:rPr>
      </w:pPr>
    </w:p>
    <w:p w:rsidR="00820068" w:rsidRPr="009000EB" w:rsidRDefault="00820068"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B11EC4" w:rsidRPr="009000EB">
        <w:rPr>
          <w:lang w:val="fr-FR"/>
        </w:rPr>
        <w:t>Le</w:t>
      </w:r>
      <w:r w:rsidR="006A61F0" w:rsidRPr="009000EB">
        <w:rPr>
          <w:lang w:val="fr-FR"/>
        </w:rPr>
        <w:t> TC</w:t>
      </w:r>
      <w:r w:rsidR="00B11EC4" w:rsidRPr="009000EB">
        <w:rPr>
          <w:lang w:val="fr-FR"/>
        </w:rPr>
        <w:t xml:space="preserve"> et le CAJ ont pris note que les traductions en français, allemand et espagnol du texte original anglais seront examinées par les membres concernés du Comité de rédaction avant que le projet du </w:t>
      </w:r>
      <w:r w:rsidR="006A61F0" w:rsidRPr="009000EB">
        <w:rPr>
          <w:lang w:val="fr-FR"/>
        </w:rPr>
        <w:t>document TG</w:t>
      </w:r>
      <w:r w:rsidR="00B11EC4" w:rsidRPr="009000EB">
        <w:rPr>
          <w:lang w:val="fr-FR"/>
        </w:rPr>
        <w:t xml:space="preserve">P/9/2 soit soumis pour adoption </w:t>
      </w:r>
      <w:r w:rsidR="00FA102A">
        <w:rPr>
          <w:lang w:val="fr-FR"/>
        </w:rPr>
        <w:t>au</w:t>
      </w:r>
      <w:r w:rsidR="00B11EC4" w:rsidRPr="009000EB">
        <w:rPr>
          <w:lang w:val="fr-FR"/>
        </w:rPr>
        <w:t xml:space="preserve"> Conseil</w:t>
      </w:r>
      <w:r w:rsidRPr="009000EB">
        <w:rPr>
          <w:lang w:val="fr-FR"/>
        </w:rPr>
        <w:t xml:space="preserve">.  </w:t>
      </w:r>
      <w:r w:rsidR="00B11EC4" w:rsidRPr="009000EB">
        <w:rPr>
          <w:lang w:val="fr-FR"/>
        </w:rPr>
        <w:t xml:space="preserve">Le document TGP/9/2 </w:t>
      </w:r>
      <w:proofErr w:type="spellStart"/>
      <w:r w:rsidR="00B11EC4" w:rsidRPr="009000EB">
        <w:rPr>
          <w:lang w:val="fr-FR"/>
        </w:rPr>
        <w:t>Draft</w:t>
      </w:r>
      <w:proofErr w:type="spellEnd"/>
      <w:r w:rsidR="00B11EC4" w:rsidRPr="009000EB">
        <w:rPr>
          <w:lang w:val="fr-FR"/>
        </w:rPr>
        <w:t> 1 contient les modifications approuvées par le</w:t>
      </w:r>
      <w:r w:rsidR="006A61F0" w:rsidRPr="009000EB">
        <w:rPr>
          <w:lang w:val="fr-FR"/>
        </w:rPr>
        <w:t> TC</w:t>
      </w:r>
      <w:r w:rsidR="00B11EC4" w:rsidRPr="009000EB">
        <w:rPr>
          <w:lang w:val="fr-FR"/>
        </w:rPr>
        <w:t xml:space="preserve"> et le CAJ, comme indiqué </w:t>
      </w:r>
      <w:r w:rsidR="00FA102A">
        <w:rPr>
          <w:lang w:val="fr-FR"/>
        </w:rPr>
        <w:t>aux</w:t>
      </w:r>
      <w:r w:rsidR="00B11EC4" w:rsidRPr="009000EB">
        <w:rPr>
          <w:lang w:val="fr-FR"/>
        </w:rPr>
        <w:t xml:space="preserve"> paragraphes 5 et 6, ainsi que les modifications d</w:t>
      </w:r>
      <w:r w:rsidR="006A61F0" w:rsidRPr="009000EB">
        <w:rPr>
          <w:lang w:val="fr-FR"/>
        </w:rPr>
        <w:t>’</w:t>
      </w:r>
      <w:r w:rsidR="00B11EC4" w:rsidRPr="009000EB">
        <w:rPr>
          <w:lang w:val="fr-FR"/>
        </w:rPr>
        <w:t>ordre rédactionnel proposées par les membres concernés du Comité de rédaction</w:t>
      </w:r>
      <w:r w:rsidRPr="009000EB">
        <w:rPr>
          <w:lang w:val="fr-FR"/>
        </w:rPr>
        <w:t>.</w:t>
      </w:r>
    </w:p>
    <w:p w:rsidR="00820068" w:rsidRPr="009000EB" w:rsidRDefault="00820068" w:rsidP="00030C17">
      <w:pPr>
        <w:rPr>
          <w:lang w:val="fr-FR"/>
        </w:rPr>
      </w:pPr>
    </w:p>
    <w:p w:rsidR="00F4605B" w:rsidRPr="009000EB" w:rsidRDefault="00820068" w:rsidP="00030C17">
      <w:pPr>
        <w:pStyle w:val="DecisionParagraphs"/>
        <w:keepLines/>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A82D89" w:rsidRPr="009000EB">
        <w:rPr>
          <w:lang w:val="fr-FR"/>
        </w:rPr>
        <w:t xml:space="preserve">Le Conseil est invité à adopter la </w:t>
      </w:r>
      <w:r w:rsidR="00FA102A">
        <w:rPr>
          <w:lang w:val="fr-FR"/>
        </w:rPr>
        <w:t>version révisée</w:t>
      </w:r>
      <w:r w:rsidR="00A82D89" w:rsidRPr="009000EB">
        <w:rPr>
          <w:lang w:val="fr-FR"/>
        </w:rPr>
        <w:t xml:space="preserve"> du </w:t>
      </w:r>
      <w:r w:rsidR="006A61F0" w:rsidRPr="009000EB">
        <w:rPr>
          <w:lang w:val="fr-FR"/>
        </w:rPr>
        <w:t>document TG</w:t>
      </w:r>
      <w:r w:rsidRPr="009000EB">
        <w:rPr>
          <w:lang w:val="fr-FR"/>
        </w:rPr>
        <w:t>P/9/1 “Exa</w:t>
      </w:r>
      <w:r w:rsidR="00A82D89" w:rsidRPr="009000EB">
        <w:rPr>
          <w:lang w:val="fr-FR"/>
        </w:rPr>
        <w:t>men de la d</w:t>
      </w:r>
      <w:r w:rsidRPr="009000EB">
        <w:rPr>
          <w:lang w:val="fr-FR"/>
        </w:rPr>
        <w:t>istinct</w:t>
      </w:r>
      <w:r w:rsidR="00A82D89" w:rsidRPr="009000EB">
        <w:rPr>
          <w:lang w:val="fr-FR"/>
        </w:rPr>
        <w:t>ion</w:t>
      </w:r>
      <w:r w:rsidRPr="009000EB">
        <w:rPr>
          <w:lang w:val="fr-FR"/>
        </w:rPr>
        <w:t>”</w:t>
      </w:r>
      <w:r w:rsidR="0057780D" w:rsidRPr="009000EB">
        <w:rPr>
          <w:lang w:val="fr-FR"/>
        </w:rPr>
        <w:t xml:space="preserve"> (document </w:t>
      </w:r>
      <w:r w:rsidRPr="009000EB">
        <w:rPr>
          <w:lang w:val="fr-FR"/>
        </w:rPr>
        <w:t>TGP/9/2</w:t>
      </w:r>
      <w:r w:rsidR="0057780D" w:rsidRPr="009000EB">
        <w:rPr>
          <w:lang w:val="fr-FR"/>
        </w:rPr>
        <w:t xml:space="preserve">), </w:t>
      </w:r>
      <w:r w:rsidR="00A82D89" w:rsidRPr="009000EB">
        <w:rPr>
          <w:lang w:val="fr-FR"/>
        </w:rPr>
        <w:t xml:space="preserve">sur la base du </w:t>
      </w:r>
      <w:r w:rsidR="0057780D" w:rsidRPr="009000EB">
        <w:rPr>
          <w:lang w:val="fr-FR"/>
        </w:rPr>
        <w:t xml:space="preserve">document </w:t>
      </w:r>
      <w:r w:rsidR="00AB3BB1">
        <w:rPr>
          <w:lang w:val="fr-FR"/>
        </w:rPr>
        <w:t>TGP/9/2 </w:t>
      </w:r>
      <w:proofErr w:type="spellStart"/>
      <w:r w:rsidR="00AB3BB1">
        <w:rPr>
          <w:lang w:val="fr-FR"/>
        </w:rPr>
        <w:t>Draft</w:t>
      </w:r>
      <w:proofErr w:type="spellEnd"/>
      <w:r w:rsidR="00AB3BB1">
        <w:rPr>
          <w:lang w:val="fr-FR"/>
        </w:rPr>
        <w:t> </w:t>
      </w:r>
      <w:r w:rsidRPr="009000EB">
        <w:rPr>
          <w:lang w:val="fr-FR"/>
        </w:rPr>
        <w:t>1</w:t>
      </w:r>
      <w:r w:rsidR="0057780D" w:rsidRPr="009000EB">
        <w:rPr>
          <w:lang w:val="fr-FR"/>
        </w:rPr>
        <w:t>.</w:t>
      </w:r>
    </w:p>
    <w:p w:rsidR="00F4605B" w:rsidRPr="009000EB" w:rsidRDefault="00F4605B" w:rsidP="00030C17">
      <w:pPr>
        <w:rPr>
          <w:lang w:val="fr-FR"/>
        </w:rPr>
      </w:pPr>
    </w:p>
    <w:p w:rsidR="006D2368" w:rsidRPr="009000EB" w:rsidRDefault="006D2368" w:rsidP="00030C17">
      <w:pPr>
        <w:rPr>
          <w:lang w:val="fr-FR"/>
        </w:rPr>
      </w:pPr>
    </w:p>
    <w:p w:rsidR="00BD2054" w:rsidRPr="009000EB" w:rsidRDefault="00BD2054" w:rsidP="00030C17">
      <w:pPr>
        <w:keepNext/>
        <w:rPr>
          <w:u w:val="single"/>
          <w:lang w:val="fr-FR"/>
        </w:rPr>
      </w:pPr>
      <w:r w:rsidRPr="009000EB">
        <w:rPr>
          <w:bCs/>
          <w:snapToGrid w:val="0"/>
          <w:szCs w:val="24"/>
          <w:u w:val="single"/>
          <w:lang w:val="fr-FR"/>
        </w:rPr>
        <w:t>TGP/14</w:t>
      </w:r>
      <w:r w:rsidR="009C056B" w:rsidRPr="009000EB">
        <w:rPr>
          <w:bCs/>
          <w:snapToGrid w:val="0"/>
          <w:szCs w:val="24"/>
          <w:u w:val="single"/>
          <w:lang w:val="fr-FR"/>
        </w:rPr>
        <w:t> :</w:t>
      </w:r>
      <w:r w:rsidR="000421C7" w:rsidRPr="009000EB">
        <w:rPr>
          <w:bCs/>
          <w:snapToGrid w:val="0"/>
          <w:szCs w:val="24"/>
          <w:u w:val="single"/>
          <w:lang w:val="fr-FR"/>
        </w:rPr>
        <w:t xml:space="preserve"> </w:t>
      </w:r>
      <w:r w:rsidR="00FC0D7D" w:rsidRPr="009000EB">
        <w:rPr>
          <w:bCs/>
          <w:snapToGrid w:val="0"/>
          <w:szCs w:val="24"/>
          <w:u w:val="single"/>
          <w:lang w:val="fr-FR"/>
        </w:rPr>
        <w:t>Glossaire de termes utilisés dans les documents de l</w:t>
      </w:r>
      <w:r w:rsidR="006A61F0" w:rsidRPr="009000EB">
        <w:rPr>
          <w:bCs/>
          <w:snapToGrid w:val="0"/>
          <w:szCs w:val="24"/>
          <w:u w:val="single"/>
          <w:lang w:val="fr-FR"/>
        </w:rPr>
        <w:t>’</w:t>
      </w:r>
      <w:r w:rsidR="00FC0D7D" w:rsidRPr="009000EB">
        <w:rPr>
          <w:bCs/>
          <w:snapToGrid w:val="0"/>
          <w:szCs w:val="24"/>
          <w:u w:val="single"/>
          <w:lang w:val="fr-FR"/>
        </w:rPr>
        <w:t>UPOV</w:t>
      </w:r>
      <w:r w:rsidRPr="009000EB">
        <w:rPr>
          <w:bCs/>
          <w:snapToGrid w:val="0"/>
          <w:szCs w:val="24"/>
          <w:u w:val="single"/>
          <w:lang w:val="fr-FR"/>
        </w:rPr>
        <w:t xml:space="preserve"> (</w:t>
      </w:r>
      <w:r w:rsidR="00FC0D7D" w:rsidRPr="009000EB">
        <w:rPr>
          <w:bCs/>
          <w:snapToGrid w:val="0"/>
          <w:szCs w:val="24"/>
          <w:u w:val="single"/>
          <w:lang w:val="fr-FR"/>
        </w:rPr>
        <w:t>ré</w:t>
      </w:r>
      <w:r w:rsidRPr="009000EB">
        <w:rPr>
          <w:bCs/>
          <w:snapToGrid w:val="0"/>
          <w:szCs w:val="24"/>
          <w:u w:val="single"/>
          <w:lang w:val="fr-FR"/>
        </w:rPr>
        <w:t>vision)</w:t>
      </w:r>
      <w:r w:rsidR="00A66B92" w:rsidRPr="009000EB">
        <w:rPr>
          <w:bCs/>
          <w:snapToGrid w:val="0"/>
          <w:szCs w:val="24"/>
          <w:u w:val="single"/>
          <w:lang w:val="fr-FR"/>
        </w:rPr>
        <w:t xml:space="preserve"> (document </w:t>
      </w:r>
      <w:r w:rsidR="00223470" w:rsidRPr="009000EB">
        <w:rPr>
          <w:bCs/>
          <w:snapToGrid w:val="0"/>
          <w:szCs w:val="24"/>
          <w:u w:val="single"/>
          <w:lang w:val="fr-FR"/>
        </w:rPr>
        <w:t>C/49/14</w:t>
      </w:r>
      <w:r w:rsidR="00A66B92" w:rsidRPr="009000EB">
        <w:rPr>
          <w:bCs/>
          <w:snapToGrid w:val="0"/>
          <w:szCs w:val="24"/>
          <w:u w:val="single"/>
          <w:lang w:val="fr-FR"/>
        </w:rPr>
        <w:t xml:space="preserve">, </w:t>
      </w:r>
      <w:r w:rsidR="00FC0D7D" w:rsidRPr="009000EB">
        <w:rPr>
          <w:bCs/>
          <w:snapToGrid w:val="0"/>
          <w:szCs w:val="24"/>
          <w:u w:val="single"/>
          <w:lang w:val="fr-FR"/>
        </w:rPr>
        <w:t>a</w:t>
      </w:r>
      <w:r w:rsidR="00A66B92" w:rsidRPr="009000EB">
        <w:rPr>
          <w:bCs/>
          <w:snapToGrid w:val="0"/>
          <w:szCs w:val="24"/>
          <w:u w:val="single"/>
          <w:lang w:val="fr-FR"/>
        </w:rPr>
        <w:t>nnex</w:t>
      </w:r>
      <w:r w:rsidR="00FC0D7D" w:rsidRPr="009000EB">
        <w:rPr>
          <w:bCs/>
          <w:snapToGrid w:val="0"/>
          <w:szCs w:val="24"/>
          <w:u w:val="single"/>
          <w:lang w:val="fr-FR"/>
        </w:rPr>
        <w:t>e</w:t>
      </w:r>
      <w:r w:rsidR="0020192D" w:rsidRPr="009000EB">
        <w:rPr>
          <w:bCs/>
          <w:snapToGrid w:val="0"/>
          <w:szCs w:val="24"/>
          <w:u w:val="single"/>
          <w:lang w:val="fr-FR"/>
        </w:rPr>
        <w:t> </w:t>
      </w:r>
      <w:r w:rsidR="00A66B92" w:rsidRPr="009000EB">
        <w:rPr>
          <w:bCs/>
          <w:snapToGrid w:val="0"/>
          <w:szCs w:val="24"/>
          <w:u w:val="single"/>
          <w:lang w:val="fr-FR"/>
        </w:rPr>
        <w:t>II)</w:t>
      </w:r>
    </w:p>
    <w:p w:rsidR="00BD2054" w:rsidRPr="009000EB" w:rsidRDefault="00BD2054" w:rsidP="00030C17">
      <w:pPr>
        <w:keepNext/>
        <w:rPr>
          <w:lang w:val="fr-FR"/>
        </w:rPr>
      </w:pPr>
    </w:p>
    <w:p w:rsidR="00BD2054" w:rsidRPr="009000EB" w:rsidRDefault="00BD2054"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26008D" w:rsidRPr="009000EB">
        <w:rPr>
          <w:lang w:val="fr-FR"/>
        </w:rPr>
        <w:t>Le</w:t>
      </w:r>
      <w:r w:rsidR="006A61F0" w:rsidRPr="009000EB">
        <w:rPr>
          <w:lang w:val="fr-FR"/>
        </w:rPr>
        <w:t> TC</w:t>
      </w:r>
      <w:r w:rsidR="0026008D" w:rsidRPr="009000EB">
        <w:rPr>
          <w:lang w:val="fr-FR"/>
        </w:rPr>
        <w:t>, à sa cinquante</w:t>
      </w:r>
      <w:r w:rsidR="009C056B" w:rsidRPr="009000EB">
        <w:rPr>
          <w:lang w:val="fr-FR"/>
        </w:rPr>
        <w:t> </w:t>
      </w:r>
      <w:r w:rsidR="0026008D" w:rsidRPr="009000EB">
        <w:rPr>
          <w:lang w:val="fr-FR"/>
        </w:rPr>
        <w:t>et</w:t>
      </w:r>
      <w:r w:rsidR="009C056B" w:rsidRPr="009000EB">
        <w:rPr>
          <w:lang w:val="fr-FR"/>
        </w:rPr>
        <w:t> </w:t>
      </w:r>
      <w:r w:rsidR="0026008D" w:rsidRPr="009000EB">
        <w:rPr>
          <w:lang w:val="fr-FR"/>
        </w:rPr>
        <w:t>unième</w:t>
      </w:r>
      <w:r w:rsidR="009C056B" w:rsidRPr="009000EB">
        <w:rPr>
          <w:lang w:val="fr-FR"/>
        </w:rPr>
        <w:t> </w:t>
      </w:r>
      <w:r w:rsidR="0026008D" w:rsidRPr="009000EB">
        <w:rPr>
          <w:lang w:val="fr-FR"/>
        </w:rPr>
        <w:t>session, et</w:t>
      </w:r>
      <w:r w:rsidR="006A61F0" w:rsidRPr="009000EB">
        <w:rPr>
          <w:lang w:val="fr-FR"/>
        </w:rPr>
        <w:t xml:space="preserve"> le CAJ</w:t>
      </w:r>
      <w:r w:rsidR="0026008D" w:rsidRPr="009000EB">
        <w:rPr>
          <w:lang w:val="fr-FR"/>
        </w:rPr>
        <w:t>, à sa soixante</w:t>
      </w:r>
      <w:r w:rsidR="00535F54" w:rsidRPr="009000EB">
        <w:rPr>
          <w:lang w:val="fr-FR"/>
        </w:rPr>
        <w:t> </w:t>
      </w:r>
      <w:r w:rsidR="0026008D" w:rsidRPr="009000EB">
        <w:rPr>
          <w:lang w:val="fr-FR"/>
        </w:rPr>
        <w:t>et</w:t>
      </w:r>
      <w:r w:rsidR="00535F54" w:rsidRPr="009000EB">
        <w:rPr>
          <w:lang w:val="fr-FR"/>
        </w:rPr>
        <w:t> </w:t>
      </w:r>
      <w:r w:rsidR="0026008D" w:rsidRPr="009000EB">
        <w:rPr>
          <w:lang w:val="fr-FR"/>
        </w:rPr>
        <w:t>onzième</w:t>
      </w:r>
      <w:r w:rsidR="009C056B" w:rsidRPr="009000EB">
        <w:rPr>
          <w:lang w:val="fr-FR"/>
        </w:rPr>
        <w:t> </w:t>
      </w:r>
      <w:r w:rsidR="0026008D" w:rsidRPr="009000EB">
        <w:rPr>
          <w:lang w:val="fr-FR"/>
        </w:rPr>
        <w:t>session, ont approuvé les propositions de révision du</w:t>
      </w:r>
      <w:r w:rsidRPr="009000EB">
        <w:rPr>
          <w:lang w:val="fr-FR"/>
        </w:rPr>
        <w:t xml:space="preserve"> </w:t>
      </w:r>
      <w:r w:rsidR="006A61F0" w:rsidRPr="009000EB">
        <w:rPr>
          <w:lang w:val="fr-FR"/>
        </w:rPr>
        <w:t>document TG</w:t>
      </w:r>
      <w:r w:rsidRPr="009000EB">
        <w:rPr>
          <w:lang w:val="fr-FR"/>
        </w:rPr>
        <w:t>P/14</w:t>
      </w:r>
      <w:r w:rsidR="008252B5" w:rsidRPr="009000EB">
        <w:rPr>
          <w:lang w:val="fr-FR"/>
        </w:rPr>
        <w:t>/2</w:t>
      </w:r>
      <w:r w:rsidR="006617DF" w:rsidRPr="009000EB">
        <w:rPr>
          <w:lang w:val="fr-FR"/>
        </w:rPr>
        <w:t xml:space="preserve"> “</w:t>
      </w:r>
      <w:r w:rsidR="0026008D" w:rsidRPr="009000EB">
        <w:rPr>
          <w:bCs/>
          <w:snapToGrid w:val="0"/>
          <w:szCs w:val="24"/>
          <w:lang w:val="fr-FR"/>
        </w:rPr>
        <w:t>Glossaire de termes utilisés dans les documents de l</w:t>
      </w:r>
      <w:r w:rsidR="006A61F0" w:rsidRPr="009000EB">
        <w:rPr>
          <w:bCs/>
          <w:snapToGrid w:val="0"/>
          <w:szCs w:val="24"/>
          <w:lang w:val="fr-FR"/>
        </w:rPr>
        <w:t>’</w:t>
      </w:r>
      <w:r w:rsidR="0026008D" w:rsidRPr="009000EB">
        <w:rPr>
          <w:bCs/>
          <w:snapToGrid w:val="0"/>
          <w:szCs w:val="24"/>
          <w:lang w:val="fr-FR"/>
        </w:rPr>
        <w:t>UPOV</w:t>
      </w:r>
      <w:r w:rsidR="006617DF" w:rsidRPr="009000EB">
        <w:rPr>
          <w:bCs/>
          <w:snapToGrid w:val="0"/>
          <w:szCs w:val="24"/>
          <w:lang w:val="fr-FR"/>
        </w:rPr>
        <w:t>”,</w:t>
      </w:r>
      <w:r w:rsidRPr="009000EB">
        <w:rPr>
          <w:lang w:val="fr-FR"/>
        </w:rPr>
        <w:t xml:space="preserve"> </w:t>
      </w:r>
      <w:r w:rsidR="001D50E7">
        <w:rPr>
          <w:lang w:val="fr-FR"/>
        </w:rPr>
        <w:t>section</w:t>
      </w:r>
      <w:r w:rsidRPr="009000EB">
        <w:rPr>
          <w:lang w:val="fr-FR"/>
        </w:rPr>
        <w:t> 2.4</w:t>
      </w:r>
      <w:r w:rsidR="006617DF" w:rsidRPr="009000EB">
        <w:rPr>
          <w:lang w:val="fr-FR"/>
        </w:rPr>
        <w:t xml:space="preserve"> “</w:t>
      </w:r>
      <w:r w:rsidR="00096D88" w:rsidRPr="009000EB">
        <w:rPr>
          <w:lang w:val="fr-FR"/>
        </w:rPr>
        <w:t>Caractères liés à la forme de l</w:t>
      </w:r>
      <w:r w:rsidR="006A61F0" w:rsidRPr="009000EB">
        <w:rPr>
          <w:lang w:val="fr-FR"/>
        </w:rPr>
        <w:t>’</w:t>
      </w:r>
      <w:r w:rsidR="00096D88" w:rsidRPr="009000EB">
        <w:rPr>
          <w:lang w:val="fr-FR"/>
        </w:rPr>
        <w:t>apex ou de l</w:t>
      </w:r>
      <w:r w:rsidR="006A61F0" w:rsidRPr="009000EB">
        <w:rPr>
          <w:lang w:val="fr-FR"/>
        </w:rPr>
        <w:t>’</w:t>
      </w:r>
      <w:r w:rsidR="00096D88" w:rsidRPr="009000EB">
        <w:rPr>
          <w:lang w:val="fr-FR"/>
        </w:rPr>
        <w:t>extrémité</w:t>
      </w:r>
      <w:r w:rsidR="006617DF" w:rsidRPr="009000EB">
        <w:rPr>
          <w:lang w:val="fr-FR"/>
        </w:rPr>
        <w:t>”,</w:t>
      </w:r>
      <w:r w:rsidRPr="009000EB">
        <w:rPr>
          <w:lang w:val="fr-FR"/>
        </w:rPr>
        <w:t xml:space="preserve"> </w:t>
      </w:r>
      <w:r w:rsidR="00096D88" w:rsidRPr="009000EB">
        <w:rPr>
          <w:lang w:val="fr-FR"/>
        </w:rPr>
        <w:t>contenues dans l</w:t>
      </w:r>
      <w:r w:rsidR="006A61F0" w:rsidRPr="009000EB">
        <w:rPr>
          <w:lang w:val="fr-FR"/>
        </w:rPr>
        <w:t>’</w:t>
      </w:r>
      <w:r w:rsidR="00096D88" w:rsidRPr="009000EB">
        <w:rPr>
          <w:lang w:val="fr-FR"/>
        </w:rPr>
        <w:t>annexe </w:t>
      </w:r>
      <w:r w:rsidR="002A7768" w:rsidRPr="009000EB">
        <w:rPr>
          <w:lang w:val="fr-FR"/>
        </w:rPr>
        <w:t xml:space="preserve">II </w:t>
      </w:r>
      <w:r w:rsidR="00096D88" w:rsidRPr="009000EB">
        <w:rPr>
          <w:lang w:val="fr-FR"/>
        </w:rPr>
        <w:t xml:space="preserve">du présent </w:t>
      </w:r>
      <w:r w:rsidR="002A7768" w:rsidRPr="009000EB">
        <w:rPr>
          <w:lang w:val="fr-FR"/>
        </w:rPr>
        <w:t xml:space="preserve">document </w:t>
      </w:r>
      <w:r w:rsidR="006617DF" w:rsidRPr="009000EB">
        <w:rPr>
          <w:lang w:val="fr-FR"/>
        </w:rPr>
        <w:t>(</w:t>
      </w:r>
      <w:r w:rsidR="00837969" w:rsidRPr="009000EB">
        <w:rPr>
          <w:lang w:val="fr-FR"/>
        </w:rPr>
        <w:t>voir les paragraphes</w:t>
      </w:r>
      <w:r w:rsidR="00411490">
        <w:rPr>
          <w:lang w:val="fr-FR"/>
        </w:rPr>
        <w:t xml:space="preserve"> </w:t>
      </w:r>
      <w:r w:rsidR="00837969" w:rsidRPr="009000EB">
        <w:rPr>
          <w:lang w:val="fr-FR"/>
        </w:rPr>
        <w:t>122 à</w:t>
      </w:r>
      <w:r w:rsidR="00411490">
        <w:rPr>
          <w:lang w:val="fr-FR"/>
        </w:rPr>
        <w:t xml:space="preserve"> </w:t>
      </w:r>
      <w:r w:rsidR="00837969" w:rsidRPr="009000EB">
        <w:rPr>
          <w:lang w:val="fr-FR"/>
        </w:rPr>
        <w:t xml:space="preserve">125 du </w:t>
      </w:r>
      <w:r w:rsidR="006A61F0" w:rsidRPr="009000EB">
        <w:rPr>
          <w:lang w:val="fr-FR"/>
        </w:rPr>
        <w:t>document TC</w:t>
      </w:r>
      <w:r w:rsidR="00837969" w:rsidRPr="009000EB">
        <w:rPr>
          <w:lang w:val="fr-FR"/>
        </w:rPr>
        <w:t>/51/39 “Compte rendu”, et les paragraphes 70</w:t>
      </w:r>
      <w:r w:rsidR="00AB3BB1">
        <w:rPr>
          <w:lang w:val="fr-FR"/>
        </w:rPr>
        <w:t xml:space="preserve"> à </w:t>
      </w:r>
      <w:r w:rsidR="00837969" w:rsidRPr="009000EB">
        <w:rPr>
          <w:lang w:val="fr-FR"/>
        </w:rPr>
        <w:t>72 du document CAJ/71/10 “Compte rendu des conclusions”</w:t>
      </w:r>
      <w:r w:rsidR="006617DF" w:rsidRPr="009000EB">
        <w:rPr>
          <w:rFonts w:cs="Arial"/>
          <w:lang w:val="fr-FR"/>
        </w:rPr>
        <w:t>)</w:t>
      </w:r>
      <w:r w:rsidR="006617DF" w:rsidRPr="009000EB">
        <w:rPr>
          <w:lang w:val="fr-FR"/>
        </w:rPr>
        <w:t>.</w:t>
      </w:r>
    </w:p>
    <w:p w:rsidR="00EF6B84" w:rsidRPr="009000EB" w:rsidRDefault="00EF6B84" w:rsidP="00030C17">
      <w:pPr>
        <w:rPr>
          <w:lang w:val="fr-FR"/>
        </w:rPr>
      </w:pPr>
    </w:p>
    <w:p w:rsidR="002C5C79" w:rsidRPr="009000EB" w:rsidRDefault="002C5C79"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812B8A" w:rsidRPr="009000EB">
        <w:rPr>
          <w:lang w:val="fr-FR"/>
        </w:rPr>
        <w:t>Compte tenu de ce qui précède</w:t>
      </w:r>
      <w:r w:rsidRPr="009000EB">
        <w:rPr>
          <w:lang w:val="fr-FR"/>
        </w:rPr>
        <w:t xml:space="preserve">, </w:t>
      </w:r>
      <w:r w:rsidR="00812B8A" w:rsidRPr="009000EB">
        <w:rPr>
          <w:lang w:val="fr-FR"/>
        </w:rPr>
        <w:t>le</w:t>
      </w:r>
      <w:r w:rsidR="006A61F0" w:rsidRPr="009000EB">
        <w:rPr>
          <w:lang w:val="fr-FR"/>
        </w:rPr>
        <w:t> TC</w:t>
      </w:r>
      <w:r w:rsidR="00812B8A" w:rsidRPr="009000EB">
        <w:rPr>
          <w:lang w:val="fr-FR"/>
        </w:rPr>
        <w:t xml:space="preserve"> et</w:t>
      </w:r>
      <w:r w:rsidR="006A61F0" w:rsidRPr="009000EB">
        <w:rPr>
          <w:lang w:val="fr-FR"/>
        </w:rPr>
        <w:t xml:space="preserve"> le CAJ</w:t>
      </w:r>
      <w:r w:rsidR="00812B8A" w:rsidRPr="009000EB">
        <w:rPr>
          <w:lang w:val="fr-FR"/>
        </w:rPr>
        <w:t xml:space="preserve"> sont convenus que la </w:t>
      </w:r>
      <w:r w:rsidR="00FA102A">
        <w:rPr>
          <w:lang w:val="fr-FR"/>
        </w:rPr>
        <w:t>version révisée</w:t>
      </w:r>
      <w:r w:rsidR="00812B8A" w:rsidRPr="009000EB">
        <w:rPr>
          <w:lang w:val="fr-FR"/>
        </w:rPr>
        <w:t xml:space="preserve"> du document TGP/14/2, </w:t>
      </w:r>
      <w:r w:rsidR="001D50E7">
        <w:rPr>
          <w:lang w:val="fr-FR"/>
        </w:rPr>
        <w:t>section</w:t>
      </w:r>
      <w:r w:rsidR="00812B8A" w:rsidRPr="009000EB">
        <w:rPr>
          <w:lang w:val="fr-FR"/>
        </w:rPr>
        <w:t> 2.4 devrait être soumise au Conseil pour adoption à sa quarante</w:t>
      </w:r>
      <w:r w:rsidR="00535F54" w:rsidRPr="009000EB">
        <w:rPr>
          <w:lang w:val="fr-FR"/>
        </w:rPr>
        <w:noBreakHyphen/>
      </w:r>
      <w:r w:rsidR="00812B8A" w:rsidRPr="009000EB">
        <w:rPr>
          <w:lang w:val="fr-FR"/>
        </w:rPr>
        <w:t>neuvième</w:t>
      </w:r>
      <w:r w:rsidR="009C056B" w:rsidRPr="009000EB">
        <w:rPr>
          <w:lang w:val="fr-FR"/>
        </w:rPr>
        <w:t> </w:t>
      </w:r>
      <w:r w:rsidR="00812B8A" w:rsidRPr="009000EB">
        <w:rPr>
          <w:lang w:val="fr-FR"/>
        </w:rPr>
        <w:t>session ordinaire</w:t>
      </w:r>
      <w:r w:rsidRPr="009000EB">
        <w:rPr>
          <w:lang w:val="fr-FR"/>
        </w:rPr>
        <w:t>.</w:t>
      </w:r>
    </w:p>
    <w:p w:rsidR="002C5C79" w:rsidRPr="009000EB" w:rsidRDefault="002C5C79" w:rsidP="00030C17">
      <w:pPr>
        <w:rPr>
          <w:lang w:val="fr-FR"/>
        </w:rPr>
      </w:pPr>
    </w:p>
    <w:p w:rsidR="00EE4442" w:rsidRPr="009000EB" w:rsidRDefault="00EE4442"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6254BA" w:rsidRPr="009000EB">
        <w:rPr>
          <w:lang w:val="fr-FR"/>
        </w:rPr>
        <w:t>Le</w:t>
      </w:r>
      <w:r w:rsidR="006A61F0" w:rsidRPr="009000EB">
        <w:rPr>
          <w:lang w:val="fr-FR"/>
        </w:rPr>
        <w:t> TC</w:t>
      </w:r>
      <w:r w:rsidR="006254BA" w:rsidRPr="009000EB">
        <w:rPr>
          <w:lang w:val="fr-FR"/>
        </w:rPr>
        <w:t xml:space="preserve"> et le CAJ ont pris note que les traductions en français, allemand et espagnol du texte original anglais seront examinées par les membres concernés du Comité de rédaction avant d</w:t>
      </w:r>
      <w:r w:rsidR="006A61F0" w:rsidRPr="009000EB">
        <w:rPr>
          <w:lang w:val="fr-FR"/>
        </w:rPr>
        <w:t>’</w:t>
      </w:r>
      <w:r w:rsidR="006254BA" w:rsidRPr="009000EB">
        <w:rPr>
          <w:lang w:val="fr-FR"/>
        </w:rPr>
        <w:t xml:space="preserve">être soumises pour adoption </w:t>
      </w:r>
      <w:r w:rsidR="00FA102A">
        <w:rPr>
          <w:lang w:val="fr-FR"/>
        </w:rPr>
        <w:t>au</w:t>
      </w:r>
      <w:r w:rsidR="006254BA" w:rsidRPr="009000EB">
        <w:rPr>
          <w:lang w:val="fr-FR"/>
        </w:rPr>
        <w:t xml:space="preserve"> Conseil</w:t>
      </w:r>
      <w:r w:rsidR="00CC0281" w:rsidRPr="009000EB">
        <w:rPr>
          <w:lang w:val="fr-FR"/>
        </w:rPr>
        <w:t>.</w:t>
      </w:r>
      <w:r w:rsidRPr="009000EB">
        <w:rPr>
          <w:lang w:val="fr-FR"/>
        </w:rPr>
        <w:t xml:space="preserve">  </w:t>
      </w:r>
      <w:r w:rsidR="008F2761" w:rsidRPr="009000EB">
        <w:rPr>
          <w:lang w:val="fr-FR"/>
        </w:rPr>
        <w:t>L</w:t>
      </w:r>
      <w:r w:rsidR="006A61F0" w:rsidRPr="009000EB">
        <w:rPr>
          <w:lang w:val="fr-FR"/>
        </w:rPr>
        <w:t>’</w:t>
      </w:r>
      <w:r w:rsidR="00631CBB" w:rsidRPr="009000EB">
        <w:rPr>
          <w:lang w:val="fr-FR"/>
        </w:rPr>
        <w:t>a</w:t>
      </w:r>
      <w:r w:rsidR="00CC0281" w:rsidRPr="009000EB">
        <w:rPr>
          <w:lang w:val="fr-FR"/>
        </w:rPr>
        <w:t>nnex</w:t>
      </w:r>
      <w:r w:rsidR="00631CBB" w:rsidRPr="009000EB">
        <w:rPr>
          <w:lang w:val="fr-FR"/>
        </w:rPr>
        <w:t>e </w:t>
      </w:r>
      <w:r w:rsidR="00CC0281" w:rsidRPr="009000EB">
        <w:rPr>
          <w:lang w:val="fr-FR"/>
        </w:rPr>
        <w:t xml:space="preserve">II </w:t>
      </w:r>
      <w:r w:rsidR="00631CBB" w:rsidRPr="009000EB">
        <w:rPr>
          <w:lang w:val="fr-FR"/>
        </w:rPr>
        <w:t xml:space="preserve">du présent </w:t>
      </w:r>
      <w:r w:rsidR="00CC0281" w:rsidRPr="009000EB">
        <w:rPr>
          <w:lang w:val="fr-FR"/>
        </w:rPr>
        <w:t xml:space="preserve">document </w:t>
      </w:r>
      <w:r w:rsidR="00631CBB" w:rsidRPr="009000EB">
        <w:rPr>
          <w:lang w:val="fr-FR"/>
        </w:rPr>
        <w:t>contient les modifications approuvées par le</w:t>
      </w:r>
      <w:r w:rsidR="006A61F0" w:rsidRPr="009000EB">
        <w:rPr>
          <w:lang w:val="fr-FR"/>
        </w:rPr>
        <w:t> TC</w:t>
      </w:r>
      <w:r w:rsidR="00631CBB" w:rsidRPr="009000EB">
        <w:rPr>
          <w:lang w:val="fr-FR"/>
        </w:rPr>
        <w:t xml:space="preserve"> et le CAJ, comme indiqué </w:t>
      </w:r>
      <w:r w:rsidR="00FA102A">
        <w:rPr>
          <w:lang w:val="fr-FR"/>
        </w:rPr>
        <w:t>aux</w:t>
      </w:r>
      <w:r w:rsidR="00631CBB" w:rsidRPr="009000EB">
        <w:rPr>
          <w:lang w:val="fr-FR"/>
        </w:rPr>
        <w:t xml:space="preserve"> paragraphes 9 et 10, ainsi que les modifications d</w:t>
      </w:r>
      <w:r w:rsidR="006A61F0" w:rsidRPr="009000EB">
        <w:rPr>
          <w:lang w:val="fr-FR"/>
        </w:rPr>
        <w:t>’</w:t>
      </w:r>
      <w:r w:rsidR="00631CBB" w:rsidRPr="009000EB">
        <w:rPr>
          <w:lang w:val="fr-FR"/>
        </w:rPr>
        <w:t>ordre rédactionnel proposées par les membres concernés du Comité de rédaction</w:t>
      </w:r>
      <w:r w:rsidRPr="009000EB">
        <w:rPr>
          <w:lang w:val="fr-FR"/>
        </w:rPr>
        <w:t>.</w:t>
      </w:r>
    </w:p>
    <w:p w:rsidR="00EE4442" w:rsidRPr="009000EB" w:rsidRDefault="00EE4442" w:rsidP="00030C17">
      <w:pPr>
        <w:rPr>
          <w:lang w:val="fr-FR"/>
        </w:rPr>
      </w:pPr>
    </w:p>
    <w:p w:rsidR="002C5C79" w:rsidRPr="009000EB" w:rsidRDefault="002C5C79" w:rsidP="00030C17">
      <w:pPr>
        <w:pStyle w:val="DecisionParagraphs"/>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973A5C" w:rsidRPr="009000EB">
        <w:rPr>
          <w:lang w:val="fr-FR"/>
        </w:rPr>
        <w:t xml:space="preserve">Le Conseil est invité à adopter la </w:t>
      </w:r>
      <w:r w:rsidR="00FA102A">
        <w:rPr>
          <w:lang w:val="fr-FR"/>
        </w:rPr>
        <w:t>version révisée</w:t>
      </w:r>
      <w:r w:rsidR="00973A5C" w:rsidRPr="009000EB">
        <w:rPr>
          <w:lang w:val="fr-FR"/>
        </w:rPr>
        <w:t xml:space="preserve"> du </w:t>
      </w:r>
      <w:r w:rsidR="006A61F0" w:rsidRPr="009000EB">
        <w:rPr>
          <w:lang w:val="fr-FR"/>
        </w:rPr>
        <w:t>document TG</w:t>
      </w:r>
      <w:r w:rsidRPr="009000EB">
        <w:rPr>
          <w:lang w:val="fr-FR"/>
        </w:rPr>
        <w:t>P/14</w:t>
      </w:r>
      <w:r w:rsidR="00C978F5" w:rsidRPr="009000EB">
        <w:rPr>
          <w:lang w:val="fr-FR"/>
        </w:rPr>
        <w:t>/2</w:t>
      </w:r>
      <w:r w:rsidRPr="009000EB">
        <w:rPr>
          <w:lang w:val="fr-FR"/>
        </w:rPr>
        <w:t xml:space="preserve"> “</w:t>
      </w:r>
      <w:r w:rsidR="00973A5C" w:rsidRPr="009000EB">
        <w:rPr>
          <w:bCs/>
          <w:lang w:val="fr-FR"/>
        </w:rPr>
        <w:t>Glossaire de termes utilisés dans les documents de l</w:t>
      </w:r>
      <w:r w:rsidR="006A61F0" w:rsidRPr="009000EB">
        <w:rPr>
          <w:bCs/>
          <w:lang w:val="fr-FR"/>
        </w:rPr>
        <w:t>’</w:t>
      </w:r>
      <w:r w:rsidR="00973A5C" w:rsidRPr="009000EB">
        <w:rPr>
          <w:bCs/>
          <w:lang w:val="fr-FR"/>
        </w:rPr>
        <w:t>UPOV</w:t>
      </w:r>
      <w:r w:rsidRPr="009000EB">
        <w:rPr>
          <w:lang w:val="fr-FR"/>
        </w:rPr>
        <w:t xml:space="preserve">”, </w:t>
      </w:r>
      <w:r w:rsidR="001D50E7">
        <w:rPr>
          <w:lang w:val="fr-FR"/>
        </w:rPr>
        <w:t>section</w:t>
      </w:r>
      <w:r w:rsidR="009C056B" w:rsidRPr="009000EB">
        <w:rPr>
          <w:lang w:val="fr-FR"/>
        </w:rPr>
        <w:t> </w:t>
      </w:r>
      <w:r w:rsidRPr="009000EB">
        <w:rPr>
          <w:lang w:val="fr-FR"/>
        </w:rPr>
        <w:t>2.4 “</w:t>
      </w:r>
      <w:r w:rsidR="00973A5C" w:rsidRPr="009000EB">
        <w:rPr>
          <w:lang w:val="fr-FR"/>
        </w:rPr>
        <w:t>Caractères liés à la forme de l</w:t>
      </w:r>
      <w:r w:rsidR="006A61F0" w:rsidRPr="009000EB">
        <w:rPr>
          <w:lang w:val="fr-FR"/>
        </w:rPr>
        <w:t>’</w:t>
      </w:r>
      <w:r w:rsidR="00973A5C" w:rsidRPr="009000EB">
        <w:rPr>
          <w:lang w:val="fr-FR"/>
        </w:rPr>
        <w:t>apex ou de l</w:t>
      </w:r>
      <w:r w:rsidR="006A61F0" w:rsidRPr="009000EB">
        <w:rPr>
          <w:lang w:val="fr-FR"/>
        </w:rPr>
        <w:t>’</w:t>
      </w:r>
      <w:r w:rsidR="00973A5C" w:rsidRPr="009000EB">
        <w:rPr>
          <w:lang w:val="fr-FR"/>
        </w:rPr>
        <w:t>extrémité</w:t>
      </w:r>
      <w:r w:rsidRPr="009000EB">
        <w:rPr>
          <w:lang w:val="fr-FR"/>
        </w:rPr>
        <w:t xml:space="preserve">”, </w:t>
      </w:r>
      <w:r w:rsidR="00C37023" w:rsidRPr="009000EB">
        <w:rPr>
          <w:lang w:val="fr-FR"/>
        </w:rPr>
        <w:t>sur la base des modifications proposées à l</w:t>
      </w:r>
      <w:r w:rsidR="006A61F0" w:rsidRPr="009000EB">
        <w:rPr>
          <w:lang w:val="fr-FR"/>
        </w:rPr>
        <w:t>’</w:t>
      </w:r>
      <w:r w:rsidR="00C37023" w:rsidRPr="009000EB">
        <w:rPr>
          <w:lang w:val="fr-FR"/>
        </w:rPr>
        <w:t>annexe II du présent document</w:t>
      </w:r>
      <w:r w:rsidRPr="009000EB">
        <w:rPr>
          <w:lang w:val="fr-FR"/>
        </w:rPr>
        <w:t>.</w:t>
      </w:r>
    </w:p>
    <w:p w:rsidR="002C5C79" w:rsidRPr="009000EB" w:rsidRDefault="002C5C79" w:rsidP="00030C17">
      <w:pPr>
        <w:rPr>
          <w:lang w:val="fr-FR"/>
        </w:rPr>
      </w:pPr>
    </w:p>
    <w:p w:rsidR="00A66B92" w:rsidRPr="009000EB" w:rsidRDefault="00A66B92" w:rsidP="00030C17">
      <w:pPr>
        <w:rPr>
          <w:lang w:val="fr-FR"/>
        </w:rPr>
      </w:pPr>
    </w:p>
    <w:p w:rsidR="00ED6EFE" w:rsidRPr="009000EB" w:rsidRDefault="00ED6EFE" w:rsidP="00411490">
      <w:pPr>
        <w:keepNext/>
        <w:rPr>
          <w:u w:val="single"/>
          <w:lang w:val="fr-FR"/>
        </w:rPr>
      </w:pPr>
      <w:r w:rsidRPr="009000EB">
        <w:rPr>
          <w:u w:val="single"/>
          <w:lang w:val="fr-FR"/>
        </w:rPr>
        <w:t>TGP/0</w:t>
      </w:r>
      <w:r w:rsidR="009C056B" w:rsidRPr="009000EB">
        <w:rPr>
          <w:u w:val="single"/>
          <w:lang w:val="fr-FR"/>
        </w:rPr>
        <w:t> :</w:t>
      </w:r>
      <w:r w:rsidRPr="009000EB">
        <w:rPr>
          <w:u w:val="single"/>
          <w:lang w:val="fr-FR"/>
        </w:rPr>
        <w:t xml:space="preserve"> </w:t>
      </w:r>
      <w:r w:rsidR="00EE5E08" w:rsidRPr="009000EB">
        <w:rPr>
          <w:bCs/>
          <w:snapToGrid w:val="0"/>
          <w:szCs w:val="24"/>
          <w:u w:val="single"/>
          <w:lang w:val="fr-FR"/>
        </w:rPr>
        <w:t>Liste des documents TGP et date de la version la plus récente de ces documents (révision) (</w:t>
      </w:r>
      <w:r w:rsidR="006A61F0" w:rsidRPr="009000EB">
        <w:rPr>
          <w:bCs/>
          <w:snapToGrid w:val="0"/>
          <w:szCs w:val="24"/>
          <w:u w:val="single"/>
          <w:lang w:val="fr-FR"/>
        </w:rPr>
        <w:t>document TG</w:t>
      </w:r>
      <w:r w:rsidR="00AB3BB1">
        <w:rPr>
          <w:bCs/>
          <w:snapToGrid w:val="0"/>
          <w:szCs w:val="24"/>
          <w:u w:val="single"/>
          <w:lang w:val="fr-FR"/>
        </w:rPr>
        <w:t>P/0/8 </w:t>
      </w:r>
      <w:proofErr w:type="spellStart"/>
      <w:r w:rsidR="00EE5E08" w:rsidRPr="009000EB">
        <w:rPr>
          <w:bCs/>
          <w:snapToGrid w:val="0"/>
          <w:szCs w:val="24"/>
          <w:u w:val="single"/>
          <w:lang w:val="fr-FR"/>
        </w:rPr>
        <w:t>Draft</w:t>
      </w:r>
      <w:proofErr w:type="spellEnd"/>
      <w:r w:rsidR="00EE5E08" w:rsidRPr="009000EB">
        <w:rPr>
          <w:bCs/>
          <w:snapToGrid w:val="0"/>
          <w:szCs w:val="24"/>
          <w:u w:val="single"/>
          <w:lang w:val="fr-FR"/>
        </w:rPr>
        <w:t> 1)</w:t>
      </w:r>
    </w:p>
    <w:p w:rsidR="00ED6EFE" w:rsidRPr="009000EB" w:rsidRDefault="00ED6EFE" w:rsidP="00030C17">
      <w:pPr>
        <w:keepNext/>
        <w:rPr>
          <w:lang w:val="fr-FR" w:eastAsia="zh-CN"/>
        </w:rPr>
      </w:pPr>
    </w:p>
    <w:p w:rsidR="00ED6EFE" w:rsidRPr="009000EB" w:rsidRDefault="00ED6EFE" w:rsidP="00030C17">
      <w:pPr>
        <w:rPr>
          <w:rFonts w:cs="Arial"/>
          <w:lang w:val="fr-FR"/>
        </w:rPr>
      </w:pPr>
      <w:r w:rsidRPr="009000EB">
        <w:rPr>
          <w:lang w:val="fr-FR" w:eastAsia="zh-CN"/>
        </w:rPr>
        <w:fldChar w:fldCharType="begin"/>
      </w:r>
      <w:r w:rsidRPr="009000EB">
        <w:rPr>
          <w:lang w:val="fr-FR" w:eastAsia="zh-CN"/>
        </w:rPr>
        <w:instrText xml:space="preserve"> AUTONUM  </w:instrText>
      </w:r>
      <w:r w:rsidRPr="009000EB">
        <w:rPr>
          <w:lang w:val="fr-FR" w:eastAsia="zh-CN"/>
        </w:rPr>
        <w:fldChar w:fldCharType="end"/>
      </w:r>
      <w:r w:rsidRPr="009000EB">
        <w:rPr>
          <w:lang w:val="fr-FR" w:eastAsia="zh-CN"/>
        </w:rPr>
        <w:tab/>
      </w:r>
      <w:r w:rsidR="00053ABC" w:rsidRPr="009000EB">
        <w:rPr>
          <w:lang w:val="fr-FR" w:eastAsia="zh-CN"/>
        </w:rPr>
        <w:t>Parallèlement à l</w:t>
      </w:r>
      <w:r w:rsidR="006A61F0" w:rsidRPr="009000EB">
        <w:rPr>
          <w:lang w:val="fr-FR" w:eastAsia="zh-CN"/>
        </w:rPr>
        <w:t>’</w:t>
      </w:r>
      <w:r w:rsidR="00053ABC" w:rsidRPr="009000EB">
        <w:rPr>
          <w:lang w:val="fr-FR" w:eastAsia="zh-CN"/>
        </w:rPr>
        <w:t>adoption des documents TGP révisés à la quarante</w:t>
      </w:r>
      <w:r w:rsidR="00535F54" w:rsidRPr="009000EB">
        <w:rPr>
          <w:lang w:val="fr-FR" w:eastAsia="zh-CN"/>
        </w:rPr>
        <w:noBreakHyphen/>
      </w:r>
      <w:r w:rsidR="00053ABC" w:rsidRPr="009000EB">
        <w:rPr>
          <w:lang w:val="fr-FR" w:eastAsia="zh-CN"/>
        </w:rPr>
        <w:t>neuvième</w:t>
      </w:r>
      <w:r w:rsidR="009C056B" w:rsidRPr="009000EB">
        <w:rPr>
          <w:lang w:val="fr-FR" w:eastAsia="zh-CN"/>
        </w:rPr>
        <w:t> </w:t>
      </w:r>
      <w:r w:rsidR="00053ABC" w:rsidRPr="009000EB">
        <w:rPr>
          <w:lang w:val="fr-FR" w:eastAsia="zh-CN"/>
        </w:rPr>
        <w:t>session ordinaire du Conseil, il est proposé d</w:t>
      </w:r>
      <w:r w:rsidR="006A61F0" w:rsidRPr="009000EB">
        <w:rPr>
          <w:lang w:val="fr-FR" w:eastAsia="zh-CN"/>
        </w:rPr>
        <w:t>’</w:t>
      </w:r>
      <w:r w:rsidR="00053ABC" w:rsidRPr="009000EB">
        <w:rPr>
          <w:lang w:val="fr-FR" w:eastAsia="zh-CN"/>
        </w:rPr>
        <w:t>approuver la révision du document TGP/0</w:t>
      </w:r>
      <w:r w:rsidR="00FE0F09">
        <w:rPr>
          <w:lang w:val="fr-FR" w:eastAsia="zh-CN"/>
        </w:rPr>
        <w:t>/7</w:t>
      </w:r>
      <w:r w:rsidR="00053ABC" w:rsidRPr="009000EB">
        <w:rPr>
          <w:lang w:val="fr-FR" w:eastAsia="zh-CN"/>
        </w:rPr>
        <w:t xml:space="preserve"> sur la base du document </w:t>
      </w:r>
      <w:r w:rsidRPr="009000EB">
        <w:rPr>
          <w:lang w:val="fr-FR"/>
        </w:rPr>
        <w:t>TGP/0/</w:t>
      </w:r>
      <w:r w:rsidR="00A66B92" w:rsidRPr="009000EB">
        <w:rPr>
          <w:lang w:val="fr-FR"/>
        </w:rPr>
        <w:t>8 </w:t>
      </w:r>
      <w:proofErr w:type="spellStart"/>
      <w:r w:rsidR="00A66B92" w:rsidRPr="009000EB">
        <w:rPr>
          <w:lang w:val="fr-FR"/>
        </w:rPr>
        <w:t>Draft</w:t>
      </w:r>
      <w:proofErr w:type="spellEnd"/>
      <w:r w:rsidR="00A66B92" w:rsidRPr="009000EB">
        <w:rPr>
          <w:lang w:val="fr-FR"/>
        </w:rPr>
        <w:t> </w:t>
      </w:r>
      <w:r w:rsidRPr="009000EB">
        <w:rPr>
          <w:lang w:val="fr-FR"/>
        </w:rPr>
        <w:t xml:space="preserve">1 </w:t>
      </w:r>
      <w:r w:rsidR="00A66B92" w:rsidRPr="009000EB">
        <w:rPr>
          <w:lang w:val="fr-FR"/>
        </w:rPr>
        <w:t>(</w:t>
      </w:r>
      <w:r w:rsidR="00886F0C" w:rsidRPr="009000EB">
        <w:rPr>
          <w:lang w:val="fr-FR"/>
        </w:rPr>
        <w:t>voir le paragraphe</w:t>
      </w:r>
      <w:r w:rsidR="009C056B" w:rsidRPr="009000EB">
        <w:rPr>
          <w:lang w:val="fr-FR"/>
        </w:rPr>
        <w:t> </w:t>
      </w:r>
      <w:r w:rsidR="00886F0C" w:rsidRPr="009000EB">
        <w:rPr>
          <w:lang w:val="fr-FR"/>
        </w:rPr>
        <w:t xml:space="preserve">113 du </w:t>
      </w:r>
      <w:r w:rsidR="006A61F0" w:rsidRPr="009000EB">
        <w:rPr>
          <w:lang w:val="fr-FR"/>
        </w:rPr>
        <w:t>document TC</w:t>
      </w:r>
      <w:r w:rsidR="00886F0C" w:rsidRPr="009000EB">
        <w:rPr>
          <w:lang w:val="fr-FR"/>
        </w:rPr>
        <w:t>/51/39 “Compte rendu”, et le paragraphe 77 du document CAJ/71/10 “Compte rendu des conclusions”</w:t>
      </w:r>
      <w:r w:rsidR="00A66B92" w:rsidRPr="009000EB">
        <w:rPr>
          <w:rFonts w:cs="Arial"/>
          <w:lang w:val="fr-FR"/>
        </w:rPr>
        <w:t>)</w:t>
      </w:r>
      <w:r w:rsidRPr="009000EB">
        <w:rPr>
          <w:rFonts w:cs="Arial"/>
          <w:lang w:val="fr-FR"/>
        </w:rPr>
        <w:t>.</w:t>
      </w:r>
    </w:p>
    <w:p w:rsidR="00ED6EFE" w:rsidRPr="009000EB" w:rsidRDefault="00ED6EFE" w:rsidP="00030C17">
      <w:pPr>
        <w:rPr>
          <w:lang w:val="fr-FR" w:eastAsia="zh-CN"/>
        </w:rPr>
      </w:pPr>
    </w:p>
    <w:p w:rsidR="00ED6EFE" w:rsidRPr="009000EB" w:rsidRDefault="00ED6EFE" w:rsidP="00030C17">
      <w:pPr>
        <w:pStyle w:val="DecisionParagraphs"/>
        <w:rPr>
          <w:lang w:val="fr-FR" w:eastAsia="zh-CN"/>
        </w:rPr>
      </w:pPr>
      <w:r w:rsidRPr="009000EB">
        <w:rPr>
          <w:lang w:val="fr-FR" w:eastAsia="zh-CN"/>
        </w:rPr>
        <w:fldChar w:fldCharType="begin"/>
      </w:r>
      <w:r w:rsidRPr="009000EB">
        <w:rPr>
          <w:lang w:val="fr-FR" w:eastAsia="zh-CN"/>
        </w:rPr>
        <w:instrText xml:space="preserve"> AUTONUM  </w:instrText>
      </w:r>
      <w:r w:rsidRPr="009000EB">
        <w:rPr>
          <w:lang w:val="fr-FR" w:eastAsia="zh-CN"/>
        </w:rPr>
        <w:fldChar w:fldCharType="end"/>
      </w:r>
      <w:r w:rsidRPr="009000EB">
        <w:rPr>
          <w:lang w:val="fr-FR" w:eastAsia="zh-CN"/>
        </w:rPr>
        <w:tab/>
      </w:r>
      <w:r w:rsidR="00C10924" w:rsidRPr="009000EB">
        <w:rPr>
          <w:lang w:val="fr-FR" w:eastAsia="zh-CN"/>
        </w:rPr>
        <w:t xml:space="preserve">Le Conseil est invité à adopter la </w:t>
      </w:r>
      <w:r w:rsidR="00FA102A">
        <w:rPr>
          <w:lang w:val="fr-FR"/>
        </w:rPr>
        <w:t>version révisée</w:t>
      </w:r>
      <w:r w:rsidR="00C10924" w:rsidRPr="009000EB">
        <w:rPr>
          <w:lang w:val="fr-FR" w:eastAsia="zh-CN"/>
        </w:rPr>
        <w:t xml:space="preserve"> du </w:t>
      </w:r>
      <w:r w:rsidR="006A61F0" w:rsidRPr="009000EB">
        <w:rPr>
          <w:lang w:val="fr-FR" w:eastAsia="zh-CN"/>
        </w:rPr>
        <w:t>document TG</w:t>
      </w:r>
      <w:r w:rsidRPr="009000EB">
        <w:rPr>
          <w:lang w:val="fr-FR" w:eastAsia="zh-CN"/>
        </w:rPr>
        <w:t>P/0</w:t>
      </w:r>
      <w:r w:rsidR="00FE0F09">
        <w:rPr>
          <w:lang w:val="fr-FR" w:eastAsia="zh-CN"/>
        </w:rPr>
        <w:t>/7</w:t>
      </w:r>
      <w:r w:rsidRPr="009000EB">
        <w:rPr>
          <w:lang w:val="fr-FR" w:eastAsia="zh-CN"/>
        </w:rPr>
        <w:t xml:space="preserve"> “</w:t>
      </w:r>
      <w:r w:rsidR="00EE5E08" w:rsidRPr="009000EB">
        <w:rPr>
          <w:bCs/>
          <w:lang w:val="fr-FR" w:eastAsia="zh-CN"/>
        </w:rPr>
        <w:t>Liste des documents TGP et date de la version la plus récente de ces documents</w:t>
      </w:r>
      <w:r w:rsidRPr="009000EB">
        <w:rPr>
          <w:lang w:val="fr-FR" w:eastAsia="zh-CN"/>
        </w:rPr>
        <w:t>” (</w:t>
      </w:r>
      <w:r w:rsidRPr="009000EB">
        <w:rPr>
          <w:lang w:val="fr-FR"/>
        </w:rPr>
        <w:t>document TGP/0/</w:t>
      </w:r>
      <w:r w:rsidR="00EA7DCF" w:rsidRPr="009000EB">
        <w:rPr>
          <w:lang w:val="fr-FR"/>
        </w:rPr>
        <w:t>8</w:t>
      </w:r>
      <w:r w:rsidRPr="009000EB">
        <w:rPr>
          <w:lang w:val="fr-FR"/>
        </w:rPr>
        <w:t>)</w:t>
      </w:r>
      <w:r w:rsidRPr="009000EB">
        <w:rPr>
          <w:lang w:val="fr-FR" w:eastAsia="zh-CN"/>
        </w:rPr>
        <w:t xml:space="preserve">, </w:t>
      </w:r>
      <w:r w:rsidR="007B2387" w:rsidRPr="009000EB">
        <w:rPr>
          <w:lang w:val="fr-FR" w:eastAsia="zh-CN"/>
        </w:rPr>
        <w:t xml:space="preserve">sur la base du document </w:t>
      </w:r>
      <w:r w:rsidRPr="009000EB">
        <w:rPr>
          <w:lang w:val="fr-FR"/>
        </w:rPr>
        <w:t>TGP/0/</w:t>
      </w:r>
      <w:r w:rsidR="00EA7DCF" w:rsidRPr="009000EB">
        <w:rPr>
          <w:lang w:val="fr-FR"/>
        </w:rPr>
        <w:t>8</w:t>
      </w:r>
      <w:r w:rsidRPr="009000EB">
        <w:rPr>
          <w:lang w:val="fr-FR"/>
        </w:rPr>
        <w:t> </w:t>
      </w:r>
      <w:proofErr w:type="spellStart"/>
      <w:r w:rsidRPr="009000EB">
        <w:rPr>
          <w:lang w:val="fr-FR"/>
        </w:rPr>
        <w:t>Draft</w:t>
      </w:r>
      <w:proofErr w:type="spellEnd"/>
      <w:r w:rsidRPr="009000EB">
        <w:rPr>
          <w:lang w:val="fr-FR"/>
        </w:rPr>
        <w:t> 1</w:t>
      </w:r>
      <w:r w:rsidRPr="009000EB">
        <w:rPr>
          <w:lang w:val="fr-FR" w:eastAsia="zh-CN"/>
        </w:rPr>
        <w:t>.</w:t>
      </w:r>
    </w:p>
    <w:p w:rsidR="004A4E29" w:rsidRPr="009000EB" w:rsidRDefault="004A4E29" w:rsidP="00030C17">
      <w:pPr>
        <w:rPr>
          <w:lang w:val="fr-FR"/>
        </w:rPr>
      </w:pPr>
    </w:p>
    <w:p w:rsidR="006D2368" w:rsidRPr="009000EB" w:rsidRDefault="006D2368" w:rsidP="00030C17">
      <w:pPr>
        <w:rPr>
          <w:lang w:val="fr-FR"/>
        </w:rPr>
      </w:pPr>
    </w:p>
    <w:p w:rsidR="00117EDB" w:rsidRPr="009000EB" w:rsidRDefault="00117EDB" w:rsidP="00030C17">
      <w:pPr>
        <w:rPr>
          <w:lang w:val="fr-FR"/>
        </w:rPr>
      </w:pPr>
    </w:p>
    <w:p w:rsidR="00117EDB" w:rsidRPr="009000EB" w:rsidRDefault="00CE25CA" w:rsidP="00030C17">
      <w:pPr>
        <w:keepNext/>
        <w:keepLines/>
        <w:rPr>
          <w:lang w:val="fr-FR"/>
        </w:rPr>
      </w:pPr>
      <w:r w:rsidRPr="009000EB">
        <w:rPr>
          <w:lang w:val="fr-FR"/>
        </w:rPr>
        <w:t>NOTES EXPLICATIVES</w:t>
      </w:r>
    </w:p>
    <w:p w:rsidR="00117EDB" w:rsidRPr="009000EB" w:rsidRDefault="00117EDB" w:rsidP="00030C17">
      <w:pPr>
        <w:keepNext/>
        <w:keepLines/>
        <w:rPr>
          <w:lang w:val="fr-FR"/>
        </w:rPr>
      </w:pPr>
    </w:p>
    <w:p w:rsidR="00117EDB" w:rsidRPr="009000EB" w:rsidRDefault="00117EDB" w:rsidP="00030C17">
      <w:pPr>
        <w:keepNext/>
        <w:keepLines/>
        <w:rPr>
          <w:u w:val="single"/>
          <w:lang w:val="fr-FR"/>
        </w:rPr>
      </w:pPr>
      <w:r w:rsidRPr="009000EB">
        <w:rPr>
          <w:u w:val="single"/>
          <w:lang w:val="fr-FR"/>
        </w:rPr>
        <w:t>UPOV/EXN/CAN</w:t>
      </w:r>
      <w:r w:rsidR="009C056B" w:rsidRPr="009000EB">
        <w:rPr>
          <w:u w:val="single"/>
          <w:lang w:val="fr-FR"/>
        </w:rPr>
        <w:t> :</w:t>
      </w:r>
      <w:r w:rsidRPr="009000EB">
        <w:rPr>
          <w:u w:val="single"/>
          <w:lang w:val="fr-FR"/>
        </w:rPr>
        <w:t xml:space="preserve"> </w:t>
      </w:r>
      <w:r w:rsidR="00187759" w:rsidRPr="009000EB">
        <w:rPr>
          <w:u w:val="single"/>
          <w:lang w:val="fr-FR"/>
        </w:rPr>
        <w:t>Notes explicatives sur la déchéance de l</w:t>
      </w:r>
      <w:r w:rsidR="006A61F0" w:rsidRPr="009000EB">
        <w:rPr>
          <w:u w:val="single"/>
          <w:lang w:val="fr-FR"/>
        </w:rPr>
        <w:t>’</w:t>
      </w:r>
      <w:r w:rsidR="00187759" w:rsidRPr="009000EB">
        <w:rPr>
          <w:u w:val="single"/>
          <w:lang w:val="fr-FR"/>
        </w:rPr>
        <w:t xml:space="preserve">obtenteur selon la </w:t>
      </w:r>
      <w:r w:rsidR="006A61F0" w:rsidRPr="009000EB">
        <w:rPr>
          <w:u w:val="single"/>
          <w:lang w:val="fr-FR"/>
        </w:rPr>
        <w:t>Convention UPOV</w:t>
      </w:r>
      <w:r w:rsidR="00187759" w:rsidRPr="009000EB">
        <w:rPr>
          <w:u w:val="single"/>
          <w:lang w:val="fr-FR"/>
        </w:rPr>
        <w:t xml:space="preserve"> (révision)</w:t>
      </w:r>
      <w:r w:rsidR="00AB3BB1">
        <w:rPr>
          <w:u w:val="single"/>
          <w:lang w:val="fr-FR"/>
        </w:rPr>
        <w:t xml:space="preserve"> (document UPOV/EXN/CAN/2 </w:t>
      </w:r>
      <w:proofErr w:type="spellStart"/>
      <w:r w:rsidR="00AB3BB1">
        <w:rPr>
          <w:u w:val="single"/>
          <w:lang w:val="fr-FR"/>
        </w:rPr>
        <w:t>Draft</w:t>
      </w:r>
      <w:proofErr w:type="spellEnd"/>
      <w:r w:rsidR="00AB3BB1">
        <w:rPr>
          <w:u w:val="single"/>
          <w:lang w:val="fr-FR"/>
        </w:rPr>
        <w:t> </w:t>
      </w:r>
      <w:r w:rsidR="00340713" w:rsidRPr="009000EB">
        <w:rPr>
          <w:u w:val="single"/>
          <w:lang w:val="fr-FR"/>
        </w:rPr>
        <w:t>4</w:t>
      </w:r>
      <w:r w:rsidRPr="009000EB">
        <w:rPr>
          <w:u w:val="single"/>
          <w:lang w:val="fr-FR"/>
        </w:rPr>
        <w:t>)</w:t>
      </w:r>
    </w:p>
    <w:p w:rsidR="00117EDB" w:rsidRPr="009000EB" w:rsidRDefault="00117EDB" w:rsidP="00030C17">
      <w:pPr>
        <w:keepNext/>
        <w:keepLines/>
        <w:rPr>
          <w:lang w:val="fr-FR"/>
        </w:rPr>
      </w:pPr>
    </w:p>
    <w:p w:rsidR="00675D10" w:rsidRPr="009000EB" w:rsidRDefault="00675D10" w:rsidP="00030C17">
      <w:pPr>
        <w:keepNext/>
        <w:keepLines/>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1A6F64" w:rsidRPr="009000EB">
        <w:rPr>
          <w:lang w:val="fr-FR"/>
        </w:rPr>
        <w:t xml:space="preserve">Le </w:t>
      </w:r>
      <w:r w:rsidRPr="009000EB">
        <w:rPr>
          <w:lang w:val="fr-FR"/>
        </w:rPr>
        <w:t xml:space="preserve">CAJ, </w:t>
      </w:r>
      <w:r w:rsidR="00535F54" w:rsidRPr="009000EB">
        <w:rPr>
          <w:lang w:val="fr-FR"/>
        </w:rPr>
        <w:t>à sa soixante et </w:t>
      </w:r>
      <w:r w:rsidR="007E6805" w:rsidRPr="009000EB">
        <w:rPr>
          <w:lang w:val="fr-FR"/>
        </w:rPr>
        <w:t>onzième</w:t>
      </w:r>
      <w:r w:rsidR="009C056B" w:rsidRPr="009000EB">
        <w:rPr>
          <w:lang w:val="fr-FR"/>
        </w:rPr>
        <w:t> </w:t>
      </w:r>
      <w:r w:rsidR="007E6805" w:rsidRPr="009000EB">
        <w:rPr>
          <w:lang w:val="fr-FR"/>
        </w:rPr>
        <w:t>session</w:t>
      </w:r>
      <w:r w:rsidRPr="009000EB">
        <w:rPr>
          <w:lang w:val="fr-FR"/>
        </w:rPr>
        <w:t xml:space="preserve">, </w:t>
      </w:r>
      <w:r w:rsidR="007E6805" w:rsidRPr="009000EB">
        <w:rPr>
          <w:lang w:val="fr-FR"/>
        </w:rPr>
        <w:t xml:space="preserve">a approuvé le </w:t>
      </w:r>
      <w:r w:rsidRPr="009000EB">
        <w:rPr>
          <w:lang w:val="fr-FR"/>
        </w:rPr>
        <w:t>document UPOV/EXN/CAN/2 </w:t>
      </w:r>
      <w:proofErr w:type="spellStart"/>
      <w:r w:rsidRPr="009000EB">
        <w:rPr>
          <w:lang w:val="fr-FR"/>
        </w:rPr>
        <w:t>Draft</w:t>
      </w:r>
      <w:proofErr w:type="spellEnd"/>
      <w:r w:rsidRPr="009000EB">
        <w:rPr>
          <w:lang w:val="fr-FR"/>
        </w:rPr>
        <w:t xml:space="preserve"> 3 </w:t>
      </w:r>
      <w:r w:rsidR="007E6805" w:rsidRPr="009000EB">
        <w:rPr>
          <w:lang w:val="fr-FR"/>
        </w:rPr>
        <w:t xml:space="preserve">en tant que base pour la révision du </w:t>
      </w:r>
      <w:r w:rsidR="00340713" w:rsidRPr="009000EB">
        <w:rPr>
          <w:lang w:val="fr-FR"/>
        </w:rPr>
        <w:t>document UPOV/EXN/CAN</w:t>
      </w:r>
      <w:r w:rsidR="00A25F74" w:rsidRPr="009000EB">
        <w:rPr>
          <w:lang w:val="fr-FR"/>
        </w:rPr>
        <w:t>/1 “</w:t>
      </w:r>
      <w:r w:rsidR="007E6805" w:rsidRPr="009000EB">
        <w:rPr>
          <w:lang w:val="fr-FR"/>
        </w:rPr>
        <w:t>Notes explicatives sur la déchéance de l</w:t>
      </w:r>
      <w:r w:rsidR="006A61F0" w:rsidRPr="009000EB">
        <w:rPr>
          <w:lang w:val="fr-FR"/>
        </w:rPr>
        <w:t>’</w:t>
      </w:r>
      <w:r w:rsidR="007E6805" w:rsidRPr="009000EB">
        <w:rPr>
          <w:lang w:val="fr-FR"/>
        </w:rPr>
        <w:t xml:space="preserve">obtenteur selon la </w:t>
      </w:r>
      <w:r w:rsidR="006A61F0" w:rsidRPr="009000EB">
        <w:rPr>
          <w:lang w:val="fr-FR"/>
        </w:rPr>
        <w:t>Convention UPOV</w:t>
      </w:r>
      <w:r w:rsidR="00A25F74" w:rsidRPr="009000EB">
        <w:rPr>
          <w:lang w:val="fr-FR"/>
        </w:rPr>
        <w:t xml:space="preserve">” </w:t>
      </w:r>
      <w:r w:rsidR="007E6805" w:rsidRPr="009000EB">
        <w:rPr>
          <w:lang w:val="fr-FR"/>
        </w:rPr>
        <w:t xml:space="preserve">et est convenu que le projet du document UPOV/EXN/CAN/2 devrait être soumis pour adoption </w:t>
      </w:r>
      <w:r w:rsidR="00FA102A">
        <w:rPr>
          <w:lang w:val="fr-FR"/>
        </w:rPr>
        <w:t>au</w:t>
      </w:r>
      <w:r w:rsidR="007E6805" w:rsidRPr="009000EB">
        <w:rPr>
          <w:lang w:val="fr-FR"/>
        </w:rPr>
        <w:t xml:space="preserve"> Conseil à sa quarante</w:t>
      </w:r>
      <w:r w:rsidR="00535F54" w:rsidRPr="009000EB">
        <w:rPr>
          <w:lang w:val="fr-FR"/>
        </w:rPr>
        <w:noBreakHyphen/>
      </w:r>
      <w:r w:rsidR="007E6805" w:rsidRPr="009000EB">
        <w:rPr>
          <w:lang w:val="fr-FR"/>
        </w:rPr>
        <w:t>neuvième</w:t>
      </w:r>
      <w:r w:rsidR="009C056B" w:rsidRPr="009000EB">
        <w:rPr>
          <w:lang w:val="fr-FR"/>
        </w:rPr>
        <w:t> </w:t>
      </w:r>
      <w:r w:rsidR="007E6805" w:rsidRPr="009000EB">
        <w:rPr>
          <w:lang w:val="fr-FR"/>
        </w:rPr>
        <w:t xml:space="preserve">session ordinaire </w:t>
      </w:r>
      <w:r w:rsidR="00471E5E" w:rsidRPr="009000EB">
        <w:rPr>
          <w:lang w:val="fr-FR"/>
        </w:rPr>
        <w:t>(</w:t>
      </w:r>
      <w:r w:rsidR="00A1206B" w:rsidRPr="009000EB">
        <w:rPr>
          <w:lang w:val="fr-FR"/>
        </w:rPr>
        <w:t>voir le paragraphe</w:t>
      </w:r>
      <w:r w:rsidR="009C056B" w:rsidRPr="009000EB">
        <w:rPr>
          <w:lang w:val="fr-FR"/>
        </w:rPr>
        <w:t> </w:t>
      </w:r>
      <w:r w:rsidR="00A1206B" w:rsidRPr="009000EB">
        <w:rPr>
          <w:lang w:val="fr-FR"/>
        </w:rPr>
        <w:t xml:space="preserve">17 </w:t>
      </w:r>
      <w:r w:rsidR="00F42340" w:rsidRPr="009000EB">
        <w:rPr>
          <w:lang w:val="fr-FR"/>
        </w:rPr>
        <w:t>d</w:t>
      </w:r>
      <w:r w:rsidR="00A1206B" w:rsidRPr="009000EB">
        <w:rPr>
          <w:lang w:val="fr-FR"/>
        </w:rPr>
        <w:t>u document CAJ/71/10 “Compte rendu des conclusions”</w:t>
      </w:r>
      <w:r w:rsidR="00471E5E" w:rsidRPr="009000EB">
        <w:rPr>
          <w:rFonts w:cs="Arial"/>
          <w:lang w:val="fr-FR"/>
        </w:rPr>
        <w:t>)</w:t>
      </w:r>
      <w:r w:rsidRPr="009000EB">
        <w:rPr>
          <w:lang w:val="fr-FR"/>
        </w:rPr>
        <w:t>.</w:t>
      </w:r>
    </w:p>
    <w:p w:rsidR="00A25F74" w:rsidRPr="009000EB" w:rsidRDefault="00A25F74" w:rsidP="00030C17">
      <w:pPr>
        <w:rPr>
          <w:lang w:val="fr-FR"/>
        </w:rPr>
      </w:pPr>
    </w:p>
    <w:p w:rsidR="00675D10" w:rsidRPr="009000EB" w:rsidRDefault="00A25F74" w:rsidP="00030C17">
      <w:pPr>
        <w:pStyle w:val="DecisionParagraphs"/>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181E95" w:rsidRPr="009000EB">
        <w:rPr>
          <w:lang w:val="fr-FR"/>
        </w:rPr>
        <w:t xml:space="preserve">Le Conseil est invité à adopter la </w:t>
      </w:r>
      <w:r w:rsidR="00FA102A">
        <w:rPr>
          <w:lang w:val="fr-FR"/>
        </w:rPr>
        <w:t>version révisée</w:t>
      </w:r>
      <w:r w:rsidR="00181E95" w:rsidRPr="009000EB">
        <w:rPr>
          <w:lang w:val="fr-FR"/>
        </w:rPr>
        <w:t xml:space="preserve"> du </w:t>
      </w:r>
      <w:r w:rsidR="006A61F0" w:rsidRPr="009000EB">
        <w:rPr>
          <w:lang w:val="fr-FR"/>
        </w:rPr>
        <w:t>document UP</w:t>
      </w:r>
      <w:r w:rsidR="00675D10" w:rsidRPr="009000EB">
        <w:rPr>
          <w:lang w:val="fr-FR"/>
        </w:rPr>
        <w:t>OV/EXN/</w:t>
      </w:r>
      <w:r w:rsidRPr="009000EB">
        <w:rPr>
          <w:lang w:val="fr-FR"/>
        </w:rPr>
        <w:t>CAN/1</w:t>
      </w:r>
      <w:r w:rsidR="00675D10" w:rsidRPr="009000EB">
        <w:rPr>
          <w:lang w:val="fr-FR"/>
        </w:rPr>
        <w:t xml:space="preserve"> “</w:t>
      </w:r>
      <w:r w:rsidR="00181E95" w:rsidRPr="009000EB">
        <w:rPr>
          <w:lang w:val="fr-FR"/>
        </w:rPr>
        <w:t>Notes explicatives sur la déchéance de l</w:t>
      </w:r>
      <w:r w:rsidR="006A61F0" w:rsidRPr="009000EB">
        <w:rPr>
          <w:lang w:val="fr-FR"/>
        </w:rPr>
        <w:t>’</w:t>
      </w:r>
      <w:r w:rsidR="00181E95" w:rsidRPr="009000EB">
        <w:rPr>
          <w:lang w:val="fr-FR"/>
        </w:rPr>
        <w:t xml:space="preserve">obtenteur selon la </w:t>
      </w:r>
      <w:r w:rsidR="006A61F0" w:rsidRPr="009000EB">
        <w:rPr>
          <w:lang w:val="fr-FR"/>
        </w:rPr>
        <w:t>Convention UPOV</w:t>
      </w:r>
      <w:r w:rsidR="00675D10" w:rsidRPr="009000EB">
        <w:rPr>
          <w:lang w:val="fr-FR"/>
        </w:rPr>
        <w:t>”</w:t>
      </w:r>
      <w:r w:rsidRPr="009000EB">
        <w:rPr>
          <w:lang w:val="fr-FR"/>
        </w:rPr>
        <w:t xml:space="preserve"> (document UPOV/EXN/CAN/2)</w:t>
      </w:r>
      <w:r w:rsidR="00675D10" w:rsidRPr="009000EB">
        <w:rPr>
          <w:lang w:val="fr-FR"/>
        </w:rPr>
        <w:t xml:space="preserve">, </w:t>
      </w:r>
      <w:r w:rsidR="00181E95" w:rsidRPr="009000EB">
        <w:rPr>
          <w:lang w:val="fr-FR"/>
        </w:rPr>
        <w:t xml:space="preserve">sur la base du </w:t>
      </w:r>
      <w:r w:rsidR="00675D10" w:rsidRPr="009000EB">
        <w:rPr>
          <w:lang w:val="fr-FR"/>
        </w:rPr>
        <w:t xml:space="preserve">document </w:t>
      </w:r>
      <w:r w:rsidR="00535F54" w:rsidRPr="009000EB">
        <w:rPr>
          <w:lang w:val="fr-FR"/>
        </w:rPr>
        <w:t>UPOV/EXN/CAN/2 </w:t>
      </w:r>
      <w:proofErr w:type="spellStart"/>
      <w:r w:rsidR="00535F54" w:rsidRPr="009000EB">
        <w:rPr>
          <w:lang w:val="fr-FR"/>
        </w:rPr>
        <w:t>Draft</w:t>
      </w:r>
      <w:proofErr w:type="spellEnd"/>
      <w:r w:rsidR="00535F54" w:rsidRPr="009000EB">
        <w:rPr>
          <w:lang w:val="fr-FR"/>
        </w:rPr>
        <w:t> </w:t>
      </w:r>
      <w:r w:rsidRPr="009000EB">
        <w:rPr>
          <w:lang w:val="fr-FR"/>
        </w:rPr>
        <w:t>4</w:t>
      </w:r>
      <w:r w:rsidR="00675D10" w:rsidRPr="009000EB">
        <w:rPr>
          <w:lang w:val="fr-FR"/>
        </w:rPr>
        <w:t>.</w:t>
      </w:r>
    </w:p>
    <w:p w:rsidR="00117EDB" w:rsidRPr="009000EB" w:rsidRDefault="00117EDB" w:rsidP="00030C17">
      <w:pPr>
        <w:rPr>
          <w:lang w:val="fr-FR"/>
        </w:rPr>
      </w:pPr>
    </w:p>
    <w:p w:rsidR="001D7941" w:rsidRPr="009000EB" w:rsidRDefault="001D7941" w:rsidP="00030C17">
      <w:pPr>
        <w:rPr>
          <w:lang w:val="fr-FR"/>
        </w:rPr>
      </w:pPr>
    </w:p>
    <w:p w:rsidR="00117EDB" w:rsidRPr="009000EB" w:rsidRDefault="00117EDB" w:rsidP="00030C17">
      <w:pPr>
        <w:keepNext/>
        <w:rPr>
          <w:u w:val="single"/>
          <w:lang w:val="fr-FR"/>
        </w:rPr>
      </w:pPr>
      <w:r w:rsidRPr="009000EB">
        <w:rPr>
          <w:u w:val="single"/>
          <w:lang w:val="fr-FR"/>
        </w:rPr>
        <w:t>UPOV/EXN/NUL</w:t>
      </w:r>
      <w:r w:rsidR="009C056B" w:rsidRPr="009000EB">
        <w:rPr>
          <w:u w:val="single"/>
          <w:lang w:val="fr-FR"/>
        </w:rPr>
        <w:t> :</w:t>
      </w:r>
      <w:r w:rsidRPr="009000EB">
        <w:rPr>
          <w:u w:val="single"/>
          <w:lang w:val="fr-FR"/>
        </w:rPr>
        <w:t xml:space="preserve"> </w:t>
      </w:r>
      <w:r w:rsidR="00295D78" w:rsidRPr="009000EB">
        <w:rPr>
          <w:u w:val="single"/>
          <w:lang w:val="fr-FR"/>
        </w:rPr>
        <w:t>Notes explicatives sur la nullité du droit d</w:t>
      </w:r>
      <w:r w:rsidR="006A61F0" w:rsidRPr="009000EB">
        <w:rPr>
          <w:u w:val="single"/>
          <w:lang w:val="fr-FR"/>
        </w:rPr>
        <w:t>’</w:t>
      </w:r>
      <w:r w:rsidR="00295D78" w:rsidRPr="009000EB">
        <w:rPr>
          <w:u w:val="single"/>
          <w:lang w:val="fr-FR"/>
        </w:rPr>
        <w:t xml:space="preserve">obtenteur conformément à la </w:t>
      </w:r>
      <w:r w:rsidR="006A61F0" w:rsidRPr="009000EB">
        <w:rPr>
          <w:u w:val="single"/>
          <w:lang w:val="fr-FR"/>
        </w:rPr>
        <w:t>Convention UPOV</w:t>
      </w:r>
      <w:r w:rsidR="00295D78" w:rsidRPr="009000EB">
        <w:rPr>
          <w:u w:val="single"/>
          <w:lang w:val="fr-FR"/>
        </w:rPr>
        <w:t xml:space="preserve"> (révision)</w:t>
      </w:r>
      <w:r w:rsidR="00535F54" w:rsidRPr="009000EB">
        <w:rPr>
          <w:u w:val="single"/>
          <w:lang w:val="fr-FR"/>
        </w:rPr>
        <w:t xml:space="preserve"> (document UPOV/EXN/NUL/2 </w:t>
      </w:r>
      <w:proofErr w:type="spellStart"/>
      <w:r w:rsidR="00535F54" w:rsidRPr="009000EB">
        <w:rPr>
          <w:u w:val="single"/>
          <w:lang w:val="fr-FR"/>
        </w:rPr>
        <w:t>Draft</w:t>
      </w:r>
      <w:proofErr w:type="spellEnd"/>
      <w:r w:rsidR="00535F54" w:rsidRPr="009000EB">
        <w:rPr>
          <w:u w:val="single"/>
          <w:lang w:val="fr-FR"/>
        </w:rPr>
        <w:t> </w:t>
      </w:r>
      <w:r w:rsidR="0068205C" w:rsidRPr="009000EB">
        <w:rPr>
          <w:u w:val="single"/>
          <w:lang w:val="fr-FR"/>
        </w:rPr>
        <w:t>4</w:t>
      </w:r>
      <w:r w:rsidRPr="009000EB">
        <w:rPr>
          <w:u w:val="single"/>
          <w:lang w:val="fr-FR"/>
        </w:rPr>
        <w:t>)</w:t>
      </w:r>
    </w:p>
    <w:p w:rsidR="00117EDB" w:rsidRPr="009000EB" w:rsidRDefault="00117EDB" w:rsidP="00030C17">
      <w:pPr>
        <w:keepNext/>
        <w:rPr>
          <w:lang w:val="fr-FR"/>
        </w:rPr>
      </w:pPr>
    </w:p>
    <w:p w:rsidR="0068205C" w:rsidRPr="009000EB" w:rsidRDefault="0068205C"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C5392E" w:rsidRPr="009000EB">
        <w:rPr>
          <w:lang w:val="fr-FR"/>
        </w:rPr>
        <w:t>Le CAJ, à sa soixante</w:t>
      </w:r>
      <w:r w:rsidR="00535F54" w:rsidRPr="009000EB">
        <w:rPr>
          <w:lang w:val="fr-FR"/>
        </w:rPr>
        <w:t> </w:t>
      </w:r>
      <w:r w:rsidR="00C5392E" w:rsidRPr="009000EB">
        <w:rPr>
          <w:lang w:val="fr-FR"/>
        </w:rPr>
        <w:t>et</w:t>
      </w:r>
      <w:r w:rsidR="00535F54" w:rsidRPr="009000EB">
        <w:rPr>
          <w:lang w:val="fr-FR"/>
        </w:rPr>
        <w:t> </w:t>
      </w:r>
      <w:r w:rsidR="00C5392E" w:rsidRPr="009000EB">
        <w:rPr>
          <w:lang w:val="fr-FR"/>
        </w:rPr>
        <w:t>onzième</w:t>
      </w:r>
      <w:r w:rsidR="009C056B" w:rsidRPr="009000EB">
        <w:rPr>
          <w:lang w:val="fr-FR"/>
        </w:rPr>
        <w:t> </w:t>
      </w:r>
      <w:r w:rsidR="00C5392E" w:rsidRPr="009000EB">
        <w:rPr>
          <w:lang w:val="fr-FR"/>
        </w:rPr>
        <w:t xml:space="preserve">session, a approuvé le document </w:t>
      </w:r>
      <w:r w:rsidRPr="009000EB">
        <w:rPr>
          <w:lang w:val="fr-FR"/>
        </w:rPr>
        <w:t>UPOV/EXN/NUL/2 </w:t>
      </w:r>
      <w:proofErr w:type="spellStart"/>
      <w:r w:rsidRPr="009000EB">
        <w:rPr>
          <w:lang w:val="fr-FR"/>
        </w:rPr>
        <w:t>Draft</w:t>
      </w:r>
      <w:proofErr w:type="spellEnd"/>
      <w:r w:rsidRPr="009000EB">
        <w:rPr>
          <w:lang w:val="fr-FR"/>
        </w:rPr>
        <w:t xml:space="preserve"> 3 </w:t>
      </w:r>
      <w:r w:rsidR="00C5392E" w:rsidRPr="009000EB">
        <w:rPr>
          <w:lang w:val="fr-FR"/>
        </w:rPr>
        <w:t>en tant que base pour la révision du document</w:t>
      </w:r>
      <w:r w:rsidRPr="009000EB">
        <w:rPr>
          <w:lang w:val="fr-FR"/>
        </w:rPr>
        <w:t xml:space="preserve"> UPOV/EXN/NUL/1 “</w:t>
      </w:r>
      <w:r w:rsidR="00C5392E" w:rsidRPr="009000EB">
        <w:rPr>
          <w:lang w:val="fr-FR"/>
        </w:rPr>
        <w:t>Notes explicatives sur la nullité du droit d</w:t>
      </w:r>
      <w:r w:rsidR="006A61F0" w:rsidRPr="009000EB">
        <w:rPr>
          <w:lang w:val="fr-FR"/>
        </w:rPr>
        <w:t>’</w:t>
      </w:r>
      <w:r w:rsidR="00C5392E" w:rsidRPr="009000EB">
        <w:rPr>
          <w:lang w:val="fr-FR"/>
        </w:rPr>
        <w:t xml:space="preserve">obtenteur conformément à la </w:t>
      </w:r>
      <w:r w:rsidR="006A61F0" w:rsidRPr="009000EB">
        <w:rPr>
          <w:lang w:val="fr-FR"/>
        </w:rPr>
        <w:t>Convention UPOV</w:t>
      </w:r>
      <w:r w:rsidRPr="009000EB">
        <w:rPr>
          <w:lang w:val="fr-FR"/>
        </w:rPr>
        <w:t xml:space="preserve">” </w:t>
      </w:r>
      <w:r w:rsidR="00C5392E" w:rsidRPr="009000EB">
        <w:rPr>
          <w:lang w:val="fr-FR"/>
        </w:rPr>
        <w:t xml:space="preserve">et est convenu </w:t>
      </w:r>
      <w:r w:rsidR="00411490">
        <w:rPr>
          <w:lang w:val="fr-FR"/>
        </w:rPr>
        <w:t>que le projet</w:t>
      </w:r>
      <w:r w:rsidR="00C5392E" w:rsidRPr="009000EB">
        <w:rPr>
          <w:lang w:val="fr-FR"/>
        </w:rPr>
        <w:t xml:space="preserve"> du document </w:t>
      </w:r>
      <w:r w:rsidRPr="009000EB">
        <w:rPr>
          <w:lang w:val="fr-FR"/>
        </w:rPr>
        <w:t xml:space="preserve">UPOV/EXN/NUL/2 </w:t>
      </w:r>
      <w:r w:rsidR="00C5392E" w:rsidRPr="009000EB">
        <w:rPr>
          <w:lang w:val="fr-FR"/>
        </w:rPr>
        <w:t>devrait être soumis pour adoption par le Conseil à sa quarante</w:t>
      </w:r>
      <w:r w:rsidR="00535F54" w:rsidRPr="009000EB">
        <w:rPr>
          <w:lang w:val="fr-FR"/>
        </w:rPr>
        <w:noBreakHyphen/>
      </w:r>
      <w:r w:rsidR="00C5392E" w:rsidRPr="009000EB">
        <w:rPr>
          <w:lang w:val="fr-FR"/>
        </w:rPr>
        <w:t>neuvième</w:t>
      </w:r>
      <w:r w:rsidR="009C056B" w:rsidRPr="009000EB">
        <w:rPr>
          <w:lang w:val="fr-FR"/>
        </w:rPr>
        <w:t> </w:t>
      </w:r>
      <w:r w:rsidR="00C5392E" w:rsidRPr="009000EB">
        <w:rPr>
          <w:lang w:val="fr-FR"/>
        </w:rPr>
        <w:t xml:space="preserve">session ordinaire </w:t>
      </w:r>
      <w:r w:rsidR="00471E5E" w:rsidRPr="009000EB">
        <w:rPr>
          <w:lang w:val="fr-FR"/>
        </w:rPr>
        <w:t>(</w:t>
      </w:r>
      <w:r w:rsidR="00C5392E" w:rsidRPr="009000EB">
        <w:rPr>
          <w:lang w:val="fr-FR"/>
        </w:rPr>
        <w:t>voir le paragraphe</w:t>
      </w:r>
      <w:r w:rsidR="009C056B" w:rsidRPr="009000EB">
        <w:rPr>
          <w:lang w:val="fr-FR"/>
        </w:rPr>
        <w:t> </w:t>
      </w:r>
      <w:r w:rsidR="00C5392E" w:rsidRPr="009000EB">
        <w:rPr>
          <w:lang w:val="fr-FR"/>
        </w:rPr>
        <w:t>19 du document CAJ/71/10 “Compte rendu des conclusions”</w:t>
      </w:r>
      <w:r w:rsidR="00471E5E" w:rsidRPr="009000EB">
        <w:rPr>
          <w:rFonts w:cs="Arial"/>
          <w:lang w:val="fr-FR"/>
        </w:rPr>
        <w:t>)</w:t>
      </w:r>
      <w:r w:rsidRPr="009000EB">
        <w:rPr>
          <w:lang w:val="fr-FR"/>
        </w:rPr>
        <w:t>.</w:t>
      </w:r>
    </w:p>
    <w:p w:rsidR="0068205C" w:rsidRPr="009000EB" w:rsidRDefault="0068205C" w:rsidP="00030C17">
      <w:pPr>
        <w:rPr>
          <w:lang w:val="fr-FR"/>
        </w:rPr>
      </w:pPr>
    </w:p>
    <w:p w:rsidR="0068205C" w:rsidRPr="009000EB" w:rsidRDefault="0068205C" w:rsidP="00030C17">
      <w:pPr>
        <w:pStyle w:val="DecisionParagraphs"/>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D1039D" w:rsidRPr="00411490">
        <w:rPr>
          <w:spacing w:val="-2"/>
          <w:lang w:val="fr-FR"/>
        </w:rPr>
        <w:t xml:space="preserve">Le Conseil est invité à adopter la </w:t>
      </w:r>
      <w:r w:rsidR="00FA102A" w:rsidRPr="00411490">
        <w:rPr>
          <w:spacing w:val="-2"/>
          <w:lang w:val="fr-FR"/>
        </w:rPr>
        <w:t>version révisée</w:t>
      </w:r>
      <w:r w:rsidR="00D1039D" w:rsidRPr="00411490">
        <w:rPr>
          <w:spacing w:val="-2"/>
          <w:lang w:val="fr-FR"/>
        </w:rPr>
        <w:t xml:space="preserve"> du document </w:t>
      </w:r>
      <w:r w:rsidRPr="00411490">
        <w:rPr>
          <w:spacing w:val="-2"/>
          <w:lang w:val="fr-FR"/>
        </w:rPr>
        <w:t>UPOV/EXN/NUL/1 “</w:t>
      </w:r>
      <w:r w:rsidR="00411490" w:rsidRPr="00411490">
        <w:rPr>
          <w:spacing w:val="-2"/>
          <w:lang w:val="fr-FR"/>
        </w:rPr>
        <w:t xml:space="preserve">Notes </w:t>
      </w:r>
      <w:r w:rsidR="00D1039D" w:rsidRPr="00411490">
        <w:rPr>
          <w:spacing w:val="-2"/>
          <w:lang w:val="fr-FR"/>
        </w:rPr>
        <w:t>explicatives sur la nullité du droit d</w:t>
      </w:r>
      <w:r w:rsidR="006A61F0" w:rsidRPr="00411490">
        <w:rPr>
          <w:spacing w:val="-2"/>
          <w:lang w:val="fr-FR"/>
        </w:rPr>
        <w:t>’</w:t>
      </w:r>
      <w:r w:rsidR="00D1039D" w:rsidRPr="00411490">
        <w:rPr>
          <w:spacing w:val="-2"/>
          <w:lang w:val="fr-FR"/>
        </w:rPr>
        <w:t xml:space="preserve">obtenteur conformément à </w:t>
      </w:r>
      <w:r w:rsidR="00411490">
        <w:rPr>
          <w:spacing w:val="-2"/>
          <w:lang w:val="fr-FR"/>
        </w:rPr>
        <w:br/>
      </w:r>
      <w:r w:rsidR="00D1039D" w:rsidRPr="00411490">
        <w:rPr>
          <w:spacing w:val="-2"/>
          <w:lang w:val="fr-FR"/>
        </w:rPr>
        <w:t xml:space="preserve">la </w:t>
      </w:r>
      <w:r w:rsidR="006A61F0" w:rsidRPr="00411490">
        <w:rPr>
          <w:spacing w:val="-2"/>
          <w:lang w:val="fr-FR"/>
        </w:rPr>
        <w:t>Convention UPOV</w:t>
      </w:r>
      <w:r w:rsidR="00411490" w:rsidRPr="00411490">
        <w:rPr>
          <w:spacing w:val="-2"/>
          <w:lang w:val="fr-FR"/>
        </w:rPr>
        <w:t xml:space="preserve">” </w:t>
      </w:r>
      <w:r w:rsidR="00411490">
        <w:rPr>
          <w:lang w:val="fr-FR"/>
        </w:rPr>
        <w:t>(document </w:t>
      </w:r>
      <w:r w:rsidRPr="009000EB">
        <w:rPr>
          <w:lang w:val="fr-FR"/>
        </w:rPr>
        <w:t xml:space="preserve">UPOV/EXN/NUL/2), </w:t>
      </w:r>
      <w:r w:rsidR="00D1039D" w:rsidRPr="009000EB">
        <w:rPr>
          <w:lang w:val="fr-FR"/>
        </w:rPr>
        <w:t>sur la base du document</w:t>
      </w:r>
      <w:r w:rsidR="00AB3BB1">
        <w:rPr>
          <w:lang w:val="fr-FR"/>
        </w:rPr>
        <w:t xml:space="preserve"> UPOV/EXN/NUL/2 </w:t>
      </w:r>
      <w:proofErr w:type="spellStart"/>
      <w:r w:rsidR="00AB3BB1">
        <w:rPr>
          <w:lang w:val="fr-FR"/>
        </w:rPr>
        <w:t>Draft</w:t>
      </w:r>
      <w:proofErr w:type="spellEnd"/>
      <w:r w:rsidR="00AB3BB1">
        <w:rPr>
          <w:lang w:val="fr-FR"/>
        </w:rPr>
        <w:t> </w:t>
      </w:r>
      <w:r w:rsidRPr="009000EB">
        <w:rPr>
          <w:lang w:val="fr-FR"/>
        </w:rPr>
        <w:t>4.</w:t>
      </w:r>
    </w:p>
    <w:p w:rsidR="00117EDB" w:rsidRPr="009000EB" w:rsidRDefault="00117EDB" w:rsidP="00030C17">
      <w:pPr>
        <w:rPr>
          <w:lang w:val="fr-FR"/>
        </w:rPr>
      </w:pPr>
    </w:p>
    <w:p w:rsidR="00117EDB" w:rsidRPr="009000EB" w:rsidRDefault="00117EDB" w:rsidP="00030C17">
      <w:pPr>
        <w:rPr>
          <w:lang w:val="fr-FR"/>
        </w:rPr>
      </w:pPr>
    </w:p>
    <w:p w:rsidR="00117EDB" w:rsidRPr="009000EB" w:rsidRDefault="00117EDB" w:rsidP="00030C17">
      <w:pPr>
        <w:rPr>
          <w:u w:val="single"/>
          <w:lang w:val="fr-FR"/>
        </w:rPr>
      </w:pPr>
      <w:r w:rsidRPr="009000EB">
        <w:rPr>
          <w:u w:val="single"/>
          <w:lang w:val="fr-FR"/>
        </w:rPr>
        <w:t>UPOV/EXN/PRP</w:t>
      </w:r>
      <w:r w:rsidR="009C056B" w:rsidRPr="009000EB">
        <w:rPr>
          <w:u w:val="single"/>
          <w:lang w:val="fr-FR"/>
        </w:rPr>
        <w:t> :</w:t>
      </w:r>
      <w:r w:rsidRPr="009000EB">
        <w:rPr>
          <w:u w:val="single"/>
          <w:lang w:val="fr-FR"/>
        </w:rPr>
        <w:t xml:space="preserve"> </w:t>
      </w:r>
      <w:r w:rsidR="00F81D02" w:rsidRPr="009000EB">
        <w:rPr>
          <w:u w:val="single"/>
          <w:lang w:val="fr-FR"/>
        </w:rPr>
        <w:t xml:space="preserve">Notes explicatives sur la protection provisoire selon la </w:t>
      </w:r>
      <w:r w:rsidR="006A61F0" w:rsidRPr="009000EB">
        <w:rPr>
          <w:u w:val="single"/>
          <w:lang w:val="fr-FR"/>
        </w:rPr>
        <w:t>Convention UPOV</w:t>
      </w:r>
      <w:r w:rsidR="00F81D02" w:rsidRPr="009000EB">
        <w:rPr>
          <w:u w:val="single"/>
          <w:lang w:val="fr-FR"/>
        </w:rPr>
        <w:t xml:space="preserve"> (révision)</w:t>
      </w:r>
      <w:r w:rsidR="00535F54" w:rsidRPr="009000EB">
        <w:rPr>
          <w:u w:val="single"/>
          <w:lang w:val="fr-FR"/>
        </w:rPr>
        <w:t xml:space="preserve"> (document UPOV/EXN/PRP/2 </w:t>
      </w:r>
      <w:proofErr w:type="spellStart"/>
      <w:r w:rsidR="00535F54" w:rsidRPr="009000EB">
        <w:rPr>
          <w:u w:val="single"/>
          <w:lang w:val="fr-FR"/>
        </w:rPr>
        <w:t>Draft</w:t>
      </w:r>
      <w:proofErr w:type="spellEnd"/>
      <w:r w:rsidR="00535F54" w:rsidRPr="009000EB">
        <w:rPr>
          <w:u w:val="single"/>
          <w:lang w:val="fr-FR"/>
        </w:rPr>
        <w:t> </w:t>
      </w:r>
      <w:r w:rsidR="000C672D" w:rsidRPr="009000EB">
        <w:rPr>
          <w:u w:val="single"/>
          <w:lang w:val="fr-FR"/>
        </w:rPr>
        <w:t>4</w:t>
      </w:r>
      <w:r w:rsidRPr="009000EB">
        <w:rPr>
          <w:u w:val="single"/>
          <w:lang w:val="fr-FR"/>
        </w:rPr>
        <w:t>)</w:t>
      </w:r>
    </w:p>
    <w:p w:rsidR="00117EDB" w:rsidRPr="009000EB" w:rsidRDefault="00117EDB" w:rsidP="00030C17">
      <w:pPr>
        <w:rPr>
          <w:lang w:val="fr-FR"/>
        </w:rPr>
      </w:pPr>
    </w:p>
    <w:p w:rsidR="00403C95" w:rsidRPr="009000EB" w:rsidRDefault="00403C95"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D75C3F" w:rsidRPr="009000EB">
        <w:rPr>
          <w:lang w:val="fr-FR"/>
        </w:rPr>
        <w:t>Le CAJ, à sa soixante et onzième</w:t>
      </w:r>
      <w:r w:rsidR="009C056B" w:rsidRPr="009000EB">
        <w:rPr>
          <w:lang w:val="fr-FR"/>
        </w:rPr>
        <w:t> </w:t>
      </w:r>
      <w:r w:rsidR="00D75C3F" w:rsidRPr="009000EB">
        <w:rPr>
          <w:lang w:val="fr-FR"/>
        </w:rPr>
        <w:t xml:space="preserve">session, a approuvé le document </w:t>
      </w:r>
      <w:r w:rsidRPr="009000EB">
        <w:rPr>
          <w:lang w:val="fr-FR"/>
        </w:rPr>
        <w:t>UPOV/EXN/PRP/2 </w:t>
      </w:r>
      <w:proofErr w:type="spellStart"/>
      <w:r w:rsidRPr="009000EB">
        <w:rPr>
          <w:lang w:val="fr-FR"/>
        </w:rPr>
        <w:t>Draft</w:t>
      </w:r>
      <w:proofErr w:type="spellEnd"/>
      <w:r w:rsidRPr="009000EB">
        <w:rPr>
          <w:lang w:val="fr-FR"/>
        </w:rPr>
        <w:t xml:space="preserve"> 3 </w:t>
      </w:r>
      <w:r w:rsidR="00D75C3F" w:rsidRPr="009000EB">
        <w:rPr>
          <w:lang w:val="fr-FR"/>
        </w:rPr>
        <w:t>en tant que base pour la révision du document</w:t>
      </w:r>
      <w:r w:rsidRPr="009000EB">
        <w:rPr>
          <w:lang w:val="fr-FR"/>
        </w:rPr>
        <w:t xml:space="preserve"> UPOV/EXN/PRP/1 “</w:t>
      </w:r>
      <w:r w:rsidR="00D75C3F" w:rsidRPr="009000EB">
        <w:rPr>
          <w:lang w:val="fr-FR"/>
        </w:rPr>
        <w:t xml:space="preserve">Notes explicatives sur la protection provisoire selon la </w:t>
      </w:r>
      <w:r w:rsidR="006A61F0" w:rsidRPr="009000EB">
        <w:rPr>
          <w:lang w:val="fr-FR"/>
        </w:rPr>
        <w:t>Convention UPOV</w:t>
      </w:r>
      <w:r w:rsidRPr="009000EB">
        <w:rPr>
          <w:lang w:val="fr-FR"/>
        </w:rPr>
        <w:t xml:space="preserve">”, </w:t>
      </w:r>
      <w:r w:rsidR="00D75C3F" w:rsidRPr="009000EB">
        <w:rPr>
          <w:lang w:val="fr-FR"/>
        </w:rPr>
        <w:t xml:space="preserve">et est convenu </w:t>
      </w:r>
      <w:r w:rsidR="00411490">
        <w:rPr>
          <w:lang w:val="fr-FR"/>
        </w:rPr>
        <w:t>que le projet</w:t>
      </w:r>
      <w:r w:rsidR="00D75C3F" w:rsidRPr="009000EB">
        <w:rPr>
          <w:lang w:val="fr-FR"/>
        </w:rPr>
        <w:t xml:space="preserve"> du document </w:t>
      </w:r>
      <w:r w:rsidRPr="009000EB">
        <w:rPr>
          <w:lang w:val="fr-FR"/>
        </w:rPr>
        <w:t xml:space="preserve">UPOV/EXN/PRP/2 </w:t>
      </w:r>
      <w:r w:rsidR="00D75C3F" w:rsidRPr="009000EB">
        <w:rPr>
          <w:lang w:val="fr-FR"/>
        </w:rPr>
        <w:t xml:space="preserve">devrait être soumis pour adoption </w:t>
      </w:r>
      <w:r w:rsidR="00FA102A">
        <w:rPr>
          <w:lang w:val="fr-FR"/>
        </w:rPr>
        <w:t>au</w:t>
      </w:r>
      <w:r w:rsidR="00D75C3F" w:rsidRPr="009000EB">
        <w:rPr>
          <w:lang w:val="fr-FR"/>
        </w:rPr>
        <w:t xml:space="preserve"> Conseil à sa quarante</w:t>
      </w:r>
      <w:r w:rsidR="00535F54" w:rsidRPr="009000EB">
        <w:rPr>
          <w:lang w:val="fr-FR"/>
        </w:rPr>
        <w:noBreakHyphen/>
      </w:r>
      <w:r w:rsidR="00D75C3F" w:rsidRPr="009000EB">
        <w:rPr>
          <w:lang w:val="fr-FR"/>
        </w:rPr>
        <w:t>neuvième</w:t>
      </w:r>
      <w:r w:rsidR="009C056B" w:rsidRPr="009000EB">
        <w:rPr>
          <w:lang w:val="fr-FR"/>
        </w:rPr>
        <w:t> </w:t>
      </w:r>
      <w:r w:rsidR="00D75C3F" w:rsidRPr="009000EB">
        <w:rPr>
          <w:lang w:val="fr-FR"/>
        </w:rPr>
        <w:t>session ordinaire (voir le paragraphe</w:t>
      </w:r>
      <w:r w:rsidR="009C056B" w:rsidRPr="009000EB">
        <w:rPr>
          <w:lang w:val="fr-FR"/>
        </w:rPr>
        <w:t> </w:t>
      </w:r>
      <w:r w:rsidR="00D75C3F" w:rsidRPr="009000EB">
        <w:rPr>
          <w:lang w:val="fr-FR"/>
        </w:rPr>
        <w:t>20 du document CAJ/71/10 “Compte rendu des conclusions”</w:t>
      </w:r>
      <w:r w:rsidRPr="009000EB">
        <w:rPr>
          <w:rFonts w:cs="Arial"/>
          <w:lang w:val="fr-FR"/>
        </w:rPr>
        <w:t>)</w:t>
      </w:r>
      <w:r w:rsidRPr="009000EB">
        <w:rPr>
          <w:lang w:val="fr-FR"/>
        </w:rPr>
        <w:t>.</w:t>
      </w:r>
    </w:p>
    <w:p w:rsidR="00403C95" w:rsidRPr="009000EB" w:rsidRDefault="00403C95" w:rsidP="00030C17">
      <w:pPr>
        <w:rPr>
          <w:lang w:val="fr-FR"/>
        </w:rPr>
      </w:pPr>
    </w:p>
    <w:p w:rsidR="00403C95" w:rsidRPr="009000EB" w:rsidRDefault="00403C95" w:rsidP="00030C17">
      <w:pPr>
        <w:pStyle w:val="DecisionParagraphs"/>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9A33F9" w:rsidRPr="009000EB">
        <w:rPr>
          <w:lang w:val="fr-FR"/>
        </w:rPr>
        <w:t xml:space="preserve">Le Conseil est invité à adopter la </w:t>
      </w:r>
      <w:r w:rsidR="00FA102A">
        <w:rPr>
          <w:lang w:val="fr-FR"/>
        </w:rPr>
        <w:t>version révisée</w:t>
      </w:r>
      <w:r w:rsidR="009A33F9" w:rsidRPr="009000EB">
        <w:rPr>
          <w:lang w:val="fr-FR"/>
        </w:rPr>
        <w:t xml:space="preserve"> du document </w:t>
      </w:r>
      <w:r w:rsidRPr="009000EB">
        <w:rPr>
          <w:lang w:val="fr-FR"/>
        </w:rPr>
        <w:t>UPOV/EXN/PRP/1 “</w:t>
      </w:r>
      <w:r w:rsidR="00D75C3F" w:rsidRPr="009000EB">
        <w:rPr>
          <w:lang w:val="fr-FR"/>
        </w:rPr>
        <w:t xml:space="preserve">Notes explicatives sur la protection provisoire selon la </w:t>
      </w:r>
      <w:r w:rsidR="006A61F0" w:rsidRPr="009000EB">
        <w:rPr>
          <w:lang w:val="fr-FR"/>
        </w:rPr>
        <w:t>Convention UPOV</w:t>
      </w:r>
      <w:r w:rsidRPr="009000EB">
        <w:rPr>
          <w:lang w:val="fr-FR"/>
        </w:rPr>
        <w:t xml:space="preserve">” (document UPOV/EXN/PRP/2), </w:t>
      </w:r>
      <w:r w:rsidR="009A33F9" w:rsidRPr="009000EB">
        <w:rPr>
          <w:lang w:val="fr-FR"/>
        </w:rPr>
        <w:t xml:space="preserve">sur la base du document </w:t>
      </w:r>
      <w:r w:rsidR="00535F54" w:rsidRPr="009000EB">
        <w:rPr>
          <w:lang w:val="fr-FR"/>
        </w:rPr>
        <w:t>UPOV/EXN/PRP/2 </w:t>
      </w:r>
      <w:proofErr w:type="spellStart"/>
      <w:r w:rsidR="00535F54" w:rsidRPr="009000EB">
        <w:rPr>
          <w:lang w:val="fr-FR"/>
        </w:rPr>
        <w:t>Draft</w:t>
      </w:r>
      <w:proofErr w:type="spellEnd"/>
      <w:r w:rsidR="00535F54" w:rsidRPr="009000EB">
        <w:rPr>
          <w:lang w:val="fr-FR"/>
        </w:rPr>
        <w:t> </w:t>
      </w:r>
      <w:r w:rsidRPr="009000EB">
        <w:rPr>
          <w:lang w:val="fr-FR"/>
        </w:rPr>
        <w:t>4.</w:t>
      </w:r>
    </w:p>
    <w:p w:rsidR="00117EDB" w:rsidRPr="009000EB" w:rsidRDefault="00117EDB" w:rsidP="00030C17">
      <w:pPr>
        <w:rPr>
          <w:lang w:val="fr-FR"/>
        </w:rPr>
      </w:pPr>
    </w:p>
    <w:p w:rsidR="00ED6EFE" w:rsidRPr="009000EB" w:rsidRDefault="00ED6EFE" w:rsidP="00030C17">
      <w:pPr>
        <w:rPr>
          <w:lang w:val="fr-FR"/>
        </w:rPr>
      </w:pPr>
    </w:p>
    <w:p w:rsidR="006D2368" w:rsidRPr="009000EB" w:rsidRDefault="006D2368" w:rsidP="00030C17">
      <w:pPr>
        <w:rPr>
          <w:lang w:val="fr-FR"/>
        </w:rPr>
      </w:pPr>
    </w:p>
    <w:p w:rsidR="00ED6EFE" w:rsidRPr="009000EB" w:rsidRDefault="00972047" w:rsidP="00030C17">
      <w:pPr>
        <w:keepNext/>
        <w:tabs>
          <w:tab w:val="left" w:pos="567"/>
        </w:tabs>
        <w:ind w:left="567" w:hanging="567"/>
        <w:rPr>
          <w:lang w:val="fr-FR"/>
        </w:rPr>
      </w:pPr>
      <w:r w:rsidRPr="009000EB">
        <w:rPr>
          <w:lang w:val="fr-FR"/>
        </w:rPr>
        <w:t>DOCUMENTS D</w:t>
      </w:r>
      <w:r w:rsidR="006A61F0" w:rsidRPr="009000EB">
        <w:rPr>
          <w:lang w:val="fr-FR"/>
        </w:rPr>
        <w:t>’</w:t>
      </w:r>
      <w:r w:rsidRPr="009000EB">
        <w:rPr>
          <w:lang w:val="fr-FR"/>
        </w:rPr>
        <w:t>INFORMATION</w:t>
      </w:r>
    </w:p>
    <w:p w:rsidR="00ED6EFE" w:rsidRPr="009000EB" w:rsidRDefault="00ED6EFE" w:rsidP="00030C17">
      <w:pPr>
        <w:keepNext/>
        <w:rPr>
          <w:lang w:val="fr-FR"/>
        </w:rPr>
      </w:pPr>
    </w:p>
    <w:p w:rsidR="00F76193" w:rsidRPr="009000EB" w:rsidRDefault="00F76193" w:rsidP="00030C17">
      <w:pPr>
        <w:rPr>
          <w:u w:val="single"/>
          <w:lang w:val="fr-FR"/>
        </w:rPr>
      </w:pPr>
      <w:r w:rsidRPr="009000EB">
        <w:rPr>
          <w:u w:val="single"/>
          <w:lang w:val="fr-FR"/>
        </w:rPr>
        <w:t>UPOV/INF/6</w:t>
      </w:r>
      <w:r w:rsidR="009C056B" w:rsidRPr="009000EB">
        <w:rPr>
          <w:u w:val="single"/>
          <w:lang w:val="fr-FR"/>
        </w:rPr>
        <w:t> :</w:t>
      </w:r>
      <w:r w:rsidRPr="009000EB">
        <w:rPr>
          <w:u w:val="single"/>
          <w:lang w:val="fr-FR"/>
        </w:rPr>
        <w:t xml:space="preserve"> </w:t>
      </w:r>
      <w:r w:rsidR="00F75090" w:rsidRPr="009000EB">
        <w:rPr>
          <w:bCs/>
          <w:u w:val="single"/>
          <w:lang w:val="fr-FR"/>
        </w:rPr>
        <w:t>Orientations en vue de la rédaction de lois fondées sur l</w:t>
      </w:r>
      <w:r w:rsidR="006A61F0" w:rsidRPr="009000EB">
        <w:rPr>
          <w:bCs/>
          <w:u w:val="single"/>
          <w:lang w:val="fr-FR"/>
        </w:rPr>
        <w:t>’</w:t>
      </w:r>
      <w:r w:rsidR="00F75090" w:rsidRPr="009000EB">
        <w:rPr>
          <w:bCs/>
          <w:u w:val="single"/>
          <w:lang w:val="fr-FR"/>
        </w:rPr>
        <w:t>Acte de</w:t>
      </w:r>
      <w:r w:rsidR="009C056B" w:rsidRPr="009000EB">
        <w:rPr>
          <w:bCs/>
          <w:u w:val="single"/>
          <w:lang w:val="fr-FR"/>
        </w:rPr>
        <w:t> </w:t>
      </w:r>
      <w:r w:rsidR="00F75090" w:rsidRPr="009000EB">
        <w:rPr>
          <w:bCs/>
          <w:u w:val="single"/>
          <w:lang w:val="fr-FR"/>
        </w:rPr>
        <w:t xml:space="preserve">1991 de la </w:t>
      </w:r>
      <w:r w:rsidR="006A61F0" w:rsidRPr="009000EB">
        <w:rPr>
          <w:bCs/>
          <w:u w:val="single"/>
          <w:lang w:val="fr-FR"/>
        </w:rPr>
        <w:t>Convention UPOV</w:t>
      </w:r>
      <w:r w:rsidR="00F75090" w:rsidRPr="009000EB">
        <w:rPr>
          <w:bCs/>
          <w:u w:val="single"/>
          <w:lang w:val="fr-FR"/>
        </w:rPr>
        <w:t xml:space="preserve"> (révision) (document C/49/14, annexe</w:t>
      </w:r>
      <w:r w:rsidR="009C056B" w:rsidRPr="009000EB">
        <w:rPr>
          <w:bCs/>
          <w:u w:val="single"/>
          <w:lang w:val="fr-FR"/>
        </w:rPr>
        <w:t> </w:t>
      </w:r>
      <w:r w:rsidR="00F75090" w:rsidRPr="009000EB">
        <w:rPr>
          <w:bCs/>
          <w:u w:val="single"/>
          <w:lang w:val="fr-FR"/>
        </w:rPr>
        <w:t>IV)</w:t>
      </w:r>
    </w:p>
    <w:p w:rsidR="00F76193" w:rsidRPr="009000EB" w:rsidRDefault="00F76193" w:rsidP="00030C17">
      <w:pPr>
        <w:rPr>
          <w:lang w:val="fr-FR"/>
        </w:rPr>
      </w:pPr>
    </w:p>
    <w:p w:rsidR="00F76193" w:rsidRPr="009000EB" w:rsidRDefault="00F76193"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231230" w:rsidRPr="009000EB">
        <w:rPr>
          <w:lang w:val="fr-FR"/>
        </w:rPr>
        <w:t>Le d</w:t>
      </w:r>
      <w:r w:rsidR="006D2368" w:rsidRPr="009000EB">
        <w:rPr>
          <w:lang w:val="fr-FR"/>
        </w:rPr>
        <w:t xml:space="preserve">ocument </w:t>
      </w:r>
      <w:r w:rsidRPr="009000EB">
        <w:rPr>
          <w:lang w:val="fr-FR"/>
        </w:rPr>
        <w:t>UPOV/INF/6</w:t>
      </w:r>
      <w:r w:rsidR="006D2368" w:rsidRPr="009000EB">
        <w:rPr>
          <w:lang w:val="fr-FR"/>
        </w:rPr>
        <w:t xml:space="preserve">, </w:t>
      </w:r>
      <w:r w:rsidR="00231230" w:rsidRPr="009000EB">
        <w:rPr>
          <w:lang w:val="fr-FR"/>
        </w:rPr>
        <w:t>dans sa deuxième partie</w:t>
      </w:r>
      <w:r w:rsidR="006D2368" w:rsidRPr="009000EB">
        <w:rPr>
          <w:lang w:val="fr-FR"/>
        </w:rPr>
        <w:t xml:space="preserve"> “</w:t>
      </w:r>
      <w:r w:rsidR="00231230" w:rsidRPr="009000EB">
        <w:rPr>
          <w:lang w:val="fr-FR"/>
        </w:rPr>
        <w:t>Notes établies sur la base de documents d</w:t>
      </w:r>
      <w:r w:rsidR="006A61F0" w:rsidRPr="009000EB">
        <w:rPr>
          <w:lang w:val="fr-FR"/>
        </w:rPr>
        <w:t>’</w:t>
      </w:r>
      <w:r w:rsidR="00231230" w:rsidRPr="009000EB">
        <w:rPr>
          <w:lang w:val="fr-FR"/>
        </w:rPr>
        <w:t>information relatifs à certains articles de l</w:t>
      </w:r>
      <w:r w:rsidR="006A61F0" w:rsidRPr="009000EB">
        <w:rPr>
          <w:lang w:val="fr-FR"/>
        </w:rPr>
        <w:t>’</w:t>
      </w:r>
      <w:r w:rsidR="00231230" w:rsidRPr="009000EB">
        <w:rPr>
          <w:lang w:val="fr-FR"/>
        </w:rPr>
        <w:t>Acte de</w:t>
      </w:r>
      <w:r w:rsidR="009C056B" w:rsidRPr="009000EB">
        <w:rPr>
          <w:lang w:val="fr-FR"/>
        </w:rPr>
        <w:t> </w:t>
      </w:r>
      <w:r w:rsidR="00231230" w:rsidRPr="009000EB">
        <w:rPr>
          <w:lang w:val="fr-FR"/>
        </w:rPr>
        <w:t xml:space="preserve">1991 de la </w:t>
      </w:r>
      <w:r w:rsidR="006A61F0" w:rsidRPr="009000EB">
        <w:rPr>
          <w:lang w:val="fr-FR"/>
        </w:rPr>
        <w:t>Convention UPOV</w:t>
      </w:r>
      <w:r w:rsidR="006D2368" w:rsidRPr="009000EB">
        <w:rPr>
          <w:lang w:val="fr-FR"/>
        </w:rPr>
        <w:t>”</w:t>
      </w:r>
      <w:r w:rsidR="002C5F6E" w:rsidRPr="009000EB">
        <w:rPr>
          <w:lang w:val="fr-FR"/>
        </w:rPr>
        <w:t>,</w:t>
      </w:r>
      <w:r w:rsidRPr="009000EB">
        <w:rPr>
          <w:lang w:val="fr-FR"/>
        </w:rPr>
        <w:t xml:space="preserve"> </w:t>
      </w:r>
      <w:r w:rsidR="00231230" w:rsidRPr="009000EB">
        <w:rPr>
          <w:lang w:val="fr-FR"/>
        </w:rPr>
        <w:t xml:space="preserve">comprend des extraits tirés de </w:t>
      </w:r>
      <w:r w:rsidR="002C5F6E" w:rsidRPr="009000EB">
        <w:rPr>
          <w:lang w:val="fr-FR"/>
        </w:rPr>
        <w:t>notes explicatives</w:t>
      </w:r>
      <w:r w:rsidRPr="009000EB">
        <w:rPr>
          <w:lang w:val="fr-FR"/>
        </w:rPr>
        <w:t>.</w:t>
      </w:r>
    </w:p>
    <w:p w:rsidR="00F76193" w:rsidRPr="009000EB" w:rsidRDefault="00F76193" w:rsidP="00030C17">
      <w:pPr>
        <w:rPr>
          <w:lang w:val="fr-FR"/>
        </w:rPr>
      </w:pPr>
    </w:p>
    <w:p w:rsidR="00F76193" w:rsidRPr="009000EB" w:rsidRDefault="00F76193"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D57F11" w:rsidRPr="009000EB">
        <w:rPr>
          <w:lang w:val="fr-FR"/>
        </w:rPr>
        <w:t>Le CAJ, à sa soixante</w:t>
      </w:r>
      <w:r w:rsidR="00535F54" w:rsidRPr="009000EB">
        <w:rPr>
          <w:lang w:val="fr-FR"/>
        </w:rPr>
        <w:t> </w:t>
      </w:r>
      <w:r w:rsidR="00D57F11" w:rsidRPr="009000EB">
        <w:rPr>
          <w:lang w:val="fr-FR"/>
        </w:rPr>
        <w:t>et</w:t>
      </w:r>
      <w:r w:rsidR="00535F54" w:rsidRPr="009000EB">
        <w:rPr>
          <w:lang w:val="fr-FR"/>
        </w:rPr>
        <w:t> </w:t>
      </w:r>
      <w:r w:rsidR="00D57F11" w:rsidRPr="009000EB">
        <w:rPr>
          <w:lang w:val="fr-FR"/>
        </w:rPr>
        <w:t>onzième</w:t>
      </w:r>
      <w:r w:rsidR="009C056B" w:rsidRPr="009000EB">
        <w:rPr>
          <w:lang w:val="fr-FR"/>
        </w:rPr>
        <w:t> </w:t>
      </w:r>
      <w:r w:rsidR="00D57F11" w:rsidRPr="009000EB">
        <w:rPr>
          <w:lang w:val="fr-FR"/>
        </w:rPr>
        <w:t>session</w:t>
      </w:r>
      <w:r w:rsidRPr="009000EB">
        <w:rPr>
          <w:lang w:val="fr-FR"/>
        </w:rPr>
        <w:t xml:space="preserve">, </w:t>
      </w:r>
      <w:r w:rsidR="00FA102A">
        <w:rPr>
          <w:lang w:val="fr-FR"/>
        </w:rPr>
        <w:t xml:space="preserve">a </w:t>
      </w:r>
      <w:r w:rsidR="00A43EF7" w:rsidRPr="009000EB">
        <w:rPr>
          <w:lang w:val="fr-FR"/>
        </w:rPr>
        <w:t>not</w:t>
      </w:r>
      <w:r w:rsidR="00FA102A">
        <w:rPr>
          <w:lang w:val="fr-FR"/>
        </w:rPr>
        <w:t>é</w:t>
      </w:r>
      <w:r w:rsidR="00A43EF7" w:rsidRPr="009000EB">
        <w:rPr>
          <w:lang w:val="fr-FR"/>
        </w:rPr>
        <w:t xml:space="preserve"> que le Conseil sera</w:t>
      </w:r>
      <w:r w:rsidR="00FA102A">
        <w:rPr>
          <w:lang w:val="fr-FR"/>
        </w:rPr>
        <w:t>it</w:t>
      </w:r>
      <w:r w:rsidR="00A43EF7" w:rsidRPr="009000EB">
        <w:rPr>
          <w:lang w:val="fr-FR"/>
        </w:rPr>
        <w:t xml:space="preserve"> invité à adopter </w:t>
      </w:r>
      <w:r w:rsidR="00FA102A">
        <w:rPr>
          <w:lang w:val="fr-FR"/>
        </w:rPr>
        <w:t>une version révisée</w:t>
      </w:r>
      <w:r w:rsidRPr="009000EB">
        <w:rPr>
          <w:lang w:val="fr-FR"/>
        </w:rPr>
        <w:t xml:space="preserve"> </w:t>
      </w:r>
      <w:r w:rsidR="00A43EF7" w:rsidRPr="009000EB">
        <w:rPr>
          <w:lang w:val="fr-FR"/>
        </w:rPr>
        <w:t xml:space="preserve">du </w:t>
      </w:r>
      <w:r w:rsidRPr="009000EB">
        <w:rPr>
          <w:lang w:val="fr-FR"/>
        </w:rPr>
        <w:t xml:space="preserve">document UPOV/INF/6/3 (document UPOV/INF/6/4), </w:t>
      </w:r>
      <w:r w:rsidR="00A43EF7" w:rsidRPr="009000EB">
        <w:rPr>
          <w:lang w:val="fr-FR"/>
        </w:rPr>
        <w:t>conjo</w:t>
      </w:r>
      <w:r w:rsidRPr="009000EB">
        <w:rPr>
          <w:lang w:val="fr-FR"/>
        </w:rPr>
        <w:t>in</w:t>
      </w:r>
      <w:r w:rsidR="00A43EF7" w:rsidRPr="009000EB">
        <w:rPr>
          <w:lang w:val="fr-FR"/>
        </w:rPr>
        <w:t>tement avec les notes explicatives que le conseil sera</w:t>
      </w:r>
      <w:r w:rsidR="00FA102A">
        <w:rPr>
          <w:lang w:val="fr-FR"/>
        </w:rPr>
        <w:t>it</w:t>
      </w:r>
      <w:r w:rsidR="00A43EF7" w:rsidRPr="009000EB">
        <w:rPr>
          <w:lang w:val="fr-FR"/>
        </w:rPr>
        <w:t xml:space="preserve"> invité </w:t>
      </w:r>
      <w:r w:rsidR="008F2761" w:rsidRPr="009000EB">
        <w:rPr>
          <w:lang w:val="fr-FR"/>
        </w:rPr>
        <w:t>à</w:t>
      </w:r>
      <w:r w:rsidR="00A43EF7" w:rsidRPr="009000EB">
        <w:rPr>
          <w:lang w:val="fr-FR"/>
        </w:rPr>
        <w:t xml:space="preserve"> adopter à sa quarante</w:t>
      </w:r>
      <w:r w:rsidR="00535F54" w:rsidRPr="009000EB">
        <w:rPr>
          <w:lang w:val="fr-FR"/>
        </w:rPr>
        <w:noBreakHyphen/>
      </w:r>
      <w:r w:rsidR="00A43EF7" w:rsidRPr="009000EB">
        <w:rPr>
          <w:lang w:val="fr-FR"/>
        </w:rPr>
        <w:t>neuvième</w:t>
      </w:r>
      <w:r w:rsidR="009C056B" w:rsidRPr="009000EB">
        <w:rPr>
          <w:lang w:val="fr-FR"/>
        </w:rPr>
        <w:t> </w:t>
      </w:r>
      <w:r w:rsidRPr="009000EB">
        <w:rPr>
          <w:lang w:val="fr-FR"/>
        </w:rPr>
        <w:t xml:space="preserve">session </w:t>
      </w:r>
      <w:r w:rsidR="008F2761" w:rsidRPr="009000EB">
        <w:rPr>
          <w:lang w:val="fr-FR"/>
        </w:rPr>
        <w:t>ordinaire</w:t>
      </w:r>
      <w:r w:rsidR="00A43EF7" w:rsidRPr="009000EB">
        <w:rPr>
          <w:lang w:val="fr-FR"/>
        </w:rPr>
        <w:t xml:space="preserve"> </w:t>
      </w:r>
      <w:r w:rsidRPr="009000EB">
        <w:rPr>
          <w:lang w:val="fr-FR"/>
        </w:rPr>
        <w:t>(</w:t>
      </w:r>
      <w:r w:rsidR="00A43EF7" w:rsidRPr="009000EB">
        <w:rPr>
          <w:lang w:val="fr-FR"/>
        </w:rPr>
        <w:t>voir les paragraphes</w:t>
      </w:r>
      <w:r w:rsidR="009C056B" w:rsidRPr="009000EB">
        <w:rPr>
          <w:lang w:val="fr-FR"/>
        </w:rPr>
        <w:t> </w:t>
      </w:r>
      <w:r w:rsidR="00A43EF7" w:rsidRPr="009000EB">
        <w:rPr>
          <w:lang w:val="fr-FR"/>
        </w:rPr>
        <w:t>15 à</w:t>
      </w:r>
      <w:r w:rsidR="00535F54" w:rsidRPr="009000EB">
        <w:rPr>
          <w:lang w:val="fr-FR"/>
        </w:rPr>
        <w:t> </w:t>
      </w:r>
      <w:r w:rsidR="00A43EF7" w:rsidRPr="009000EB">
        <w:rPr>
          <w:lang w:val="fr-FR"/>
        </w:rPr>
        <w:t xml:space="preserve">20 de la </w:t>
      </w:r>
      <w:r w:rsidRPr="009000EB">
        <w:rPr>
          <w:lang w:val="fr-FR"/>
        </w:rPr>
        <w:t>section “</w:t>
      </w:r>
      <w:r w:rsidR="00A43EF7" w:rsidRPr="009000EB">
        <w:rPr>
          <w:lang w:val="fr-FR"/>
        </w:rPr>
        <w:t>NOTES EXPLICATIVES</w:t>
      </w:r>
      <w:r w:rsidR="009E4018">
        <w:rPr>
          <w:lang w:val="fr-FR"/>
        </w:rPr>
        <w:t>”</w:t>
      </w:r>
      <w:r w:rsidRPr="009000EB">
        <w:rPr>
          <w:lang w:val="fr-FR"/>
        </w:rPr>
        <w:t xml:space="preserve">, </w:t>
      </w:r>
      <w:r w:rsidR="00A43EF7" w:rsidRPr="009000EB">
        <w:rPr>
          <w:lang w:val="fr-FR"/>
        </w:rPr>
        <w:t xml:space="preserve">et </w:t>
      </w:r>
      <w:r w:rsidR="00B26FA0" w:rsidRPr="009000EB">
        <w:rPr>
          <w:lang w:val="fr-FR"/>
        </w:rPr>
        <w:t>les paragraphes</w:t>
      </w:r>
      <w:r w:rsidR="009C056B" w:rsidRPr="009000EB">
        <w:rPr>
          <w:lang w:val="fr-FR"/>
        </w:rPr>
        <w:t> </w:t>
      </w:r>
      <w:r w:rsidR="00A43EF7" w:rsidRPr="009000EB">
        <w:rPr>
          <w:lang w:val="fr-FR"/>
        </w:rPr>
        <w:t>2</w:t>
      </w:r>
      <w:r w:rsidR="002D55F1">
        <w:rPr>
          <w:lang w:val="fr-FR"/>
        </w:rPr>
        <w:t>3</w:t>
      </w:r>
      <w:r w:rsidR="00A43EF7" w:rsidRPr="009000EB">
        <w:rPr>
          <w:lang w:val="fr-FR"/>
        </w:rPr>
        <w:t xml:space="preserve"> à</w:t>
      </w:r>
      <w:r w:rsidR="00535F54" w:rsidRPr="009000EB">
        <w:rPr>
          <w:lang w:val="fr-FR"/>
        </w:rPr>
        <w:t> </w:t>
      </w:r>
      <w:r w:rsidR="00A43EF7" w:rsidRPr="009000EB">
        <w:rPr>
          <w:lang w:val="fr-FR"/>
        </w:rPr>
        <w:t>2</w:t>
      </w:r>
      <w:r w:rsidR="002D55F1">
        <w:rPr>
          <w:lang w:val="fr-FR"/>
        </w:rPr>
        <w:t>5</w:t>
      </w:r>
      <w:bookmarkStart w:id="4" w:name="_GoBack"/>
      <w:bookmarkEnd w:id="4"/>
      <w:r w:rsidR="00A43EF7" w:rsidRPr="009000EB">
        <w:rPr>
          <w:lang w:val="fr-FR"/>
        </w:rPr>
        <w:t xml:space="preserve"> de la </w:t>
      </w:r>
      <w:r w:rsidRPr="009000EB">
        <w:rPr>
          <w:lang w:val="fr-FR"/>
        </w:rPr>
        <w:t>section “UPOV/INF/12</w:t>
      </w:r>
      <w:r w:rsidR="009C056B" w:rsidRPr="009000EB">
        <w:rPr>
          <w:lang w:val="fr-FR"/>
        </w:rPr>
        <w:t> :</w:t>
      </w:r>
      <w:r w:rsidRPr="009000EB">
        <w:rPr>
          <w:lang w:val="fr-FR"/>
        </w:rPr>
        <w:t xml:space="preserve"> </w:t>
      </w:r>
      <w:r w:rsidR="00CD1A4A" w:rsidRPr="009000EB">
        <w:rPr>
          <w:bCs/>
          <w:lang w:val="fr-FR"/>
        </w:rPr>
        <w:t xml:space="preserve">Notes explicatives concernant les dénominations variétales en vertu de la </w:t>
      </w:r>
      <w:r w:rsidR="006A61F0" w:rsidRPr="009000EB">
        <w:rPr>
          <w:bCs/>
          <w:lang w:val="fr-FR"/>
        </w:rPr>
        <w:t>Convention UPOV</w:t>
      </w:r>
      <w:r w:rsidR="00CD1A4A" w:rsidRPr="009000EB">
        <w:rPr>
          <w:bCs/>
          <w:lang w:val="fr-FR"/>
        </w:rPr>
        <w:t xml:space="preserve"> (révision)</w:t>
      </w:r>
      <w:r w:rsidRPr="009000EB">
        <w:rPr>
          <w:lang w:val="fr-FR"/>
        </w:rPr>
        <w:t>”</w:t>
      </w:r>
      <w:r w:rsidR="00CD1A4A" w:rsidRPr="009000EB">
        <w:rPr>
          <w:lang w:val="fr-FR"/>
        </w:rPr>
        <w:t xml:space="preserve"> du présent document</w:t>
      </w:r>
      <w:r w:rsidRPr="009000EB">
        <w:rPr>
          <w:lang w:val="fr-FR"/>
        </w:rPr>
        <w:t>).</w:t>
      </w:r>
    </w:p>
    <w:p w:rsidR="00F76193" w:rsidRPr="009000EB" w:rsidRDefault="00F76193" w:rsidP="00030C17">
      <w:pPr>
        <w:rPr>
          <w:lang w:val="fr-FR"/>
        </w:rPr>
      </w:pPr>
    </w:p>
    <w:p w:rsidR="00F76193" w:rsidRPr="009000EB" w:rsidRDefault="00F76193" w:rsidP="00030C17">
      <w:pPr>
        <w:pStyle w:val="DecisionParagraphs"/>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DC1BE7" w:rsidRPr="009000EB">
        <w:rPr>
          <w:lang w:val="fr-FR"/>
        </w:rPr>
        <w:t xml:space="preserve">Le Conseil est invité à adopter la </w:t>
      </w:r>
      <w:r w:rsidR="00FA102A">
        <w:rPr>
          <w:lang w:val="fr-FR"/>
        </w:rPr>
        <w:t>version révisée</w:t>
      </w:r>
      <w:r w:rsidR="00DC1BE7" w:rsidRPr="009000EB">
        <w:rPr>
          <w:lang w:val="fr-FR"/>
        </w:rPr>
        <w:t xml:space="preserve"> du document</w:t>
      </w:r>
      <w:r w:rsidRPr="009000EB">
        <w:rPr>
          <w:lang w:val="fr-FR"/>
        </w:rPr>
        <w:t xml:space="preserve"> UPOV</w:t>
      </w:r>
      <w:r w:rsidR="00DC1BE7" w:rsidRPr="009000EB">
        <w:rPr>
          <w:lang w:val="fr-FR"/>
        </w:rPr>
        <w:t>/INF/6 “</w:t>
      </w:r>
      <w:r w:rsidR="00DC1BE7" w:rsidRPr="009000EB">
        <w:rPr>
          <w:bCs/>
          <w:lang w:val="fr-FR"/>
        </w:rPr>
        <w:t>Orientations en vue de la rédaction de lois fondées sur l</w:t>
      </w:r>
      <w:r w:rsidR="006A61F0" w:rsidRPr="009000EB">
        <w:rPr>
          <w:bCs/>
          <w:lang w:val="fr-FR"/>
        </w:rPr>
        <w:t>’</w:t>
      </w:r>
      <w:r w:rsidR="00DC1BE7" w:rsidRPr="009000EB">
        <w:rPr>
          <w:bCs/>
          <w:lang w:val="fr-FR"/>
        </w:rPr>
        <w:t>Acte de</w:t>
      </w:r>
      <w:r w:rsidR="009C056B" w:rsidRPr="009000EB">
        <w:rPr>
          <w:bCs/>
          <w:lang w:val="fr-FR"/>
        </w:rPr>
        <w:t> </w:t>
      </w:r>
      <w:r w:rsidR="00DC1BE7" w:rsidRPr="009000EB">
        <w:rPr>
          <w:bCs/>
          <w:lang w:val="fr-FR"/>
        </w:rPr>
        <w:t xml:space="preserve">1991 de la </w:t>
      </w:r>
      <w:r w:rsidR="006A61F0" w:rsidRPr="009000EB">
        <w:rPr>
          <w:bCs/>
          <w:lang w:val="fr-FR"/>
        </w:rPr>
        <w:t>Convention UPOV</w:t>
      </w:r>
      <w:r w:rsidRPr="009000EB">
        <w:rPr>
          <w:lang w:val="fr-FR"/>
        </w:rPr>
        <w:t xml:space="preserve">” (document UPOV/INF/6/4), </w:t>
      </w:r>
      <w:r w:rsidR="00FD6833" w:rsidRPr="009000EB">
        <w:rPr>
          <w:lang w:val="fr-FR"/>
        </w:rPr>
        <w:t>sur la base des modifications proposées</w:t>
      </w:r>
      <w:r w:rsidR="006A61F0" w:rsidRPr="009000EB">
        <w:rPr>
          <w:lang w:val="fr-FR"/>
        </w:rPr>
        <w:t xml:space="preserve"> au </w:t>
      </w:r>
      <w:r w:rsidR="00162CD7">
        <w:rPr>
          <w:lang w:val="fr-FR"/>
        </w:rPr>
        <w:t>document </w:t>
      </w:r>
      <w:r w:rsidR="006A61F0" w:rsidRPr="009000EB">
        <w:rPr>
          <w:lang w:val="fr-FR"/>
        </w:rPr>
        <w:t>UPO</w:t>
      </w:r>
      <w:r w:rsidR="00FD6833" w:rsidRPr="009000EB">
        <w:rPr>
          <w:lang w:val="fr-FR"/>
        </w:rPr>
        <w:t>V/INF/6/3 qui figurent à l</w:t>
      </w:r>
      <w:r w:rsidR="006A61F0" w:rsidRPr="009000EB">
        <w:rPr>
          <w:lang w:val="fr-FR"/>
        </w:rPr>
        <w:t>’</w:t>
      </w:r>
      <w:r w:rsidR="00FD6833" w:rsidRPr="009000EB">
        <w:rPr>
          <w:lang w:val="fr-FR"/>
        </w:rPr>
        <w:t>annexe</w:t>
      </w:r>
      <w:r w:rsidR="009C056B" w:rsidRPr="009000EB">
        <w:rPr>
          <w:lang w:val="fr-FR"/>
        </w:rPr>
        <w:t> </w:t>
      </w:r>
      <w:r w:rsidRPr="009000EB">
        <w:rPr>
          <w:lang w:val="fr-FR"/>
        </w:rPr>
        <w:t xml:space="preserve">IV </w:t>
      </w:r>
      <w:r w:rsidR="00FD6833" w:rsidRPr="009000EB">
        <w:rPr>
          <w:lang w:val="fr-FR"/>
        </w:rPr>
        <w:t>du présent d</w:t>
      </w:r>
      <w:r w:rsidRPr="009000EB">
        <w:rPr>
          <w:lang w:val="fr-FR"/>
        </w:rPr>
        <w:t>ocument.</w:t>
      </w:r>
    </w:p>
    <w:p w:rsidR="00F76193" w:rsidRPr="009000EB" w:rsidRDefault="00F76193" w:rsidP="00030C17">
      <w:pPr>
        <w:rPr>
          <w:lang w:val="fr-FR"/>
        </w:rPr>
      </w:pPr>
    </w:p>
    <w:p w:rsidR="00F76193" w:rsidRPr="009000EB" w:rsidRDefault="00F76193" w:rsidP="00030C17">
      <w:pPr>
        <w:rPr>
          <w:lang w:val="fr-FR"/>
        </w:rPr>
      </w:pPr>
    </w:p>
    <w:p w:rsidR="00656481" w:rsidRPr="009000EB" w:rsidRDefault="00656481" w:rsidP="00030C17">
      <w:pPr>
        <w:rPr>
          <w:u w:val="single"/>
          <w:lang w:val="fr-FR"/>
        </w:rPr>
      </w:pPr>
      <w:r w:rsidRPr="009000EB">
        <w:rPr>
          <w:u w:val="single"/>
          <w:lang w:val="fr-FR"/>
        </w:rPr>
        <w:t>UPOV/INF/12</w:t>
      </w:r>
      <w:r w:rsidR="009C056B" w:rsidRPr="009000EB">
        <w:rPr>
          <w:u w:val="single"/>
          <w:lang w:val="fr-FR"/>
        </w:rPr>
        <w:t> :</w:t>
      </w:r>
      <w:r w:rsidRPr="009000EB">
        <w:rPr>
          <w:u w:val="single"/>
          <w:lang w:val="fr-FR"/>
        </w:rPr>
        <w:t xml:space="preserve"> </w:t>
      </w:r>
      <w:r w:rsidR="009B1B95" w:rsidRPr="009000EB">
        <w:rPr>
          <w:bCs/>
          <w:u w:val="single"/>
          <w:lang w:val="fr-FR"/>
        </w:rPr>
        <w:t xml:space="preserve">Notes explicatives concernant les dénominations variétales en vertu de la </w:t>
      </w:r>
      <w:r w:rsidR="006A61F0" w:rsidRPr="009000EB">
        <w:rPr>
          <w:bCs/>
          <w:u w:val="single"/>
          <w:lang w:val="fr-FR"/>
        </w:rPr>
        <w:t>Convention UPOV</w:t>
      </w:r>
      <w:r w:rsidR="009B1B95" w:rsidRPr="009000EB">
        <w:rPr>
          <w:bCs/>
          <w:u w:val="single"/>
          <w:lang w:val="fr-FR"/>
        </w:rPr>
        <w:t xml:space="preserve"> (révision)</w:t>
      </w:r>
      <w:r w:rsidRPr="009000EB">
        <w:rPr>
          <w:u w:val="single"/>
          <w:lang w:val="fr-FR"/>
        </w:rPr>
        <w:t xml:space="preserve"> (document </w:t>
      </w:r>
      <w:r w:rsidR="00223470" w:rsidRPr="009000EB">
        <w:rPr>
          <w:u w:val="single"/>
          <w:lang w:val="fr-FR"/>
        </w:rPr>
        <w:t>C/49/14</w:t>
      </w:r>
      <w:r w:rsidRPr="009000EB">
        <w:rPr>
          <w:u w:val="single"/>
          <w:lang w:val="fr-FR"/>
        </w:rPr>
        <w:t xml:space="preserve">, </w:t>
      </w:r>
      <w:r w:rsidR="009B1B95" w:rsidRPr="009000EB">
        <w:rPr>
          <w:u w:val="single"/>
          <w:lang w:val="fr-FR"/>
        </w:rPr>
        <w:t>a</w:t>
      </w:r>
      <w:r w:rsidRPr="009000EB">
        <w:rPr>
          <w:u w:val="single"/>
          <w:lang w:val="fr-FR"/>
        </w:rPr>
        <w:t>nnex</w:t>
      </w:r>
      <w:r w:rsidR="009B1B95" w:rsidRPr="009000EB">
        <w:rPr>
          <w:u w:val="single"/>
          <w:lang w:val="fr-FR"/>
        </w:rPr>
        <w:t>e</w:t>
      </w:r>
      <w:r w:rsidR="009C056B" w:rsidRPr="009000EB">
        <w:rPr>
          <w:u w:val="single"/>
          <w:lang w:val="fr-FR"/>
        </w:rPr>
        <w:t> </w:t>
      </w:r>
      <w:r w:rsidRPr="009000EB">
        <w:rPr>
          <w:u w:val="single"/>
          <w:lang w:val="fr-FR"/>
        </w:rPr>
        <w:t>III)</w:t>
      </w:r>
    </w:p>
    <w:p w:rsidR="00656481" w:rsidRPr="009000EB" w:rsidRDefault="00656481" w:rsidP="00030C17">
      <w:pPr>
        <w:rPr>
          <w:lang w:val="fr-FR"/>
        </w:rPr>
      </w:pPr>
    </w:p>
    <w:p w:rsidR="00656481" w:rsidRPr="009000EB" w:rsidRDefault="00656481"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CD3AED" w:rsidRPr="009000EB">
        <w:rPr>
          <w:lang w:val="fr-FR"/>
        </w:rPr>
        <w:t>Le</w:t>
      </w:r>
      <w:r w:rsidR="006A61F0" w:rsidRPr="009000EB">
        <w:rPr>
          <w:lang w:val="fr-FR"/>
        </w:rPr>
        <w:t> TC</w:t>
      </w:r>
      <w:r w:rsidR="00CD3AED" w:rsidRPr="009000EB">
        <w:rPr>
          <w:lang w:val="fr-FR"/>
        </w:rPr>
        <w:t>, à sa cinquante</w:t>
      </w:r>
      <w:r w:rsidR="009C056B" w:rsidRPr="009000EB">
        <w:rPr>
          <w:lang w:val="fr-FR"/>
        </w:rPr>
        <w:t> </w:t>
      </w:r>
      <w:r w:rsidR="00CD3AED" w:rsidRPr="009000EB">
        <w:rPr>
          <w:lang w:val="fr-FR"/>
        </w:rPr>
        <w:t>et</w:t>
      </w:r>
      <w:r w:rsidR="009C056B" w:rsidRPr="009000EB">
        <w:rPr>
          <w:lang w:val="fr-FR"/>
        </w:rPr>
        <w:t> </w:t>
      </w:r>
      <w:r w:rsidR="00CD3AED" w:rsidRPr="009000EB">
        <w:rPr>
          <w:lang w:val="fr-FR"/>
        </w:rPr>
        <w:t>unième</w:t>
      </w:r>
      <w:r w:rsidR="009C056B" w:rsidRPr="009000EB">
        <w:rPr>
          <w:lang w:val="fr-FR"/>
        </w:rPr>
        <w:t> </w:t>
      </w:r>
      <w:r w:rsidR="00CD3AED" w:rsidRPr="009000EB">
        <w:rPr>
          <w:lang w:val="fr-FR"/>
        </w:rPr>
        <w:t>session, et</w:t>
      </w:r>
      <w:r w:rsidR="006A61F0" w:rsidRPr="009000EB">
        <w:rPr>
          <w:lang w:val="fr-FR"/>
        </w:rPr>
        <w:t xml:space="preserve"> le CAJ</w:t>
      </w:r>
      <w:r w:rsidR="00CD3AED" w:rsidRPr="009000EB">
        <w:rPr>
          <w:lang w:val="fr-FR"/>
        </w:rPr>
        <w:t>, à sa soixante</w:t>
      </w:r>
      <w:r w:rsidR="00535F54" w:rsidRPr="009000EB">
        <w:rPr>
          <w:lang w:val="fr-FR"/>
        </w:rPr>
        <w:t> </w:t>
      </w:r>
      <w:r w:rsidR="00CD3AED" w:rsidRPr="009000EB">
        <w:rPr>
          <w:lang w:val="fr-FR"/>
        </w:rPr>
        <w:t>et</w:t>
      </w:r>
      <w:r w:rsidR="00535F54" w:rsidRPr="009000EB">
        <w:rPr>
          <w:lang w:val="fr-FR"/>
        </w:rPr>
        <w:t> </w:t>
      </w:r>
      <w:r w:rsidR="00CD3AED" w:rsidRPr="009000EB">
        <w:rPr>
          <w:lang w:val="fr-FR"/>
        </w:rPr>
        <w:t>onzième</w:t>
      </w:r>
      <w:r w:rsidR="009C056B" w:rsidRPr="009000EB">
        <w:rPr>
          <w:lang w:val="fr-FR"/>
        </w:rPr>
        <w:t> </w:t>
      </w:r>
      <w:r w:rsidR="00CD3AED" w:rsidRPr="009000EB">
        <w:rPr>
          <w:lang w:val="fr-FR"/>
        </w:rPr>
        <w:t>session, ont approuvé les propositions de révision du</w:t>
      </w:r>
      <w:r w:rsidR="00071C70" w:rsidRPr="009000EB">
        <w:rPr>
          <w:lang w:val="fr-FR"/>
        </w:rPr>
        <w:t xml:space="preserve"> docu</w:t>
      </w:r>
      <w:r w:rsidR="00CD3AED" w:rsidRPr="009000EB">
        <w:rPr>
          <w:lang w:val="fr-FR"/>
        </w:rPr>
        <w:t>ment UPOV/INF/12/4 “</w:t>
      </w:r>
      <w:r w:rsidR="00CD3AED" w:rsidRPr="009000EB">
        <w:rPr>
          <w:bCs/>
          <w:lang w:val="fr-FR"/>
        </w:rPr>
        <w:t xml:space="preserve">Notes explicatives concernant les dénominations variétales en vertu de la </w:t>
      </w:r>
      <w:r w:rsidR="006A61F0" w:rsidRPr="009000EB">
        <w:rPr>
          <w:bCs/>
          <w:lang w:val="fr-FR"/>
        </w:rPr>
        <w:t>Convention UPOV</w:t>
      </w:r>
      <w:r w:rsidR="00FB0C72" w:rsidRPr="009000EB">
        <w:rPr>
          <w:lang w:val="fr-FR"/>
        </w:rPr>
        <w:t>”</w:t>
      </w:r>
      <w:r w:rsidRPr="009000EB">
        <w:rPr>
          <w:lang w:val="fr-FR"/>
        </w:rPr>
        <w:t xml:space="preserve">, </w:t>
      </w:r>
      <w:r w:rsidR="00CD3AED" w:rsidRPr="009000EB">
        <w:rPr>
          <w:lang w:val="fr-FR"/>
        </w:rPr>
        <w:t>contenues dans l</w:t>
      </w:r>
      <w:r w:rsidR="006A61F0" w:rsidRPr="009000EB">
        <w:rPr>
          <w:lang w:val="fr-FR"/>
        </w:rPr>
        <w:t>’</w:t>
      </w:r>
      <w:r w:rsidR="00CD3AED" w:rsidRPr="009000EB">
        <w:rPr>
          <w:lang w:val="fr-FR"/>
        </w:rPr>
        <w:t>annexe</w:t>
      </w:r>
      <w:r w:rsidR="009C056B" w:rsidRPr="009000EB">
        <w:rPr>
          <w:lang w:val="fr-FR"/>
        </w:rPr>
        <w:t> </w:t>
      </w:r>
      <w:r w:rsidR="00071C70" w:rsidRPr="009000EB">
        <w:rPr>
          <w:lang w:val="fr-FR"/>
        </w:rPr>
        <w:t>I</w:t>
      </w:r>
      <w:r w:rsidRPr="009000EB">
        <w:rPr>
          <w:lang w:val="fr-FR"/>
        </w:rPr>
        <w:t xml:space="preserve">II </w:t>
      </w:r>
      <w:r w:rsidR="00CD3AED" w:rsidRPr="009000EB">
        <w:rPr>
          <w:lang w:val="fr-FR"/>
        </w:rPr>
        <w:t xml:space="preserve">du présent </w:t>
      </w:r>
      <w:r w:rsidRPr="009000EB">
        <w:rPr>
          <w:lang w:val="fr-FR"/>
        </w:rPr>
        <w:t>document (</w:t>
      </w:r>
      <w:r w:rsidR="00013946" w:rsidRPr="009000EB">
        <w:rPr>
          <w:lang w:val="fr-FR"/>
        </w:rPr>
        <w:t>voir le paragraphe</w:t>
      </w:r>
      <w:r w:rsidR="009C056B" w:rsidRPr="009000EB">
        <w:rPr>
          <w:lang w:val="fr-FR"/>
        </w:rPr>
        <w:t> </w:t>
      </w:r>
      <w:r w:rsidR="00013946" w:rsidRPr="009000EB">
        <w:rPr>
          <w:lang w:val="fr-FR"/>
        </w:rPr>
        <w:t xml:space="preserve">184 du </w:t>
      </w:r>
      <w:r w:rsidR="006A61F0" w:rsidRPr="009000EB">
        <w:rPr>
          <w:lang w:val="fr-FR"/>
        </w:rPr>
        <w:t>document TC</w:t>
      </w:r>
      <w:r w:rsidR="00013946" w:rsidRPr="009000EB">
        <w:rPr>
          <w:lang w:val="fr-FR"/>
        </w:rPr>
        <w:t>/51/39 “Compte rendu”, et le paragraphe 34 du document CAJ/71/10 “Compte rendu des conclusions”</w:t>
      </w:r>
      <w:r w:rsidRPr="009000EB">
        <w:rPr>
          <w:rFonts w:cs="Arial"/>
          <w:lang w:val="fr-FR"/>
        </w:rPr>
        <w:t>)</w:t>
      </w:r>
      <w:r w:rsidRPr="009000EB">
        <w:rPr>
          <w:lang w:val="fr-FR"/>
        </w:rPr>
        <w:t>.</w:t>
      </w:r>
    </w:p>
    <w:p w:rsidR="00656481" w:rsidRPr="009000EB" w:rsidRDefault="00656481" w:rsidP="00030C17">
      <w:pPr>
        <w:rPr>
          <w:lang w:val="fr-FR"/>
        </w:rPr>
      </w:pPr>
    </w:p>
    <w:p w:rsidR="006A61F0" w:rsidRPr="009000EB" w:rsidRDefault="00FB0C72"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B9632C" w:rsidRPr="009000EB">
        <w:rPr>
          <w:lang w:val="fr-FR"/>
        </w:rPr>
        <w:t>Compte tenu de ce qui précède, le</w:t>
      </w:r>
      <w:r w:rsidR="006A61F0" w:rsidRPr="009000EB">
        <w:rPr>
          <w:lang w:val="fr-FR"/>
        </w:rPr>
        <w:t> TC</w:t>
      </w:r>
      <w:r w:rsidR="00B9632C" w:rsidRPr="009000EB">
        <w:rPr>
          <w:lang w:val="fr-FR"/>
        </w:rPr>
        <w:t xml:space="preserve"> et</w:t>
      </w:r>
      <w:r w:rsidR="006A61F0" w:rsidRPr="009000EB">
        <w:rPr>
          <w:lang w:val="fr-FR"/>
        </w:rPr>
        <w:t xml:space="preserve"> le CAJ</w:t>
      </w:r>
      <w:r w:rsidR="00B9632C" w:rsidRPr="009000EB">
        <w:rPr>
          <w:lang w:val="fr-FR"/>
        </w:rPr>
        <w:t xml:space="preserve"> sont convenus que la </w:t>
      </w:r>
      <w:r w:rsidR="00FA102A">
        <w:rPr>
          <w:lang w:val="fr-FR"/>
        </w:rPr>
        <w:t>version révisée</w:t>
      </w:r>
      <w:r w:rsidR="00B9632C" w:rsidRPr="009000EB">
        <w:rPr>
          <w:lang w:val="fr-FR"/>
        </w:rPr>
        <w:t xml:space="preserve"> du document UPOV/INF/12/4 (document UPOV/INF/12/5) devrait être soumise au Conseil pour adoption à sa quarante</w:t>
      </w:r>
      <w:r w:rsidR="00535F54" w:rsidRPr="009000EB">
        <w:rPr>
          <w:lang w:val="fr-FR"/>
        </w:rPr>
        <w:noBreakHyphen/>
      </w:r>
      <w:r w:rsidR="00B9632C" w:rsidRPr="009000EB">
        <w:rPr>
          <w:lang w:val="fr-FR"/>
        </w:rPr>
        <w:t>neuvième</w:t>
      </w:r>
      <w:r w:rsidR="009C056B" w:rsidRPr="009000EB">
        <w:rPr>
          <w:lang w:val="fr-FR"/>
        </w:rPr>
        <w:t> </w:t>
      </w:r>
      <w:r w:rsidR="00B9632C" w:rsidRPr="009000EB">
        <w:rPr>
          <w:lang w:val="fr-FR"/>
        </w:rPr>
        <w:t>session ordinaire</w:t>
      </w:r>
    </w:p>
    <w:p w:rsidR="00FB0C72" w:rsidRPr="009000EB" w:rsidRDefault="00FB0C72" w:rsidP="00030C17">
      <w:pPr>
        <w:rPr>
          <w:lang w:val="fr-FR"/>
        </w:rPr>
      </w:pPr>
    </w:p>
    <w:p w:rsidR="00FB0C72" w:rsidRPr="009000EB" w:rsidRDefault="00FB0C72" w:rsidP="00030C17">
      <w:pPr>
        <w:pStyle w:val="DecisionParagraphs"/>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303C68" w:rsidRPr="009000EB">
        <w:rPr>
          <w:lang w:val="fr-FR"/>
        </w:rPr>
        <w:t xml:space="preserve">Le Conseil est invité à adopter la </w:t>
      </w:r>
      <w:r w:rsidR="00FA102A">
        <w:rPr>
          <w:lang w:val="fr-FR"/>
        </w:rPr>
        <w:t>version révisée</w:t>
      </w:r>
      <w:r w:rsidR="00303C68" w:rsidRPr="009000EB">
        <w:rPr>
          <w:lang w:val="fr-FR"/>
        </w:rPr>
        <w:t xml:space="preserve"> du document</w:t>
      </w:r>
      <w:r w:rsidRPr="009000EB">
        <w:rPr>
          <w:lang w:val="fr-FR"/>
        </w:rPr>
        <w:t xml:space="preserve"> UPOV/INF/12/4 “</w:t>
      </w:r>
      <w:r w:rsidR="00303C68" w:rsidRPr="009000EB">
        <w:rPr>
          <w:bCs/>
          <w:lang w:val="fr-FR"/>
        </w:rPr>
        <w:t xml:space="preserve">Notes explicatives concernant les dénominations variétales en vertu de la </w:t>
      </w:r>
      <w:r w:rsidR="006A61F0" w:rsidRPr="009000EB">
        <w:rPr>
          <w:bCs/>
          <w:lang w:val="fr-FR"/>
        </w:rPr>
        <w:t>Convention UPOV</w:t>
      </w:r>
      <w:r w:rsidRPr="009000EB">
        <w:rPr>
          <w:lang w:val="fr-FR"/>
        </w:rPr>
        <w:t>”</w:t>
      </w:r>
      <w:r w:rsidR="003022E9" w:rsidRPr="009000EB">
        <w:rPr>
          <w:lang w:val="fr-FR"/>
        </w:rPr>
        <w:t xml:space="preserve"> (document UPOV/INF/12/5)</w:t>
      </w:r>
      <w:r w:rsidR="00303C68" w:rsidRPr="009000EB">
        <w:rPr>
          <w:lang w:val="fr-FR"/>
        </w:rPr>
        <w:t>, sur la base des modifications proposées à l</w:t>
      </w:r>
      <w:r w:rsidR="006A61F0" w:rsidRPr="009000EB">
        <w:rPr>
          <w:lang w:val="fr-FR"/>
        </w:rPr>
        <w:t>’</w:t>
      </w:r>
      <w:r w:rsidR="00303C68" w:rsidRPr="009000EB">
        <w:rPr>
          <w:lang w:val="fr-FR"/>
        </w:rPr>
        <w:t>annexe</w:t>
      </w:r>
      <w:r w:rsidR="009C056B" w:rsidRPr="009000EB">
        <w:rPr>
          <w:lang w:val="fr-FR"/>
        </w:rPr>
        <w:t> </w:t>
      </w:r>
      <w:r w:rsidR="00303C68" w:rsidRPr="009000EB">
        <w:rPr>
          <w:lang w:val="fr-FR"/>
        </w:rPr>
        <w:t>III du présent document</w:t>
      </w:r>
      <w:r w:rsidRPr="009000EB">
        <w:rPr>
          <w:lang w:val="fr-FR"/>
        </w:rPr>
        <w:t>.</w:t>
      </w:r>
    </w:p>
    <w:p w:rsidR="006D2368" w:rsidRPr="009000EB" w:rsidRDefault="006D2368" w:rsidP="00030C17">
      <w:pPr>
        <w:rPr>
          <w:lang w:val="fr-FR"/>
        </w:rPr>
      </w:pPr>
    </w:p>
    <w:p w:rsidR="006D2368" w:rsidRPr="009000EB" w:rsidRDefault="006D2368" w:rsidP="00030C17">
      <w:pPr>
        <w:rPr>
          <w:lang w:val="fr-FR"/>
        </w:rPr>
      </w:pPr>
    </w:p>
    <w:p w:rsidR="00B575BA" w:rsidRPr="009000EB" w:rsidRDefault="00B575BA" w:rsidP="00030C17">
      <w:pPr>
        <w:keepNext/>
        <w:rPr>
          <w:u w:val="single"/>
          <w:lang w:val="fr-FR"/>
        </w:rPr>
      </w:pPr>
      <w:r w:rsidRPr="009000EB">
        <w:rPr>
          <w:u w:val="single"/>
          <w:lang w:val="fr-FR"/>
        </w:rPr>
        <w:t>UPOV/INF/16</w:t>
      </w:r>
      <w:r w:rsidR="009C056B" w:rsidRPr="009000EB">
        <w:rPr>
          <w:u w:val="single"/>
          <w:lang w:val="fr-FR"/>
        </w:rPr>
        <w:t> :</w:t>
      </w:r>
      <w:r w:rsidRPr="009000EB">
        <w:rPr>
          <w:u w:val="single"/>
          <w:lang w:val="fr-FR"/>
        </w:rPr>
        <w:t xml:space="preserve"> </w:t>
      </w:r>
      <w:r w:rsidR="00EE340D" w:rsidRPr="009000EB">
        <w:rPr>
          <w:bCs/>
          <w:u w:val="single"/>
          <w:lang w:val="fr-FR"/>
        </w:rPr>
        <w:t>Logiciels échangeables (révision) (document UPOV/INF/16/5 </w:t>
      </w:r>
      <w:proofErr w:type="spellStart"/>
      <w:r w:rsidR="00EE340D" w:rsidRPr="009000EB">
        <w:rPr>
          <w:bCs/>
          <w:u w:val="single"/>
          <w:lang w:val="fr-FR"/>
        </w:rPr>
        <w:t>Draft</w:t>
      </w:r>
      <w:proofErr w:type="spellEnd"/>
      <w:r w:rsidR="00EE340D" w:rsidRPr="009000EB">
        <w:rPr>
          <w:bCs/>
          <w:u w:val="single"/>
          <w:lang w:val="fr-FR"/>
        </w:rPr>
        <w:t> 1)</w:t>
      </w:r>
    </w:p>
    <w:p w:rsidR="00B575BA" w:rsidRPr="009000EB" w:rsidRDefault="00B575BA" w:rsidP="00030C17">
      <w:pPr>
        <w:keepNext/>
        <w:rPr>
          <w:lang w:val="fr-FR"/>
        </w:rPr>
      </w:pPr>
    </w:p>
    <w:p w:rsidR="00B575BA" w:rsidRPr="009000EB" w:rsidRDefault="00B575BA"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FD4181" w:rsidRPr="009000EB">
        <w:rPr>
          <w:lang w:val="fr-FR"/>
        </w:rPr>
        <w:t>Le</w:t>
      </w:r>
      <w:r w:rsidR="006A61F0" w:rsidRPr="009000EB">
        <w:rPr>
          <w:lang w:val="fr-FR"/>
        </w:rPr>
        <w:t> TC</w:t>
      </w:r>
      <w:r w:rsidR="00FD4181" w:rsidRPr="009000EB">
        <w:rPr>
          <w:lang w:val="fr-FR"/>
        </w:rPr>
        <w:t>, à sa cinquante</w:t>
      </w:r>
      <w:r w:rsidR="009C056B" w:rsidRPr="009000EB">
        <w:rPr>
          <w:lang w:val="fr-FR"/>
        </w:rPr>
        <w:t> </w:t>
      </w:r>
      <w:r w:rsidR="00FD4181" w:rsidRPr="009000EB">
        <w:rPr>
          <w:lang w:val="fr-FR"/>
        </w:rPr>
        <w:t>et</w:t>
      </w:r>
      <w:r w:rsidR="009C056B" w:rsidRPr="009000EB">
        <w:rPr>
          <w:lang w:val="fr-FR"/>
        </w:rPr>
        <w:t> </w:t>
      </w:r>
      <w:r w:rsidR="00FD4181" w:rsidRPr="009000EB">
        <w:rPr>
          <w:lang w:val="fr-FR"/>
        </w:rPr>
        <w:t>unième</w:t>
      </w:r>
      <w:r w:rsidR="009C056B" w:rsidRPr="009000EB">
        <w:rPr>
          <w:lang w:val="fr-FR"/>
        </w:rPr>
        <w:t> </w:t>
      </w:r>
      <w:r w:rsidR="00FD4181" w:rsidRPr="009000EB">
        <w:rPr>
          <w:lang w:val="fr-FR"/>
        </w:rPr>
        <w:t>session, et</w:t>
      </w:r>
      <w:r w:rsidR="006A61F0" w:rsidRPr="009000EB">
        <w:rPr>
          <w:lang w:val="fr-FR"/>
        </w:rPr>
        <w:t xml:space="preserve"> le CAJ</w:t>
      </w:r>
      <w:r w:rsidR="00FD4181" w:rsidRPr="009000EB">
        <w:rPr>
          <w:lang w:val="fr-FR"/>
        </w:rPr>
        <w:t>, à sa soixante</w:t>
      </w:r>
      <w:r w:rsidR="00535F54" w:rsidRPr="009000EB">
        <w:rPr>
          <w:lang w:val="fr-FR"/>
        </w:rPr>
        <w:t> </w:t>
      </w:r>
      <w:r w:rsidR="00FD4181" w:rsidRPr="009000EB">
        <w:rPr>
          <w:lang w:val="fr-FR"/>
        </w:rPr>
        <w:t>et</w:t>
      </w:r>
      <w:r w:rsidR="00535F54" w:rsidRPr="009000EB">
        <w:rPr>
          <w:lang w:val="fr-FR"/>
        </w:rPr>
        <w:t> </w:t>
      </w:r>
      <w:r w:rsidR="00FD4181" w:rsidRPr="009000EB">
        <w:rPr>
          <w:lang w:val="fr-FR"/>
        </w:rPr>
        <w:t>onzième</w:t>
      </w:r>
      <w:r w:rsidR="009C056B" w:rsidRPr="009000EB">
        <w:rPr>
          <w:lang w:val="fr-FR"/>
        </w:rPr>
        <w:t> </w:t>
      </w:r>
      <w:r w:rsidR="00FD4181" w:rsidRPr="009000EB">
        <w:rPr>
          <w:lang w:val="fr-FR"/>
        </w:rPr>
        <w:t xml:space="preserve">session, ont approuvé les propositions de révision du texte du </w:t>
      </w:r>
      <w:r w:rsidRPr="009000EB">
        <w:rPr>
          <w:lang w:val="fr-FR"/>
        </w:rPr>
        <w:t>document UPOV/INF/16</w:t>
      </w:r>
      <w:r w:rsidR="0092693D" w:rsidRPr="009000EB">
        <w:rPr>
          <w:lang w:val="fr-FR"/>
        </w:rPr>
        <w:t>/4</w:t>
      </w:r>
      <w:r w:rsidRPr="009000EB">
        <w:rPr>
          <w:lang w:val="fr-FR"/>
        </w:rPr>
        <w:t xml:space="preserve"> “</w:t>
      </w:r>
      <w:r w:rsidR="00175D09" w:rsidRPr="009000EB">
        <w:rPr>
          <w:bCs/>
          <w:lang w:val="fr-FR"/>
        </w:rPr>
        <w:t>Logiciels échangeables</w:t>
      </w:r>
      <w:r w:rsidRPr="009000EB">
        <w:rPr>
          <w:lang w:val="fr-FR"/>
        </w:rPr>
        <w:t xml:space="preserve">” </w:t>
      </w:r>
      <w:r w:rsidR="007227F9" w:rsidRPr="009000EB">
        <w:rPr>
          <w:lang w:val="fr-FR"/>
        </w:rPr>
        <w:t>et sont convenus qu</w:t>
      </w:r>
      <w:r w:rsidR="006A61F0" w:rsidRPr="009000EB">
        <w:rPr>
          <w:lang w:val="fr-FR"/>
        </w:rPr>
        <w:t>’</w:t>
      </w:r>
      <w:r w:rsidR="007227F9" w:rsidRPr="009000EB">
        <w:rPr>
          <w:lang w:val="fr-FR"/>
        </w:rPr>
        <w:t>une version révisée du document en question (document UPOV/INF/16/5</w:t>
      </w:r>
      <w:r w:rsidR="00535F54" w:rsidRPr="009000EB">
        <w:rPr>
          <w:lang w:val="fr-FR"/>
        </w:rPr>
        <w:t> </w:t>
      </w:r>
      <w:proofErr w:type="spellStart"/>
      <w:r w:rsidR="007227F9" w:rsidRPr="009000EB">
        <w:rPr>
          <w:lang w:val="fr-FR"/>
        </w:rPr>
        <w:t>Draft</w:t>
      </w:r>
      <w:proofErr w:type="spellEnd"/>
      <w:r w:rsidR="007227F9" w:rsidRPr="009000EB">
        <w:rPr>
          <w:lang w:val="fr-FR"/>
        </w:rPr>
        <w:t> 1) devrait être soumis</w:t>
      </w:r>
      <w:r w:rsidR="00B26FA0" w:rsidRPr="009000EB">
        <w:rPr>
          <w:lang w:val="fr-FR"/>
        </w:rPr>
        <w:t>e</w:t>
      </w:r>
      <w:r w:rsidR="007227F9" w:rsidRPr="009000EB">
        <w:rPr>
          <w:lang w:val="fr-FR"/>
        </w:rPr>
        <w:t xml:space="preserve"> au Conseil pour adoption à sa quarante</w:t>
      </w:r>
      <w:r w:rsidR="00535F54" w:rsidRPr="009000EB">
        <w:rPr>
          <w:lang w:val="fr-FR"/>
        </w:rPr>
        <w:noBreakHyphen/>
      </w:r>
      <w:r w:rsidR="007227F9" w:rsidRPr="009000EB">
        <w:rPr>
          <w:lang w:val="fr-FR"/>
        </w:rPr>
        <w:t>neuvième</w:t>
      </w:r>
      <w:r w:rsidR="009C056B" w:rsidRPr="009000EB">
        <w:rPr>
          <w:lang w:val="fr-FR"/>
        </w:rPr>
        <w:t> </w:t>
      </w:r>
      <w:r w:rsidR="007227F9" w:rsidRPr="009000EB">
        <w:rPr>
          <w:lang w:val="fr-FR"/>
        </w:rPr>
        <w:t>session ordinaire (voir les paragraphes</w:t>
      </w:r>
      <w:r w:rsidR="009C056B" w:rsidRPr="009000EB">
        <w:rPr>
          <w:lang w:val="fr-FR"/>
        </w:rPr>
        <w:t> </w:t>
      </w:r>
      <w:r w:rsidR="007227F9" w:rsidRPr="009000EB">
        <w:rPr>
          <w:lang w:val="fr-FR"/>
        </w:rPr>
        <w:t>206 et</w:t>
      </w:r>
      <w:r w:rsidR="00AB3BB1">
        <w:rPr>
          <w:lang w:val="fr-FR"/>
        </w:rPr>
        <w:t> </w:t>
      </w:r>
      <w:r w:rsidR="007227F9" w:rsidRPr="009000EB">
        <w:rPr>
          <w:lang w:val="fr-FR"/>
        </w:rPr>
        <w:t xml:space="preserve">207 du </w:t>
      </w:r>
      <w:r w:rsidR="006A61F0" w:rsidRPr="009000EB">
        <w:rPr>
          <w:lang w:val="fr-FR"/>
        </w:rPr>
        <w:t>document TC</w:t>
      </w:r>
      <w:r w:rsidR="007227F9" w:rsidRPr="009000EB">
        <w:rPr>
          <w:lang w:val="fr-FR"/>
        </w:rPr>
        <w:t xml:space="preserve">/51/39 “Compte rendu”, et les paragraphes 58 </w:t>
      </w:r>
      <w:r w:rsidR="00AB3BB1">
        <w:rPr>
          <w:lang w:val="fr-FR"/>
        </w:rPr>
        <w:t>et </w:t>
      </w:r>
      <w:r w:rsidR="007227F9" w:rsidRPr="009000EB">
        <w:rPr>
          <w:lang w:val="fr-FR"/>
        </w:rPr>
        <w:t>59 du document CAJ/71/10 “Compte rendu des conclusions”</w:t>
      </w:r>
      <w:r w:rsidRPr="009000EB">
        <w:rPr>
          <w:rFonts w:cs="Arial"/>
          <w:lang w:val="fr-FR"/>
        </w:rPr>
        <w:t>)</w:t>
      </w:r>
      <w:r w:rsidRPr="009000EB">
        <w:rPr>
          <w:lang w:val="fr-FR"/>
        </w:rPr>
        <w:t>.</w:t>
      </w:r>
    </w:p>
    <w:p w:rsidR="00B575BA" w:rsidRPr="009000EB" w:rsidRDefault="00B575BA" w:rsidP="00030C17">
      <w:pPr>
        <w:rPr>
          <w:lang w:val="fr-FR"/>
        </w:rPr>
      </w:pPr>
    </w:p>
    <w:p w:rsidR="00245E80" w:rsidRPr="009000EB" w:rsidRDefault="00245E80" w:rsidP="00030C17">
      <w:pPr>
        <w:pStyle w:val="DecisionParagraphs"/>
        <w:rPr>
          <w:lang w:val="fr-FR" w:eastAsia="zh-CN"/>
        </w:rPr>
      </w:pPr>
      <w:r w:rsidRPr="009000EB">
        <w:rPr>
          <w:lang w:val="fr-FR" w:eastAsia="zh-CN"/>
        </w:rPr>
        <w:fldChar w:fldCharType="begin"/>
      </w:r>
      <w:r w:rsidRPr="009000EB">
        <w:rPr>
          <w:lang w:val="fr-FR" w:eastAsia="zh-CN"/>
        </w:rPr>
        <w:instrText xml:space="preserve"> AUTONUM  </w:instrText>
      </w:r>
      <w:r w:rsidRPr="009000EB">
        <w:rPr>
          <w:lang w:val="fr-FR" w:eastAsia="zh-CN"/>
        </w:rPr>
        <w:fldChar w:fldCharType="end"/>
      </w:r>
      <w:r w:rsidRPr="009000EB">
        <w:rPr>
          <w:lang w:val="fr-FR" w:eastAsia="zh-CN"/>
        </w:rPr>
        <w:tab/>
      </w:r>
      <w:r w:rsidR="00BA1EFE" w:rsidRPr="009000EB">
        <w:rPr>
          <w:lang w:val="fr-FR" w:eastAsia="zh-CN"/>
        </w:rPr>
        <w:t xml:space="preserve">Le Conseil est invité à adopter la </w:t>
      </w:r>
      <w:r w:rsidR="00FA102A">
        <w:rPr>
          <w:lang w:val="fr-FR"/>
        </w:rPr>
        <w:t>version révisée</w:t>
      </w:r>
      <w:r w:rsidR="00BA1EFE" w:rsidRPr="009000EB">
        <w:rPr>
          <w:lang w:val="fr-FR" w:eastAsia="zh-CN"/>
        </w:rPr>
        <w:t xml:space="preserve"> du document</w:t>
      </w:r>
      <w:r w:rsidRPr="009000EB">
        <w:rPr>
          <w:lang w:val="fr-FR" w:eastAsia="zh-CN"/>
        </w:rPr>
        <w:t xml:space="preserve"> UPOV/INF/16/4 “</w:t>
      </w:r>
      <w:r w:rsidR="00EE340D" w:rsidRPr="009000EB">
        <w:rPr>
          <w:bCs/>
          <w:lang w:val="fr-FR" w:eastAsia="zh-CN"/>
        </w:rPr>
        <w:t>Logiciels échangeables</w:t>
      </w:r>
      <w:r w:rsidRPr="009000EB">
        <w:rPr>
          <w:lang w:val="fr-FR" w:eastAsia="zh-CN"/>
        </w:rPr>
        <w:t>” (</w:t>
      </w:r>
      <w:r w:rsidRPr="009000EB">
        <w:rPr>
          <w:lang w:val="fr-FR"/>
        </w:rPr>
        <w:t>document UPOV/INF/16/5)</w:t>
      </w:r>
      <w:r w:rsidRPr="009000EB">
        <w:rPr>
          <w:lang w:val="fr-FR" w:eastAsia="zh-CN"/>
        </w:rPr>
        <w:t xml:space="preserve">, </w:t>
      </w:r>
      <w:r w:rsidR="00BA1EFE" w:rsidRPr="009000EB">
        <w:rPr>
          <w:lang w:val="fr-FR" w:eastAsia="zh-CN"/>
        </w:rPr>
        <w:t xml:space="preserve">sur la base du </w:t>
      </w:r>
      <w:r w:rsidRPr="009000EB">
        <w:rPr>
          <w:lang w:val="fr-FR" w:eastAsia="zh-CN"/>
        </w:rPr>
        <w:t xml:space="preserve">document </w:t>
      </w:r>
      <w:r w:rsidRPr="009000EB">
        <w:rPr>
          <w:lang w:val="fr-FR"/>
        </w:rPr>
        <w:t>UPOV/INF/16/5 </w:t>
      </w:r>
      <w:proofErr w:type="spellStart"/>
      <w:r w:rsidRPr="009000EB">
        <w:rPr>
          <w:lang w:val="fr-FR"/>
        </w:rPr>
        <w:t>Draft</w:t>
      </w:r>
      <w:proofErr w:type="spellEnd"/>
      <w:r w:rsidRPr="009000EB">
        <w:rPr>
          <w:lang w:val="fr-FR"/>
        </w:rPr>
        <w:t> 1</w:t>
      </w:r>
      <w:r w:rsidRPr="009000EB">
        <w:rPr>
          <w:lang w:val="fr-FR" w:eastAsia="zh-CN"/>
        </w:rPr>
        <w:t>.</w:t>
      </w:r>
    </w:p>
    <w:p w:rsidR="00245E80" w:rsidRPr="009000EB" w:rsidRDefault="00245E80" w:rsidP="00030C17">
      <w:pPr>
        <w:rPr>
          <w:lang w:val="fr-FR"/>
        </w:rPr>
      </w:pPr>
    </w:p>
    <w:p w:rsidR="00656481" w:rsidRPr="009000EB" w:rsidRDefault="00656481" w:rsidP="00030C17">
      <w:pPr>
        <w:rPr>
          <w:lang w:val="fr-FR"/>
        </w:rPr>
      </w:pPr>
    </w:p>
    <w:p w:rsidR="00ED6EFE" w:rsidRPr="009000EB" w:rsidRDefault="00ED6EFE" w:rsidP="00030C17">
      <w:pPr>
        <w:rPr>
          <w:bCs/>
          <w:snapToGrid w:val="0"/>
          <w:spacing w:val="-4"/>
          <w:szCs w:val="24"/>
          <w:u w:val="single"/>
          <w:lang w:val="fr-FR"/>
        </w:rPr>
      </w:pPr>
      <w:r w:rsidRPr="009000EB">
        <w:rPr>
          <w:bCs/>
          <w:snapToGrid w:val="0"/>
          <w:spacing w:val="-4"/>
          <w:szCs w:val="24"/>
          <w:u w:val="single"/>
          <w:lang w:val="fr-FR"/>
        </w:rPr>
        <w:t>UPOV/INF/22</w:t>
      </w:r>
      <w:r w:rsidR="009C056B" w:rsidRPr="009000EB">
        <w:rPr>
          <w:bCs/>
          <w:snapToGrid w:val="0"/>
          <w:spacing w:val="-4"/>
          <w:szCs w:val="24"/>
          <w:u w:val="single"/>
          <w:lang w:val="fr-FR"/>
        </w:rPr>
        <w:t> :</w:t>
      </w:r>
      <w:r w:rsidRPr="009000EB">
        <w:rPr>
          <w:bCs/>
          <w:snapToGrid w:val="0"/>
          <w:spacing w:val="-4"/>
          <w:szCs w:val="24"/>
          <w:u w:val="single"/>
          <w:lang w:val="fr-FR"/>
        </w:rPr>
        <w:t xml:space="preserve"> </w:t>
      </w:r>
      <w:r w:rsidR="00152C5D" w:rsidRPr="009000EB">
        <w:rPr>
          <w:bCs/>
          <w:snapToGrid w:val="0"/>
          <w:spacing w:val="-4"/>
          <w:szCs w:val="24"/>
          <w:u w:val="single"/>
          <w:lang w:val="fr-FR"/>
        </w:rPr>
        <w:t>Logiciels et équipements utilisés par les membres de l</w:t>
      </w:r>
      <w:r w:rsidR="006A61F0" w:rsidRPr="009000EB">
        <w:rPr>
          <w:bCs/>
          <w:snapToGrid w:val="0"/>
          <w:spacing w:val="-4"/>
          <w:szCs w:val="24"/>
          <w:u w:val="single"/>
          <w:lang w:val="fr-FR"/>
        </w:rPr>
        <w:t>’</w:t>
      </w:r>
      <w:r w:rsidR="00152C5D" w:rsidRPr="009000EB">
        <w:rPr>
          <w:bCs/>
          <w:snapToGrid w:val="0"/>
          <w:spacing w:val="-4"/>
          <w:szCs w:val="24"/>
          <w:u w:val="single"/>
          <w:lang w:val="fr-FR"/>
        </w:rPr>
        <w:t>Union (révision) (</w:t>
      </w:r>
      <w:r w:rsidR="00162CD7">
        <w:rPr>
          <w:bCs/>
          <w:snapToGrid w:val="0"/>
          <w:spacing w:val="-4"/>
          <w:szCs w:val="24"/>
          <w:u w:val="single"/>
          <w:lang w:val="fr-FR"/>
        </w:rPr>
        <w:t>document </w:t>
      </w:r>
      <w:r w:rsidR="006A61F0" w:rsidRPr="009000EB">
        <w:rPr>
          <w:bCs/>
          <w:snapToGrid w:val="0"/>
          <w:spacing w:val="-4"/>
          <w:szCs w:val="24"/>
          <w:u w:val="single"/>
          <w:lang w:val="fr-FR"/>
        </w:rPr>
        <w:t>UP</w:t>
      </w:r>
      <w:r w:rsidR="00AB3BB1">
        <w:rPr>
          <w:bCs/>
          <w:snapToGrid w:val="0"/>
          <w:spacing w:val="-4"/>
          <w:szCs w:val="24"/>
          <w:u w:val="single"/>
          <w:lang w:val="fr-FR"/>
        </w:rPr>
        <w:t>OV/INF/22/2 </w:t>
      </w:r>
      <w:proofErr w:type="spellStart"/>
      <w:r w:rsidR="00AB3BB1">
        <w:rPr>
          <w:bCs/>
          <w:snapToGrid w:val="0"/>
          <w:spacing w:val="-4"/>
          <w:szCs w:val="24"/>
          <w:u w:val="single"/>
          <w:lang w:val="fr-FR"/>
        </w:rPr>
        <w:t>Draft</w:t>
      </w:r>
      <w:proofErr w:type="spellEnd"/>
      <w:r w:rsidR="00AB3BB1">
        <w:rPr>
          <w:bCs/>
          <w:snapToGrid w:val="0"/>
          <w:spacing w:val="-4"/>
          <w:szCs w:val="24"/>
          <w:u w:val="single"/>
          <w:lang w:val="fr-FR"/>
        </w:rPr>
        <w:t> </w:t>
      </w:r>
      <w:r w:rsidR="00152C5D" w:rsidRPr="009000EB">
        <w:rPr>
          <w:bCs/>
          <w:snapToGrid w:val="0"/>
          <w:spacing w:val="-4"/>
          <w:szCs w:val="24"/>
          <w:u w:val="single"/>
          <w:lang w:val="fr-FR"/>
        </w:rPr>
        <w:t>1</w:t>
      </w:r>
      <w:r w:rsidRPr="009000EB">
        <w:rPr>
          <w:bCs/>
          <w:snapToGrid w:val="0"/>
          <w:spacing w:val="-4"/>
          <w:szCs w:val="24"/>
          <w:u w:val="single"/>
          <w:lang w:val="fr-FR"/>
        </w:rPr>
        <w:t>)</w:t>
      </w:r>
    </w:p>
    <w:p w:rsidR="00ED6EFE" w:rsidRPr="009000EB" w:rsidRDefault="00ED6EFE" w:rsidP="00030C17">
      <w:pPr>
        <w:rPr>
          <w:bCs/>
          <w:snapToGrid w:val="0"/>
          <w:spacing w:val="-4"/>
          <w:szCs w:val="24"/>
          <w:lang w:val="fr-FR"/>
        </w:rPr>
      </w:pPr>
    </w:p>
    <w:p w:rsidR="000102B7" w:rsidRPr="009000EB" w:rsidRDefault="00ED6EFE" w:rsidP="00030C17">
      <w:pPr>
        <w:rPr>
          <w:iCs/>
          <w:lang w:val="fr-FR"/>
        </w:rPr>
      </w:pPr>
      <w:r w:rsidRPr="009000EB">
        <w:rPr>
          <w:color w:val="000000"/>
          <w:lang w:val="fr-FR"/>
        </w:rPr>
        <w:fldChar w:fldCharType="begin"/>
      </w:r>
      <w:r w:rsidRPr="009000EB">
        <w:rPr>
          <w:color w:val="000000"/>
          <w:lang w:val="fr-FR"/>
        </w:rPr>
        <w:instrText xml:space="preserve"> AUTONUM  </w:instrText>
      </w:r>
      <w:r w:rsidRPr="009000EB">
        <w:rPr>
          <w:color w:val="000000"/>
          <w:lang w:val="fr-FR"/>
        </w:rPr>
        <w:fldChar w:fldCharType="end"/>
      </w:r>
      <w:r w:rsidRPr="009000EB">
        <w:rPr>
          <w:color w:val="000000"/>
          <w:lang w:val="fr-FR"/>
        </w:rPr>
        <w:tab/>
      </w:r>
      <w:r w:rsidR="00E17132" w:rsidRPr="009000EB">
        <w:rPr>
          <w:lang w:val="fr-FR"/>
        </w:rPr>
        <w:t>Le</w:t>
      </w:r>
      <w:r w:rsidR="006A61F0" w:rsidRPr="009000EB">
        <w:rPr>
          <w:lang w:val="fr-FR"/>
        </w:rPr>
        <w:t> TC</w:t>
      </w:r>
      <w:r w:rsidR="00E17132" w:rsidRPr="009000EB">
        <w:rPr>
          <w:lang w:val="fr-FR"/>
        </w:rPr>
        <w:t>, à sa cinquante</w:t>
      </w:r>
      <w:r w:rsidR="009C056B" w:rsidRPr="009000EB">
        <w:rPr>
          <w:lang w:val="fr-FR"/>
        </w:rPr>
        <w:t> </w:t>
      </w:r>
      <w:r w:rsidR="00E17132" w:rsidRPr="009000EB">
        <w:rPr>
          <w:lang w:val="fr-FR"/>
        </w:rPr>
        <w:t>et</w:t>
      </w:r>
      <w:r w:rsidR="009C056B" w:rsidRPr="009000EB">
        <w:rPr>
          <w:lang w:val="fr-FR"/>
        </w:rPr>
        <w:t> </w:t>
      </w:r>
      <w:r w:rsidR="00E17132" w:rsidRPr="009000EB">
        <w:rPr>
          <w:lang w:val="fr-FR"/>
        </w:rPr>
        <w:t>unième</w:t>
      </w:r>
      <w:r w:rsidR="009C056B" w:rsidRPr="009000EB">
        <w:rPr>
          <w:lang w:val="fr-FR"/>
        </w:rPr>
        <w:t> </w:t>
      </w:r>
      <w:r w:rsidR="00E17132" w:rsidRPr="009000EB">
        <w:rPr>
          <w:lang w:val="fr-FR"/>
        </w:rPr>
        <w:t>session, et</w:t>
      </w:r>
      <w:r w:rsidR="006A61F0" w:rsidRPr="009000EB">
        <w:rPr>
          <w:lang w:val="fr-FR"/>
        </w:rPr>
        <w:t xml:space="preserve"> le CAJ</w:t>
      </w:r>
      <w:r w:rsidR="00E17132" w:rsidRPr="009000EB">
        <w:rPr>
          <w:lang w:val="fr-FR"/>
        </w:rPr>
        <w:t>, à sa soixante</w:t>
      </w:r>
      <w:r w:rsidR="00535F54" w:rsidRPr="009000EB">
        <w:rPr>
          <w:lang w:val="fr-FR"/>
        </w:rPr>
        <w:t> </w:t>
      </w:r>
      <w:r w:rsidR="00E17132" w:rsidRPr="009000EB">
        <w:rPr>
          <w:lang w:val="fr-FR"/>
        </w:rPr>
        <w:t>et</w:t>
      </w:r>
      <w:r w:rsidR="00535F54" w:rsidRPr="009000EB">
        <w:rPr>
          <w:lang w:val="fr-FR"/>
        </w:rPr>
        <w:t> </w:t>
      </w:r>
      <w:r w:rsidR="00E17132" w:rsidRPr="009000EB">
        <w:rPr>
          <w:lang w:val="fr-FR"/>
        </w:rPr>
        <w:t>onzième</w:t>
      </w:r>
      <w:r w:rsidR="009C056B" w:rsidRPr="009000EB">
        <w:rPr>
          <w:lang w:val="fr-FR"/>
        </w:rPr>
        <w:t> </w:t>
      </w:r>
      <w:r w:rsidR="00E17132" w:rsidRPr="009000EB">
        <w:rPr>
          <w:lang w:val="fr-FR"/>
        </w:rPr>
        <w:t>session, ont approuvé les propositions de révision du texte du</w:t>
      </w:r>
      <w:r w:rsidR="00686552" w:rsidRPr="009000EB">
        <w:rPr>
          <w:lang w:val="fr-FR"/>
        </w:rPr>
        <w:t xml:space="preserve"> document </w:t>
      </w:r>
      <w:r w:rsidRPr="009000EB">
        <w:rPr>
          <w:rFonts w:eastAsia="MS Mincho"/>
          <w:snapToGrid w:val="0"/>
          <w:lang w:val="fr-FR"/>
        </w:rPr>
        <w:t>UPOV/INF/22</w:t>
      </w:r>
      <w:r w:rsidR="00686552" w:rsidRPr="009000EB">
        <w:rPr>
          <w:rFonts w:eastAsia="MS Mincho"/>
          <w:snapToGrid w:val="0"/>
          <w:lang w:val="fr-FR"/>
        </w:rPr>
        <w:t>/1</w:t>
      </w:r>
      <w:r w:rsidRPr="009000EB">
        <w:rPr>
          <w:rFonts w:eastAsia="MS Mincho"/>
          <w:snapToGrid w:val="0"/>
          <w:lang w:val="fr-FR"/>
        </w:rPr>
        <w:t xml:space="preserve"> “</w:t>
      </w:r>
      <w:r w:rsidR="00E17132" w:rsidRPr="009000EB">
        <w:rPr>
          <w:rFonts w:eastAsia="MS Mincho"/>
          <w:bCs/>
          <w:snapToGrid w:val="0"/>
          <w:lang w:val="fr-FR"/>
        </w:rPr>
        <w:t>Logiciels et équipements utilisés par les membres de l</w:t>
      </w:r>
      <w:r w:rsidR="006A61F0" w:rsidRPr="009000EB">
        <w:rPr>
          <w:rFonts w:eastAsia="MS Mincho"/>
          <w:bCs/>
          <w:snapToGrid w:val="0"/>
          <w:lang w:val="fr-FR"/>
        </w:rPr>
        <w:t>’</w:t>
      </w:r>
      <w:r w:rsidR="00E17132" w:rsidRPr="009000EB">
        <w:rPr>
          <w:rFonts w:eastAsia="MS Mincho"/>
          <w:bCs/>
          <w:snapToGrid w:val="0"/>
          <w:lang w:val="fr-FR"/>
        </w:rPr>
        <w:t>Union</w:t>
      </w:r>
      <w:r w:rsidRPr="009000EB">
        <w:rPr>
          <w:rFonts w:eastAsia="MS Mincho"/>
          <w:snapToGrid w:val="0"/>
          <w:lang w:val="fr-FR"/>
        </w:rPr>
        <w:t>”</w:t>
      </w:r>
      <w:r w:rsidR="00686552" w:rsidRPr="009000EB">
        <w:rPr>
          <w:rFonts w:eastAsia="MS Mincho"/>
          <w:snapToGrid w:val="0"/>
          <w:lang w:val="fr-FR"/>
        </w:rPr>
        <w:t xml:space="preserve">, </w:t>
      </w:r>
      <w:r w:rsidR="00E17132" w:rsidRPr="009000EB">
        <w:rPr>
          <w:iCs/>
          <w:lang w:val="fr-FR"/>
        </w:rPr>
        <w:t>sous réserve des corrections qui seront indiquées par l</w:t>
      </w:r>
      <w:r w:rsidR="006A61F0" w:rsidRPr="009000EB">
        <w:rPr>
          <w:iCs/>
          <w:lang w:val="fr-FR"/>
        </w:rPr>
        <w:t>’</w:t>
      </w:r>
      <w:r w:rsidR="00E17132" w:rsidRPr="009000EB">
        <w:rPr>
          <w:iCs/>
          <w:lang w:val="fr-FR"/>
        </w:rPr>
        <w:t xml:space="preserve">Allemagne et de la vérification des données </w:t>
      </w:r>
      <w:r w:rsidR="00FA102A">
        <w:rPr>
          <w:iCs/>
          <w:lang w:val="fr-FR"/>
        </w:rPr>
        <w:t xml:space="preserve">fournies </w:t>
      </w:r>
      <w:r w:rsidR="00E17132" w:rsidRPr="009000EB">
        <w:rPr>
          <w:iCs/>
          <w:lang w:val="fr-FR"/>
        </w:rPr>
        <w:t>par l</w:t>
      </w:r>
      <w:r w:rsidR="006A61F0" w:rsidRPr="009000EB">
        <w:rPr>
          <w:iCs/>
          <w:lang w:val="fr-FR"/>
        </w:rPr>
        <w:t>’</w:t>
      </w:r>
      <w:r w:rsidR="00E17132" w:rsidRPr="009000EB">
        <w:rPr>
          <w:iCs/>
          <w:lang w:val="fr-FR"/>
        </w:rPr>
        <w:t>Uruguay</w:t>
      </w:r>
      <w:r w:rsidR="000102B7" w:rsidRPr="009000EB">
        <w:rPr>
          <w:iCs/>
          <w:lang w:val="fr-FR"/>
        </w:rPr>
        <w:t>.</w:t>
      </w:r>
    </w:p>
    <w:p w:rsidR="000102B7" w:rsidRPr="009000EB" w:rsidRDefault="000102B7" w:rsidP="00030C17">
      <w:pPr>
        <w:rPr>
          <w:iCs/>
          <w:lang w:val="fr-FR"/>
        </w:rPr>
      </w:pPr>
    </w:p>
    <w:p w:rsidR="00ED6EFE" w:rsidRPr="009000EB" w:rsidRDefault="000102B7" w:rsidP="00030C17">
      <w:pPr>
        <w:rPr>
          <w:rFonts w:eastAsia="MS Mincho"/>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8E2DDA" w:rsidRPr="009000EB">
        <w:rPr>
          <w:lang w:val="fr-FR"/>
        </w:rPr>
        <w:t>Compte tenu de ce qui précède, le</w:t>
      </w:r>
      <w:r w:rsidR="006A61F0" w:rsidRPr="009000EB">
        <w:rPr>
          <w:lang w:val="fr-FR"/>
        </w:rPr>
        <w:t> TC</w:t>
      </w:r>
      <w:r w:rsidR="008E2DDA" w:rsidRPr="009000EB">
        <w:rPr>
          <w:lang w:val="fr-FR"/>
        </w:rPr>
        <w:t xml:space="preserve"> et</w:t>
      </w:r>
      <w:r w:rsidR="006A61F0" w:rsidRPr="009000EB">
        <w:rPr>
          <w:lang w:val="fr-FR"/>
        </w:rPr>
        <w:t xml:space="preserve"> le CAJ</w:t>
      </w:r>
      <w:r w:rsidR="008E2DDA" w:rsidRPr="009000EB">
        <w:rPr>
          <w:lang w:val="fr-FR"/>
        </w:rPr>
        <w:t xml:space="preserve"> sont convenus qu</w:t>
      </w:r>
      <w:r w:rsidR="00FA102A">
        <w:rPr>
          <w:lang w:val="fr-FR"/>
        </w:rPr>
        <w:t xml:space="preserve">’un </w:t>
      </w:r>
      <w:r w:rsidR="00162CD7">
        <w:rPr>
          <w:lang w:val="fr-FR"/>
        </w:rPr>
        <w:t xml:space="preserve">projet </w:t>
      </w:r>
      <w:r w:rsidR="008E2DDA" w:rsidRPr="009000EB">
        <w:rPr>
          <w:lang w:val="fr-FR"/>
        </w:rPr>
        <w:t>du document UPOV/INF/22/2 devrait être soumis au Conseil pour adoption à sa quarante</w:t>
      </w:r>
      <w:r w:rsidR="00535F54" w:rsidRPr="009000EB">
        <w:rPr>
          <w:lang w:val="fr-FR"/>
        </w:rPr>
        <w:noBreakHyphen/>
      </w:r>
      <w:r w:rsidR="008E2DDA" w:rsidRPr="009000EB">
        <w:rPr>
          <w:lang w:val="fr-FR"/>
        </w:rPr>
        <w:t>neuvième</w:t>
      </w:r>
      <w:r w:rsidR="009C056B" w:rsidRPr="009000EB">
        <w:rPr>
          <w:lang w:val="fr-FR"/>
        </w:rPr>
        <w:t> </w:t>
      </w:r>
      <w:r w:rsidR="008E2DDA" w:rsidRPr="009000EB">
        <w:rPr>
          <w:lang w:val="fr-FR"/>
        </w:rPr>
        <w:t xml:space="preserve">session ordinaire </w:t>
      </w:r>
      <w:r w:rsidR="00B26FA0" w:rsidRPr="009000EB">
        <w:rPr>
          <w:lang w:val="fr-FR"/>
        </w:rPr>
        <w:t>(</w:t>
      </w:r>
      <w:r w:rsidR="008E2DDA" w:rsidRPr="009000EB">
        <w:rPr>
          <w:lang w:val="fr-FR"/>
        </w:rPr>
        <w:t>voir les paragraphes</w:t>
      </w:r>
      <w:r w:rsidR="009C056B" w:rsidRPr="009000EB">
        <w:rPr>
          <w:lang w:val="fr-FR"/>
        </w:rPr>
        <w:t> </w:t>
      </w:r>
      <w:r w:rsidR="008E2DDA" w:rsidRPr="009000EB">
        <w:rPr>
          <w:lang w:val="fr-FR"/>
        </w:rPr>
        <w:t>209</w:t>
      </w:r>
      <w:r w:rsidR="00AB3BB1">
        <w:rPr>
          <w:lang w:val="fr-FR"/>
        </w:rPr>
        <w:t xml:space="preserve"> et </w:t>
      </w:r>
      <w:r w:rsidR="008E2DDA" w:rsidRPr="009000EB">
        <w:rPr>
          <w:lang w:val="fr-FR"/>
        </w:rPr>
        <w:t xml:space="preserve">210 du </w:t>
      </w:r>
      <w:r w:rsidR="006A61F0" w:rsidRPr="009000EB">
        <w:rPr>
          <w:lang w:val="fr-FR"/>
        </w:rPr>
        <w:t>document TC</w:t>
      </w:r>
      <w:r w:rsidR="008E2DDA" w:rsidRPr="009000EB">
        <w:rPr>
          <w:lang w:val="fr-FR"/>
        </w:rPr>
        <w:t>/51/39 “Compte rendu”, et les paragraphes 61</w:t>
      </w:r>
      <w:r w:rsidR="00AB3BB1">
        <w:rPr>
          <w:lang w:val="fr-FR"/>
        </w:rPr>
        <w:t xml:space="preserve"> et </w:t>
      </w:r>
      <w:r w:rsidR="008E2DDA" w:rsidRPr="009000EB">
        <w:rPr>
          <w:lang w:val="fr-FR"/>
        </w:rPr>
        <w:t>62 du document CAJ/71/10 “Compte rendu des conclusions”)</w:t>
      </w:r>
      <w:r w:rsidR="00ED6EFE" w:rsidRPr="009000EB">
        <w:rPr>
          <w:lang w:val="fr-FR"/>
        </w:rPr>
        <w:t>.</w:t>
      </w:r>
    </w:p>
    <w:p w:rsidR="00ED6EFE" w:rsidRPr="009000EB" w:rsidRDefault="00ED6EFE" w:rsidP="00030C17">
      <w:pPr>
        <w:rPr>
          <w:rFonts w:eastAsia="MS Mincho"/>
          <w:lang w:val="fr-FR"/>
        </w:rPr>
      </w:pPr>
    </w:p>
    <w:p w:rsidR="00D40098" w:rsidRPr="009000EB" w:rsidRDefault="00D40098" w:rsidP="00030C17">
      <w:pPr>
        <w:pStyle w:val="DecisionParagraphs"/>
        <w:rPr>
          <w:lang w:val="fr-FR" w:eastAsia="zh-CN"/>
        </w:rPr>
      </w:pPr>
      <w:r w:rsidRPr="009000EB">
        <w:rPr>
          <w:lang w:val="fr-FR" w:eastAsia="zh-CN"/>
        </w:rPr>
        <w:fldChar w:fldCharType="begin"/>
      </w:r>
      <w:r w:rsidRPr="009000EB">
        <w:rPr>
          <w:lang w:val="fr-FR" w:eastAsia="zh-CN"/>
        </w:rPr>
        <w:instrText xml:space="preserve"> AUTONUM  </w:instrText>
      </w:r>
      <w:r w:rsidRPr="009000EB">
        <w:rPr>
          <w:lang w:val="fr-FR" w:eastAsia="zh-CN"/>
        </w:rPr>
        <w:fldChar w:fldCharType="end"/>
      </w:r>
      <w:r w:rsidRPr="009000EB">
        <w:rPr>
          <w:lang w:val="fr-FR" w:eastAsia="zh-CN"/>
        </w:rPr>
        <w:tab/>
      </w:r>
      <w:r w:rsidR="004F1181" w:rsidRPr="009000EB">
        <w:rPr>
          <w:lang w:val="fr-FR" w:eastAsia="zh-CN"/>
        </w:rPr>
        <w:t xml:space="preserve">Le Conseil est invité à adopter la </w:t>
      </w:r>
      <w:r w:rsidR="00FA102A">
        <w:rPr>
          <w:lang w:val="fr-FR"/>
        </w:rPr>
        <w:t>version révisée</w:t>
      </w:r>
      <w:r w:rsidR="004F1181" w:rsidRPr="009000EB">
        <w:rPr>
          <w:lang w:val="fr-FR" w:eastAsia="zh-CN"/>
        </w:rPr>
        <w:t xml:space="preserve"> du document</w:t>
      </w:r>
      <w:r w:rsidRPr="009000EB">
        <w:rPr>
          <w:lang w:val="fr-FR" w:eastAsia="zh-CN"/>
        </w:rPr>
        <w:t xml:space="preserve"> UPOV/INF/22/1 “</w:t>
      </w:r>
      <w:r w:rsidR="004F1181" w:rsidRPr="009000EB">
        <w:rPr>
          <w:bCs/>
          <w:lang w:val="fr-FR" w:eastAsia="zh-CN"/>
        </w:rPr>
        <w:t>Logiciels et équipements utilisés par les membres de l</w:t>
      </w:r>
      <w:r w:rsidR="006A61F0" w:rsidRPr="009000EB">
        <w:rPr>
          <w:bCs/>
          <w:lang w:val="fr-FR" w:eastAsia="zh-CN"/>
        </w:rPr>
        <w:t>’</w:t>
      </w:r>
      <w:r w:rsidR="004F1181" w:rsidRPr="009000EB">
        <w:rPr>
          <w:bCs/>
          <w:lang w:val="fr-FR" w:eastAsia="zh-CN"/>
        </w:rPr>
        <w:t>Union</w:t>
      </w:r>
      <w:r w:rsidRPr="009000EB">
        <w:rPr>
          <w:lang w:val="fr-FR" w:eastAsia="zh-CN"/>
        </w:rPr>
        <w:t>” (</w:t>
      </w:r>
      <w:r w:rsidR="006A61F0" w:rsidRPr="009000EB">
        <w:rPr>
          <w:lang w:val="fr-FR"/>
        </w:rPr>
        <w:t>document UP</w:t>
      </w:r>
      <w:r w:rsidRPr="009000EB">
        <w:rPr>
          <w:lang w:val="fr-FR"/>
        </w:rPr>
        <w:t>OV/INF/22/2)</w:t>
      </w:r>
      <w:r w:rsidRPr="009000EB">
        <w:rPr>
          <w:lang w:val="fr-FR" w:eastAsia="zh-CN"/>
        </w:rPr>
        <w:t xml:space="preserve">, </w:t>
      </w:r>
      <w:r w:rsidR="004F1181" w:rsidRPr="009000EB">
        <w:rPr>
          <w:lang w:val="fr-FR" w:eastAsia="zh-CN"/>
        </w:rPr>
        <w:t xml:space="preserve">sur la base du </w:t>
      </w:r>
      <w:r w:rsidR="006A61F0" w:rsidRPr="009000EB">
        <w:rPr>
          <w:lang w:val="fr-FR" w:eastAsia="zh-CN"/>
        </w:rPr>
        <w:t xml:space="preserve">document </w:t>
      </w:r>
      <w:r w:rsidR="006A61F0" w:rsidRPr="009000EB">
        <w:rPr>
          <w:lang w:val="fr-FR"/>
        </w:rPr>
        <w:t>UP</w:t>
      </w:r>
      <w:r w:rsidRPr="009000EB">
        <w:rPr>
          <w:lang w:val="fr-FR"/>
        </w:rPr>
        <w:t>OV/INF/22/2 </w:t>
      </w:r>
      <w:proofErr w:type="spellStart"/>
      <w:r w:rsidRPr="009000EB">
        <w:rPr>
          <w:lang w:val="fr-FR"/>
        </w:rPr>
        <w:t>Draft</w:t>
      </w:r>
      <w:proofErr w:type="spellEnd"/>
      <w:r w:rsidRPr="009000EB">
        <w:rPr>
          <w:lang w:val="fr-FR"/>
        </w:rPr>
        <w:t> 1</w:t>
      </w:r>
      <w:r w:rsidRPr="009000EB">
        <w:rPr>
          <w:lang w:val="fr-FR" w:eastAsia="zh-CN"/>
        </w:rPr>
        <w:t>.</w:t>
      </w:r>
    </w:p>
    <w:p w:rsidR="00686552" w:rsidRPr="009000EB" w:rsidRDefault="00686552" w:rsidP="00030C17">
      <w:pPr>
        <w:rPr>
          <w:u w:val="single"/>
          <w:lang w:val="fr-FR"/>
        </w:rPr>
      </w:pPr>
    </w:p>
    <w:p w:rsidR="00ED6EFE" w:rsidRPr="009000EB" w:rsidRDefault="00ED6EFE" w:rsidP="00030C17">
      <w:pPr>
        <w:tabs>
          <w:tab w:val="left" w:pos="1701"/>
        </w:tabs>
        <w:rPr>
          <w:spacing w:val="-2"/>
          <w:szCs w:val="24"/>
          <w:u w:val="single"/>
          <w:lang w:val="fr-FR"/>
        </w:rPr>
      </w:pPr>
    </w:p>
    <w:p w:rsidR="00ED6EFE" w:rsidRPr="009000EB" w:rsidRDefault="00ED6EFE" w:rsidP="00030C17">
      <w:pPr>
        <w:keepNext/>
        <w:rPr>
          <w:u w:val="single"/>
          <w:lang w:val="fr-FR"/>
        </w:rPr>
      </w:pPr>
      <w:r w:rsidRPr="009000EB">
        <w:rPr>
          <w:bCs/>
          <w:snapToGrid w:val="0"/>
          <w:szCs w:val="24"/>
          <w:u w:val="single"/>
          <w:lang w:val="fr-FR"/>
        </w:rPr>
        <w:t>UPOV/INF</w:t>
      </w:r>
      <w:r w:rsidR="00535F54" w:rsidRPr="009000EB">
        <w:rPr>
          <w:bCs/>
          <w:snapToGrid w:val="0"/>
          <w:szCs w:val="24"/>
          <w:u w:val="single"/>
          <w:lang w:val="fr-FR"/>
        </w:rPr>
        <w:noBreakHyphen/>
      </w:r>
      <w:r w:rsidRPr="009000EB">
        <w:rPr>
          <w:bCs/>
          <w:snapToGrid w:val="0"/>
          <w:szCs w:val="24"/>
          <w:u w:val="single"/>
          <w:lang w:val="fr-FR"/>
        </w:rPr>
        <w:t>EXN</w:t>
      </w:r>
      <w:r w:rsidR="009C056B" w:rsidRPr="009000EB">
        <w:rPr>
          <w:bCs/>
          <w:snapToGrid w:val="0"/>
          <w:szCs w:val="24"/>
          <w:u w:val="single"/>
          <w:lang w:val="fr-FR"/>
        </w:rPr>
        <w:t> :</w:t>
      </w:r>
      <w:r w:rsidRPr="009000EB">
        <w:rPr>
          <w:bCs/>
          <w:snapToGrid w:val="0"/>
          <w:szCs w:val="24"/>
          <w:u w:val="single"/>
          <w:lang w:val="fr-FR"/>
        </w:rPr>
        <w:t xml:space="preserve"> </w:t>
      </w:r>
      <w:r w:rsidR="00AB3BB1">
        <w:rPr>
          <w:u w:val="single"/>
          <w:lang w:val="fr-FR"/>
        </w:rPr>
        <w:t>Liste des documents INF</w:t>
      </w:r>
      <w:r w:rsidR="00AB3BB1">
        <w:rPr>
          <w:u w:val="single"/>
          <w:lang w:val="fr-FR"/>
        </w:rPr>
        <w:noBreakHyphen/>
      </w:r>
      <w:r w:rsidR="001813A9" w:rsidRPr="009000EB">
        <w:rPr>
          <w:u w:val="single"/>
          <w:lang w:val="fr-FR"/>
        </w:rPr>
        <w:t>EXN et date de la version la plus récente de ces documents (révision) (document UPOV/INF</w:t>
      </w:r>
      <w:r w:rsidR="00535F54" w:rsidRPr="009000EB">
        <w:rPr>
          <w:u w:val="single"/>
          <w:lang w:val="fr-FR"/>
        </w:rPr>
        <w:noBreakHyphen/>
        <w:t>EXN/8 </w:t>
      </w:r>
      <w:proofErr w:type="spellStart"/>
      <w:r w:rsidR="00535F54" w:rsidRPr="009000EB">
        <w:rPr>
          <w:u w:val="single"/>
          <w:lang w:val="fr-FR"/>
        </w:rPr>
        <w:t>Draft</w:t>
      </w:r>
      <w:proofErr w:type="spellEnd"/>
      <w:r w:rsidR="00535F54" w:rsidRPr="009000EB">
        <w:rPr>
          <w:u w:val="single"/>
          <w:lang w:val="fr-FR"/>
        </w:rPr>
        <w:t> </w:t>
      </w:r>
      <w:r w:rsidR="001813A9" w:rsidRPr="009000EB">
        <w:rPr>
          <w:u w:val="single"/>
          <w:lang w:val="fr-FR"/>
        </w:rPr>
        <w:t>1</w:t>
      </w:r>
      <w:r w:rsidR="00012F0A" w:rsidRPr="009000EB">
        <w:rPr>
          <w:kern w:val="28"/>
          <w:u w:val="single"/>
          <w:lang w:val="fr-FR"/>
        </w:rPr>
        <w:t>)</w:t>
      </w:r>
    </w:p>
    <w:p w:rsidR="00ED6EFE" w:rsidRPr="009000EB" w:rsidRDefault="00ED6EFE" w:rsidP="00030C17">
      <w:pPr>
        <w:keepNext/>
        <w:rPr>
          <w:lang w:val="fr-FR"/>
        </w:rPr>
      </w:pPr>
    </w:p>
    <w:p w:rsidR="00ED6EFE" w:rsidRPr="009000EB" w:rsidRDefault="00ED6EFE" w:rsidP="00030C17">
      <w:pPr>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C42AFD" w:rsidRPr="009000EB">
        <w:rPr>
          <w:lang w:val="fr-FR"/>
        </w:rPr>
        <w:t>Parallèlement aux documents d</w:t>
      </w:r>
      <w:r w:rsidR="006A61F0" w:rsidRPr="009000EB">
        <w:rPr>
          <w:lang w:val="fr-FR"/>
        </w:rPr>
        <w:t>’</w:t>
      </w:r>
      <w:r w:rsidR="00C42AFD" w:rsidRPr="009000EB">
        <w:rPr>
          <w:lang w:val="fr-FR"/>
        </w:rPr>
        <w:t>information que le Conseil sera invité à adopter à sa quarante</w:t>
      </w:r>
      <w:r w:rsidR="00535F54" w:rsidRPr="009000EB">
        <w:rPr>
          <w:lang w:val="fr-FR"/>
        </w:rPr>
        <w:noBreakHyphen/>
      </w:r>
      <w:r w:rsidR="00C42AFD" w:rsidRPr="009000EB">
        <w:rPr>
          <w:lang w:val="fr-FR"/>
        </w:rPr>
        <w:t>neuvième session ordinaire</w:t>
      </w:r>
      <w:r w:rsidRPr="009000EB">
        <w:rPr>
          <w:lang w:val="fr-FR"/>
        </w:rPr>
        <w:t xml:space="preserve">, </w:t>
      </w:r>
      <w:r w:rsidR="00496F98" w:rsidRPr="009000EB">
        <w:rPr>
          <w:lang w:val="fr-FR"/>
        </w:rPr>
        <w:t>il est proposé d</w:t>
      </w:r>
      <w:r w:rsidR="006A61F0" w:rsidRPr="009000EB">
        <w:rPr>
          <w:lang w:val="fr-FR"/>
        </w:rPr>
        <w:t>’</w:t>
      </w:r>
      <w:r w:rsidR="00496F98" w:rsidRPr="009000EB">
        <w:rPr>
          <w:lang w:val="fr-FR"/>
        </w:rPr>
        <w:t xml:space="preserve">adopter la </w:t>
      </w:r>
      <w:r w:rsidR="00FA102A">
        <w:rPr>
          <w:lang w:val="fr-FR"/>
        </w:rPr>
        <w:t>version révisée</w:t>
      </w:r>
      <w:r w:rsidR="00496F98" w:rsidRPr="009000EB">
        <w:rPr>
          <w:lang w:val="fr-FR"/>
        </w:rPr>
        <w:t xml:space="preserve"> du </w:t>
      </w:r>
      <w:r w:rsidRPr="009000EB">
        <w:rPr>
          <w:lang w:val="fr-FR"/>
        </w:rPr>
        <w:t>document UPOV/INF</w:t>
      </w:r>
      <w:r w:rsidR="00535F54" w:rsidRPr="009000EB">
        <w:rPr>
          <w:lang w:val="fr-FR"/>
        </w:rPr>
        <w:noBreakHyphen/>
      </w:r>
      <w:r w:rsidRPr="009000EB">
        <w:rPr>
          <w:lang w:val="fr-FR"/>
        </w:rPr>
        <w:t>EXN/</w:t>
      </w:r>
      <w:r w:rsidR="004B2BCD">
        <w:rPr>
          <w:lang w:val="fr-FR"/>
        </w:rPr>
        <w:t>7</w:t>
      </w:r>
      <w:r w:rsidRPr="009000EB">
        <w:rPr>
          <w:lang w:val="fr-FR"/>
        </w:rPr>
        <w:t xml:space="preserve"> “</w:t>
      </w:r>
      <w:r w:rsidR="00AB3BB1">
        <w:rPr>
          <w:lang w:val="fr-FR"/>
        </w:rPr>
        <w:t>Liste des documents INF</w:t>
      </w:r>
      <w:r w:rsidR="00AB3BB1">
        <w:rPr>
          <w:lang w:val="fr-FR"/>
        </w:rPr>
        <w:noBreakHyphen/>
      </w:r>
      <w:r w:rsidR="00496F98" w:rsidRPr="009000EB">
        <w:rPr>
          <w:lang w:val="fr-FR"/>
        </w:rPr>
        <w:t>EXN et date de la version la plus récente de ces documents</w:t>
      </w:r>
      <w:r w:rsidRPr="009000EB">
        <w:rPr>
          <w:lang w:val="fr-FR"/>
        </w:rPr>
        <w:t xml:space="preserve">” </w:t>
      </w:r>
      <w:r w:rsidR="00496F98" w:rsidRPr="009000EB">
        <w:rPr>
          <w:lang w:val="fr-FR"/>
        </w:rPr>
        <w:t xml:space="preserve">sur la base du </w:t>
      </w:r>
      <w:r w:rsidR="006A61F0" w:rsidRPr="009000EB">
        <w:rPr>
          <w:lang w:val="fr-FR"/>
        </w:rPr>
        <w:t>document UP</w:t>
      </w:r>
      <w:r w:rsidRPr="009000EB">
        <w:rPr>
          <w:lang w:val="fr-FR"/>
        </w:rPr>
        <w:t>OV/INF</w:t>
      </w:r>
      <w:r w:rsidR="00535F54" w:rsidRPr="009000EB">
        <w:rPr>
          <w:lang w:val="fr-FR"/>
        </w:rPr>
        <w:noBreakHyphen/>
      </w:r>
      <w:r w:rsidRPr="009000EB">
        <w:rPr>
          <w:lang w:val="fr-FR"/>
        </w:rPr>
        <w:t>EXN/</w:t>
      </w:r>
      <w:r w:rsidR="00012F0A" w:rsidRPr="009000EB">
        <w:rPr>
          <w:lang w:val="fr-FR"/>
        </w:rPr>
        <w:t>8</w:t>
      </w:r>
      <w:r w:rsidRPr="009000EB">
        <w:rPr>
          <w:lang w:val="fr-FR"/>
        </w:rPr>
        <w:t> </w:t>
      </w:r>
      <w:proofErr w:type="spellStart"/>
      <w:r w:rsidRPr="009000EB">
        <w:rPr>
          <w:lang w:val="fr-FR"/>
        </w:rPr>
        <w:t>Draft</w:t>
      </w:r>
      <w:proofErr w:type="spellEnd"/>
      <w:r w:rsidRPr="009000EB">
        <w:rPr>
          <w:lang w:val="fr-FR"/>
        </w:rPr>
        <w:t> 1.</w:t>
      </w:r>
    </w:p>
    <w:p w:rsidR="00ED6EFE" w:rsidRPr="009000EB" w:rsidRDefault="00ED6EFE" w:rsidP="00030C17">
      <w:pPr>
        <w:rPr>
          <w:lang w:val="fr-FR"/>
        </w:rPr>
      </w:pPr>
    </w:p>
    <w:p w:rsidR="00ED6EFE" w:rsidRPr="009000EB" w:rsidRDefault="00ED6EFE" w:rsidP="00030C17">
      <w:pPr>
        <w:pStyle w:val="DecisionParagraphs"/>
        <w:rPr>
          <w:lang w:val="fr-FR"/>
        </w:rPr>
      </w:pPr>
      <w:r w:rsidRPr="009000EB">
        <w:rPr>
          <w:lang w:val="fr-FR"/>
        </w:rPr>
        <w:fldChar w:fldCharType="begin"/>
      </w:r>
      <w:r w:rsidRPr="009000EB">
        <w:rPr>
          <w:lang w:val="fr-FR"/>
        </w:rPr>
        <w:instrText xml:space="preserve"> AUTONUM  </w:instrText>
      </w:r>
      <w:r w:rsidRPr="009000EB">
        <w:rPr>
          <w:lang w:val="fr-FR"/>
        </w:rPr>
        <w:fldChar w:fldCharType="end"/>
      </w:r>
      <w:r w:rsidRPr="009000EB">
        <w:rPr>
          <w:lang w:val="fr-FR"/>
        </w:rPr>
        <w:tab/>
      </w:r>
      <w:r w:rsidR="00700329" w:rsidRPr="009000EB">
        <w:rPr>
          <w:lang w:val="fr-FR"/>
        </w:rPr>
        <w:t xml:space="preserve">Le Conseil est invité à adopter la </w:t>
      </w:r>
      <w:r w:rsidR="00FA102A">
        <w:rPr>
          <w:lang w:val="fr-FR"/>
        </w:rPr>
        <w:t>version révisée</w:t>
      </w:r>
      <w:r w:rsidR="00700329" w:rsidRPr="009000EB">
        <w:rPr>
          <w:lang w:val="fr-FR"/>
        </w:rPr>
        <w:t xml:space="preserve"> du document</w:t>
      </w:r>
      <w:r w:rsidRPr="009000EB">
        <w:rPr>
          <w:lang w:val="fr-FR"/>
        </w:rPr>
        <w:t xml:space="preserve"> UPOV/INF</w:t>
      </w:r>
      <w:r w:rsidR="00535F54" w:rsidRPr="009000EB">
        <w:rPr>
          <w:lang w:val="fr-FR"/>
        </w:rPr>
        <w:noBreakHyphen/>
      </w:r>
      <w:r w:rsidRPr="009000EB">
        <w:rPr>
          <w:lang w:val="fr-FR"/>
        </w:rPr>
        <w:t>EXN</w:t>
      </w:r>
      <w:r w:rsidR="00012F0A" w:rsidRPr="009000EB">
        <w:rPr>
          <w:lang w:val="fr-FR"/>
        </w:rPr>
        <w:t>/7</w:t>
      </w:r>
      <w:r w:rsidRPr="009000EB">
        <w:rPr>
          <w:lang w:val="fr-FR"/>
        </w:rPr>
        <w:t xml:space="preserve"> “</w:t>
      </w:r>
      <w:r w:rsidR="00700329" w:rsidRPr="009000EB">
        <w:rPr>
          <w:lang w:val="fr-FR"/>
        </w:rPr>
        <w:t xml:space="preserve">Liste </w:t>
      </w:r>
      <w:r w:rsidR="00162CD7">
        <w:rPr>
          <w:lang w:val="fr-FR"/>
        </w:rPr>
        <w:br/>
      </w:r>
      <w:r w:rsidR="00700329" w:rsidRPr="009000EB">
        <w:rPr>
          <w:lang w:val="fr-FR"/>
        </w:rPr>
        <w:t>des documents INF</w:t>
      </w:r>
      <w:r w:rsidR="00535F54" w:rsidRPr="009000EB">
        <w:rPr>
          <w:lang w:val="fr-FR"/>
        </w:rPr>
        <w:noBreakHyphen/>
      </w:r>
      <w:r w:rsidR="00700329" w:rsidRPr="009000EB">
        <w:rPr>
          <w:lang w:val="fr-FR"/>
        </w:rPr>
        <w:t xml:space="preserve">EXN et date de la version </w:t>
      </w:r>
      <w:r w:rsidR="00162CD7">
        <w:rPr>
          <w:lang w:val="fr-FR"/>
        </w:rPr>
        <w:br/>
      </w:r>
      <w:r w:rsidR="00700329" w:rsidRPr="009000EB">
        <w:rPr>
          <w:lang w:val="fr-FR"/>
        </w:rPr>
        <w:t>la plus récente de ces documents</w:t>
      </w:r>
      <w:r w:rsidR="00012F0A" w:rsidRPr="009000EB">
        <w:rPr>
          <w:lang w:val="fr-FR"/>
        </w:rPr>
        <w:t>” (</w:t>
      </w:r>
      <w:r w:rsidR="00162CD7">
        <w:rPr>
          <w:lang w:val="fr-FR"/>
        </w:rPr>
        <w:t>document </w:t>
      </w:r>
      <w:r w:rsidR="006A61F0" w:rsidRPr="009000EB">
        <w:rPr>
          <w:lang w:val="fr-FR"/>
        </w:rPr>
        <w:t>UP</w:t>
      </w:r>
      <w:r w:rsidRPr="009000EB">
        <w:rPr>
          <w:lang w:val="fr-FR"/>
        </w:rPr>
        <w:t>OV/INF</w:t>
      </w:r>
      <w:r w:rsidR="00535F54" w:rsidRPr="009000EB">
        <w:rPr>
          <w:lang w:val="fr-FR"/>
        </w:rPr>
        <w:noBreakHyphen/>
      </w:r>
      <w:r w:rsidRPr="009000EB">
        <w:rPr>
          <w:lang w:val="fr-FR"/>
        </w:rPr>
        <w:t>EXN/</w:t>
      </w:r>
      <w:r w:rsidR="00012F0A" w:rsidRPr="009000EB">
        <w:rPr>
          <w:lang w:val="fr-FR"/>
        </w:rPr>
        <w:t>8</w:t>
      </w:r>
      <w:r w:rsidRPr="009000EB">
        <w:rPr>
          <w:lang w:val="fr-FR"/>
        </w:rPr>
        <w:t xml:space="preserve">) </w:t>
      </w:r>
      <w:r w:rsidR="00700329" w:rsidRPr="009000EB">
        <w:rPr>
          <w:lang w:val="fr-FR"/>
        </w:rPr>
        <w:t>sur la base du do</w:t>
      </w:r>
      <w:r w:rsidRPr="009000EB">
        <w:rPr>
          <w:lang w:val="fr-FR"/>
        </w:rPr>
        <w:t>cument UPOV/INF</w:t>
      </w:r>
      <w:r w:rsidR="00535F54" w:rsidRPr="009000EB">
        <w:rPr>
          <w:lang w:val="fr-FR"/>
        </w:rPr>
        <w:noBreakHyphen/>
      </w:r>
      <w:r w:rsidRPr="009000EB">
        <w:rPr>
          <w:lang w:val="fr-FR"/>
        </w:rPr>
        <w:t>EXN/</w:t>
      </w:r>
      <w:r w:rsidR="00012F0A" w:rsidRPr="009000EB">
        <w:rPr>
          <w:lang w:val="fr-FR"/>
        </w:rPr>
        <w:t>8</w:t>
      </w:r>
      <w:r w:rsidRPr="009000EB">
        <w:rPr>
          <w:lang w:val="fr-FR"/>
        </w:rPr>
        <w:t> </w:t>
      </w:r>
      <w:proofErr w:type="spellStart"/>
      <w:r w:rsidRPr="009000EB">
        <w:rPr>
          <w:lang w:val="fr-FR"/>
        </w:rPr>
        <w:t>Draft</w:t>
      </w:r>
      <w:proofErr w:type="spellEnd"/>
      <w:r w:rsidRPr="009000EB">
        <w:rPr>
          <w:lang w:val="fr-FR"/>
        </w:rPr>
        <w:t> 1.</w:t>
      </w:r>
    </w:p>
    <w:p w:rsidR="00ED6EFE" w:rsidRDefault="00ED6EFE" w:rsidP="00030C17">
      <w:pPr>
        <w:rPr>
          <w:snapToGrid w:val="0"/>
          <w:lang w:val="fr-FR"/>
        </w:rPr>
      </w:pPr>
    </w:p>
    <w:p w:rsidR="00030C17" w:rsidRPr="009000EB" w:rsidRDefault="00030C17" w:rsidP="00030C17">
      <w:pPr>
        <w:rPr>
          <w:snapToGrid w:val="0"/>
          <w:lang w:val="fr-FR"/>
        </w:rPr>
      </w:pPr>
    </w:p>
    <w:p w:rsidR="00ED6EFE" w:rsidRPr="009000EB" w:rsidRDefault="00ED6EFE" w:rsidP="00030C17">
      <w:pPr>
        <w:tabs>
          <w:tab w:val="left" w:pos="1701"/>
        </w:tabs>
        <w:rPr>
          <w:spacing w:val="-2"/>
          <w:szCs w:val="24"/>
          <w:u w:val="single"/>
          <w:lang w:val="fr-FR"/>
        </w:rPr>
      </w:pPr>
    </w:p>
    <w:p w:rsidR="00F1236F" w:rsidRDefault="00ED6EFE" w:rsidP="00030C17">
      <w:pPr>
        <w:jc w:val="right"/>
        <w:rPr>
          <w:lang w:val="fr-FR"/>
        </w:rPr>
      </w:pPr>
      <w:r w:rsidRPr="009000EB">
        <w:rPr>
          <w:lang w:val="fr-FR"/>
        </w:rPr>
        <w:t>[</w:t>
      </w:r>
      <w:r w:rsidR="008E1106" w:rsidRPr="009000EB">
        <w:rPr>
          <w:lang w:val="fr-FR"/>
        </w:rPr>
        <w:t>Les annexes suivent</w:t>
      </w:r>
      <w:r w:rsidRPr="009000EB">
        <w:rPr>
          <w:lang w:val="fr-FR"/>
        </w:rPr>
        <w:t>]</w:t>
      </w:r>
    </w:p>
    <w:p w:rsidR="00030C17" w:rsidRDefault="00030C17" w:rsidP="00030C17">
      <w:pPr>
        <w:rPr>
          <w:lang w:val="fr-FR"/>
        </w:rPr>
      </w:pPr>
    </w:p>
    <w:p w:rsidR="00030C17" w:rsidRPr="009000EB" w:rsidRDefault="00030C17" w:rsidP="00030C17">
      <w:pPr>
        <w:rPr>
          <w:lang w:val="fr-FR"/>
        </w:rPr>
      </w:pPr>
    </w:p>
    <w:p w:rsidR="00F1236F" w:rsidRPr="009000EB" w:rsidRDefault="00F1236F" w:rsidP="00030C17">
      <w:pPr>
        <w:rPr>
          <w:lang w:val="fr-FR"/>
        </w:rPr>
        <w:sectPr w:rsidR="00F1236F" w:rsidRPr="009000EB" w:rsidSect="00FA102A">
          <w:headerReference w:type="default" r:id="rId8"/>
          <w:pgSz w:w="11907" w:h="16840" w:code="9"/>
          <w:pgMar w:top="510" w:right="1134" w:bottom="1134" w:left="1134" w:header="510" w:footer="680" w:gutter="0"/>
          <w:cols w:space="720"/>
          <w:titlePg/>
          <w:docGrid w:linePitch="272"/>
        </w:sectPr>
      </w:pPr>
    </w:p>
    <w:p w:rsidR="006A61F0" w:rsidRPr="009000EB" w:rsidRDefault="00D85727" w:rsidP="00030C17">
      <w:pPr>
        <w:jc w:val="center"/>
        <w:rPr>
          <w:lang w:val="fr-FR"/>
        </w:rPr>
      </w:pPr>
      <w:r w:rsidRPr="009000EB">
        <w:rPr>
          <w:lang w:val="fr-FR"/>
        </w:rPr>
        <w:t>PROPOSITIONS DE MODIFICATION DU</w:t>
      </w:r>
    </w:p>
    <w:p w:rsidR="00F1236F" w:rsidRPr="009000EB" w:rsidRDefault="00D85727" w:rsidP="00030C17">
      <w:pPr>
        <w:jc w:val="center"/>
        <w:rPr>
          <w:bCs/>
          <w:snapToGrid w:val="0"/>
          <w:szCs w:val="24"/>
          <w:lang w:val="fr-FR"/>
        </w:rPr>
      </w:pPr>
      <w:r w:rsidRPr="009000EB">
        <w:rPr>
          <w:lang w:val="fr-FR"/>
        </w:rPr>
        <w:t>DOCUMENT TGP/5 “</w:t>
      </w:r>
      <w:r w:rsidRPr="009000EB">
        <w:rPr>
          <w:bCs/>
          <w:snapToGrid w:val="0"/>
          <w:szCs w:val="24"/>
          <w:lang w:val="fr-FR"/>
        </w:rPr>
        <w:t>EXPÉRIENCE ET COOPÉRATION EN MATIÈRE D</w:t>
      </w:r>
      <w:r w:rsidR="006A61F0" w:rsidRPr="009000EB">
        <w:rPr>
          <w:bCs/>
          <w:snapToGrid w:val="0"/>
          <w:szCs w:val="24"/>
          <w:lang w:val="fr-FR"/>
        </w:rPr>
        <w:t>’</w:t>
      </w:r>
      <w:r w:rsidRPr="009000EB">
        <w:rPr>
          <w:bCs/>
          <w:snapToGrid w:val="0"/>
          <w:szCs w:val="24"/>
          <w:lang w:val="fr-FR"/>
        </w:rPr>
        <w:t>EXAMEN DHS”</w:t>
      </w:r>
    </w:p>
    <w:p w:rsidR="00F1236F" w:rsidRPr="009000EB" w:rsidRDefault="00F1236F" w:rsidP="00030C17">
      <w:pPr>
        <w:jc w:val="center"/>
        <w:rPr>
          <w:lang w:val="fr-FR"/>
        </w:rPr>
      </w:pPr>
    </w:p>
    <w:p w:rsidR="00FE1F47" w:rsidRPr="009000EB" w:rsidRDefault="00FE1F47" w:rsidP="00030C17">
      <w:pPr>
        <w:jc w:val="center"/>
        <w:rPr>
          <w:lang w:val="fr-FR"/>
        </w:rPr>
      </w:pPr>
    </w:p>
    <w:p w:rsidR="00FE1F47" w:rsidRPr="009000EB" w:rsidRDefault="00FE1F47" w:rsidP="00030C17">
      <w:pPr>
        <w:jc w:val="center"/>
        <w:rPr>
          <w:lang w:val="fr-FR"/>
        </w:rPr>
      </w:pPr>
    </w:p>
    <w:p w:rsidR="00FE1F47" w:rsidRPr="009000EB" w:rsidRDefault="00FE1F47" w:rsidP="00030C17">
      <w:pPr>
        <w:pStyle w:val="Heading4"/>
      </w:pPr>
      <w:bookmarkStart w:id="5" w:name="_Toc412193736"/>
      <w:r w:rsidRPr="009000EB">
        <w:t>i)</w:t>
      </w:r>
      <w:r w:rsidRPr="009000EB">
        <w:tab/>
      </w:r>
      <w:bookmarkEnd w:id="5"/>
      <w:r w:rsidR="00F33AD8" w:rsidRPr="009000EB">
        <w:t>Révision du document TGP/5 : section 3 : Questionnaire technique à remplir en relation avec une demande de certificat d</w:t>
      </w:r>
      <w:r w:rsidR="006A61F0" w:rsidRPr="009000EB">
        <w:t>’</w:t>
      </w:r>
      <w:r w:rsidR="00F33AD8" w:rsidRPr="009000EB">
        <w:t>obtention végétale</w:t>
      </w:r>
    </w:p>
    <w:p w:rsidR="00FE1F47" w:rsidRPr="009000EB" w:rsidRDefault="00FE1F47" w:rsidP="00030C17">
      <w:pPr>
        <w:rPr>
          <w:lang w:val="fr-FR"/>
        </w:rPr>
      </w:pPr>
    </w:p>
    <w:p w:rsidR="00FE1F47" w:rsidRPr="009000EB" w:rsidRDefault="00FE1F47" w:rsidP="00030C17">
      <w:pPr>
        <w:rPr>
          <w:lang w:val="fr-FR"/>
        </w:rPr>
      </w:pPr>
      <w:r w:rsidRPr="009000EB">
        <w:rPr>
          <w:lang w:val="fr-FR"/>
        </w:rPr>
        <w:tab/>
      </w:r>
      <w:r w:rsidR="0083082D" w:rsidRPr="009000EB">
        <w:rPr>
          <w:lang w:val="fr-FR"/>
        </w:rPr>
        <w:t>La section 3 du document TGP/5 devrait être libellée comme suit </w:t>
      </w:r>
      <w:r w:rsidRPr="009000EB">
        <w:rPr>
          <w:lang w:val="fr-FR"/>
        </w:rPr>
        <w:t>:</w:t>
      </w:r>
    </w:p>
    <w:p w:rsidR="00FE1F47" w:rsidRPr="009000EB" w:rsidRDefault="00FE1F47" w:rsidP="00030C17">
      <w:pPr>
        <w:rPr>
          <w:lang w:val="fr-FR"/>
        </w:rPr>
      </w:pPr>
    </w:p>
    <w:p w:rsidR="00FE1F47" w:rsidRPr="009000EB" w:rsidRDefault="00FE1F47" w:rsidP="00030C17">
      <w:pPr>
        <w:ind w:left="567" w:right="567" w:firstLine="567"/>
        <w:rPr>
          <w:sz w:val="18"/>
          <w:lang w:val="fr-FR"/>
        </w:rPr>
      </w:pPr>
      <w:r w:rsidRPr="009000EB">
        <w:rPr>
          <w:sz w:val="18"/>
          <w:lang w:val="fr-FR"/>
        </w:rPr>
        <w:t>“</w:t>
      </w:r>
      <w:r w:rsidR="00442C25" w:rsidRPr="009000EB">
        <w:rPr>
          <w:sz w:val="18"/>
          <w:lang w:val="fr-FR"/>
        </w:rPr>
        <w:t>On trouvera un questionnaire technique type dans le document TGP/7, intitulé “Élaboration des principes directeurs d</w:t>
      </w:r>
      <w:r w:rsidR="006A61F0" w:rsidRPr="009000EB">
        <w:rPr>
          <w:sz w:val="18"/>
          <w:lang w:val="fr-FR"/>
        </w:rPr>
        <w:t>’</w:t>
      </w:r>
      <w:r w:rsidR="00442C25" w:rsidRPr="009000EB">
        <w:rPr>
          <w:sz w:val="18"/>
          <w:lang w:val="fr-FR"/>
        </w:rPr>
        <w:t>examen” : annexe 1 : modèle de principes directeurs d</w:t>
      </w:r>
      <w:r w:rsidR="006A61F0" w:rsidRPr="009000EB">
        <w:rPr>
          <w:sz w:val="18"/>
          <w:lang w:val="fr-FR"/>
        </w:rPr>
        <w:t>’</w:t>
      </w:r>
      <w:r w:rsidR="00442C25" w:rsidRPr="009000EB">
        <w:rPr>
          <w:sz w:val="18"/>
          <w:lang w:val="fr-FR"/>
        </w:rPr>
        <w:t>examen : chapitre 10.  Les principes directeurs d</w:t>
      </w:r>
      <w:r w:rsidR="006A61F0" w:rsidRPr="009000EB">
        <w:rPr>
          <w:sz w:val="18"/>
          <w:lang w:val="fr-FR"/>
        </w:rPr>
        <w:t>’</w:t>
      </w:r>
      <w:r w:rsidR="00442C25" w:rsidRPr="009000EB">
        <w:rPr>
          <w:sz w:val="18"/>
          <w:lang w:val="fr-FR"/>
        </w:rPr>
        <w:t>examen de l</w:t>
      </w:r>
      <w:r w:rsidR="006A61F0" w:rsidRPr="009000EB">
        <w:rPr>
          <w:sz w:val="18"/>
          <w:lang w:val="fr-FR"/>
        </w:rPr>
        <w:t>’</w:t>
      </w:r>
      <w:r w:rsidR="00442C25" w:rsidRPr="009000EB">
        <w:rPr>
          <w:sz w:val="18"/>
          <w:lang w:val="fr-FR"/>
        </w:rPr>
        <w:t>UPOV (</w:t>
      </w:r>
      <w:hyperlink r:id="rId9" w:history="1">
        <w:r w:rsidR="00442C25" w:rsidRPr="009000EB">
          <w:rPr>
            <w:rStyle w:val="Hyperlink"/>
            <w:sz w:val="18"/>
            <w:lang w:val="fr-FR"/>
          </w:rPr>
          <w:t>http://www.upov.int/edocs/tgpdocs/fr/tgp_7.pdf</w:t>
        </w:r>
      </w:hyperlink>
      <w:r w:rsidR="00442C25" w:rsidRPr="009000EB">
        <w:rPr>
          <w:sz w:val="18"/>
          <w:lang w:val="fr-FR"/>
        </w:rPr>
        <w:t>) contiennent, au chapitre 10, un questionnaire technique particulier pour les variétés sur lesquelles ils portent</w:t>
      </w:r>
      <w:r w:rsidRPr="009000EB">
        <w:rPr>
          <w:sz w:val="18"/>
          <w:lang w:val="fr-FR"/>
        </w:rPr>
        <w:t>.”</w:t>
      </w:r>
    </w:p>
    <w:p w:rsidR="00FE1F47" w:rsidRPr="009000EB" w:rsidRDefault="00FE1F47" w:rsidP="00030C17">
      <w:pPr>
        <w:rPr>
          <w:lang w:val="fr-FR"/>
        </w:rPr>
      </w:pPr>
    </w:p>
    <w:p w:rsidR="00FE1F47" w:rsidRPr="009000EB" w:rsidRDefault="00FE1F47" w:rsidP="00030C17">
      <w:pPr>
        <w:rPr>
          <w:lang w:val="fr-FR"/>
        </w:rPr>
      </w:pPr>
    </w:p>
    <w:p w:rsidR="00FE1F47" w:rsidRPr="009000EB" w:rsidRDefault="00FE1F47" w:rsidP="00030C17">
      <w:pPr>
        <w:pStyle w:val="Heading4"/>
      </w:pPr>
      <w:r w:rsidRPr="009000EB">
        <w:t>ii)</w:t>
      </w:r>
      <w:r w:rsidRPr="009000EB">
        <w:tab/>
      </w:r>
      <w:r w:rsidR="00442C25" w:rsidRPr="009000EB">
        <w:t>Révision du document TGP/5 : section 8 : Coopération en matière d</w:t>
      </w:r>
      <w:r w:rsidR="006A61F0" w:rsidRPr="009000EB">
        <w:t>’</w:t>
      </w:r>
      <w:r w:rsidR="00442C25" w:rsidRPr="009000EB">
        <w:t>examen</w:t>
      </w:r>
    </w:p>
    <w:p w:rsidR="00FE1F47" w:rsidRPr="009000EB" w:rsidRDefault="00FE1F47" w:rsidP="00030C17">
      <w:pPr>
        <w:rPr>
          <w:lang w:val="fr-FR"/>
        </w:rPr>
      </w:pPr>
    </w:p>
    <w:p w:rsidR="00FE1F47" w:rsidRPr="009000EB" w:rsidRDefault="00FE1F47" w:rsidP="00030C17">
      <w:pPr>
        <w:rPr>
          <w:lang w:val="fr-FR"/>
        </w:rPr>
      </w:pPr>
      <w:r w:rsidRPr="009000EB">
        <w:rPr>
          <w:b/>
          <w:lang w:val="fr-FR"/>
        </w:rPr>
        <w:tab/>
      </w:r>
      <w:r w:rsidR="00442C25" w:rsidRPr="009000EB">
        <w:rPr>
          <w:lang w:val="fr-FR"/>
        </w:rPr>
        <w:t>La section 8 du document TGP/5 devrait être libellée comme suit </w:t>
      </w:r>
      <w:r w:rsidRPr="009000EB">
        <w:rPr>
          <w:lang w:val="fr-FR"/>
        </w:rPr>
        <w:t>:</w:t>
      </w:r>
    </w:p>
    <w:p w:rsidR="00FE1F47" w:rsidRPr="009000EB" w:rsidRDefault="00FE1F47" w:rsidP="00030C17">
      <w:pPr>
        <w:rPr>
          <w:lang w:val="fr-FR"/>
        </w:rPr>
      </w:pPr>
    </w:p>
    <w:p w:rsidR="00FE1F47" w:rsidRPr="009000EB" w:rsidRDefault="00FE1F47" w:rsidP="00030C17">
      <w:pPr>
        <w:ind w:left="567" w:right="567"/>
        <w:rPr>
          <w:sz w:val="18"/>
          <w:lang w:val="fr-FR"/>
        </w:rPr>
      </w:pPr>
      <w:r w:rsidRPr="009000EB">
        <w:rPr>
          <w:sz w:val="18"/>
          <w:lang w:val="fr-FR"/>
        </w:rPr>
        <w:tab/>
        <w:t>“</w:t>
      </w:r>
      <w:r w:rsidR="00442C25" w:rsidRPr="009000EB">
        <w:rPr>
          <w:sz w:val="18"/>
          <w:lang w:val="fr-FR"/>
        </w:rPr>
        <w:t>Une synthèse de la coopération en matière d</w:t>
      </w:r>
      <w:r w:rsidR="006A61F0" w:rsidRPr="009000EB">
        <w:rPr>
          <w:sz w:val="18"/>
          <w:lang w:val="fr-FR"/>
        </w:rPr>
        <w:t>’</w:t>
      </w:r>
      <w:r w:rsidR="00442C25" w:rsidRPr="009000EB">
        <w:rPr>
          <w:sz w:val="18"/>
          <w:lang w:val="fr-FR"/>
        </w:rPr>
        <w:t>examen entre les différents services est publiée sous couvert d</w:t>
      </w:r>
      <w:r w:rsidR="006A61F0" w:rsidRPr="009000EB">
        <w:rPr>
          <w:sz w:val="18"/>
          <w:lang w:val="fr-FR"/>
        </w:rPr>
        <w:t>’</w:t>
      </w:r>
      <w:r w:rsidR="00442C25" w:rsidRPr="009000EB">
        <w:rPr>
          <w:sz w:val="18"/>
          <w:lang w:val="fr-FR"/>
        </w:rPr>
        <w:t>un document du Conseil </w:t>
      </w:r>
      <w:r w:rsidRPr="009000EB">
        <w:rPr>
          <w:sz w:val="18"/>
          <w:lang w:val="fr-FR"/>
        </w:rPr>
        <w:t>:</w:t>
      </w:r>
    </w:p>
    <w:p w:rsidR="00FE1F47" w:rsidRPr="009000EB" w:rsidRDefault="00FE1F47" w:rsidP="00030C17">
      <w:pPr>
        <w:ind w:left="567" w:right="567"/>
        <w:rPr>
          <w:sz w:val="18"/>
          <w:lang w:val="fr-FR"/>
        </w:rPr>
      </w:pPr>
    </w:p>
    <w:p w:rsidR="00FE1F47" w:rsidRPr="009000EB" w:rsidRDefault="00FE1F47" w:rsidP="00030C17">
      <w:pPr>
        <w:ind w:left="567" w:right="567" w:firstLine="567"/>
        <w:rPr>
          <w:sz w:val="18"/>
          <w:lang w:val="fr-FR"/>
        </w:rPr>
      </w:pPr>
      <w:r w:rsidRPr="009000EB">
        <w:rPr>
          <w:sz w:val="18"/>
          <w:lang w:val="fr-FR"/>
        </w:rPr>
        <w:t>“</w:t>
      </w:r>
      <w:r w:rsidR="00442C25" w:rsidRPr="009000EB">
        <w:rPr>
          <w:sz w:val="18"/>
          <w:lang w:val="fr-FR"/>
        </w:rPr>
        <w:t>C</w:t>
      </w:r>
      <w:proofErr w:type="gramStart"/>
      <w:r w:rsidR="00442C25" w:rsidRPr="009000EB">
        <w:rPr>
          <w:sz w:val="18"/>
          <w:lang w:val="fr-FR"/>
        </w:rPr>
        <w:t>/[</w:t>
      </w:r>
      <w:proofErr w:type="gramEnd"/>
      <w:r w:rsidR="00442C25" w:rsidRPr="009000EB">
        <w:rPr>
          <w:sz w:val="18"/>
          <w:lang w:val="fr-FR"/>
        </w:rPr>
        <w:t>session]/5 (p. ex. C/</w:t>
      </w:r>
      <w:r w:rsidR="00442C25" w:rsidRPr="009000EB">
        <w:rPr>
          <w:sz w:val="18"/>
          <w:u w:val="single"/>
          <w:lang w:val="fr-FR"/>
        </w:rPr>
        <w:t>49</w:t>
      </w:r>
      <w:r w:rsidR="00442C25" w:rsidRPr="009000EB">
        <w:rPr>
          <w:sz w:val="18"/>
          <w:lang w:val="fr-FR"/>
        </w:rPr>
        <w:t>/5), (</w:t>
      </w:r>
      <w:hyperlink r:id="rId10" w:history="1">
        <w:r w:rsidR="00442C25" w:rsidRPr="009000EB">
          <w:rPr>
            <w:rStyle w:val="Hyperlink"/>
            <w:sz w:val="18"/>
            <w:lang w:val="fr-FR"/>
          </w:rPr>
          <w:t>http://www.upov.int/meetings/fr/topic.jsp?group_id=251</w:t>
        </w:r>
      </w:hyperlink>
      <w:r w:rsidR="00442C25" w:rsidRPr="009000EB">
        <w:rPr>
          <w:sz w:val="18"/>
          <w:lang w:val="fr-FR"/>
        </w:rPr>
        <w:t>)</w:t>
      </w:r>
      <w:r w:rsidRPr="009000EB">
        <w:rPr>
          <w:sz w:val="18"/>
          <w:lang w:val="fr-FR"/>
        </w:rPr>
        <w:t>.”</w:t>
      </w:r>
    </w:p>
    <w:p w:rsidR="00FE1F47" w:rsidRPr="009000EB" w:rsidRDefault="00FE1F47" w:rsidP="00030C17">
      <w:pPr>
        <w:rPr>
          <w:lang w:val="fr-FR"/>
        </w:rPr>
      </w:pPr>
    </w:p>
    <w:p w:rsidR="00FE1F47" w:rsidRPr="009000EB" w:rsidRDefault="00FE1F47" w:rsidP="00030C17">
      <w:pPr>
        <w:rPr>
          <w:lang w:val="fr-FR"/>
        </w:rPr>
      </w:pPr>
    </w:p>
    <w:p w:rsidR="00FE1F47" w:rsidRPr="009000EB" w:rsidRDefault="00FE1F47" w:rsidP="00030C17">
      <w:pPr>
        <w:pStyle w:val="Heading4"/>
      </w:pPr>
      <w:r w:rsidRPr="009000EB">
        <w:t>iii)</w:t>
      </w:r>
      <w:r w:rsidRPr="009000EB">
        <w:tab/>
      </w:r>
      <w:r w:rsidR="008C1A84" w:rsidRPr="009000EB">
        <w:t>Révision du document TGP/5 : section 9 : Liste des espèces sur lesquelles des connaissances pratiques ont été acquises ou pour lesquelles des principes directeurs d</w:t>
      </w:r>
      <w:r w:rsidR="006A61F0" w:rsidRPr="009000EB">
        <w:t>’</w:t>
      </w:r>
      <w:r w:rsidR="008C1A84" w:rsidRPr="009000EB">
        <w:t>examen nationaux ont été établis</w:t>
      </w:r>
    </w:p>
    <w:p w:rsidR="00FE1F47" w:rsidRPr="009000EB" w:rsidRDefault="00FE1F47" w:rsidP="00030C17">
      <w:pPr>
        <w:keepNext/>
        <w:rPr>
          <w:lang w:val="fr-FR"/>
        </w:rPr>
      </w:pPr>
    </w:p>
    <w:p w:rsidR="00FE1F47" w:rsidRPr="009000EB" w:rsidRDefault="00FE1F47" w:rsidP="00030C17">
      <w:pPr>
        <w:rPr>
          <w:lang w:val="fr-FR"/>
        </w:rPr>
      </w:pPr>
      <w:r w:rsidRPr="009000EB">
        <w:rPr>
          <w:lang w:val="fr-FR"/>
        </w:rPr>
        <w:tab/>
      </w:r>
      <w:r w:rsidR="008C1A84" w:rsidRPr="009000EB">
        <w:rPr>
          <w:lang w:val="fr-FR"/>
        </w:rPr>
        <w:t>La section 9 du document TGP/5 devrait être libellée comme suit </w:t>
      </w:r>
      <w:r w:rsidRPr="009000EB">
        <w:rPr>
          <w:lang w:val="fr-FR"/>
        </w:rPr>
        <w:t>:</w:t>
      </w:r>
    </w:p>
    <w:p w:rsidR="00FE1F47" w:rsidRPr="009000EB" w:rsidRDefault="00FE1F47" w:rsidP="00030C17">
      <w:pPr>
        <w:rPr>
          <w:lang w:val="fr-FR"/>
        </w:rPr>
      </w:pPr>
    </w:p>
    <w:p w:rsidR="008C1A84" w:rsidRPr="009000EB" w:rsidRDefault="00FE1F47" w:rsidP="00030C17">
      <w:pPr>
        <w:ind w:left="567" w:right="567" w:firstLine="567"/>
        <w:rPr>
          <w:sz w:val="18"/>
          <w:lang w:val="fr-FR"/>
        </w:rPr>
      </w:pPr>
      <w:r w:rsidRPr="009000EB">
        <w:rPr>
          <w:sz w:val="18"/>
          <w:lang w:val="fr-FR"/>
        </w:rPr>
        <w:t>“</w:t>
      </w:r>
      <w:r w:rsidR="008C1A84" w:rsidRPr="009000EB">
        <w:rPr>
          <w:sz w:val="18"/>
          <w:lang w:val="fr-FR"/>
        </w:rPr>
        <w:t>Une liste des genres et espèces sur lesquels des connaissances pratiques ont été acquises ou pour lesquels des principes directeurs nationaux ont été établis a été publiée sous couvert d</w:t>
      </w:r>
      <w:r w:rsidR="006A61F0" w:rsidRPr="009000EB">
        <w:rPr>
          <w:sz w:val="18"/>
          <w:lang w:val="fr-FR"/>
        </w:rPr>
        <w:t>’</w:t>
      </w:r>
      <w:r w:rsidR="008C1A84" w:rsidRPr="009000EB">
        <w:rPr>
          <w:sz w:val="18"/>
          <w:lang w:val="fr-FR"/>
        </w:rPr>
        <w:t>un document du Comité technique :</w:t>
      </w:r>
    </w:p>
    <w:p w:rsidR="008C1A84" w:rsidRPr="009000EB" w:rsidRDefault="008C1A84" w:rsidP="00030C17">
      <w:pPr>
        <w:ind w:left="567" w:right="567" w:firstLine="567"/>
        <w:rPr>
          <w:sz w:val="18"/>
          <w:lang w:val="fr-FR"/>
        </w:rPr>
      </w:pPr>
    </w:p>
    <w:p w:rsidR="00FE1F47" w:rsidRPr="009000EB" w:rsidRDefault="008C1A84" w:rsidP="00030C17">
      <w:pPr>
        <w:ind w:left="567" w:right="567" w:firstLine="567"/>
        <w:rPr>
          <w:sz w:val="18"/>
          <w:lang w:val="fr-FR"/>
        </w:rPr>
      </w:pPr>
      <w:r w:rsidRPr="009000EB">
        <w:rPr>
          <w:sz w:val="18"/>
          <w:lang w:val="fr-FR"/>
        </w:rPr>
        <w:t>“TC</w:t>
      </w:r>
      <w:proofErr w:type="gramStart"/>
      <w:r w:rsidRPr="009000EB">
        <w:rPr>
          <w:sz w:val="18"/>
          <w:lang w:val="fr-FR"/>
        </w:rPr>
        <w:t>/[</w:t>
      </w:r>
      <w:proofErr w:type="gramEnd"/>
      <w:r w:rsidRPr="009000EB">
        <w:rPr>
          <w:sz w:val="18"/>
          <w:lang w:val="fr-FR"/>
        </w:rPr>
        <w:t>session]/4 (p. ex.</w:t>
      </w:r>
      <w:r w:rsidR="009C056B" w:rsidRPr="009000EB">
        <w:rPr>
          <w:sz w:val="18"/>
          <w:lang w:val="fr-FR"/>
        </w:rPr>
        <w:t xml:space="preserve"> </w:t>
      </w:r>
      <w:r w:rsidR="006A61F0" w:rsidRPr="009000EB">
        <w:rPr>
          <w:sz w:val="18"/>
          <w:lang w:val="fr-FR"/>
        </w:rPr>
        <w:t>TC</w:t>
      </w:r>
      <w:r w:rsidRPr="009000EB">
        <w:rPr>
          <w:sz w:val="18"/>
          <w:lang w:val="fr-FR"/>
        </w:rPr>
        <w:t>/</w:t>
      </w:r>
      <w:r w:rsidRPr="009000EB">
        <w:rPr>
          <w:sz w:val="18"/>
          <w:u w:val="single"/>
          <w:lang w:val="fr-FR"/>
        </w:rPr>
        <w:t>51</w:t>
      </w:r>
      <w:r w:rsidRPr="009000EB">
        <w:rPr>
          <w:sz w:val="18"/>
          <w:lang w:val="fr-FR"/>
        </w:rPr>
        <w:t>/4), (</w:t>
      </w:r>
      <w:hyperlink r:id="rId11" w:history="1">
        <w:r w:rsidRPr="009000EB">
          <w:rPr>
            <w:rStyle w:val="Hyperlink"/>
            <w:sz w:val="18"/>
            <w:lang w:val="fr-FR"/>
          </w:rPr>
          <w:t>http://www.upov.int/meetings/fr/topic.jsp?group_id=254</w:t>
        </w:r>
      </w:hyperlink>
      <w:r w:rsidRPr="009000EB">
        <w:rPr>
          <w:sz w:val="18"/>
          <w:lang w:val="fr-FR"/>
        </w:rPr>
        <w:t>)</w:t>
      </w:r>
      <w:r w:rsidR="00FE1F47" w:rsidRPr="009000EB">
        <w:rPr>
          <w:sz w:val="18"/>
          <w:lang w:val="fr-FR"/>
        </w:rPr>
        <w:t>.”</w:t>
      </w:r>
    </w:p>
    <w:p w:rsidR="00FE1F47" w:rsidRPr="009000EB" w:rsidRDefault="00FE1F47" w:rsidP="00030C17">
      <w:pPr>
        <w:rPr>
          <w:lang w:val="fr-FR"/>
        </w:rPr>
      </w:pPr>
    </w:p>
    <w:p w:rsidR="00FE1F47" w:rsidRPr="009000EB" w:rsidRDefault="00FE1F47" w:rsidP="00030C17">
      <w:pPr>
        <w:rPr>
          <w:lang w:val="fr-FR"/>
        </w:rPr>
      </w:pPr>
    </w:p>
    <w:p w:rsidR="00FE1F47" w:rsidRPr="009000EB" w:rsidRDefault="00FE1F47" w:rsidP="00030C17">
      <w:pPr>
        <w:rPr>
          <w:lang w:val="fr-FR"/>
        </w:rPr>
      </w:pPr>
    </w:p>
    <w:p w:rsidR="00FE1F47" w:rsidRPr="009000EB" w:rsidRDefault="00FE1F47" w:rsidP="00030C17">
      <w:pPr>
        <w:jc w:val="right"/>
        <w:rPr>
          <w:lang w:val="fr-FR"/>
        </w:rPr>
      </w:pPr>
      <w:r w:rsidRPr="009000EB">
        <w:rPr>
          <w:lang w:val="fr-FR"/>
        </w:rPr>
        <w:t>[</w:t>
      </w:r>
      <w:r w:rsidR="00382842" w:rsidRPr="009000EB">
        <w:rPr>
          <w:lang w:val="fr-FR"/>
        </w:rPr>
        <w:t>L</w:t>
      </w:r>
      <w:r w:rsidR="006A61F0" w:rsidRPr="009000EB">
        <w:rPr>
          <w:lang w:val="fr-FR"/>
        </w:rPr>
        <w:t>’</w:t>
      </w:r>
      <w:r w:rsidR="00382842" w:rsidRPr="009000EB">
        <w:rPr>
          <w:lang w:val="fr-FR"/>
        </w:rPr>
        <w:t>annexe</w:t>
      </w:r>
      <w:r w:rsidR="009C056B" w:rsidRPr="009000EB">
        <w:rPr>
          <w:lang w:val="fr-FR"/>
        </w:rPr>
        <w:t> </w:t>
      </w:r>
      <w:r w:rsidRPr="009000EB">
        <w:rPr>
          <w:lang w:val="fr-FR"/>
        </w:rPr>
        <w:t xml:space="preserve">II </w:t>
      </w:r>
      <w:r w:rsidR="00382842" w:rsidRPr="009000EB">
        <w:rPr>
          <w:lang w:val="fr-FR"/>
        </w:rPr>
        <w:t>suit</w:t>
      </w:r>
      <w:r w:rsidRPr="009000EB">
        <w:rPr>
          <w:lang w:val="fr-FR"/>
        </w:rPr>
        <w:t>]</w:t>
      </w:r>
    </w:p>
    <w:p w:rsidR="00FE1F47" w:rsidRPr="009000EB" w:rsidRDefault="00FE1F47" w:rsidP="00030C17">
      <w:pPr>
        <w:rPr>
          <w:lang w:val="fr-FR"/>
        </w:rPr>
      </w:pPr>
    </w:p>
    <w:p w:rsidR="00BA41B8" w:rsidRPr="009000EB" w:rsidRDefault="00BA41B8" w:rsidP="00030C17">
      <w:pPr>
        <w:rPr>
          <w:lang w:val="fr-FR"/>
        </w:rPr>
        <w:sectPr w:rsidR="00BA41B8" w:rsidRPr="009000EB" w:rsidSect="00FA102A">
          <w:headerReference w:type="default" r:id="rId12"/>
          <w:headerReference w:type="first" r:id="rId13"/>
          <w:footerReference w:type="first" r:id="rId14"/>
          <w:pgSz w:w="11907" w:h="16840" w:code="9"/>
          <w:pgMar w:top="510" w:right="1134" w:bottom="1134" w:left="1134" w:header="510" w:footer="680" w:gutter="0"/>
          <w:pgNumType w:start="1"/>
          <w:cols w:space="720"/>
          <w:titlePg/>
          <w:docGrid w:linePitch="272"/>
        </w:sectPr>
      </w:pPr>
    </w:p>
    <w:p w:rsidR="00BA41B8" w:rsidRPr="009000EB" w:rsidRDefault="00D111FC" w:rsidP="00030C17">
      <w:pPr>
        <w:jc w:val="center"/>
        <w:rPr>
          <w:lang w:val="fr-FR"/>
        </w:rPr>
      </w:pPr>
      <w:r w:rsidRPr="009000EB">
        <w:rPr>
          <w:lang w:val="fr-FR"/>
        </w:rPr>
        <w:t>PROPOSITIONS DE MODIFICATION DU</w:t>
      </w:r>
    </w:p>
    <w:p w:rsidR="00BA41B8" w:rsidRPr="009000EB" w:rsidRDefault="00BA41B8" w:rsidP="00030C17">
      <w:pPr>
        <w:jc w:val="center"/>
        <w:rPr>
          <w:bCs/>
          <w:snapToGrid w:val="0"/>
          <w:szCs w:val="24"/>
          <w:lang w:val="fr-FR"/>
        </w:rPr>
      </w:pPr>
      <w:r w:rsidRPr="009000EB">
        <w:rPr>
          <w:lang w:val="fr-FR"/>
        </w:rPr>
        <w:t>DOCUMENT TGP/14</w:t>
      </w:r>
      <w:r w:rsidR="00006358" w:rsidRPr="009000EB">
        <w:rPr>
          <w:lang w:val="fr-FR"/>
        </w:rPr>
        <w:t>/1</w:t>
      </w:r>
      <w:r w:rsidRPr="009000EB">
        <w:rPr>
          <w:lang w:val="fr-FR"/>
        </w:rPr>
        <w:t xml:space="preserve"> “</w:t>
      </w:r>
      <w:r w:rsidR="00692976" w:rsidRPr="009000EB">
        <w:rPr>
          <w:bCs/>
          <w:snapToGrid w:val="0"/>
          <w:szCs w:val="24"/>
          <w:lang w:val="fr-FR"/>
        </w:rPr>
        <w:t>GLOSSAIRE DE TERMES UTILISÉS DANS LES DOCUMENTS DE L</w:t>
      </w:r>
      <w:r w:rsidR="006A61F0" w:rsidRPr="009000EB">
        <w:rPr>
          <w:bCs/>
          <w:snapToGrid w:val="0"/>
          <w:szCs w:val="24"/>
          <w:lang w:val="fr-FR"/>
        </w:rPr>
        <w:t>’</w:t>
      </w:r>
      <w:r w:rsidR="00692976" w:rsidRPr="009000EB">
        <w:rPr>
          <w:bCs/>
          <w:snapToGrid w:val="0"/>
          <w:szCs w:val="24"/>
          <w:lang w:val="fr-FR"/>
        </w:rPr>
        <w:t>UPOV</w:t>
      </w:r>
      <w:r w:rsidRPr="009000EB">
        <w:rPr>
          <w:bCs/>
          <w:snapToGrid w:val="0"/>
          <w:szCs w:val="24"/>
          <w:lang w:val="fr-FR"/>
        </w:rPr>
        <w:t>”</w:t>
      </w:r>
    </w:p>
    <w:p w:rsidR="00BA41B8" w:rsidRPr="009000EB" w:rsidRDefault="00BA41B8" w:rsidP="00030C17">
      <w:pPr>
        <w:jc w:val="center"/>
        <w:rPr>
          <w:bCs/>
          <w:snapToGrid w:val="0"/>
          <w:szCs w:val="24"/>
          <w:lang w:val="fr-FR"/>
        </w:rPr>
      </w:pPr>
    </w:p>
    <w:p w:rsidR="00BA41B8" w:rsidRPr="009000EB" w:rsidRDefault="00BA41B8" w:rsidP="00030C17">
      <w:pPr>
        <w:jc w:val="center"/>
        <w:rPr>
          <w:bCs/>
          <w:snapToGrid w:val="0"/>
          <w:szCs w:val="24"/>
          <w:lang w:val="fr-FR"/>
        </w:rPr>
      </w:pPr>
    </w:p>
    <w:p w:rsidR="00BA41B8" w:rsidRPr="009000EB" w:rsidRDefault="00BA41B8" w:rsidP="00030C17">
      <w:pPr>
        <w:jc w:val="center"/>
        <w:rPr>
          <w:bCs/>
          <w:snapToGrid w:val="0"/>
          <w:szCs w:val="24"/>
          <w:lang w:val="fr-FR"/>
        </w:rPr>
      </w:pPr>
    </w:p>
    <w:p w:rsidR="00BA41B8" w:rsidRPr="009000EB" w:rsidRDefault="00BA41B8" w:rsidP="00030C17">
      <w:pPr>
        <w:rPr>
          <w:lang w:val="fr-FR"/>
        </w:rPr>
      </w:pPr>
    </w:p>
    <w:p w:rsidR="00EE4442" w:rsidRPr="009000EB" w:rsidRDefault="00EE4442" w:rsidP="00030C17">
      <w:pPr>
        <w:pStyle w:val="Heading5"/>
        <w:rPr>
          <w:lang w:val="fr-FR"/>
        </w:rPr>
      </w:pPr>
      <w:r w:rsidRPr="009000EB">
        <w:rPr>
          <w:lang w:val="fr-FR"/>
        </w:rPr>
        <w:t>i)</w:t>
      </w:r>
      <w:r w:rsidRPr="009000EB">
        <w:rPr>
          <w:lang w:val="fr-FR"/>
        </w:rPr>
        <w:tab/>
      </w:r>
      <w:r w:rsidR="001D50E7">
        <w:rPr>
          <w:lang w:val="fr-FR"/>
        </w:rPr>
        <w:t>Section</w:t>
      </w:r>
      <w:r w:rsidR="009C056B" w:rsidRPr="009000EB">
        <w:rPr>
          <w:lang w:val="fr-FR"/>
        </w:rPr>
        <w:t> </w:t>
      </w:r>
      <w:r w:rsidRPr="009000EB">
        <w:rPr>
          <w:lang w:val="fr-FR"/>
        </w:rPr>
        <w:t>2.4</w:t>
      </w:r>
      <w:r w:rsidR="009C056B" w:rsidRPr="009000EB">
        <w:rPr>
          <w:lang w:val="fr-FR"/>
        </w:rPr>
        <w:t> </w:t>
      </w:r>
      <w:r w:rsidRPr="009000EB">
        <w:rPr>
          <w:lang w:val="fr-FR"/>
        </w:rPr>
        <w:t>: “</w:t>
      </w:r>
      <w:r w:rsidR="00F17AFD" w:rsidRPr="009000EB">
        <w:rPr>
          <w:lang w:val="fr-FR"/>
        </w:rPr>
        <w:t>Caractères liés à la forme de l</w:t>
      </w:r>
      <w:r w:rsidR="006A61F0" w:rsidRPr="009000EB">
        <w:rPr>
          <w:lang w:val="fr-FR"/>
        </w:rPr>
        <w:t>’</w:t>
      </w:r>
      <w:r w:rsidR="00F17AFD" w:rsidRPr="009000EB">
        <w:rPr>
          <w:lang w:val="fr-FR"/>
        </w:rPr>
        <w:t>apex ou de l</w:t>
      </w:r>
      <w:r w:rsidR="006A61F0" w:rsidRPr="009000EB">
        <w:rPr>
          <w:lang w:val="fr-FR"/>
        </w:rPr>
        <w:t>’</w:t>
      </w:r>
      <w:r w:rsidR="00F17AFD" w:rsidRPr="009000EB">
        <w:rPr>
          <w:lang w:val="fr-FR"/>
        </w:rPr>
        <w:t>extrémité</w:t>
      </w:r>
      <w:r w:rsidRPr="009000EB">
        <w:rPr>
          <w:lang w:val="fr-FR"/>
        </w:rPr>
        <w:t>”</w:t>
      </w:r>
    </w:p>
    <w:p w:rsidR="00EE4442" w:rsidRPr="009000EB" w:rsidRDefault="00EE4442" w:rsidP="00030C17">
      <w:pPr>
        <w:rPr>
          <w:lang w:val="fr-FR"/>
        </w:rPr>
      </w:pPr>
    </w:p>
    <w:p w:rsidR="00EE4442" w:rsidRPr="009000EB" w:rsidRDefault="00EE4442" w:rsidP="00030C17">
      <w:pPr>
        <w:keepNext/>
        <w:rPr>
          <w:lang w:val="fr-FR"/>
        </w:rPr>
      </w:pPr>
      <w:r w:rsidRPr="009000EB">
        <w:rPr>
          <w:lang w:val="fr-FR"/>
        </w:rPr>
        <w:t>1.</w:t>
      </w:r>
      <w:r w:rsidRPr="009000EB">
        <w:rPr>
          <w:lang w:val="fr-FR"/>
        </w:rPr>
        <w:tab/>
      </w:r>
      <w:r w:rsidR="00F17AFD" w:rsidRPr="009000EB">
        <w:rPr>
          <w:lang w:val="fr-FR"/>
        </w:rPr>
        <w:t>La section 2.4 du document TGP/14 devrait être libellée comme suit </w:t>
      </w:r>
      <w:r w:rsidRPr="009000EB">
        <w:rPr>
          <w:lang w:val="fr-FR"/>
        </w:rPr>
        <w:t>:</w:t>
      </w:r>
    </w:p>
    <w:p w:rsidR="00EE4442" w:rsidRPr="009000EB" w:rsidRDefault="00EE4442" w:rsidP="00030C17">
      <w:pPr>
        <w:rPr>
          <w:lang w:val="fr-FR"/>
        </w:rPr>
      </w:pPr>
    </w:p>
    <w:p w:rsidR="0076086A" w:rsidRPr="009000EB" w:rsidRDefault="0076086A" w:rsidP="00030C17">
      <w:pPr>
        <w:ind w:left="567" w:right="567"/>
        <w:rPr>
          <w:i/>
          <w:sz w:val="18"/>
          <w:lang w:val="fr-FR"/>
        </w:rPr>
      </w:pPr>
      <w:r w:rsidRPr="009000EB">
        <w:rPr>
          <w:i/>
          <w:sz w:val="18"/>
          <w:lang w:val="fr-FR"/>
        </w:rPr>
        <w:t xml:space="preserve">“2.4 </w:t>
      </w:r>
      <w:r w:rsidRPr="009000EB">
        <w:rPr>
          <w:i/>
          <w:sz w:val="18"/>
          <w:lang w:val="fr-FR"/>
        </w:rPr>
        <w:tab/>
        <w:t>Caractères liés à la forme de l</w:t>
      </w:r>
      <w:r w:rsidR="006A61F0" w:rsidRPr="009000EB">
        <w:rPr>
          <w:i/>
          <w:sz w:val="18"/>
          <w:lang w:val="fr-FR"/>
        </w:rPr>
        <w:t>’</w:t>
      </w:r>
      <w:r w:rsidRPr="009000EB">
        <w:rPr>
          <w:i/>
          <w:sz w:val="18"/>
          <w:lang w:val="fr-FR"/>
        </w:rPr>
        <w:t>apex ou de l</w:t>
      </w:r>
      <w:r w:rsidR="006A61F0" w:rsidRPr="009000EB">
        <w:rPr>
          <w:i/>
          <w:sz w:val="18"/>
          <w:lang w:val="fr-FR"/>
        </w:rPr>
        <w:t>’</w:t>
      </w:r>
      <w:r w:rsidRPr="009000EB">
        <w:rPr>
          <w:i/>
          <w:sz w:val="18"/>
          <w:lang w:val="fr-FR"/>
        </w:rPr>
        <w:t>extrémité</w:t>
      </w:r>
    </w:p>
    <w:p w:rsidR="0076086A" w:rsidRPr="009000EB" w:rsidRDefault="0076086A" w:rsidP="00030C17">
      <w:pPr>
        <w:ind w:left="567" w:right="567"/>
        <w:rPr>
          <w:i/>
          <w:sz w:val="18"/>
          <w:lang w:val="fr-FR"/>
        </w:rPr>
      </w:pPr>
    </w:p>
    <w:p w:rsidR="0076086A" w:rsidRPr="0059082B" w:rsidRDefault="0076086A" w:rsidP="00030C17">
      <w:pPr>
        <w:ind w:left="567" w:right="567"/>
        <w:rPr>
          <w:sz w:val="18"/>
          <w:lang w:val="fr-FR"/>
        </w:rPr>
      </w:pPr>
      <w:r w:rsidRPr="0059082B">
        <w:rPr>
          <w:sz w:val="18"/>
          <w:lang w:val="fr-FR"/>
        </w:rPr>
        <w:t>“2.4.1</w:t>
      </w:r>
      <w:r w:rsidRPr="0059082B">
        <w:rPr>
          <w:sz w:val="18"/>
          <w:lang w:val="fr-FR"/>
        </w:rPr>
        <w:tab/>
        <w:t>L</w:t>
      </w:r>
      <w:r w:rsidR="006A61F0" w:rsidRPr="0059082B">
        <w:rPr>
          <w:sz w:val="18"/>
          <w:lang w:val="fr-FR"/>
        </w:rPr>
        <w:t>’</w:t>
      </w:r>
      <w:r w:rsidRPr="0059082B">
        <w:rPr>
          <w:sz w:val="18"/>
          <w:lang w:val="fr-FR"/>
        </w:rPr>
        <w:t>APEX (partie sommitale ou distale) d</w:t>
      </w:r>
      <w:r w:rsidR="006A61F0" w:rsidRPr="0059082B">
        <w:rPr>
          <w:sz w:val="18"/>
          <w:lang w:val="fr-FR"/>
        </w:rPr>
        <w:t>’</w:t>
      </w:r>
      <w:r w:rsidRPr="0059082B">
        <w:rPr>
          <w:sz w:val="18"/>
          <w:lang w:val="fr-FR"/>
        </w:rPr>
        <w:t>un organe ou d</w:t>
      </w:r>
      <w:r w:rsidR="006A61F0" w:rsidRPr="0059082B">
        <w:rPr>
          <w:sz w:val="18"/>
          <w:lang w:val="fr-FR"/>
        </w:rPr>
        <w:t>’</w:t>
      </w:r>
      <w:r w:rsidRPr="0059082B">
        <w:rPr>
          <w:sz w:val="18"/>
          <w:lang w:val="fr-FR"/>
        </w:rPr>
        <w:t>une partie de plante est l</w:t>
      </w:r>
      <w:r w:rsidR="006A61F0" w:rsidRPr="0059082B">
        <w:rPr>
          <w:sz w:val="18"/>
          <w:lang w:val="fr-FR"/>
        </w:rPr>
        <w:t>’</w:t>
      </w:r>
      <w:r w:rsidRPr="0059082B">
        <w:rPr>
          <w:sz w:val="18"/>
          <w:lang w:val="fr-FR"/>
        </w:rPr>
        <w:t>extrémité la plus éloignée de son point d</w:t>
      </w:r>
      <w:r w:rsidR="006A61F0" w:rsidRPr="0059082B">
        <w:rPr>
          <w:sz w:val="18"/>
          <w:lang w:val="fr-FR"/>
        </w:rPr>
        <w:t>’</w:t>
      </w:r>
      <w:r w:rsidRPr="0059082B">
        <w:rPr>
          <w:sz w:val="18"/>
          <w:lang w:val="fr-FR"/>
        </w:rPr>
        <w:t>attache.  Dans certains cas, l</w:t>
      </w:r>
      <w:r w:rsidR="006A61F0" w:rsidRPr="0059082B">
        <w:rPr>
          <w:sz w:val="18"/>
          <w:lang w:val="fr-FR"/>
        </w:rPr>
        <w:t>’</w:t>
      </w:r>
      <w:r w:rsidRPr="0059082B">
        <w:rPr>
          <w:sz w:val="18"/>
          <w:lang w:val="fr-FR"/>
        </w:rPr>
        <w:t>extrémité distale de l</w:t>
      </w:r>
      <w:r w:rsidR="006A61F0" w:rsidRPr="0059082B">
        <w:rPr>
          <w:sz w:val="18"/>
          <w:lang w:val="fr-FR"/>
        </w:rPr>
        <w:t>’</w:t>
      </w:r>
      <w:r w:rsidRPr="0059082B">
        <w:rPr>
          <w:sz w:val="18"/>
          <w:lang w:val="fr-FR"/>
        </w:rPr>
        <w:t xml:space="preserve">apex peut être différenciée en une </w:t>
      </w:r>
      <w:r w:rsidR="006A61F0" w:rsidRPr="0059082B">
        <w:rPr>
          <w:sz w:val="18"/>
          <w:lang w:val="fr-FR"/>
        </w:rPr>
        <w:t>‘</w:t>
      </w:r>
      <w:r w:rsidRPr="0059082B">
        <w:rPr>
          <w:sz w:val="18"/>
          <w:lang w:val="fr-FR"/>
        </w:rPr>
        <w:t>EXTRÉMITÉ</w:t>
      </w:r>
      <w:r w:rsidR="006A61F0" w:rsidRPr="0059082B">
        <w:rPr>
          <w:sz w:val="18"/>
          <w:lang w:val="fr-FR"/>
        </w:rPr>
        <w:t>’</w:t>
      </w:r>
      <w:r w:rsidRPr="0059082B">
        <w:rPr>
          <w:sz w:val="18"/>
          <w:lang w:val="fr-FR"/>
        </w:rPr>
        <w:t>.</w:t>
      </w:r>
    </w:p>
    <w:p w:rsidR="0076086A" w:rsidRPr="0059082B" w:rsidRDefault="0076086A" w:rsidP="00030C17">
      <w:pPr>
        <w:ind w:left="567" w:right="567"/>
        <w:rPr>
          <w:sz w:val="18"/>
          <w:lang w:val="fr-FR"/>
        </w:rPr>
      </w:pPr>
    </w:p>
    <w:p w:rsidR="0076086A" w:rsidRPr="0059082B" w:rsidRDefault="0076086A" w:rsidP="00030C17">
      <w:pPr>
        <w:ind w:left="567" w:right="567"/>
        <w:rPr>
          <w:sz w:val="18"/>
          <w:lang w:val="fr-FR"/>
        </w:rPr>
      </w:pPr>
      <w:r w:rsidRPr="0059082B">
        <w:rPr>
          <w:sz w:val="18"/>
          <w:lang w:val="fr-FR"/>
        </w:rPr>
        <w:t>“2.4.2</w:t>
      </w:r>
      <w:r w:rsidRPr="0059082B">
        <w:rPr>
          <w:sz w:val="18"/>
          <w:lang w:val="fr-FR"/>
        </w:rPr>
        <w:tab/>
        <w:t>Afin de décrire l</w:t>
      </w:r>
      <w:r w:rsidR="006A61F0" w:rsidRPr="0059082B">
        <w:rPr>
          <w:sz w:val="18"/>
          <w:lang w:val="fr-FR"/>
        </w:rPr>
        <w:t>’</w:t>
      </w:r>
      <w:r w:rsidRPr="0059082B">
        <w:rPr>
          <w:sz w:val="18"/>
          <w:lang w:val="fr-FR"/>
        </w:rPr>
        <w:t>apex, la taille de l</w:t>
      </w:r>
      <w:r w:rsidR="006A61F0" w:rsidRPr="0059082B">
        <w:rPr>
          <w:sz w:val="18"/>
          <w:lang w:val="fr-FR"/>
        </w:rPr>
        <w:t>’</w:t>
      </w:r>
      <w:r w:rsidRPr="0059082B">
        <w:rPr>
          <w:sz w:val="18"/>
          <w:lang w:val="fr-FR"/>
        </w:rPr>
        <w:t>organe et les différentes formes de l</w:t>
      </w:r>
      <w:r w:rsidR="006A61F0" w:rsidRPr="0059082B">
        <w:rPr>
          <w:sz w:val="18"/>
          <w:lang w:val="fr-FR"/>
        </w:rPr>
        <w:t>’</w:t>
      </w:r>
      <w:r w:rsidRPr="0059082B">
        <w:rPr>
          <w:sz w:val="18"/>
          <w:lang w:val="fr-FR"/>
        </w:rPr>
        <w:t>apex doivent prises en considération.  Les caractères liés à l</w:t>
      </w:r>
      <w:r w:rsidR="006A61F0" w:rsidRPr="0059082B">
        <w:rPr>
          <w:sz w:val="18"/>
          <w:lang w:val="fr-FR"/>
        </w:rPr>
        <w:t>’</w:t>
      </w:r>
      <w:r w:rsidRPr="0059082B">
        <w:rPr>
          <w:sz w:val="18"/>
          <w:lang w:val="fr-FR"/>
        </w:rPr>
        <w:t>apex peuvent être décrits en utilisant des termes simples et lorsque l</w:t>
      </w:r>
      <w:r w:rsidR="006A61F0" w:rsidRPr="0059082B">
        <w:rPr>
          <w:sz w:val="18"/>
          <w:lang w:val="fr-FR"/>
        </w:rPr>
        <w:t>’</w:t>
      </w:r>
      <w:r w:rsidRPr="0059082B">
        <w:rPr>
          <w:sz w:val="18"/>
          <w:lang w:val="fr-FR"/>
        </w:rPr>
        <w:t>extrémité est différenciée, il est possible de recourir à un caractère indépendant pour la décrire.  Il n</w:t>
      </w:r>
      <w:r w:rsidR="006A61F0" w:rsidRPr="0059082B">
        <w:rPr>
          <w:sz w:val="18"/>
          <w:lang w:val="fr-FR"/>
        </w:rPr>
        <w:t>’</w:t>
      </w:r>
      <w:r w:rsidRPr="0059082B">
        <w:rPr>
          <w:sz w:val="18"/>
          <w:lang w:val="fr-FR"/>
        </w:rPr>
        <w:t>est généralement pas nécessaire d</w:t>
      </w:r>
      <w:r w:rsidR="006A61F0" w:rsidRPr="0059082B">
        <w:rPr>
          <w:sz w:val="18"/>
          <w:lang w:val="fr-FR"/>
        </w:rPr>
        <w:t>’</w:t>
      </w:r>
      <w:r w:rsidRPr="0059082B">
        <w:rPr>
          <w:sz w:val="18"/>
          <w:lang w:val="fr-FR"/>
        </w:rPr>
        <w:t>élaborer un caractère indépendant lié à la forme de l</w:t>
      </w:r>
      <w:r w:rsidR="006A61F0" w:rsidRPr="0059082B">
        <w:rPr>
          <w:sz w:val="18"/>
          <w:lang w:val="fr-FR"/>
        </w:rPr>
        <w:t>’</w:t>
      </w:r>
      <w:r w:rsidRPr="0059082B">
        <w:rPr>
          <w:sz w:val="18"/>
          <w:lang w:val="fr-FR"/>
        </w:rPr>
        <w:t>apex.</w:t>
      </w:r>
    </w:p>
    <w:p w:rsidR="0076086A" w:rsidRPr="0059082B" w:rsidRDefault="0076086A" w:rsidP="00030C17">
      <w:pPr>
        <w:ind w:left="567" w:right="567"/>
        <w:rPr>
          <w:sz w:val="18"/>
          <w:lang w:val="fr-FR"/>
        </w:rPr>
      </w:pPr>
    </w:p>
    <w:p w:rsidR="00EE4442" w:rsidRPr="0059082B" w:rsidRDefault="0076086A" w:rsidP="00030C17">
      <w:pPr>
        <w:ind w:left="567" w:right="567"/>
        <w:rPr>
          <w:sz w:val="18"/>
          <w:lang w:val="fr-FR"/>
        </w:rPr>
      </w:pPr>
      <w:r w:rsidRPr="0059082B">
        <w:rPr>
          <w:sz w:val="18"/>
          <w:lang w:val="fr-FR"/>
        </w:rPr>
        <w:t>“2.4.3</w:t>
      </w:r>
      <w:r w:rsidRPr="0059082B">
        <w:rPr>
          <w:sz w:val="18"/>
          <w:lang w:val="fr-FR"/>
        </w:rPr>
        <w:tab/>
        <w:t>Dans les cas où il y a lieu de différencier les caractères liés à l</w:t>
      </w:r>
      <w:r w:rsidR="006A61F0" w:rsidRPr="0059082B">
        <w:rPr>
          <w:sz w:val="18"/>
          <w:lang w:val="fr-FR"/>
        </w:rPr>
        <w:t>’</w:t>
      </w:r>
      <w:r w:rsidRPr="0059082B">
        <w:rPr>
          <w:sz w:val="18"/>
          <w:lang w:val="fr-FR"/>
        </w:rPr>
        <w:t>extrémité de ceux liés à l</w:t>
      </w:r>
      <w:r w:rsidR="006A61F0" w:rsidRPr="0059082B">
        <w:rPr>
          <w:sz w:val="18"/>
          <w:lang w:val="fr-FR"/>
        </w:rPr>
        <w:t>’</w:t>
      </w:r>
      <w:r w:rsidRPr="0059082B">
        <w:rPr>
          <w:sz w:val="18"/>
          <w:lang w:val="fr-FR"/>
        </w:rPr>
        <w:t>apex, la forme de l</w:t>
      </w:r>
      <w:r w:rsidR="006A61F0" w:rsidRPr="0059082B">
        <w:rPr>
          <w:sz w:val="18"/>
          <w:lang w:val="fr-FR"/>
        </w:rPr>
        <w:t>’</w:t>
      </w:r>
      <w:r w:rsidRPr="0059082B">
        <w:rPr>
          <w:sz w:val="18"/>
          <w:lang w:val="fr-FR"/>
        </w:rPr>
        <w:t>apex est alors considérée comme la forme générale, à l</w:t>
      </w:r>
      <w:r w:rsidR="006A61F0" w:rsidRPr="0059082B">
        <w:rPr>
          <w:sz w:val="18"/>
          <w:lang w:val="fr-FR"/>
        </w:rPr>
        <w:t>’</w:t>
      </w:r>
      <w:r w:rsidRPr="0059082B">
        <w:rPr>
          <w:sz w:val="18"/>
          <w:lang w:val="fr-FR"/>
        </w:rPr>
        <w:t>exclusion d</w:t>
      </w:r>
      <w:r w:rsidR="006A61F0" w:rsidRPr="0059082B">
        <w:rPr>
          <w:sz w:val="18"/>
          <w:lang w:val="fr-FR"/>
        </w:rPr>
        <w:t>’</w:t>
      </w:r>
      <w:r w:rsidRPr="0059082B">
        <w:rPr>
          <w:sz w:val="18"/>
          <w:lang w:val="fr-FR"/>
        </w:rPr>
        <w:t>une extrémité différenciée (si elle est présente) et la différenciation entre l</w:t>
      </w:r>
      <w:r w:rsidR="006A61F0" w:rsidRPr="0059082B">
        <w:rPr>
          <w:sz w:val="18"/>
          <w:lang w:val="fr-FR"/>
        </w:rPr>
        <w:t>’</w:t>
      </w:r>
      <w:r w:rsidRPr="0059082B">
        <w:rPr>
          <w:sz w:val="18"/>
          <w:lang w:val="fr-FR"/>
        </w:rPr>
        <w:t>extrémité et l</w:t>
      </w:r>
      <w:r w:rsidR="006A61F0" w:rsidRPr="0059082B">
        <w:rPr>
          <w:sz w:val="18"/>
          <w:lang w:val="fr-FR"/>
        </w:rPr>
        <w:t>’</w:t>
      </w:r>
      <w:r w:rsidRPr="0059082B">
        <w:rPr>
          <w:sz w:val="18"/>
          <w:lang w:val="fr-FR"/>
        </w:rPr>
        <w:t>apex doit être indiquée dans l</w:t>
      </w:r>
      <w:r w:rsidR="006A61F0" w:rsidRPr="0059082B">
        <w:rPr>
          <w:sz w:val="18"/>
          <w:lang w:val="fr-FR"/>
        </w:rPr>
        <w:t>’</w:t>
      </w:r>
      <w:r w:rsidRPr="0059082B">
        <w:rPr>
          <w:sz w:val="18"/>
          <w:lang w:val="fr-FR"/>
        </w:rPr>
        <w:t>explication du caractère.  Par exemple </w:t>
      </w:r>
      <w:r w:rsidR="00EE4442" w:rsidRPr="0059082B">
        <w:rPr>
          <w:sz w:val="18"/>
          <w:lang w:val="fr-FR"/>
        </w:rPr>
        <w:t>:</w:t>
      </w:r>
    </w:p>
    <w:p w:rsidR="00EE4442" w:rsidRPr="009000EB" w:rsidRDefault="00EE4442" w:rsidP="00030C17">
      <w:pPr>
        <w:ind w:left="567" w:right="567"/>
        <w:rPr>
          <w:sz w:val="18"/>
          <w:lang w:val="fr-FR"/>
        </w:rPr>
      </w:pPr>
    </w:p>
    <w:p w:rsidR="00EE4442" w:rsidRPr="009000EB" w:rsidRDefault="0059082B" w:rsidP="00030C17">
      <w:pPr>
        <w:ind w:left="567" w:right="567"/>
        <w:rPr>
          <w:sz w:val="18"/>
          <w:lang w:val="fr-FR"/>
        </w:rPr>
      </w:pPr>
      <w:r>
        <w:rPr>
          <w:sz w:val="18"/>
          <w:lang w:val="fr-FR"/>
        </w:rPr>
        <w:t>“</w:t>
      </w:r>
      <w:r w:rsidR="00EE4442" w:rsidRPr="009000EB">
        <w:rPr>
          <w:sz w:val="18"/>
          <w:lang w:val="fr-FR"/>
        </w:rPr>
        <w:t>[…]”</w:t>
      </w:r>
    </w:p>
    <w:p w:rsidR="00EE4442" w:rsidRPr="009000EB" w:rsidRDefault="00EE4442" w:rsidP="00030C17">
      <w:pPr>
        <w:rPr>
          <w:lang w:val="fr-FR"/>
        </w:rPr>
      </w:pPr>
    </w:p>
    <w:p w:rsidR="00EE4442" w:rsidRPr="009000EB" w:rsidRDefault="00EE4442" w:rsidP="00030C17">
      <w:pPr>
        <w:rPr>
          <w:lang w:val="fr-FR"/>
        </w:rPr>
      </w:pPr>
    </w:p>
    <w:p w:rsidR="00EE4442" w:rsidRPr="009000EB" w:rsidRDefault="00EE4442" w:rsidP="00030C17">
      <w:pPr>
        <w:pStyle w:val="Heading5"/>
        <w:rPr>
          <w:lang w:val="fr-FR"/>
        </w:rPr>
      </w:pPr>
      <w:r w:rsidRPr="009000EB">
        <w:rPr>
          <w:lang w:val="fr-FR"/>
        </w:rPr>
        <w:t>ii)</w:t>
      </w:r>
      <w:r w:rsidRPr="009000EB">
        <w:rPr>
          <w:lang w:val="fr-FR"/>
        </w:rPr>
        <w:tab/>
      </w:r>
      <w:r w:rsidR="003A492E" w:rsidRPr="009000EB">
        <w:rPr>
          <w:lang w:val="fr-FR"/>
        </w:rPr>
        <w:t>Sous</w:t>
      </w:r>
      <w:r w:rsidR="00535F54" w:rsidRPr="009000EB">
        <w:rPr>
          <w:lang w:val="fr-FR"/>
        </w:rPr>
        <w:noBreakHyphen/>
      </w:r>
      <w:r w:rsidR="003A492E" w:rsidRPr="009000EB">
        <w:rPr>
          <w:lang w:val="fr-FR"/>
        </w:rPr>
        <w:t>section</w:t>
      </w:r>
      <w:r w:rsidR="009C056B" w:rsidRPr="009000EB">
        <w:rPr>
          <w:lang w:val="fr-FR"/>
        </w:rPr>
        <w:t> </w:t>
      </w:r>
      <w:r w:rsidR="003A492E" w:rsidRPr="009000EB">
        <w:rPr>
          <w:lang w:val="fr-FR"/>
        </w:rPr>
        <w:t>3 “Couleur”</w:t>
      </w:r>
    </w:p>
    <w:p w:rsidR="00EE4442" w:rsidRPr="009000EB" w:rsidRDefault="00EE4442" w:rsidP="00030C17">
      <w:pPr>
        <w:rPr>
          <w:lang w:val="fr-FR"/>
        </w:rPr>
      </w:pPr>
    </w:p>
    <w:p w:rsidR="00EE4442" w:rsidRPr="009000EB" w:rsidRDefault="002D7647" w:rsidP="00030C17">
      <w:pPr>
        <w:rPr>
          <w:lang w:val="fr-FR"/>
        </w:rPr>
      </w:pPr>
      <w:r w:rsidRPr="009000EB">
        <w:rPr>
          <w:lang w:val="fr-FR"/>
        </w:rPr>
        <w:t>2</w:t>
      </w:r>
      <w:r w:rsidR="00EE4442" w:rsidRPr="009000EB">
        <w:rPr>
          <w:lang w:val="fr-FR"/>
        </w:rPr>
        <w:t>.</w:t>
      </w:r>
      <w:r w:rsidR="00EE4442" w:rsidRPr="009000EB">
        <w:rPr>
          <w:lang w:val="fr-FR"/>
        </w:rPr>
        <w:tab/>
      </w:r>
      <w:r w:rsidR="003A492E" w:rsidRPr="009000EB">
        <w:rPr>
          <w:lang w:val="fr-FR"/>
        </w:rPr>
        <w:t>La traduction française du terme anglais désignant le groupe de couleur</w:t>
      </w:r>
      <w:r w:rsidR="00EE4442" w:rsidRPr="009000EB">
        <w:rPr>
          <w:lang w:val="fr-FR"/>
        </w:rPr>
        <w:t xml:space="preserve"> “</w:t>
      </w:r>
      <w:proofErr w:type="spellStart"/>
      <w:r w:rsidR="00EE4442" w:rsidRPr="009000EB">
        <w:rPr>
          <w:lang w:val="fr-FR"/>
        </w:rPr>
        <w:t>dark</w:t>
      </w:r>
      <w:proofErr w:type="spellEnd"/>
      <w:r w:rsidR="00EE4442" w:rsidRPr="009000EB">
        <w:rPr>
          <w:lang w:val="fr-FR"/>
        </w:rPr>
        <w:t xml:space="preserve"> </w:t>
      </w:r>
      <w:proofErr w:type="spellStart"/>
      <w:r w:rsidR="00EE4442" w:rsidRPr="009000EB">
        <w:rPr>
          <w:lang w:val="fr-FR"/>
        </w:rPr>
        <w:t>purple</w:t>
      </w:r>
      <w:proofErr w:type="spellEnd"/>
      <w:r w:rsidR="00EE4442" w:rsidRPr="009000EB">
        <w:rPr>
          <w:lang w:val="fr-FR"/>
        </w:rPr>
        <w:t xml:space="preserve"> </w:t>
      </w:r>
      <w:proofErr w:type="spellStart"/>
      <w:r w:rsidR="00EE4442" w:rsidRPr="009000EB">
        <w:rPr>
          <w:lang w:val="fr-FR"/>
        </w:rPr>
        <w:t>red</w:t>
      </w:r>
      <w:proofErr w:type="spellEnd"/>
      <w:r w:rsidR="00EE4442" w:rsidRPr="009000EB">
        <w:rPr>
          <w:lang w:val="fr-FR"/>
        </w:rPr>
        <w:t xml:space="preserve">” </w:t>
      </w:r>
      <w:r w:rsidR="003A492E" w:rsidRPr="009000EB">
        <w:rPr>
          <w:lang w:val="fr-FR"/>
        </w:rPr>
        <w:t xml:space="preserve">devient </w:t>
      </w:r>
      <w:r w:rsidR="0059082B">
        <w:rPr>
          <w:lang w:val="fr-FR"/>
        </w:rPr>
        <w:t>“rouge-</w:t>
      </w:r>
      <w:r w:rsidR="00EE4442" w:rsidRPr="009000EB">
        <w:rPr>
          <w:lang w:val="fr-FR"/>
        </w:rPr>
        <w:t>pourpre foncé”.</w:t>
      </w:r>
    </w:p>
    <w:p w:rsidR="00BA41B8" w:rsidRPr="009000EB" w:rsidRDefault="00BA41B8" w:rsidP="00030C17">
      <w:pPr>
        <w:rPr>
          <w:lang w:val="fr-FR"/>
        </w:rPr>
      </w:pPr>
    </w:p>
    <w:p w:rsidR="006B6E3A" w:rsidRPr="009000EB" w:rsidRDefault="006B6E3A" w:rsidP="00030C17">
      <w:pPr>
        <w:rPr>
          <w:lang w:val="fr-FR"/>
        </w:rPr>
      </w:pPr>
    </w:p>
    <w:p w:rsidR="006B6E3A" w:rsidRPr="009000EB" w:rsidRDefault="006B6E3A" w:rsidP="00030C17">
      <w:pPr>
        <w:rPr>
          <w:lang w:val="fr-FR"/>
        </w:rPr>
      </w:pPr>
    </w:p>
    <w:p w:rsidR="006B6E3A" w:rsidRPr="009000EB" w:rsidRDefault="006B6E3A" w:rsidP="00030C17">
      <w:pPr>
        <w:jc w:val="right"/>
        <w:rPr>
          <w:lang w:val="fr-FR"/>
        </w:rPr>
      </w:pPr>
      <w:r w:rsidRPr="009000EB">
        <w:rPr>
          <w:lang w:val="fr-FR"/>
        </w:rPr>
        <w:t>[</w:t>
      </w:r>
      <w:r w:rsidR="00481B4F" w:rsidRPr="009000EB">
        <w:rPr>
          <w:lang w:val="fr-FR"/>
        </w:rPr>
        <w:t>L</w:t>
      </w:r>
      <w:r w:rsidR="006A61F0" w:rsidRPr="009000EB">
        <w:rPr>
          <w:lang w:val="fr-FR"/>
        </w:rPr>
        <w:t>’</w:t>
      </w:r>
      <w:r w:rsidR="00481B4F" w:rsidRPr="009000EB">
        <w:rPr>
          <w:lang w:val="fr-FR"/>
        </w:rPr>
        <w:t>annexe</w:t>
      </w:r>
      <w:r w:rsidR="009C056B" w:rsidRPr="009000EB">
        <w:rPr>
          <w:lang w:val="fr-FR"/>
        </w:rPr>
        <w:t> </w:t>
      </w:r>
      <w:r w:rsidRPr="009000EB">
        <w:rPr>
          <w:lang w:val="fr-FR"/>
        </w:rPr>
        <w:t xml:space="preserve">III </w:t>
      </w:r>
      <w:r w:rsidR="00481B4F" w:rsidRPr="009000EB">
        <w:rPr>
          <w:lang w:val="fr-FR"/>
        </w:rPr>
        <w:t>suit</w:t>
      </w:r>
      <w:r w:rsidRPr="009000EB">
        <w:rPr>
          <w:lang w:val="fr-FR"/>
        </w:rPr>
        <w:t>]</w:t>
      </w:r>
    </w:p>
    <w:p w:rsidR="00EE4442" w:rsidRPr="009000EB" w:rsidRDefault="00EE4442" w:rsidP="00030C17">
      <w:pPr>
        <w:rPr>
          <w:lang w:val="fr-FR"/>
        </w:rPr>
      </w:pPr>
    </w:p>
    <w:p w:rsidR="002C7EEC" w:rsidRPr="009000EB" w:rsidRDefault="002C7EEC" w:rsidP="00030C17">
      <w:pPr>
        <w:rPr>
          <w:lang w:val="fr-FR"/>
        </w:rPr>
        <w:sectPr w:rsidR="002C7EEC" w:rsidRPr="009000EB" w:rsidSect="00FA102A">
          <w:headerReference w:type="default" r:id="rId15"/>
          <w:headerReference w:type="first" r:id="rId16"/>
          <w:pgSz w:w="11907" w:h="16840" w:code="9"/>
          <w:pgMar w:top="510" w:right="1134" w:bottom="1134" w:left="1134" w:header="510" w:footer="680" w:gutter="0"/>
          <w:pgNumType w:start="1"/>
          <w:cols w:space="720"/>
          <w:titlePg/>
          <w:docGrid w:linePitch="272"/>
        </w:sectPr>
      </w:pPr>
    </w:p>
    <w:p w:rsidR="00EE4442" w:rsidRPr="009000EB" w:rsidRDefault="008932BD" w:rsidP="00030C17">
      <w:pPr>
        <w:jc w:val="center"/>
        <w:rPr>
          <w:lang w:val="fr-FR"/>
        </w:rPr>
      </w:pPr>
      <w:r w:rsidRPr="009000EB">
        <w:rPr>
          <w:lang w:val="fr-FR"/>
        </w:rPr>
        <w:t>PROPOSITIONS DE MODIFICATION DU</w:t>
      </w:r>
      <w:r w:rsidR="002C7EEC" w:rsidRPr="009000EB">
        <w:rPr>
          <w:lang w:val="fr-FR"/>
        </w:rPr>
        <w:t xml:space="preserve"> </w:t>
      </w:r>
      <w:r w:rsidR="006D4519" w:rsidRPr="009000EB">
        <w:rPr>
          <w:lang w:val="fr-FR"/>
        </w:rPr>
        <w:br/>
      </w:r>
      <w:r w:rsidR="002C7EEC" w:rsidRPr="009000EB">
        <w:rPr>
          <w:lang w:val="fr-FR"/>
        </w:rPr>
        <w:t>DOCUMENT UPOV/INF/12</w:t>
      </w:r>
      <w:r w:rsidR="00006358" w:rsidRPr="009000EB">
        <w:rPr>
          <w:lang w:val="fr-FR"/>
        </w:rPr>
        <w:t>/4</w:t>
      </w:r>
      <w:r w:rsidR="002C7EEC" w:rsidRPr="009000EB">
        <w:rPr>
          <w:lang w:val="fr-FR"/>
        </w:rPr>
        <w:t xml:space="preserve"> “</w:t>
      </w:r>
      <w:r w:rsidR="00242824" w:rsidRPr="009000EB">
        <w:rPr>
          <w:bCs/>
          <w:lang w:val="fr-FR"/>
        </w:rPr>
        <w:t xml:space="preserve">NOTES EXPLICATIVES CONCERNANT LES DÉNOMINATIONS VARIÉTALES EN VERTU DE LA </w:t>
      </w:r>
      <w:r w:rsidR="006A61F0" w:rsidRPr="009000EB">
        <w:rPr>
          <w:bCs/>
          <w:lang w:val="fr-FR"/>
        </w:rPr>
        <w:t>CONVENTION UPOV</w:t>
      </w:r>
      <w:r w:rsidR="002C7EEC" w:rsidRPr="009000EB">
        <w:rPr>
          <w:lang w:val="fr-FR"/>
        </w:rPr>
        <w:t>”</w:t>
      </w:r>
    </w:p>
    <w:p w:rsidR="002C7EEC" w:rsidRPr="009000EB" w:rsidRDefault="002C7EEC" w:rsidP="00030C17">
      <w:pPr>
        <w:rPr>
          <w:lang w:val="fr-FR"/>
        </w:rPr>
      </w:pPr>
    </w:p>
    <w:p w:rsidR="00450FB5" w:rsidRPr="009000EB" w:rsidRDefault="00450FB5" w:rsidP="00030C17">
      <w:pPr>
        <w:rPr>
          <w:lang w:val="fr-FR"/>
        </w:rPr>
      </w:pPr>
    </w:p>
    <w:p w:rsidR="002C7EEC" w:rsidRPr="009000EB" w:rsidRDefault="002C7EEC" w:rsidP="00030C17">
      <w:pPr>
        <w:rPr>
          <w:lang w:val="fr-FR"/>
        </w:rPr>
      </w:pPr>
    </w:p>
    <w:p w:rsidR="00450FB5" w:rsidRPr="009000EB" w:rsidRDefault="00AC38F7" w:rsidP="00030C17">
      <w:pPr>
        <w:rPr>
          <w:lang w:val="fr-FR"/>
        </w:rPr>
      </w:pPr>
      <w:r w:rsidRPr="009000EB">
        <w:rPr>
          <w:lang w:val="fr-FR"/>
        </w:rPr>
        <w:t>Insérer un nouveau paragraphe</w:t>
      </w:r>
      <w:r w:rsidR="009C056B" w:rsidRPr="009000EB">
        <w:rPr>
          <w:lang w:val="fr-FR"/>
        </w:rPr>
        <w:t> </w:t>
      </w:r>
      <w:r w:rsidR="00450FB5" w:rsidRPr="009000EB">
        <w:rPr>
          <w:lang w:val="fr-FR"/>
        </w:rPr>
        <w:t xml:space="preserve">7.2 </w:t>
      </w:r>
      <w:r w:rsidRPr="009000EB">
        <w:rPr>
          <w:lang w:val="fr-FR"/>
        </w:rPr>
        <w:t xml:space="preserve">dans la </w:t>
      </w:r>
      <w:r w:rsidR="00450FB5" w:rsidRPr="009000EB">
        <w:rPr>
          <w:lang w:val="fr-FR"/>
        </w:rPr>
        <w:t>section “Note</w:t>
      </w:r>
      <w:r w:rsidR="00F00490" w:rsidRPr="009000EB">
        <w:rPr>
          <w:lang w:val="fr-FR"/>
        </w:rPr>
        <w:t>s explicatives</w:t>
      </w:r>
      <w:r w:rsidR="00450FB5" w:rsidRPr="009000EB">
        <w:rPr>
          <w:lang w:val="fr-FR"/>
        </w:rPr>
        <w:t xml:space="preserve"> – </w:t>
      </w:r>
      <w:r w:rsidR="00F00490" w:rsidRPr="009000EB">
        <w:rPr>
          <w:lang w:val="fr-FR"/>
        </w:rPr>
        <w:t>p</w:t>
      </w:r>
      <w:r w:rsidR="00450FB5" w:rsidRPr="009000EB">
        <w:rPr>
          <w:lang w:val="fr-FR"/>
        </w:rPr>
        <w:t>aragraph</w:t>
      </w:r>
      <w:r w:rsidRPr="009000EB">
        <w:rPr>
          <w:lang w:val="fr-FR"/>
        </w:rPr>
        <w:t>e</w:t>
      </w:r>
      <w:r w:rsidR="009C056B" w:rsidRPr="009000EB">
        <w:rPr>
          <w:lang w:val="fr-FR"/>
        </w:rPr>
        <w:t> </w:t>
      </w:r>
      <w:r w:rsidR="00450FB5" w:rsidRPr="009000EB">
        <w:rPr>
          <w:lang w:val="fr-FR"/>
        </w:rPr>
        <w:t xml:space="preserve">7)”, </w:t>
      </w:r>
      <w:r w:rsidRPr="009000EB">
        <w:rPr>
          <w:lang w:val="fr-FR"/>
        </w:rPr>
        <w:t>comme suit</w:t>
      </w:r>
      <w:r w:rsidR="009C056B" w:rsidRPr="009000EB">
        <w:rPr>
          <w:lang w:val="fr-FR"/>
        </w:rPr>
        <w:t> </w:t>
      </w:r>
      <w:r w:rsidR="00450FB5" w:rsidRPr="009000EB">
        <w:rPr>
          <w:lang w:val="fr-FR"/>
        </w:rPr>
        <w:t>:</w:t>
      </w:r>
    </w:p>
    <w:p w:rsidR="00450FB5" w:rsidRPr="009000EB" w:rsidRDefault="00450FB5" w:rsidP="00030C17">
      <w:pPr>
        <w:rPr>
          <w:lang w:val="fr-FR"/>
        </w:rPr>
      </w:pPr>
    </w:p>
    <w:p w:rsidR="009145A3" w:rsidRPr="009000EB" w:rsidRDefault="009145A3" w:rsidP="00030C17">
      <w:pPr>
        <w:jc w:val="center"/>
        <w:rPr>
          <w:b/>
          <w:lang w:val="fr-FR"/>
        </w:rPr>
      </w:pPr>
      <w:r w:rsidRPr="009000EB">
        <w:rPr>
          <w:b/>
          <w:lang w:val="fr-FR"/>
        </w:rPr>
        <w:t>Paragraph</w:t>
      </w:r>
      <w:r w:rsidR="000C55A1" w:rsidRPr="009000EB">
        <w:rPr>
          <w:b/>
          <w:lang w:val="fr-FR"/>
        </w:rPr>
        <w:t>e</w:t>
      </w:r>
      <w:r w:rsidRPr="009000EB">
        <w:rPr>
          <w:b/>
          <w:lang w:val="fr-FR"/>
        </w:rPr>
        <w:t> 7</w:t>
      </w:r>
    </w:p>
    <w:p w:rsidR="009145A3" w:rsidRPr="009000EB" w:rsidRDefault="009145A3" w:rsidP="00030C17">
      <w:pPr>
        <w:rPr>
          <w:b/>
          <w:lang w:val="fr-FR"/>
        </w:rPr>
      </w:pPr>
    </w:p>
    <w:p w:rsidR="009145A3" w:rsidRPr="009000EB" w:rsidRDefault="009145A3" w:rsidP="00030C17">
      <w:pPr>
        <w:rPr>
          <w:b/>
          <w:lang w:val="fr-FR"/>
        </w:rPr>
      </w:pPr>
      <w:r w:rsidRPr="009000EB">
        <w:rPr>
          <w:b/>
          <w:lang w:val="fr-FR"/>
        </w:rPr>
        <w:tab/>
        <w:t>[</w:t>
      </w:r>
      <w:r w:rsidR="000C55A1" w:rsidRPr="009000EB">
        <w:rPr>
          <w:b/>
          <w:i/>
          <w:lang w:val="fr-FR"/>
        </w:rPr>
        <w:t>Obligation d</w:t>
      </w:r>
      <w:r w:rsidR="006A61F0" w:rsidRPr="009000EB">
        <w:rPr>
          <w:b/>
          <w:i/>
          <w:lang w:val="fr-FR"/>
        </w:rPr>
        <w:t>’</w:t>
      </w:r>
      <w:r w:rsidR="000C55A1" w:rsidRPr="009000EB">
        <w:rPr>
          <w:b/>
          <w:i/>
          <w:lang w:val="fr-FR"/>
        </w:rPr>
        <w:t>utiliser la dénomination</w:t>
      </w:r>
      <w:r w:rsidR="000C55A1" w:rsidRPr="0059082B">
        <w:rPr>
          <w:b/>
          <w:lang w:val="fr-FR"/>
        </w:rPr>
        <w:t>] Toute personne qui, sur le territoire de l</w:t>
      </w:r>
      <w:r w:rsidR="006A61F0" w:rsidRPr="0059082B">
        <w:rPr>
          <w:b/>
          <w:lang w:val="fr-FR"/>
        </w:rPr>
        <w:t>’</w:t>
      </w:r>
      <w:r w:rsidR="000C55A1" w:rsidRPr="0059082B">
        <w:rPr>
          <w:b/>
          <w:lang w:val="fr-FR"/>
        </w:rPr>
        <w:t>un des membres de l</w:t>
      </w:r>
      <w:r w:rsidR="006A61F0" w:rsidRPr="0059082B">
        <w:rPr>
          <w:b/>
          <w:lang w:val="fr-FR"/>
        </w:rPr>
        <w:t>’</w:t>
      </w:r>
      <w:r w:rsidR="000C55A1" w:rsidRPr="0059082B">
        <w:rPr>
          <w:b/>
          <w:lang w:val="fr-FR"/>
        </w:rPr>
        <w:t>Union, procède à la mise en vente ou à la commercialisation du matériel de reproduction ou de multiplication végétative d</w:t>
      </w:r>
      <w:r w:rsidR="006A61F0" w:rsidRPr="0059082B">
        <w:rPr>
          <w:b/>
          <w:lang w:val="fr-FR"/>
        </w:rPr>
        <w:t>’</w:t>
      </w:r>
      <w:r w:rsidR="000C55A1" w:rsidRPr="0059082B">
        <w:rPr>
          <w:b/>
          <w:lang w:val="fr-FR"/>
        </w:rPr>
        <w:t>une variété protégée sur ledit territoire est tenue d</w:t>
      </w:r>
      <w:r w:rsidR="006A61F0" w:rsidRPr="0059082B">
        <w:rPr>
          <w:b/>
          <w:lang w:val="fr-FR"/>
        </w:rPr>
        <w:t>’</w:t>
      </w:r>
      <w:r w:rsidR="000C55A1" w:rsidRPr="0059082B">
        <w:rPr>
          <w:b/>
          <w:lang w:val="fr-FR"/>
        </w:rPr>
        <w:t>utiliser la dénomination de cette variété, même après l</w:t>
      </w:r>
      <w:r w:rsidR="006A61F0" w:rsidRPr="0059082B">
        <w:rPr>
          <w:b/>
          <w:lang w:val="fr-FR"/>
        </w:rPr>
        <w:t>’</w:t>
      </w:r>
      <w:r w:rsidR="000C55A1" w:rsidRPr="0059082B">
        <w:rPr>
          <w:b/>
          <w:lang w:val="fr-FR"/>
        </w:rPr>
        <w:t>expiration du droit d</w:t>
      </w:r>
      <w:r w:rsidR="006A61F0" w:rsidRPr="0059082B">
        <w:rPr>
          <w:b/>
          <w:lang w:val="fr-FR"/>
        </w:rPr>
        <w:t>’</w:t>
      </w:r>
      <w:r w:rsidR="000C55A1" w:rsidRPr="0059082B">
        <w:rPr>
          <w:b/>
          <w:lang w:val="fr-FR"/>
        </w:rPr>
        <w:t>obtenteur relatif à cette variété, pour autant que, conformément aux dispositions du paragraphe</w:t>
      </w:r>
      <w:r w:rsidR="009C056B" w:rsidRPr="0059082B">
        <w:rPr>
          <w:b/>
          <w:lang w:val="fr-FR"/>
        </w:rPr>
        <w:t> </w:t>
      </w:r>
      <w:r w:rsidR="000C55A1" w:rsidRPr="0059082B">
        <w:rPr>
          <w:b/>
          <w:lang w:val="fr-FR"/>
        </w:rPr>
        <w:t>4), des droits antérieurs ne s</w:t>
      </w:r>
      <w:r w:rsidR="006A61F0" w:rsidRPr="0059082B">
        <w:rPr>
          <w:b/>
          <w:lang w:val="fr-FR"/>
        </w:rPr>
        <w:t>’</w:t>
      </w:r>
      <w:r w:rsidR="000C55A1" w:rsidRPr="0059082B">
        <w:rPr>
          <w:b/>
          <w:lang w:val="fr-FR"/>
        </w:rPr>
        <w:t>opposent pas à cette utilisation</w:t>
      </w:r>
      <w:r w:rsidRPr="0059082B">
        <w:rPr>
          <w:b/>
          <w:lang w:val="fr-FR"/>
        </w:rPr>
        <w:t>.</w:t>
      </w:r>
    </w:p>
    <w:p w:rsidR="009145A3" w:rsidRPr="009000EB" w:rsidRDefault="009145A3" w:rsidP="00030C17">
      <w:pPr>
        <w:rPr>
          <w:lang w:val="fr-FR"/>
        </w:rPr>
      </w:pPr>
    </w:p>
    <w:p w:rsidR="009145A3" w:rsidRPr="009000EB" w:rsidRDefault="00AC38F7" w:rsidP="00030C17">
      <w:pPr>
        <w:rPr>
          <w:i/>
          <w:lang w:val="fr-FR"/>
        </w:rPr>
      </w:pPr>
      <w:r w:rsidRPr="009000EB">
        <w:rPr>
          <w:i/>
          <w:lang w:val="fr-FR"/>
        </w:rPr>
        <w:t>Notes explicatives – paragraphe</w:t>
      </w:r>
      <w:r w:rsidR="009C056B" w:rsidRPr="009000EB">
        <w:rPr>
          <w:i/>
          <w:lang w:val="fr-FR"/>
        </w:rPr>
        <w:t> </w:t>
      </w:r>
      <w:r w:rsidRPr="009000EB">
        <w:rPr>
          <w:i/>
          <w:lang w:val="fr-FR"/>
        </w:rPr>
        <w:t>7</w:t>
      </w:r>
      <w:r w:rsidR="009145A3" w:rsidRPr="009000EB">
        <w:rPr>
          <w:i/>
          <w:lang w:val="fr-FR"/>
        </w:rPr>
        <w:t>)</w:t>
      </w:r>
    </w:p>
    <w:p w:rsidR="009145A3" w:rsidRPr="009000EB" w:rsidRDefault="009145A3" w:rsidP="00030C17">
      <w:pPr>
        <w:rPr>
          <w:lang w:val="fr-FR"/>
        </w:rPr>
      </w:pPr>
    </w:p>
    <w:p w:rsidR="006A61F0" w:rsidRPr="009000EB" w:rsidRDefault="009145A3" w:rsidP="00030C17">
      <w:pPr>
        <w:rPr>
          <w:lang w:val="fr-FR"/>
        </w:rPr>
      </w:pPr>
      <w:r w:rsidRPr="009000EB">
        <w:rPr>
          <w:lang w:val="fr-FR"/>
        </w:rPr>
        <w:t>7.1</w:t>
      </w:r>
      <w:r w:rsidRPr="009000EB">
        <w:rPr>
          <w:lang w:val="fr-FR"/>
        </w:rPr>
        <w:tab/>
      </w:r>
      <w:r w:rsidR="002576A1" w:rsidRPr="009000EB">
        <w:rPr>
          <w:lang w:val="fr-FR"/>
        </w:rPr>
        <w:t>S</w:t>
      </w:r>
      <w:r w:rsidR="006A61F0" w:rsidRPr="009000EB">
        <w:rPr>
          <w:lang w:val="fr-FR"/>
        </w:rPr>
        <w:t>’</w:t>
      </w:r>
      <w:r w:rsidR="002576A1" w:rsidRPr="009000EB">
        <w:rPr>
          <w:lang w:val="fr-FR"/>
        </w:rPr>
        <w:t>il apparaît que les droits antérieurs d</w:t>
      </w:r>
      <w:r w:rsidR="006A61F0" w:rsidRPr="009000EB">
        <w:rPr>
          <w:lang w:val="fr-FR"/>
        </w:rPr>
        <w:t>’</w:t>
      </w:r>
      <w:r w:rsidR="002576A1" w:rsidRPr="009000EB">
        <w:rPr>
          <w:lang w:val="fr-FR"/>
        </w:rPr>
        <w:t>un tiers s</w:t>
      </w:r>
      <w:r w:rsidR="006A61F0" w:rsidRPr="009000EB">
        <w:rPr>
          <w:lang w:val="fr-FR"/>
        </w:rPr>
        <w:t>’</w:t>
      </w:r>
      <w:r w:rsidR="002576A1" w:rsidRPr="009000EB">
        <w:rPr>
          <w:lang w:val="fr-FR"/>
        </w:rPr>
        <w:t>opposent à l</w:t>
      </w:r>
      <w:r w:rsidR="006A61F0" w:rsidRPr="009000EB">
        <w:rPr>
          <w:lang w:val="fr-FR"/>
        </w:rPr>
        <w:t>’</w:t>
      </w:r>
      <w:r w:rsidR="002576A1" w:rsidRPr="009000EB">
        <w:rPr>
          <w:lang w:val="fr-FR"/>
        </w:rPr>
        <w:t>utilisation de la dénomination variétale enregistrée, le service concerné exigera que l</w:t>
      </w:r>
      <w:r w:rsidR="006A61F0" w:rsidRPr="009000EB">
        <w:rPr>
          <w:lang w:val="fr-FR"/>
        </w:rPr>
        <w:t>’</w:t>
      </w:r>
      <w:r w:rsidR="002576A1" w:rsidRPr="009000EB">
        <w:rPr>
          <w:lang w:val="fr-FR"/>
        </w:rPr>
        <w:t>obtenteur propose une autre dénomination</w:t>
      </w:r>
      <w:r w:rsidRPr="009000EB">
        <w:rPr>
          <w:lang w:val="fr-FR"/>
        </w:rPr>
        <w:t xml:space="preserve">.  </w:t>
      </w:r>
      <w:r w:rsidR="002576A1" w:rsidRPr="009000EB">
        <w:rPr>
          <w:lang w:val="fr-FR"/>
        </w:rPr>
        <w:t>L</w:t>
      </w:r>
      <w:r w:rsidR="006A61F0" w:rsidRPr="009000EB">
        <w:rPr>
          <w:lang w:val="fr-FR"/>
        </w:rPr>
        <w:t>’</w:t>
      </w:r>
      <w:r w:rsidR="002576A1" w:rsidRPr="009000EB">
        <w:rPr>
          <w:lang w:val="fr-FR"/>
        </w:rPr>
        <w:t>article</w:t>
      </w:r>
      <w:r w:rsidR="009C056B" w:rsidRPr="009000EB">
        <w:rPr>
          <w:lang w:val="fr-FR"/>
        </w:rPr>
        <w:t> </w:t>
      </w:r>
      <w:r w:rsidR="002576A1" w:rsidRPr="009000EB">
        <w:rPr>
          <w:lang w:val="fr-FR"/>
        </w:rPr>
        <w:t>22.1)b</w:t>
      </w:r>
      <w:proofErr w:type="gramStart"/>
      <w:r w:rsidR="002576A1" w:rsidRPr="009000EB">
        <w:rPr>
          <w:lang w:val="fr-FR"/>
        </w:rPr>
        <w:t>)iii</w:t>
      </w:r>
      <w:proofErr w:type="gramEnd"/>
      <w:r w:rsidR="002576A1" w:rsidRPr="009000EB">
        <w:rPr>
          <w:lang w:val="fr-FR"/>
        </w:rPr>
        <w:t>) de l</w:t>
      </w:r>
      <w:r w:rsidR="006A61F0" w:rsidRPr="009000EB">
        <w:rPr>
          <w:lang w:val="fr-FR"/>
        </w:rPr>
        <w:t>’</w:t>
      </w:r>
      <w:r w:rsidR="002576A1" w:rsidRPr="009000EB">
        <w:rPr>
          <w:lang w:val="fr-FR"/>
        </w:rPr>
        <w:t>Acte de</w:t>
      </w:r>
      <w:r w:rsidR="009C056B" w:rsidRPr="009000EB">
        <w:rPr>
          <w:lang w:val="fr-FR"/>
        </w:rPr>
        <w:t> </w:t>
      </w:r>
      <w:r w:rsidR="002576A1" w:rsidRPr="009000EB">
        <w:rPr>
          <w:lang w:val="fr-FR"/>
        </w:rPr>
        <w:t>1991 prévoit que le droit de l</w:t>
      </w:r>
      <w:r w:rsidR="006A61F0" w:rsidRPr="009000EB">
        <w:rPr>
          <w:lang w:val="fr-FR"/>
        </w:rPr>
        <w:t>’</w:t>
      </w:r>
      <w:r w:rsidR="002576A1" w:rsidRPr="009000EB">
        <w:rPr>
          <w:lang w:val="fr-FR"/>
        </w:rPr>
        <w:t>obtenteur peut être radié si “l</w:t>
      </w:r>
      <w:r w:rsidR="006A61F0" w:rsidRPr="009000EB">
        <w:rPr>
          <w:lang w:val="fr-FR"/>
        </w:rPr>
        <w:t>’</w:t>
      </w:r>
      <w:r w:rsidR="002576A1" w:rsidRPr="009000EB">
        <w:rPr>
          <w:lang w:val="fr-FR"/>
        </w:rPr>
        <w:t>obtenteur ne propose pas, en cas de radiation de la dénomination de la variété après l</w:t>
      </w:r>
      <w:r w:rsidR="006A61F0" w:rsidRPr="009000EB">
        <w:rPr>
          <w:lang w:val="fr-FR"/>
        </w:rPr>
        <w:t>’</w:t>
      </w:r>
      <w:r w:rsidR="002576A1" w:rsidRPr="009000EB">
        <w:rPr>
          <w:lang w:val="fr-FR"/>
        </w:rPr>
        <w:t>octroi du droit, une autre dénomination qui convienne</w:t>
      </w:r>
      <w:r w:rsidRPr="009000EB">
        <w:rPr>
          <w:lang w:val="fr-FR"/>
        </w:rPr>
        <w:t>.”</w:t>
      </w:r>
    </w:p>
    <w:p w:rsidR="002C7EEC" w:rsidRPr="009000EB" w:rsidRDefault="002C7EEC" w:rsidP="00030C17">
      <w:pPr>
        <w:rPr>
          <w:lang w:val="fr-FR"/>
        </w:rPr>
      </w:pPr>
    </w:p>
    <w:p w:rsidR="003A603B" w:rsidRPr="009000EB" w:rsidRDefault="009145A3" w:rsidP="00030C17">
      <w:pPr>
        <w:rPr>
          <w:lang w:val="fr-FR"/>
        </w:rPr>
      </w:pPr>
      <w:r w:rsidRPr="009000EB">
        <w:rPr>
          <w:lang w:val="fr-FR"/>
        </w:rPr>
        <w:t>7.2</w:t>
      </w:r>
      <w:r w:rsidRPr="009000EB">
        <w:rPr>
          <w:lang w:val="fr-FR"/>
        </w:rPr>
        <w:tab/>
      </w:r>
      <w:r w:rsidR="003A603B" w:rsidRPr="009000EB">
        <w:rPr>
          <w:lang w:val="fr-FR"/>
        </w:rPr>
        <w:t>Les points suivants fournissent des orientations concernant les modifications de dénominations variétales enregistrées :</w:t>
      </w:r>
    </w:p>
    <w:p w:rsidR="003A603B" w:rsidRPr="009000EB" w:rsidRDefault="003A603B" w:rsidP="00030C17">
      <w:pPr>
        <w:rPr>
          <w:lang w:val="fr-FR"/>
        </w:rPr>
      </w:pPr>
    </w:p>
    <w:p w:rsidR="003A603B" w:rsidRPr="009000EB" w:rsidRDefault="003A603B" w:rsidP="00030C17">
      <w:pPr>
        <w:ind w:firstLine="567"/>
        <w:rPr>
          <w:lang w:val="fr-FR"/>
        </w:rPr>
      </w:pPr>
      <w:r w:rsidRPr="009000EB">
        <w:rPr>
          <w:lang w:val="fr-FR"/>
        </w:rPr>
        <w:t>a)</w:t>
      </w:r>
      <w:r w:rsidRPr="009000EB">
        <w:rPr>
          <w:lang w:val="fr-FR"/>
        </w:rPr>
        <w:tab/>
        <w:t xml:space="preserve">La </w:t>
      </w:r>
      <w:r w:rsidR="006A61F0" w:rsidRPr="009000EB">
        <w:rPr>
          <w:lang w:val="fr-FR"/>
        </w:rPr>
        <w:t>Convention UPOV</w:t>
      </w:r>
      <w:r w:rsidRPr="009000EB">
        <w:rPr>
          <w:lang w:val="fr-FR"/>
        </w:rPr>
        <w:t xml:space="preserve"> exige de changer la dénomination enregistrée lorsque la dénomination de la variété est radiée après l</w:t>
      </w:r>
      <w:r w:rsidR="006A61F0" w:rsidRPr="009000EB">
        <w:rPr>
          <w:lang w:val="fr-FR"/>
        </w:rPr>
        <w:t>’</w:t>
      </w:r>
      <w:r w:rsidRPr="009000EB">
        <w:rPr>
          <w:lang w:val="fr-FR"/>
        </w:rPr>
        <w:t>octroi du droit d</w:t>
      </w:r>
      <w:r w:rsidR="006A61F0" w:rsidRPr="009000EB">
        <w:rPr>
          <w:lang w:val="fr-FR"/>
        </w:rPr>
        <w:t>’</w:t>
      </w:r>
      <w:r w:rsidRPr="009000EB">
        <w:rPr>
          <w:lang w:val="fr-FR"/>
        </w:rPr>
        <w:t>obtenteur.  Le service compétent doit radier une dénomination variétale si :</w:t>
      </w:r>
    </w:p>
    <w:p w:rsidR="003A603B" w:rsidRPr="009000EB" w:rsidRDefault="003A603B" w:rsidP="00030C17">
      <w:pPr>
        <w:rPr>
          <w:lang w:val="fr-FR"/>
        </w:rPr>
      </w:pPr>
    </w:p>
    <w:p w:rsidR="003A603B" w:rsidRPr="009000EB" w:rsidRDefault="003A603B" w:rsidP="00030C17">
      <w:pPr>
        <w:rPr>
          <w:lang w:val="fr-FR"/>
        </w:rPr>
      </w:pPr>
      <w:r w:rsidRPr="009000EB">
        <w:rPr>
          <w:lang w:val="fr-FR"/>
        </w:rPr>
        <w:tab/>
      </w:r>
      <w:r w:rsidR="00EC73E6">
        <w:rPr>
          <w:lang w:val="fr-FR"/>
        </w:rPr>
        <w:tab/>
      </w:r>
      <w:r w:rsidRPr="009000EB">
        <w:rPr>
          <w:lang w:val="fr-FR"/>
        </w:rPr>
        <w:t>i)</w:t>
      </w:r>
      <w:r w:rsidRPr="009000EB">
        <w:rPr>
          <w:lang w:val="fr-FR"/>
        </w:rPr>
        <w:tab/>
        <w:t>en vertu d</w:t>
      </w:r>
      <w:r w:rsidR="006A61F0" w:rsidRPr="009000EB">
        <w:rPr>
          <w:lang w:val="fr-FR"/>
        </w:rPr>
        <w:t>’</w:t>
      </w:r>
      <w:r w:rsidRPr="009000EB">
        <w:rPr>
          <w:lang w:val="fr-FR"/>
        </w:rPr>
        <w:t>un droit antérieur, l</w:t>
      </w:r>
      <w:r w:rsidR="006A61F0" w:rsidRPr="009000EB">
        <w:rPr>
          <w:lang w:val="fr-FR"/>
        </w:rPr>
        <w:t>’</w:t>
      </w:r>
      <w:r w:rsidRPr="009000EB">
        <w:rPr>
          <w:lang w:val="fr-FR"/>
        </w:rPr>
        <w:t>utilisation de la dénomination d</w:t>
      </w:r>
      <w:r w:rsidR="006A61F0" w:rsidRPr="009000EB">
        <w:rPr>
          <w:lang w:val="fr-FR"/>
        </w:rPr>
        <w:t>’</w:t>
      </w:r>
      <w:r w:rsidRPr="009000EB">
        <w:rPr>
          <w:lang w:val="fr-FR"/>
        </w:rPr>
        <w:t>une variété est interdite à une personne qui, conformément aux dispositions du paragraphe 7), est obligée de l</w:t>
      </w:r>
      <w:r w:rsidR="006A61F0" w:rsidRPr="009000EB">
        <w:rPr>
          <w:lang w:val="fr-FR"/>
        </w:rPr>
        <w:t>’</w:t>
      </w:r>
      <w:r w:rsidRPr="009000EB">
        <w:rPr>
          <w:lang w:val="fr-FR"/>
        </w:rPr>
        <w:t xml:space="preserve">utiliser (voir le paragraphe 4) </w:t>
      </w:r>
      <w:r w:rsidR="00EC73E6">
        <w:rPr>
          <w:lang w:val="fr-FR"/>
        </w:rPr>
        <w:t>“</w:t>
      </w:r>
      <w:r w:rsidRPr="009000EB">
        <w:rPr>
          <w:lang w:val="fr-FR"/>
        </w:rPr>
        <w:t>Droits antérieurs des tiers</w:t>
      </w:r>
      <w:r w:rsidR="00EC73E6">
        <w:rPr>
          <w:lang w:val="fr-FR"/>
        </w:rPr>
        <w:t>”</w:t>
      </w:r>
      <w:r w:rsidRPr="009000EB">
        <w:rPr>
          <w:lang w:val="fr-FR"/>
        </w:rPr>
        <w:t>);</w:t>
      </w:r>
    </w:p>
    <w:p w:rsidR="003A603B" w:rsidRPr="009000EB" w:rsidRDefault="003A603B" w:rsidP="00030C17">
      <w:pPr>
        <w:rPr>
          <w:lang w:val="fr-FR"/>
        </w:rPr>
      </w:pPr>
    </w:p>
    <w:p w:rsidR="003A603B" w:rsidRPr="009000EB" w:rsidRDefault="003A603B" w:rsidP="00030C17">
      <w:pPr>
        <w:rPr>
          <w:lang w:val="fr-FR"/>
        </w:rPr>
      </w:pPr>
      <w:r w:rsidRPr="009000EB">
        <w:rPr>
          <w:lang w:val="fr-FR"/>
        </w:rPr>
        <w:tab/>
      </w:r>
      <w:r w:rsidR="00EC73E6">
        <w:rPr>
          <w:lang w:val="fr-FR"/>
        </w:rPr>
        <w:tab/>
      </w:r>
      <w:r w:rsidRPr="009000EB">
        <w:rPr>
          <w:lang w:val="fr-FR"/>
        </w:rPr>
        <w:t>ii)</w:t>
      </w:r>
      <w:r w:rsidRPr="009000EB">
        <w:rPr>
          <w:lang w:val="fr-FR"/>
        </w:rPr>
        <w:tab/>
        <w:t xml:space="preserve">la dénomination est inadéquate car elle est contraire aux dispositions du paragraphe 2) </w:t>
      </w:r>
      <w:r w:rsidR="00EC73E6">
        <w:rPr>
          <w:lang w:val="fr-FR"/>
        </w:rPr>
        <w:t>“</w:t>
      </w:r>
      <w:r w:rsidRPr="009000EB">
        <w:rPr>
          <w:lang w:val="fr-FR"/>
        </w:rPr>
        <w:t>Caractères de la dénomination</w:t>
      </w:r>
      <w:r w:rsidR="00EC73E6">
        <w:rPr>
          <w:lang w:val="fr-FR"/>
        </w:rPr>
        <w:t>”</w:t>
      </w:r>
      <w:r w:rsidRPr="009000EB">
        <w:rPr>
          <w:lang w:val="fr-FR"/>
        </w:rPr>
        <w:t>;</w:t>
      </w:r>
    </w:p>
    <w:p w:rsidR="003A603B" w:rsidRPr="009000EB" w:rsidRDefault="003A603B" w:rsidP="00030C17">
      <w:pPr>
        <w:rPr>
          <w:lang w:val="fr-FR"/>
        </w:rPr>
      </w:pPr>
    </w:p>
    <w:p w:rsidR="003A603B" w:rsidRPr="009000EB" w:rsidRDefault="003A603B" w:rsidP="00030C17">
      <w:pPr>
        <w:ind w:firstLine="567"/>
        <w:rPr>
          <w:lang w:val="fr-FR"/>
        </w:rPr>
      </w:pPr>
      <w:proofErr w:type="gramStart"/>
      <w:r w:rsidRPr="009000EB">
        <w:rPr>
          <w:lang w:val="fr-FR"/>
        </w:rPr>
        <w:t>b</w:t>
      </w:r>
      <w:proofErr w:type="gramEnd"/>
      <w:r w:rsidRPr="009000EB">
        <w:rPr>
          <w:lang w:val="fr-FR"/>
        </w:rPr>
        <w:t>)</w:t>
      </w:r>
      <w:r w:rsidRPr="009000EB">
        <w:rPr>
          <w:lang w:val="fr-FR"/>
        </w:rPr>
        <w:tab/>
        <w:t>si la dénomination enregistrée est par la suite refusée dans un autre membre de l</w:t>
      </w:r>
      <w:r w:rsidR="006A61F0" w:rsidRPr="009000EB">
        <w:rPr>
          <w:lang w:val="fr-FR"/>
        </w:rPr>
        <w:t>’</w:t>
      </w:r>
      <w:r w:rsidRPr="009000EB">
        <w:rPr>
          <w:lang w:val="fr-FR"/>
        </w:rPr>
        <w:t>Union car elle est inadéquate sur ce territoire (p. ex. droit antérieur), à la demande de l</w:t>
      </w:r>
      <w:r w:rsidR="006A61F0" w:rsidRPr="009000EB">
        <w:rPr>
          <w:lang w:val="fr-FR"/>
        </w:rPr>
        <w:t>’</w:t>
      </w:r>
      <w:r w:rsidRPr="009000EB">
        <w:rPr>
          <w:lang w:val="fr-FR"/>
        </w:rPr>
        <w:t>obtenteur, le service peut juger approprié de modifier la dénomination enregistrée dans cet autre membre de l</w:t>
      </w:r>
      <w:r w:rsidR="006A61F0" w:rsidRPr="009000EB">
        <w:rPr>
          <w:lang w:val="fr-FR"/>
        </w:rPr>
        <w:t>’</w:t>
      </w:r>
      <w:r w:rsidRPr="009000EB">
        <w:rPr>
          <w:lang w:val="fr-FR"/>
        </w:rPr>
        <w:t xml:space="preserve">Union (voir les dispositions dans le paragraphe 5) </w:t>
      </w:r>
      <w:r w:rsidR="00EC73E6">
        <w:rPr>
          <w:lang w:val="fr-FR"/>
        </w:rPr>
        <w:t>“</w:t>
      </w:r>
      <w:r w:rsidRPr="009000EB">
        <w:rPr>
          <w:lang w:val="fr-FR"/>
        </w:rPr>
        <w:t>Même dénomination dans toutes les Parties contractantes</w:t>
      </w:r>
      <w:r w:rsidR="00EC73E6">
        <w:rPr>
          <w:lang w:val="fr-FR"/>
        </w:rPr>
        <w:t>”</w:t>
      </w:r>
      <w:r w:rsidRPr="009000EB">
        <w:rPr>
          <w:lang w:val="fr-FR"/>
        </w:rPr>
        <w:t>);  et</w:t>
      </w:r>
    </w:p>
    <w:p w:rsidR="003A603B" w:rsidRPr="009000EB" w:rsidRDefault="003A603B" w:rsidP="00030C17">
      <w:pPr>
        <w:rPr>
          <w:lang w:val="fr-FR"/>
        </w:rPr>
      </w:pPr>
    </w:p>
    <w:p w:rsidR="009145A3" w:rsidRPr="009000EB" w:rsidRDefault="003A603B" w:rsidP="00030C17">
      <w:pPr>
        <w:ind w:firstLine="567"/>
        <w:rPr>
          <w:lang w:val="fr-FR"/>
        </w:rPr>
      </w:pPr>
      <w:proofErr w:type="gramStart"/>
      <w:r w:rsidRPr="009000EB">
        <w:rPr>
          <w:lang w:val="fr-FR"/>
        </w:rPr>
        <w:t>c</w:t>
      </w:r>
      <w:proofErr w:type="gramEnd"/>
      <w:r w:rsidRPr="009000EB">
        <w:rPr>
          <w:lang w:val="fr-FR"/>
        </w:rPr>
        <w:t>)</w:t>
      </w:r>
      <w:r w:rsidRPr="009000EB">
        <w:rPr>
          <w:lang w:val="fr-FR"/>
        </w:rPr>
        <w:tab/>
        <w:t>en général, sous réserve des alinéas a) et b) ci</w:t>
      </w:r>
      <w:r w:rsidR="00535F54" w:rsidRPr="009000EB">
        <w:rPr>
          <w:lang w:val="fr-FR"/>
        </w:rPr>
        <w:noBreakHyphen/>
      </w:r>
      <w:r w:rsidRPr="009000EB">
        <w:rPr>
          <w:lang w:val="fr-FR"/>
        </w:rPr>
        <w:t>dessus, il ne serait pas approprié pour le service de modifier une dénomination enregistrée à la demande de l</w:t>
      </w:r>
      <w:r w:rsidR="006A61F0" w:rsidRPr="009000EB">
        <w:rPr>
          <w:lang w:val="fr-FR"/>
        </w:rPr>
        <w:t>’</w:t>
      </w:r>
      <w:r w:rsidRPr="009000EB">
        <w:rPr>
          <w:lang w:val="fr-FR"/>
        </w:rPr>
        <w:t>obtenteur</w:t>
      </w:r>
      <w:r w:rsidR="00450FB5" w:rsidRPr="009000EB">
        <w:rPr>
          <w:lang w:val="fr-FR"/>
        </w:rPr>
        <w:t>.</w:t>
      </w:r>
    </w:p>
    <w:p w:rsidR="009145A3" w:rsidRPr="009000EB" w:rsidRDefault="009145A3" w:rsidP="00030C17">
      <w:pPr>
        <w:rPr>
          <w:lang w:val="fr-FR"/>
        </w:rPr>
      </w:pPr>
    </w:p>
    <w:p w:rsidR="00450FB5" w:rsidRPr="009000EB" w:rsidRDefault="00450FB5" w:rsidP="00030C17">
      <w:pPr>
        <w:rPr>
          <w:lang w:val="fr-FR"/>
        </w:rPr>
      </w:pPr>
    </w:p>
    <w:p w:rsidR="00450FB5" w:rsidRPr="009000EB" w:rsidRDefault="00450FB5" w:rsidP="00030C17">
      <w:pPr>
        <w:rPr>
          <w:lang w:val="fr-FR"/>
        </w:rPr>
      </w:pPr>
    </w:p>
    <w:p w:rsidR="00450FB5" w:rsidRPr="009000EB" w:rsidRDefault="00C95420" w:rsidP="00030C17">
      <w:pPr>
        <w:jc w:val="right"/>
        <w:rPr>
          <w:lang w:val="fr-FR"/>
        </w:rPr>
      </w:pPr>
      <w:r w:rsidRPr="009000EB">
        <w:rPr>
          <w:lang w:val="fr-FR"/>
        </w:rPr>
        <w:t>[</w:t>
      </w:r>
      <w:r w:rsidR="00364FBB" w:rsidRPr="009000EB">
        <w:rPr>
          <w:lang w:val="fr-FR"/>
        </w:rPr>
        <w:t>L</w:t>
      </w:r>
      <w:r w:rsidR="006A61F0" w:rsidRPr="009000EB">
        <w:rPr>
          <w:lang w:val="fr-FR"/>
        </w:rPr>
        <w:t>’</w:t>
      </w:r>
      <w:r w:rsidR="00364FBB" w:rsidRPr="009000EB">
        <w:rPr>
          <w:lang w:val="fr-FR"/>
        </w:rPr>
        <w:t>annexe</w:t>
      </w:r>
      <w:r w:rsidR="009C056B" w:rsidRPr="009000EB">
        <w:rPr>
          <w:lang w:val="fr-FR"/>
        </w:rPr>
        <w:t> </w:t>
      </w:r>
      <w:r w:rsidRPr="009000EB">
        <w:rPr>
          <w:lang w:val="fr-FR"/>
        </w:rPr>
        <w:t xml:space="preserve">IV </w:t>
      </w:r>
      <w:r w:rsidR="00364FBB" w:rsidRPr="009000EB">
        <w:rPr>
          <w:lang w:val="fr-FR"/>
        </w:rPr>
        <w:t>suit</w:t>
      </w:r>
      <w:r w:rsidRPr="009000EB">
        <w:rPr>
          <w:lang w:val="fr-FR"/>
        </w:rPr>
        <w:t>]</w:t>
      </w:r>
    </w:p>
    <w:p w:rsidR="002C7EEC" w:rsidRPr="009000EB" w:rsidRDefault="002C7EEC" w:rsidP="00030C17">
      <w:pPr>
        <w:rPr>
          <w:lang w:val="fr-FR"/>
        </w:rPr>
      </w:pPr>
    </w:p>
    <w:p w:rsidR="002C7EEC" w:rsidRPr="009000EB" w:rsidRDefault="002C7EEC" w:rsidP="00030C17">
      <w:pPr>
        <w:rPr>
          <w:lang w:val="fr-FR"/>
        </w:rPr>
        <w:sectPr w:rsidR="002C7EEC" w:rsidRPr="009000EB" w:rsidSect="00FA102A">
          <w:headerReference w:type="default" r:id="rId17"/>
          <w:headerReference w:type="first" r:id="rId18"/>
          <w:pgSz w:w="11907" w:h="16840" w:code="9"/>
          <w:pgMar w:top="510" w:right="1134" w:bottom="1134" w:left="1134" w:header="510" w:footer="680" w:gutter="0"/>
          <w:pgNumType w:start="1"/>
          <w:cols w:space="720"/>
          <w:titlePg/>
          <w:docGrid w:linePitch="272"/>
        </w:sectPr>
      </w:pPr>
    </w:p>
    <w:p w:rsidR="002C7EEC" w:rsidRPr="009000EB" w:rsidRDefault="001205C1" w:rsidP="00030C17">
      <w:pPr>
        <w:jc w:val="center"/>
        <w:rPr>
          <w:lang w:val="fr-FR"/>
        </w:rPr>
      </w:pPr>
      <w:r w:rsidRPr="009000EB">
        <w:rPr>
          <w:lang w:val="fr-FR"/>
        </w:rPr>
        <w:t>PROPOSITIONS DE MODIFICATION DU</w:t>
      </w:r>
      <w:r w:rsidR="006D4519" w:rsidRPr="009000EB">
        <w:rPr>
          <w:lang w:val="fr-FR"/>
        </w:rPr>
        <w:t xml:space="preserve"> </w:t>
      </w:r>
      <w:r w:rsidR="006D4519" w:rsidRPr="009000EB">
        <w:rPr>
          <w:lang w:val="fr-FR"/>
        </w:rPr>
        <w:br/>
        <w:t>DOCUMENT UPOV/INF/6</w:t>
      </w:r>
      <w:r w:rsidR="00006358" w:rsidRPr="009000EB">
        <w:rPr>
          <w:lang w:val="fr-FR"/>
        </w:rPr>
        <w:t>/3</w:t>
      </w:r>
      <w:r w:rsidR="006D4519" w:rsidRPr="009000EB">
        <w:rPr>
          <w:lang w:val="fr-FR"/>
        </w:rPr>
        <w:t xml:space="preserve"> “</w:t>
      </w:r>
      <w:r w:rsidR="00997ACA" w:rsidRPr="009000EB">
        <w:rPr>
          <w:bCs/>
          <w:snapToGrid w:val="0"/>
          <w:szCs w:val="24"/>
          <w:lang w:val="fr-FR"/>
        </w:rPr>
        <w:t>ORIENTATIONS EN VUE DE LA RÉDACTION DE LOIS FONDÉES SUR L</w:t>
      </w:r>
      <w:r w:rsidR="006A61F0" w:rsidRPr="009000EB">
        <w:rPr>
          <w:bCs/>
          <w:snapToGrid w:val="0"/>
          <w:szCs w:val="24"/>
          <w:lang w:val="fr-FR"/>
        </w:rPr>
        <w:t>’</w:t>
      </w:r>
      <w:r w:rsidR="00997ACA" w:rsidRPr="009000EB">
        <w:rPr>
          <w:bCs/>
          <w:snapToGrid w:val="0"/>
          <w:szCs w:val="24"/>
          <w:lang w:val="fr-FR"/>
        </w:rPr>
        <w:t xml:space="preserve">ACTE DE 1991 DE LA </w:t>
      </w:r>
      <w:r w:rsidR="006A61F0" w:rsidRPr="009000EB">
        <w:rPr>
          <w:bCs/>
          <w:snapToGrid w:val="0"/>
          <w:szCs w:val="24"/>
          <w:lang w:val="fr-FR"/>
        </w:rPr>
        <w:t>CONVENTION UPOV</w:t>
      </w:r>
      <w:r w:rsidR="006D4519" w:rsidRPr="009000EB">
        <w:rPr>
          <w:bCs/>
          <w:snapToGrid w:val="0"/>
          <w:szCs w:val="24"/>
          <w:lang w:val="fr-FR"/>
        </w:rPr>
        <w:t>”</w:t>
      </w:r>
      <w:r w:rsidR="00733028" w:rsidRPr="009000EB">
        <w:rPr>
          <w:bCs/>
          <w:snapToGrid w:val="0"/>
          <w:szCs w:val="24"/>
          <w:lang w:val="fr-FR"/>
        </w:rPr>
        <w:t xml:space="preserve"> (DOCUMENT UPOV/INF/6/4)</w:t>
      </w:r>
    </w:p>
    <w:p w:rsidR="00EE4442" w:rsidRPr="009000EB" w:rsidRDefault="00EE4442" w:rsidP="00030C17">
      <w:pPr>
        <w:rPr>
          <w:lang w:val="fr-FR"/>
        </w:rPr>
      </w:pPr>
    </w:p>
    <w:p w:rsidR="006D4519" w:rsidRPr="009000EB" w:rsidRDefault="006D4519" w:rsidP="00030C17">
      <w:pPr>
        <w:rPr>
          <w:lang w:val="fr-FR"/>
        </w:rPr>
      </w:pPr>
    </w:p>
    <w:p w:rsidR="00006358" w:rsidRPr="009000EB" w:rsidRDefault="00006358" w:rsidP="00030C17">
      <w:pPr>
        <w:rPr>
          <w:lang w:val="fr-FR"/>
        </w:rPr>
      </w:pPr>
    </w:p>
    <w:p w:rsidR="001F514F" w:rsidRPr="009000EB" w:rsidRDefault="001D5688" w:rsidP="00030C17">
      <w:pPr>
        <w:rPr>
          <w:lang w:val="fr-FR"/>
        </w:rPr>
      </w:pPr>
      <w:r w:rsidRPr="009000EB">
        <w:rPr>
          <w:rFonts w:cs="Arial"/>
          <w:u w:val="single"/>
          <w:lang w:val="fr-FR"/>
        </w:rPr>
        <w:t>NOTES CONCERNANT L</w:t>
      </w:r>
      <w:r w:rsidR="006A61F0" w:rsidRPr="009000EB">
        <w:rPr>
          <w:rFonts w:cs="Arial"/>
          <w:u w:val="single"/>
          <w:lang w:val="fr-FR"/>
        </w:rPr>
        <w:t>’</w:t>
      </w:r>
      <w:r w:rsidR="009E4018">
        <w:rPr>
          <w:rFonts w:cs="Arial"/>
          <w:u w:val="single"/>
          <w:lang w:val="fr-FR"/>
        </w:rPr>
        <w:t>ARTICLE </w:t>
      </w:r>
      <w:r w:rsidRPr="009000EB">
        <w:rPr>
          <w:rFonts w:cs="Arial"/>
          <w:u w:val="single"/>
          <w:lang w:val="fr-FR"/>
        </w:rPr>
        <w:t xml:space="preserve">13 </w:t>
      </w:r>
      <w:r w:rsidR="006657A7">
        <w:rPr>
          <w:rFonts w:cs="Arial"/>
          <w:u w:val="single"/>
          <w:lang w:val="fr-FR"/>
        </w:rPr>
        <w:t xml:space="preserve"> </w:t>
      </w:r>
      <w:r w:rsidRPr="009000EB">
        <w:rPr>
          <w:rFonts w:cs="Arial"/>
          <w:u w:val="single"/>
          <w:lang w:val="fr-FR"/>
        </w:rPr>
        <w:t>PROTECTION PROVISOIRE</w:t>
      </w:r>
    </w:p>
    <w:p w:rsidR="001D5688" w:rsidRPr="009000EB" w:rsidRDefault="001D5688" w:rsidP="00030C17">
      <w:pPr>
        <w:rPr>
          <w:lang w:val="fr-FR"/>
        </w:rPr>
      </w:pPr>
    </w:p>
    <w:p w:rsidR="001F514F" w:rsidRPr="009000EB" w:rsidRDefault="001F514F" w:rsidP="00030C17">
      <w:pPr>
        <w:rPr>
          <w:lang w:val="fr-FR"/>
        </w:rPr>
      </w:pPr>
      <w:r w:rsidRPr="009000EB">
        <w:rPr>
          <w:lang w:val="fr-FR"/>
        </w:rPr>
        <w:t>S</w:t>
      </w:r>
      <w:r w:rsidR="001D5688" w:rsidRPr="009000EB">
        <w:rPr>
          <w:lang w:val="fr-FR"/>
        </w:rPr>
        <w:t xml:space="preserve">ous réserve de </w:t>
      </w:r>
      <w:r w:rsidR="00F3252F" w:rsidRPr="009000EB">
        <w:rPr>
          <w:lang w:val="fr-FR"/>
        </w:rPr>
        <w:t>l</w:t>
      </w:r>
      <w:r w:rsidR="006A61F0" w:rsidRPr="009000EB">
        <w:rPr>
          <w:lang w:val="fr-FR"/>
        </w:rPr>
        <w:t>’</w:t>
      </w:r>
      <w:r w:rsidR="00F3252F" w:rsidRPr="009000EB">
        <w:rPr>
          <w:lang w:val="fr-FR"/>
        </w:rPr>
        <w:t>a</w:t>
      </w:r>
      <w:r w:rsidR="001122E0" w:rsidRPr="009000EB">
        <w:rPr>
          <w:lang w:val="fr-FR"/>
        </w:rPr>
        <w:t>pprobation par le Conseil</w:t>
      </w:r>
      <w:r w:rsidR="001D5688" w:rsidRPr="009000EB">
        <w:rPr>
          <w:lang w:val="fr-FR"/>
        </w:rPr>
        <w:t>, à sa quarante</w:t>
      </w:r>
      <w:r w:rsidR="00535F54" w:rsidRPr="009000EB">
        <w:rPr>
          <w:lang w:val="fr-FR"/>
        </w:rPr>
        <w:noBreakHyphen/>
      </w:r>
      <w:r w:rsidR="001D5688" w:rsidRPr="009000EB">
        <w:rPr>
          <w:lang w:val="fr-FR"/>
        </w:rPr>
        <w:t>neuvième</w:t>
      </w:r>
      <w:r w:rsidR="009C056B" w:rsidRPr="009000EB">
        <w:rPr>
          <w:lang w:val="fr-FR"/>
        </w:rPr>
        <w:t> </w:t>
      </w:r>
      <w:r w:rsidR="001D5688" w:rsidRPr="009000EB">
        <w:rPr>
          <w:lang w:val="fr-FR"/>
        </w:rPr>
        <w:t xml:space="preserve">session ordinaire, de la </w:t>
      </w:r>
      <w:r w:rsidR="00FA102A">
        <w:rPr>
          <w:lang w:val="fr-FR"/>
        </w:rPr>
        <w:t>version révisée</w:t>
      </w:r>
      <w:r w:rsidR="001D5688" w:rsidRPr="009000EB">
        <w:rPr>
          <w:lang w:val="fr-FR"/>
        </w:rPr>
        <w:t xml:space="preserve"> du document</w:t>
      </w:r>
      <w:r w:rsidRPr="009000EB">
        <w:rPr>
          <w:lang w:val="fr-FR"/>
        </w:rPr>
        <w:t xml:space="preserve"> UPOV/EXN/PRP/1 “</w:t>
      </w:r>
      <w:r w:rsidR="001122E0" w:rsidRPr="009000EB">
        <w:rPr>
          <w:bCs/>
          <w:lang w:val="fr-FR"/>
        </w:rPr>
        <w:t xml:space="preserve">Notes explicatives sur la protection provisoire selon la </w:t>
      </w:r>
      <w:r w:rsidR="006A61F0" w:rsidRPr="009000EB">
        <w:rPr>
          <w:bCs/>
          <w:lang w:val="fr-FR"/>
        </w:rPr>
        <w:t>Convention UPOV</w:t>
      </w:r>
      <w:r w:rsidRPr="009000EB">
        <w:rPr>
          <w:lang w:val="fr-FR"/>
        </w:rPr>
        <w:t>” (</w:t>
      </w:r>
      <w:r w:rsidR="00C16E1F" w:rsidRPr="009000EB">
        <w:rPr>
          <w:lang w:val="fr-FR"/>
        </w:rPr>
        <w:t xml:space="preserve">présentée dans le </w:t>
      </w:r>
      <w:r w:rsidRPr="009000EB">
        <w:rPr>
          <w:lang w:val="fr-FR"/>
        </w:rPr>
        <w:t xml:space="preserve">document </w:t>
      </w:r>
      <w:r w:rsidR="00EC73E6">
        <w:rPr>
          <w:lang w:val="fr-FR"/>
        </w:rPr>
        <w:t>UPOV/EXN/PRP/2 </w:t>
      </w:r>
      <w:proofErr w:type="spellStart"/>
      <w:r w:rsidR="009E4018">
        <w:rPr>
          <w:lang w:val="fr-FR"/>
        </w:rPr>
        <w:t>Draft</w:t>
      </w:r>
      <w:proofErr w:type="spellEnd"/>
      <w:r w:rsidR="009E4018">
        <w:rPr>
          <w:lang w:val="fr-FR"/>
        </w:rPr>
        <w:t> </w:t>
      </w:r>
      <w:r w:rsidRPr="009000EB">
        <w:rPr>
          <w:lang w:val="fr-FR"/>
        </w:rPr>
        <w:t xml:space="preserve">4), </w:t>
      </w:r>
      <w:r w:rsidR="00C16E1F" w:rsidRPr="009000EB">
        <w:rPr>
          <w:lang w:val="fr-FR"/>
        </w:rPr>
        <w:t xml:space="preserve">remplacer le texte de </w:t>
      </w:r>
      <w:r w:rsidRPr="009000EB">
        <w:rPr>
          <w:lang w:val="fr-FR"/>
        </w:rPr>
        <w:t>“</w:t>
      </w:r>
      <w:r w:rsidR="00C16E1F" w:rsidRPr="009000EB">
        <w:rPr>
          <w:lang w:val="fr-FR"/>
        </w:rPr>
        <w:t>NOTES CONCERNANT L</w:t>
      </w:r>
      <w:r w:rsidR="006A61F0" w:rsidRPr="009000EB">
        <w:rPr>
          <w:lang w:val="fr-FR"/>
        </w:rPr>
        <w:t>’</w:t>
      </w:r>
      <w:r w:rsidR="009E4018">
        <w:rPr>
          <w:lang w:val="fr-FR"/>
        </w:rPr>
        <w:t>ARTICLE </w:t>
      </w:r>
      <w:r w:rsidR="00C16E1F" w:rsidRPr="009000EB">
        <w:rPr>
          <w:lang w:val="fr-FR"/>
        </w:rPr>
        <w:t>13</w:t>
      </w:r>
      <w:r w:rsidRPr="009000EB">
        <w:rPr>
          <w:lang w:val="fr-FR"/>
        </w:rPr>
        <w:t xml:space="preserve">” </w:t>
      </w:r>
      <w:r w:rsidR="00C16E1F" w:rsidRPr="009000EB">
        <w:rPr>
          <w:lang w:val="fr-FR"/>
        </w:rPr>
        <w:t xml:space="preserve">par le nouveau libellé du </w:t>
      </w:r>
      <w:r w:rsidRPr="009000EB">
        <w:rPr>
          <w:lang w:val="fr-FR"/>
        </w:rPr>
        <w:t>document UPOV/EXN/PRP/2.</w:t>
      </w:r>
    </w:p>
    <w:p w:rsidR="001F514F" w:rsidRPr="009000EB" w:rsidRDefault="001F514F" w:rsidP="00030C17">
      <w:pPr>
        <w:rPr>
          <w:lang w:val="fr-FR"/>
        </w:rPr>
      </w:pPr>
    </w:p>
    <w:p w:rsidR="001F514F" w:rsidRPr="009000EB" w:rsidRDefault="001F514F" w:rsidP="00030C17">
      <w:pPr>
        <w:rPr>
          <w:lang w:val="fr-FR"/>
        </w:rPr>
      </w:pPr>
    </w:p>
    <w:p w:rsidR="001F514F" w:rsidRPr="009000EB" w:rsidRDefault="001F514F" w:rsidP="00030C17">
      <w:pPr>
        <w:rPr>
          <w:u w:val="single"/>
          <w:lang w:val="fr-FR"/>
        </w:rPr>
      </w:pPr>
      <w:r w:rsidRPr="009000EB">
        <w:rPr>
          <w:u w:val="single"/>
          <w:lang w:val="fr-FR"/>
        </w:rPr>
        <w:t xml:space="preserve">NOTES </w:t>
      </w:r>
      <w:r w:rsidR="009537FD" w:rsidRPr="009000EB">
        <w:rPr>
          <w:u w:val="single"/>
          <w:lang w:val="fr-FR"/>
        </w:rPr>
        <w:t>CONCERNANT L</w:t>
      </w:r>
      <w:r w:rsidR="006A61F0" w:rsidRPr="009000EB">
        <w:rPr>
          <w:u w:val="single"/>
          <w:lang w:val="fr-FR"/>
        </w:rPr>
        <w:t>’</w:t>
      </w:r>
      <w:r w:rsidR="009E4018">
        <w:rPr>
          <w:u w:val="single"/>
          <w:lang w:val="fr-FR"/>
        </w:rPr>
        <w:t>ARTICLE </w:t>
      </w:r>
      <w:r w:rsidRPr="009000EB">
        <w:rPr>
          <w:u w:val="single"/>
          <w:lang w:val="fr-FR"/>
        </w:rPr>
        <w:t xml:space="preserve">20 </w:t>
      </w:r>
      <w:r w:rsidR="006657A7">
        <w:rPr>
          <w:u w:val="single"/>
          <w:lang w:val="fr-FR"/>
        </w:rPr>
        <w:t xml:space="preserve"> </w:t>
      </w:r>
      <w:r w:rsidR="009537FD" w:rsidRPr="009000EB">
        <w:rPr>
          <w:u w:val="single"/>
          <w:lang w:val="fr-FR"/>
        </w:rPr>
        <w:t>DÉNOMINATION VARIÉTALE</w:t>
      </w:r>
    </w:p>
    <w:p w:rsidR="001F514F" w:rsidRPr="009000EB" w:rsidRDefault="001F514F" w:rsidP="00030C17">
      <w:pPr>
        <w:rPr>
          <w:lang w:val="fr-FR"/>
        </w:rPr>
      </w:pPr>
    </w:p>
    <w:p w:rsidR="001F514F" w:rsidRPr="009000EB" w:rsidRDefault="009537FD" w:rsidP="00030C17">
      <w:pPr>
        <w:rPr>
          <w:lang w:val="fr-FR"/>
        </w:rPr>
      </w:pPr>
      <w:r w:rsidRPr="009000EB">
        <w:rPr>
          <w:lang w:val="fr-FR"/>
        </w:rPr>
        <w:t xml:space="preserve">Sous réserve de </w:t>
      </w:r>
      <w:r w:rsidR="00F3252F" w:rsidRPr="009000EB">
        <w:rPr>
          <w:lang w:val="fr-FR"/>
        </w:rPr>
        <w:t>l</w:t>
      </w:r>
      <w:r w:rsidR="006A61F0" w:rsidRPr="009000EB">
        <w:rPr>
          <w:lang w:val="fr-FR"/>
        </w:rPr>
        <w:t>’</w:t>
      </w:r>
      <w:r w:rsidRPr="009000EB">
        <w:rPr>
          <w:lang w:val="fr-FR"/>
        </w:rPr>
        <w:t>approbation par le Conseil, à sa quarante</w:t>
      </w:r>
      <w:r w:rsidR="00535F54" w:rsidRPr="009000EB">
        <w:rPr>
          <w:lang w:val="fr-FR"/>
        </w:rPr>
        <w:noBreakHyphen/>
      </w:r>
      <w:r w:rsidRPr="009000EB">
        <w:rPr>
          <w:lang w:val="fr-FR"/>
        </w:rPr>
        <w:t>neuvième</w:t>
      </w:r>
      <w:r w:rsidR="009C056B" w:rsidRPr="009000EB">
        <w:rPr>
          <w:lang w:val="fr-FR"/>
        </w:rPr>
        <w:t> </w:t>
      </w:r>
      <w:r w:rsidRPr="009000EB">
        <w:rPr>
          <w:lang w:val="fr-FR"/>
        </w:rPr>
        <w:t xml:space="preserve">session ordinaire, de la </w:t>
      </w:r>
      <w:r w:rsidR="00FA102A">
        <w:rPr>
          <w:lang w:val="fr-FR"/>
        </w:rPr>
        <w:t>version révisée</w:t>
      </w:r>
      <w:r w:rsidRPr="009000EB">
        <w:rPr>
          <w:lang w:val="fr-FR"/>
        </w:rPr>
        <w:t xml:space="preserve"> du document </w:t>
      </w:r>
      <w:r w:rsidR="001F514F" w:rsidRPr="009000EB">
        <w:rPr>
          <w:lang w:val="fr-FR"/>
        </w:rPr>
        <w:t>UPOV/INF/12/4 “</w:t>
      </w:r>
      <w:r w:rsidR="002D46DB" w:rsidRPr="009000EB">
        <w:rPr>
          <w:bCs/>
          <w:lang w:val="fr-FR"/>
        </w:rPr>
        <w:t xml:space="preserve">Notes explicatives concernant les dénominations variétales en vertu de la </w:t>
      </w:r>
      <w:r w:rsidR="006A61F0" w:rsidRPr="009000EB">
        <w:rPr>
          <w:bCs/>
          <w:lang w:val="fr-FR"/>
        </w:rPr>
        <w:t>Convention UPOV</w:t>
      </w:r>
      <w:r w:rsidR="001F514F" w:rsidRPr="009000EB">
        <w:rPr>
          <w:lang w:val="fr-FR"/>
        </w:rPr>
        <w:t>” (pr</w:t>
      </w:r>
      <w:r w:rsidR="002D46DB" w:rsidRPr="009000EB">
        <w:rPr>
          <w:lang w:val="fr-FR"/>
        </w:rPr>
        <w:t>ésentée à l</w:t>
      </w:r>
      <w:r w:rsidR="006A61F0" w:rsidRPr="009000EB">
        <w:rPr>
          <w:lang w:val="fr-FR"/>
        </w:rPr>
        <w:t>’</w:t>
      </w:r>
      <w:r w:rsidR="002D46DB" w:rsidRPr="009000EB">
        <w:rPr>
          <w:lang w:val="fr-FR"/>
        </w:rPr>
        <w:t>annexe</w:t>
      </w:r>
      <w:r w:rsidR="001F514F" w:rsidRPr="009000EB">
        <w:rPr>
          <w:lang w:val="fr-FR"/>
        </w:rPr>
        <w:t xml:space="preserve"> III </w:t>
      </w:r>
      <w:r w:rsidR="002D46DB" w:rsidRPr="009000EB">
        <w:rPr>
          <w:lang w:val="fr-FR"/>
        </w:rPr>
        <w:t>du présent document</w:t>
      </w:r>
      <w:r w:rsidR="001F514F" w:rsidRPr="009000EB">
        <w:rPr>
          <w:lang w:val="fr-FR"/>
        </w:rPr>
        <w:t xml:space="preserve">), </w:t>
      </w:r>
      <w:r w:rsidR="0072064A" w:rsidRPr="009000EB">
        <w:rPr>
          <w:lang w:val="fr-FR"/>
        </w:rPr>
        <w:t>insérer un nouveau paragraphe</w:t>
      </w:r>
      <w:r w:rsidR="009C056B" w:rsidRPr="009000EB">
        <w:rPr>
          <w:lang w:val="fr-FR"/>
        </w:rPr>
        <w:t> </w:t>
      </w:r>
      <w:r w:rsidR="00C16AC1" w:rsidRPr="009000EB">
        <w:rPr>
          <w:lang w:val="fr-FR"/>
        </w:rPr>
        <w:t>7.2</w:t>
      </w:r>
      <w:r w:rsidR="001F514F" w:rsidRPr="009000EB">
        <w:rPr>
          <w:lang w:val="fr-FR"/>
        </w:rPr>
        <w:t xml:space="preserve"> </w:t>
      </w:r>
      <w:r w:rsidR="0072064A" w:rsidRPr="009000EB">
        <w:rPr>
          <w:lang w:val="fr-FR"/>
        </w:rPr>
        <w:t xml:space="preserve">à la rubrique </w:t>
      </w:r>
      <w:r w:rsidR="001F514F" w:rsidRPr="009000EB">
        <w:rPr>
          <w:lang w:val="fr-FR"/>
        </w:rPr>
        <w:t>“</w:t>
      </w:r>
      <w:r w:rsidR="0072064A" w:rsidRPr="009000EB">
        <w:rPr>
          <w:lang w:val="fr-FR"/>
        </w:rPr>
        <w:t>NOTES CONCERNANT L</w:t>
      </w:r>
      <w:r w:rsidR="006A61F0" w:rsidRPr="009000EB">
        <w:rPr>
          <w:lang w:val="fr-FR"/>
        </w:rPr>
        <w:t>’</w:t>
      </w:r>
      <w:r w:rsidR="0072064A" w:rsidRPr="009000EB">
        <w:rPr>
          <w:lang w:val="fr-FR"/>
        </w:rPr>
        <w:t>ARTICLE </w:t>
      </w:r>
      <w:r w:rsidR="001F514F" w:rsidRPr="009000EB">
        <w:rPr>
          <w:lang w:val="fr-FR"/>
        </w:rPr>
        <w:t>20</w:t>
      </w:r>
      <w:r w:rsidR="00C16AC1" w:rsidRPr="009000EB">
        <w:rPr>
          <w:lang w:val="fr-FR"/>
        </w:rPr>
        <w:t xml:space="preserve">”, </w:t>
      </w:r>
      <w:r w:rsidR="009C056B" w:rsidRPr="009000EB">
        <w:rPr>
          <w:lang w:val="fr-FR"/>
        </w:rPr>
        <w:t>article</w:t>
      </w:r>
      <w:r w:rsidR="00C16AC1" w:rsidRPr="009000EB">
        <w:rPr>
          <w:lang w:val="fr-FR"/>
        </w:rPr>
        <w:t> 20</w:t>
      </w:r>
      <w:r w:rsidR="0072064A" w:rsidRPr="009000EB">
        <w:rPr>
          <w:lang w:val="fr-FR"/>
        </w:rPr>
        <w:t>.</w:t>
      </w:r>
      <w:r w:rsidR="00C16AC1" w:rsidRPr="009000EB">
        <w:rPr>
          <w:lang w:val="fr-FR"/>
        </w:rPr>
        <w:t>7)</w:t>
      </w:r>
      <w:r w:rsidR="001F514F" w:rsidRPr="009000EB">
        <w:rPr>
          <w:lang w:val="fr-FR"/>
        </w:rPr>
        <w:t>.</w:t>
      </w:r>
    </w:p>
    <w:p w:rsidR="001F514F" w:rsidRPr="009000EB" w:rsidRDefault="001F514F" w:rsidP="00030C17">
      <w:pPr>
        <w:rPr>
          <w:lang w:val="fr-FR"/>
        </w:rPr>
      </w:pPr>
    </w:p>
    <w:p w:rsidR="001F514F" w:rsidRPr="009000EB" w:rsidRDefault="001F514F" w:rsidP="00030C17">
      <w:pPr>
        <w:rPr>
          <w:lang w:val="fr-FR"/>
        </w:rPr>
      </w:pPr>
    </w:p>
    <w:p w:rsidR="00F818B0" w:rsidRPr="009000EB" w:rsidRDefault="00F818B0" w:rsidP="00030C17">
      <w:pPr>
        <w:rPr>
          <w:u w:val="single"/>
          <w:lang w:val="fr-FR"/>
        </w:rPr>
      </w:pPr>
      <w:r w:rsidRPr="009000EB">
        <w:rPr>
          <w:rFonts w:cs="Arial"/>
          <w:u w:val="single"/>
          <w:lang w:val="fr-FR"/>
        </w:rPr>
        <w:t xml:space="preserve">NOTES </w:t>
      </w:r>
      <w:r w:rsidR="003A351A" w:rsidRPr="009000EB">
        <w:rPr>
          <w:rFonts w:cs="Arial"/>
          <w:u w:val="single"/>
          <w:lang w:val="fr-FR"/>
        </w:rPr>
        <w:t>CONCERNANT L</w:t>
      </w:r>
      <w:r w:rsidR="006A61F0" w:rsidRPr="009000EB">
        <w:rPr>
          <w:rFonts w:cs="Arial"/>
          <w:u w:val="single"/>
          <w:lang w:val="fr-FR"/>
        </w:rPr>
        <w:t>’</w:t>
      </w:r>
      <w:r w:rsidR="009E4018">
        <w:rPr>
          <w:rFonts w:cs="Arial"/>
          <w:u w:val="single"/>
          <w:lang w:val="fr-FR"/>
        </w:rPr>
        <w:t>ARTICLE </w:t>
      </w:r>
      <w:r w:rsidRPr="009000EB">
        <w:rPr>
          <w:rFonts w:cs="Arial"/>
          <w:u w:val="single"/>
          <w:lang w:val="fr-FR"/>
        </w:rPr>
        <w:t xml:space="preserve">21 </w:t>
      </w:r>
      <w:r w:rsidR="006657A7">
        <w:rPr>
          <w:rFonts w:cs="Arial"/>
          <w:u w:val="single"/>
          <w:lang w:val="fr-FR"/>
        </w:rPr>
        <w:t xml:space="preserve"> </w:t>
      </w:r>
      <w:r w:rsidR="003A351A" w:rsidRPr="009000EB">
        <w:rPr>
          <w:rFonts w:cs="Arial"/>
          <w:u w:val="single"/>
          <w:lang w:val="fr-FR"/>
        </w:rPr>
        <w:t>NULLITÉ DU DROIT D</w:t>
      </w:r>
      <w:r w:rsidR="006A61F0" w:rsidRPr="009000EB">
        <w:rPr>
          <w:rFonts w:cs="Arial"/>
          <w:u w:val="single"/>
          <w:lang w:val="fr-FR"/>
        </w:rPr>
        <w:t>’</w:t>
      </w:r>
      <w:r w:rsidR="003A351A" w:rsidRPr="009000EB">
        <w:rPr>
          <w:rFonts w:cs="Arial"/>
          <w:u w:val="single"/>
          <w:lang w:val="fr-FR"/>
        </w:rPr>
        <w:t>OBTENTEUR</w:t>
      </w:r>
    </w:p>
    <w:p w:rsidR="00F818B0" w:rsidRPr="009000EB" w:rsidRDefault="00F818B0" w:rsidP="00030C17">
      <w:pPr>
        <w:rPr>
          <w:lang w:val="fr-FR"/>
        </w:rPr>
      </w:pPr>
    </w:p>
    <w:p w:rsidR="00F818B0" w:rsidRPr="009000EB" w:rsidRDefault="00711B26" w:rsidP="00030C17">
      <w:pPr>
        <w:rPr>
          <w:lang w:val="fr-FR"/>
        </w:rPr>
      </w:pPr>
      <w:r w:rsidRPr="009000EB">
        <w:rPr>
          <w:lang w:val="fr-FR"/>
        </w:rPr>
        <w:t xml:space="preserve">Sous réserve de </w:t>
      </w:r>
      <w:r w:rsidR="00F3252F" w:rsidRPr="009000EB">
        <w:rPr>
          <w:lang w:val="fr-FR"/>
        </w:rPr>
        <w:t>l</w:t>
      </w:r>
      <w:r w:rsidR="006A61F0" w:rsidRPr="009000EB">
        <w:rPr>
          <w:lang w:val="fr-FR"/>
        </w:rPr>
        <w:t>’</w:t>
      </w:r>
      <w:r w:rsidRPr="009000EB">
        <w:rPr>
          <w:lang w:val="fr-FR"/>
        </w:rPr>
        <w:t>approbation par le Conseil, à sa quarante</w:t>
      </w:r>
      <w:r w:rsidR="00535F54" w:rsidRPr="009000EB">
        <w:rPr>
          <w:lang w:val="fr-FR"/>
        </w:rPr>
        <w:noBreakHyphen/>
      </w:r>
      <w:r w:rsidRPr="009000EB">
        <w:rPr>
          <w:lang w:val="fr-FR"/>
        </w:rPr>
        <w:t>neuvième</w:t>
      </w:r>
      <w:r w:rsidR="009C056B" w:rsidRPr="009000EB">
        <w:rPr>
          <w:lang w:val="fr-FR"/>
        </w:rPr>
        <w:t> </w:t>
      </w:r>
      <w:r w:rsidRPr="009000EB">
        <w:rPr>
          <w:lang w:val="fr-FR"/>
        </w:rPr>
        <w:t xml:space="preserve">session ordinaire, de la </w:t>
      </w:r>
      <w:r w:rsidR="00FA102A">
        <w:rPr>
          <w:lang w:val="fr-FR"/>
        </w:rPr>
        <w:t>version révisée</w:t>
      </w:r>
      <w:r w:rsidRPr="009000EB">
        <w:rPr>
          <w:lang w:val="fr-FR"/>
        </w:rPr>
        <w:t xml:space="preserve"> du document </w:t>
      </w:r>
      <w:r w:rsidR="00F818B0" w:rsidRPr="009000EB">
        <w:rPr>
          <w:lang w:val="fr-FR"/>
        </w:rPr>
        <w:t>UPOV/EXN/NUL/1 “</w:t>
      </w:r>
      <w:r w:rsidRPr="009000EB">
        <w:rPr>
          <w:lang w:val="fr-FR"/>
        </w:rPr>
        <w:t>Notes explicatives sur la nullité du droit d</w:t>
      </w:r>
      <w:r w:rsidR="006A61F0" w:rsidRPr="009000EB">
        <w:rPr>
          <w:lang w:val="fr-FR"/>
        </w:rPr>
        <w:t>’</w:t>
      </w:r>
      <w:r w:rsidRPr="009000EB">
        <w:rPr>
          <w:lang w:val="fr-FR"/>
        </w:rPr>
        <w:t xml:space="preserve">obtenteur selon la </w:t>
      </w:r>
      <w:r w:rsidR="006A61F0" w:rsidRPr="009000EB">
        <w:rPr>
          <w:lang w:val="fr-FR"/>
        </w:rPr>
        <w:t>Convention UPOV</w:t>
      </w:r>
      <w:r w:rsidR="00F818B0" w:rsidRPr="009000EB">
        <w:rPr>
          <w:lang w:val="fr-FR"/>
        </w:rPr>
        <w:t>” (pr</w:t>
      </w:r>
      <w:r w:rsidR="000F69B2" w:rsidRPr="009000EB">
        <w:rPr>
          <w:lang w:val="fr-FR"/>
        </w:rPr>
        <w:t>é</w:t>
      </w:r>
      <w:r w:rsidR="00F818B0" w:rsidRPr="009000EB">
        <w:rPr>
          <w:lang w:val="fr-FR"/>
        </w:rPr>
        <w:t>sent</w:t>
      </w:r>
      <w:r w:rsidR="000F69B2" w:rsidRPr="009000EB">
        <w:rPr>
          <w:lang w:val="fr-FR"/>
        </w:rPr>
        <w:t>é</w:t>
      </w:r>
      <w:r w:rsidR="00F818B0" w:rsidRPr="009000EB">
        <w:rPr>
          <w:lang w:val="fr-FR"/>
        </w:rPr>
        <w:t xml:space="preserve">e </w:t>
      </w:r>
      <w:r w:rsidR="000F69B2" w:rsidRPr="009000EB">
        <w:rPr>
          <w:lang w:val="fr-FR"/>
        </w:rPr>
        <w:t xml:space="preserve">dans le </w:t>
      </w:r>
      <w:r w:rsidR="00F818B0" w:rsidRPr="009000EB">
        <w:rPr>
          <w:lang w:val="fr-FR"/>
        </w:rPr>
        <w:t>document UPOV/EXN/NUL/2</w:t>
      </w:r>
      <w:r w:rsidR="00EC73E6">
        <w:rPr>
          <w:lang w:val="fr-FR"/>
        </w:rPr>
        <w:t> </w:t>
      </w:r>
      <w:proofErr w:type="spellStart"/>
      <w:r w:rsidR="00F818B0" w:rsidRPr="009000EB">
        <w:rPr>
          <w:lang w:val="fr-FR"/>
        </w:rPr>
        <w:t>Draft</w:t>
      </w:r>
      <w:proofErr w:type="spellEnd"/>
      <w:r w:rsidR="00F818B0" w:rsidRPr="009000EB">
        <w:rPr>
          <w:lang w:val="fr-FR"/>
        </w:rPr>
        <w:t xml:space="preserve"> 4), </w:t>
      </w:r>
      <w:r w:rsidR="000F69B2" w:rsidRPr="009000EB">
        <w:rPr>
          <w:lang w:val="fr-FR"/>
        </w:rPr>
        <w:t>remplacer le texte de</w:t>
      </w:r>
      <w:r w:rsidR="00F818B0" w:rsidRPr="009000EB">
        <w:rPr>
          <w:lang w:val="fr-FR"/>
        </w:rPr>
        <w:t xml:space="preserve"> “</w:t>
      </w:r>
      <w:r w:rsidR="000F69B2" w:rsidRPr="009000EB">
        <w:rPr>
          <w:lang w:val="fr-FR"/>
        </w:rPr>
        <w:t>NOTES CONCERNANT L</w:t>
      </w:r>
      <w:r w:rsidR="006A61F0" w:rsidRPr="009000EB">
        <w:rPr>
          <w:lang w:val="fr-FR"/>
        </w:rPr>
        <w:t>’</w:t>
      </w:r>
      <w:r w:rsidR="000F69B2" w:rsidRPr="009000EB">
        <w:rPr>
          <w:lang w:val="fr-FR"/>
        </w:rPr>
        <w:t>ARTICLE</w:t>
      </w:r>
      <w:r w:rsidR="00F818B0" w:rsidRPr="009000EB">
        <w:rPr>
          <w:lang w:val="fr-FR"/>
        </w:rPr>
        <w:t xml:space="preserve"> 21” </w:t>
      </w:r>
      <w:r w:rsidR="000F69B2" w:rsidRPr="009000EB">
        <w:rPr>
          <w:lang w:val="fr-FR"/>
        </w:rPr>
        <w:t xml:space="preserve">par le nouveau libellé du document </w:t>
      </w:r>
      <w:r w:rsidR="00F818B0" w:rsidRPr="009000EB">
        <w:rPr>
          <w:lang w:val="fr-FR"/>
        </w:rPr>
        <w:t>UPOV/EXN/NUL/2.</w:t>
      </w:r>
    </w:p>
    <w:p w:rsidR="00F818B0" w:rsidRPr="009000EB" w:rsidRDefault="00F818B0" w:rsidP="00030C17">
      <w:pPr>
        <w:rPr>
          <w:lang w:val="fr-FR"/>
        </w:rPr>
      </w:pPr>
    </w:p>
    <w:p w:rsidR="00F818B0" w:rsidRPr="009000EB" w:rsidRDefault="00F818B0" w:rsidP="00030C17">
      <w:pPr>
        <w:rPr>
          <w:lang w:val="fr-FR"/>
        </w:rPr>
      </w:pPr>
    </w:p>
    <w:p w:rsidR="001A09C6" w:rsidRPr="009000EB" w:rsidRDefault="00335922" w:rsidP="00030C17">
      <w:pPr>
        <w:keepNext/>
        <w:keepLines/>
        <w:rPr>
          <w:u w:val="single"/>
          <w:lang w:val="fr-FR"/>
        </w:rPr>
      </w:pPr>
      <w:r w:rsidRPr="009000EB">
        <w:rPr>
          <w:u w:val="single"/>
          <w:lang w:val="fr-FR"/>
        </w:rPr>
        <w:t xml:space="preserve">NOTES </w:t>
      </w:r>
      <w:r w:rsidR="00C86164" w:rsidRPr="009000EB">
        <w:rPr>
          <w:u w:val="single"/>
          <w:lang w:val="fr-FR"/>
        </w:rPr>
        <w:t>CONCERNANT L</w:t>
      </w:r>
      <w:r w:rsidR="006A61F0" w:rsidRPr="009000EB">
        <w:rPr>
          <w:u w:val="single"/>
          <w:lang w:val="fr-FR"/>
        </w:rPr>
        <w:t>’</w:t>
      </w:r>
      <w:r w:rsidR="009E4018">
        <w:rPr>
          <w:u w:val="single"/>
          <w:lang w:val="fr-FR"/>
        </w:rPr>
        <w:t>ARTICLE </w:t>
      </w:r>
      <w:r w:rsidRPr="009000EB">
        <w:rPr>
          <w:u w:val="single"/>
          <w:lang w:val="fr-FR"/>
        </w:rPr>
        <w:t xml:space="preserve">22 </w:t>
      </w:r>
      <w:r w:rsidR="006657A7">
        <w:rPr>
          <w:u w:val="single"/>
          <w:lang w:val="fr-FR"/>
        </w:rPr>
        <w:t xml:space="preserve"> </w:t>
      </w:r>
      <w:r w:rsidR="001A2045" w:rsidRPr="009000EB">
        <w:rPr>
          <w:u w:val="single"/>
          <w:lang w:val="fr-FR"/>
        </w:rPr>
        <w:t>DÉCHÉANCE DE L</w:t>
      </w:r>
      <w:r w:rsidR="006A61F0" w:rsidRPr="009000EB">
        <w:rPr>
          <w:u w:val="single"/>
          <w:lang w:val="fr-FR"/>
        </w:rPr>
        <w:t>’</w:t>
      </w:r>
      <w:r w:rsidR="001A2045" w:rsidRPr="009000EB">
        <w:rPr>
          <w:u w:val="single"/>
          <w:lang w:val="fr-FR"/>
        </w:rPr>
        <w:t>OBTENTEUR</w:t>
      </w:r>
    </w:p>
    <w:p w:rsidR="00335922" w:rsidRPr="009000EB" w:rsidRDefault="00335922" w:rsidP="00030C17">
      <w:pPr>
        <w:keepNext/>
        <w:keepLines/>
        <w:rPr>
          <w:lang w:val="fr-FR"/>
        </w:rPr>
      </w:pPr>
    </w:p>
    <w:p w:rsidR="00335922" w:rsidRPr="009000EB" w:rsidRDefault="001A2045" w:rsidP="00030C17">
      <w:pPr>
        <w:keepNext/>
        <w:keepLines/>
        <w:rPr>
          <w:lang w:val="fr-FR"/>
        </w:rPr>
      </w:pPr>
      <w:r w:rsidRPr="009000EB">
        <w:rPr>
          <w:lang w:val="fr-FR"/>
        </w:rPr>
        <w:t xml:space="preserve">Sous réserve de </w:t>
      </w:r>
      <w:r w:rsidR="00F3252F" w:rsidRPr="009000EB">
        <w:rPr>
          <w:lang w:val="fr-FR"/>
        </w:rPr>
        <w:t>l</w:t>
      </w:r>
      <w:r w:rsidR="006A61F0" w:rsidRPr="009000EB">
        <w:rPr>
          <w:lang w:val="fr-FR"/>
        </w:rPr>
        <w:t>’</w:t>
      </w:r>
      <w:r w:rsidRPr="009000EB">
        <w:rPr>
          <w:lang w:val="fr-FR"/>
        </w:rPr>
        <w:t>approbation par le Conseil, à sa quarante</w:t>
      </w:r>
      <w:r w:rsidR="00535F54" w:rsidRPr="009000EB">
        <w:rPr>
          <w:lang w:val="fr-FR"/>
        </w:rPr>
        <w:noBreakHyphen/>
      </w:r>
      <w:r w:rsidRPr="009000EB">
        <w:rPr>
          <w:lang w:val="fr-FR"/>
        </w:rPr>
        <w:t>neuvième</w:t>
      </w:r>
      <w:r w:rsidR="009C056B" w:rsidRPr="009000EB">
        <w:rPr>
          <w:lang w:val="fr-FR"/>
        </w:rPr>
        <w:t> </w:t>
      </w:r>
      <w:r w:rsidRPr="009000EB">
        <w:rPr>
          <w:lang w:val="fr-FR"/>
        </w:rPr>
        <w:t xml:space="preserve">session ordinaire, de la </w:t>
      </w:r>
      <w:r w:rsidR="00FA102A">
        <w:rPr>
          <w:lang w:val="fr-FR"/>
        </w:rPr>
        <w:t>version révisée</w:t>
      </w:r>
      <w:r w:rsidRPr="009000EB">
        <w:rPr>
          <w:lang w:val="fr-FR"/>
        </w:rPr>
        <w:t xml:space="preserve"> du document </w:t>
      </w:r>
      <w:r w:rsidR="00335922" w:rsidRPr="009000EB">
        <w:rPr>
          <w:lang w:val="fr-FR"/>
        </w:rPr>
        <w:t>UPOV/EXN/CAN/1 “</w:t>
      </w:r>
      <w:r w:rsidR="00C86164" w:rsidRPr="009000EB">
        <w:rPr>
          <w:lang w:val="fr-FR"/>
        </w:rPr>
        <w:t>Notes explicatives sur la déchéance de l</w:t>
      </w:r>
      <w:r w:rsidR="006A61F0" w:rsidRPr="009000EB">
        <w:rPr>
          <w:lang w:val="fr-FR"/>
        </w:rPr>
        <w:t>’</w:t>
      </w:r>
      <w:r w:rsidR="00C86164" w:rsidRPr="009000EB">
        <w:rPr>
          <w:lang w:val="fr-FR"/>
        </w:rPr>
        <w:t xml:space="preserve">obtenteur selon la </w:t>
      </w:r>
      <w:r w:rsidR="006A61F0" w:rsidRPr="009000EB">
        <w:rPr>
          <w:lang w:val="fr-FR"/>
        </w:rPr>
        <w:t>Convention UPOV</w:t>
      </w:r>
      <w:r w:rsidR="00335922" w:rsidRPr="009000EB">
        <w:rPr>
          <w:lang w:val="fr-FR"/>
        </w:rPr>
        <w:t>”</w:t>
      </w:r>
      <w:r w:rsidR="00006358" w:rsidRPr="009000EB">
        <w:rPr>
          <w:lang w:val="fr-FR"/>
        </w:rPr>
        <w:t xml:space="preserve"> (pr</w:t>
      </w:r>
      <w:r w:rsidRPr="009000EB">
        <w:rPr>
          <w:lang w:val="fr-FR"/>
        </w:rPr>
        <w:t>é</w:t>
      </w:r>
      <w:r w:rsidR="00006358" w:rsidRPr="009000EB">
        <w:rPr>
          <w:lang w:val="fr-FR"/>
        </w:rPr>
        <w:t>sent</w:t>
      </w:r>
      <w:r w:rsidRPr="009000EB">
        <w:rPr>
          <w:lang w:val="fr-FR"/>
        </w:rPr>
        <w:t>ée</w:t>
      </w:r>
      <w:r w:rsidR="00006358" w:rsidRPr="009000EB">
        <w:rPr>
          <w:lang w:val="fr-FR"/>
        </w:rPr>
        <w:t xml:space="preserve"> </w:t>
      </w:r>
      <w:r w:rsidRPr="009000EB">
        <w:rPr>
          <w:lang w:val="fr-FR"/>
        </w:rPr>
        <w:t xml:space="preserve">dans le </w:t>
      </w:r>
      <w:r w:rsidR="00EC73E6">
        <w:rPr>
          <w:lang w:val="fr-FR"/>
        </w:rPr>
        <w:t>document UPOV/EXN/CAN/2 </w:t>
      </w:r>
      <w:proofErr w:type="spellStart"/>
      <w:r w:rsidR="00EC73E6">
        <w:rPr>
          <w:lang w:val="fr-FR"/>
        </w:rPr>
        <w:t>Draft</w:t>
      </w:r>
      <w:proofErr w:type="spellEnd"/>
      <w:r w:rsidR="00EC73E6">
        <w:rPr>
          <w:lang w:val="fr-FR"/>
        </w:rPr>
        <w:t> </w:t>
      </w:r>
      <w:r w:rsidR="00006358" w:rsidRPr="009000EB">
        <w:rPr>
          <w:lang w:val="fr-FR"/>
        </w:rPr>
        <w:t>4)</w:t>
      </w:r>
      <w:r w:rsidR="00335922" w:rsidRPr="009000EB">
        <w:rPr>
          <w:lang w:val="fr-FR"/>
        </w:rPr>
        <w:t xml:space="preserve">, </w:t>
      </w:r>
      <w:r w:rsidRPr="009000EB">
        <w:rPr>
          <w:lang w:val="fr-FR"/>
        </w:rPr>
        <w:t>remplacer le texte de</w:t>
      </w:r>
      <w:r w:rsidR="00335922" w:rsidRPr="009000EB">
        <w:rPr>
          <w:lang w:val="fr-FR"/>
        </w:rPr>
        <w:t xml:space="preserve"> “</w:t>
      </w:r>
      <w:r w:rsidR="00006358" w:rsidRPr="009000EB">
        <w:rPr>
          <w:lang w:val="fr-FR"/>
        </w:rPr>
        <w:t xml:space="preserve">NOTES </w:t>
      </w:r>
      <w:r w:rsidRPr="009000EB">
        <w:rPr>
          <w:lang w:val="fr-FR"/>
        </w:rPr>
        <w:t>CONCERNANT L</w:t>
      </w:r>
      <w:r w:rsidR="006A61F0" w:rsidRPr="009000EB">
        <w:rPr>
          <w:lang w:val="fr-FR"/>
        </w:rPr>
        <w:t>’</w:t>
      </w:r>
      <w:r w:rsidRPr="009000EB">
        <w:rPr>
          <w:lang w:val="fr-FR"/>
        </w:rPr>
        <w:t>ARTICLE</w:t>
      </w:r>
      <w:r w:rsidR="00006358" w:rsidRPr="009000EB">
        <w:rPr>
          <w:lang w:val="fr-FR"/>
        </w:rPr>
        <w:t> 22</w:t>
      </w:r>
      <w:r w:rsidR="00335922" w:rsidRPr="009000EB">
        <w:rPr>
          <w:lang w:val="fr-FR"/>
        </w:rPr>
        <w:t xml:space="preserve">” </w:t>
      </w:r>
      <w:r w:rsidRPr="009000EB">
        <w:rPr>
          <w:lang w:val="fr-FR"/>
        </w:rPr>
        <w:t xml:space="preserve">par le nouveau libellé du document </w:t>
      </w:r>
      <w:r w:rsidR="00006358" w:rsidRPr="009000EB">
        <w:rPr>
          <w:lang w:val="fr-FR"/>
        </w:rPr>
        <w:t>UPOV/EXN/CAN/2</w:t>
      </w:r>
      <w:r w:rsidR="00335922" w:rsidRPr="009000EB">
        <w:rPr>
          <w:lang w:val="fr-FR"/>
        </w:rPr>
        <w:t>.</w:t>
      </w:r>
    </w:p>
    <w:p w:rsidR="001A09C6" w:rsidRPr="009000EB" w:rsidRDefault="001A09C6" w:rsidP="00030C17">
      <w:pPr>
        <w:rPr>
          <w:lang w:val="fr-FR"/>
        </w:rPr>
      </w:pPr>
    </w:p>
    <w:p w:rsidR="00006358" w:rsidRPr="009000EB" w:rsidRDefault="00006358" w:rsidP="00030C17">
      <w:pPr>
        <w:rPr>
          <w:lang w:val="fr-FR"/>
        </w:rPr>
      </w:pPr>
    </w:p>
    <w:p w:rsidR="001F514F" w:rsidRPr="009000EB" w:rsidRDefault="001F514F" w:rsidP="00030C17">
      <w:pPr>
        <w:rPr>
          <w:lang w:val="fr-FR"/>
        </w:rPr>
      </w:pPr>
    </w:p>
    <w:p w:rsidR="006D4519" w:rsidRPr="009000EB" w:rsidRDefault="001A09C6" w:rsidP="00030C17">
      <w:pPr>
        <w:jc w:val="right"/>
        <w:rPr>
          <w:lang w:val="fr-FR"/>
        </w:rPr>
      </w:pPr>
      <w:r w:rsidRPr="009000EB">
        <w:rPr>
          <w:lang w:val="fr-FR"/>
        </w:rPr>
        <w:t>[</w:t>
      </w:r>
      <w:r w:rsidR="001A2045" w:rsidRPr="009000EB">
        <w:rPr>
          <w:lang w:val="fr-FR"/>
        </w:rPr>
        <w:t>Fin de l</w:t>
      </w:r>
      <w:r w:rsidR="006A61F0" w:rsidRPr="009000EB">
        <w:rPr>
          <w:lang w:val="fr-FR"/>
        </w:rPr>
        <w:t>’</w:t>
      </w:r>
      <w:r w:rsidR="001A2045" w:rsidRPr="009000EB">
        <w:rPr>
          <w:lang w:val="fr-FR"/>
        </w:rPr>
        <w:t>annexe</w:t>
      </w:r>
      <w:r w:rsidR="009C056B" w:rsidRPr="009000EB">
        <w:rPr>
          <w:lang w:val="fr-FR"/>
        </w:rPr>
        <w:t> </w:t>
      </w:r>
      <w:r w:rsidR="001A2045" w:rsidRPr="009000EB">
        <w:rPr>
          <w:lang w:val="fr-FR"/>
        </w:rPr>
        <w:t>IV et du document</w:t>
      </w:r>
      <w:r w:rsidRPr="009000EB">
        <w:rPr>
          <w:lang w:val="fr-FR"/>
        </w:rPr>
        <w:t>]</w:t>
      </w:r>
    </w:p>
    <w:sectPr w:rsidR="006D4519" w:rsidRPr="009000EB" w:rsidSect="00FA102A">
      <w:headerReference w:type="default" r:id="rId19"/>
      <w:headerReference w:type="first" r:id="rId20"/>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30" w:rsidRDefault="00231230" w:rsidP="006655D3">
      <w:r>
        <w:separator/>
      </w:r>
    </w:p>
    <w:p w:rsidR="00231230" w:rsidRDefault="00231230" w:rsidP="006655D3"/>
    <w:p w:rsidR="00231230" w:rsidRDefault="00231230" w:rsidP="006655D3"/>
  </w:endnote>
  <w:endnote w:type="continuationSeparator" w:id="0">
    <w:p w:rsidR="00231230" w:rsidRDefault="00231230" w:rsidP="006655D3">
      <w:r>
        <w:separator/>
      </w:r>
    </w:p>
    <w:p w:rsidR="00231230" w:rsidRPr="00560A6D" w:rsidRDefault="00231230">
      <w:pPr>
        <w:pStyle w:val="Footer"/>
        <w:spacing w:after="60"/>
        <w:rPr>
          <w:sz w:val="18"/>
          <w:lang w:val="fr-FR"/>
        </w:rPr>
      </w:pPr>
      <w:r w:rsidRPr="00560A6D">
        <w:rPr>
          <w:sz w:val="18"/>
          <w:lang w:val="fr-FR"/>
        </w:rPr>
        <w:t>[Suite de la note de la page précédente]</w:t>
      </w:r>
    </w:p>
    <w:p w:rsidR="00231230" w:rsidRPr="00560A6D" w:rsidRDefault="00231230" w:rsidP="006655D3">
      <w:pPr>
        <w:rPr>
          <w:lang w:val="fr-FR"/>
        </w:rPr>
      </w:pPr>
    </w:p>
    <w:p w:rsidR="00231230" w:rsidRPr="00560A6D" w:rsidRDefault="00231230" w:rsidP="006655D3">
      <w:pPr>
        <w:rPr>
          <w:lang w:val="fr-FR"/>
        </w:rPr>
      </w:pPr>
    </w:p>
  </w:endnote>
  <w:endnote w:type="continuationNotice" w:id="1">
    <w:p w:rsidR="00231230" w:rsidRPr="00560A6D" w:rsidRDefault="00231230" w:rsidP="006655D3">
      <w:pPr>
        <w:rPr>
          <w:lang w:val="fr-FR"/>
        </w:rPr>
      </w:pPr>
      <w:r w:rsidRPr="00560A6D">
        <w:rPr>
          <w:lang w:val="fr-FR"/>
        </w:rPr>
        <w:t>[Suite de la note page suivante]</w:t>
      </w:r>
    </w:p>
    <w:p w:rsidR="00231230" w:rsidRPr="00560A6D" w:rsidRDefault="00231230" w:rsidP="006655D3">
      <w:pPr>
        <w:rPr>
          <w:lang w:val="fr-FR"/>
        </w:rPr>
      </w:pPr>
    </w:p>
    <w:p w:rsidR="00231230" w:rsidRPr="00560A6D" w:rsidRDefault="0023123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018" w:rsidRPr="009E4018" w:rsidRDefault="009E4018" w:rsidP="009E4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30" w:rsidRDefault="00231230" w:rsidP="00C95616">
      <w:pPr>
        <w:spacing w:before="120"/>
      </w:pPr>
      <w:r>
        <w:separator/>
      </w:r>
    </w:p>
  </w:footnote>
  <w:footnote w:type="continuationSeparator" w:id="0">
    <w:p w:rsidR="00231230" w:rsidRDefault="00231230" w:rsidP="006655D3">
      <w:r>
        <w:separator/>
      </w:r>
    </w:p>
  </w:footnote>
  <w:footnote w:type="continuationNotice" w:id="1">
    <w:p w:rsidR="00231230" w:rsidRPr="00A56FAA" w:rsidRDefault="00231230"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30" w:rsidRPr="00C5280D" w:rsidRDefault="00231230" w:rsidP="00EB048E">
    <w:pPr>
      <w:pStyle w:val="Header"/>
      <w:rPr>
        <w:rStyle w:val="PageNumber"/>
        <w:lang w:val="en-US"/>
      </w:rPr>
    </w:pPr>
    <w:r>
      <w:rPr>
        <w:rStyle w:val="PageNumber"/>
        <w:lang w:val="en-US"/>
      </w:rPr>
      <w:t>C/49/14</w:t>
    </w:r>
  </w:p>
  <w:p w:rsidR="00231230" w:rsidRPr="00C5280D" w:rsidRDefault="0023123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F15A2">
      <w:rPr>
        <w:rStyle w:val="PageNumber"/>
        <w:noProof/>
        <w:lang w:val="en-US"/>
      </w:rPr>
      <w:t>5</w:t>
    </w:r>
    <w:r w:rsidRPr="00C5280D">
      <w:rPr>
        <w:rStyle w:val="PageNumber"/>
        <w:lang w:val="en-US"/>
      </w:rPr>
      <w:fldChar w:fldCharType="end"/>
    </w:r>
  </w:p>
  <w:p w:rsidR="00231230" w:rsidRPr="00C5280D" w:rsidRDefault="0023123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E6" w:rsidRPr="00C5280D" w:rsidRDefault="00EC73E6" w:rsidP="00EB048E">
    <w:pPr>
      <w:pStyle w:val="Header"/>
      <w:rPr>
        <w:rStyle w:val="PageNumber"/>
        <w:lang w:val="en-US"/>
      </w:rPr>
    </w:pPr>
    <w:r>
      <w:rPr>
        <w:rStyle w:val="PageNumber"/>
        <w:lang w:val="en-US"/>
      </w:rPr>
      <w:t>C/49/14</w:t>
    </w:r>
  </w:p>
  <w:p w:rsidR="00EC73E6" w:rsidRPr="00C5280D" w:rsidRDefault="00EC73E6"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F15A2">
      <w:rPr>
        <w:rStyle w:val="PageNumber"/>
        <w:noProof/>
        <w:lang w:val="en-US"/>
      </w:rPr>
      <w:t>1</w:t>
    </w:r>
    <w:r w:rsidRPr="00C5280D">
      <w:rPr>
        <w:rStyle w:val="PageNumber"/>
        <w:lang w:val="en-US"/>
      </w:rPr>
      <w:fldChar w:fldCharType="end"/>
    </w:r>
  </w:p>
  <w:p w:rsidR="00EC73E6" w:rsidRPr="00C5280D" w:rsidRDefault="00EC73E6" w:rsidP="00EC73E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30" w:rsidRDefault="00231230">
    <w:pPr>
      <w:pStyle w:val="Header"/>
    </w:pPr>
    <w:r>
      <w:t>C/49/14</w:t>
    </w:r>
  </w:p>
  <w:p w:rsidR="00231230" w:rsidRDefault="00231230">
    <w:pPr>
      <w:pStyle w:val="Header"/>
    </w:pPr>
  </w:p>
  <w:p w:rsidR="00231230" w:rsidRDefault="00231230">
    <w:pPr>
      <w:pStyle w:val="Header"/>
    </w:pPr>
    <w:r>
      <w:t>ANNEX</w:t>
    </w:r>
    <w:r w:rsidR="006958F4">
      <w:t>E</w:t>
    </w:r>
    <w:r>
      <w:t xml:space="preserve"> I</w:t>
    </w:r>
  </w:p>
  <w:p w:rsidR="00231230" w:rsidRDefault="002312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E6" w:rsidRPr="00C5280D" w:rsidRDefault="00EC73E6" w:rsidP="00EB048E">
    <w:pPr>
      <w:pStyle w:val="Header"/>
      <w:rPr>
        <w:rStyle w:val="PageNumber"/>
        <w:lang w:val="en-US"/>
      </w:rPr>
    </w:pPr>
    <w:r>
      <w:rPr>
        <w:rStyle w:val="PageNumber"/>
        <w:lang w:val="en-US"/>
      </w:rPr>
      <w:t>C/49/14</w:t>
    </w:r>
  </w:p>
  <w:p w:rsidR="00EC73E6" w:rsidRPr="00C5280D" w:rsidRDefault="00EC73E6" w:rsidP="00EB048E">
    <w:pPr>
      <w:pStyle w:val="Header"/>
      <w:rPr>
        <w:lang w:val="en-US"/>
      </w:rPr>
    </w:pPr>
    <w:proofErr w:type="spellStart"/>
    <w:r>
      <w:rPr>
        <w:lang w:val="en-US"/>
      </w:rPr>
      <w:t>Annexe</w:t>
    </w:r>
    <w:proofErr w:type="spellEnd"/>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F15A2">
      <w:rPr>
        <w:rStyle w:val="PageNumber"/>
        <w:noProof/>
        <w:lang w:val="en-US"/>
      </w:rPr>
      <w:t>1</w:t>
    </w:r>
    <w:r w:rsidRPr="00C5280D">
      <w:rPr>
        <w:rStyle w:val="PageNumber"/>
        <w:lang w:val="en-US"/>
      </w:rPr>
      <w:fldChar w:fldCharType="end"/>
    </w:r>
  </w:p>
  <w:p w:rsidR="00EC73E6" w:rsidRPr="00C5280D" w:rsidRDefault="00EC73E6" w:rsidP="00EC73E6">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30" w:rsidRDefault="00231230">
    <w:pPr>
      <w:pStyle w:val="Header"/>
    </w:pPr>
    <w:r>
      <w:t>C/49/14</w:t>
    </w:r>
  </w:p>
  <w:p w:rsidR="00231230" w:rsidRDefault="00231230">
    <w:pPr>
      <w:pStyle w:val="Header"/>
    </w:pPr>
  </w:p>
  <w:p w:rsidR="00231230" w:rsidRDefault="00231230">
    <w:pPr>
      <w:pStyle w:val="Header"/>
    </w:pPr>
    <w:r>
      <w:t>ANNEX</w:t>
    </w:r>
    <w:r w:rsidR="006958F4">
      <w:t>E</w:t>
    </w:r>
    <w:r>
      <w:t xml:space="preserve"> II</w:t>
    </w:r>
  </w:p>
  <w:p w:rsidR="00231230" w:rsidRDefault="002312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E6" w:rsidRPr="00C5280D" w:rsidRDefault="00EC73E6" w:rsidP="00EB048E">
    <w:pPr>
      <w:pStyle w:val="Header"/>
      <w:rPr>
        <w:rStyle w:val="PageNumber"/>
        <w:lang w:val="en-US"/>
      </w:rPr>
    </w:pPr>
    <w:r>
      <w:rPr>
        <w:rStyle w:val="PageNumber"/>
        <w:lang w:val="en-US"/>
      </w:rPr>
      <w:t>C/49/14</w:t>
    </w:r>
  </w:p>
  <w:p w:rsidR="00EC73E6" w:rsidRPr="00C5280D" w:rsidRDefault="00EC73E6" w:rsidP="00EB048E">
    <w:pPr>
      <w:pStyle w:val="Header"/>
      <w:rPr>
        <w:lang w:val="en-US"/>
      </w:rPr>
    </w:pPr>
    <w:proofErr w:type="spellStart"/>
    <w:r>
      <w:rPr>
        <w:lang w:val="en-US"/>
      </w:rPr>
      <w:t>Annexe</w:t>
    </w:r>
    <w:proofErr w:type="spellEnd"/>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F15A2">
      <w:rPr>
        <w:rStyle w:val="PageNumber"/>
        <w:noProof/>
        <w:lang w:val="en-US"/>
      </w:rPr>
      <w:t>1</w:t>
    </w:r>
    <w:r w:rsidRPr="00C5280D">
      <w:rPr>
        <w:rStyle w:val="PageNumber"/>
        <w:lang w:val="en-US"/>
      </w:rPr>
      <w:fldChar w:fldCharType="end"/>
    </w:r>
  </w:p>
  <w:p w:rsidR="00EC73E6" w:rsidRPr="00C5280D" w:rsidRDefault="00EC73E6" w:rsidP="00EC73E6">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30" w:rsidRDefault="00231230">
    <w:pPr>
      <w:pStyle w:val="Header"/>
    </w:pPr>
    <w:r>
      <w:t>C/49/14</w:t>
    </w:r>
  </w:p>
  <w:p w:rsidR="00231230" w:rsidRDefault="00231230">
    <w:pPr>
      <w:pStyle w:val="Header"/>
    </w:pPr>
  </w:p>
  <w:p w:rsidR="00231230" w:rsidRDefault="00231230">
    <w:pPr>
      <w:pStyle w:val="Header"/>
    </w:pPr>
    <w:r>
      <w:t>ANNEX</w:t>
    </w:r>
    <w:r w:rsidR="000F11E1">
      <w:t>E</w:t>
    </w:r>
    <w:r>
      <w:t xml:space="preserve"> III</w:t>
    </w:r>
  </w:p>
  <w:p w:rsidR="00231230" w:rsidRDefault="0023123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E6" w:rsidRPr="00C5280D" w:rsidRDefault="00EC73E6" w:rsidP="00EB048E">
    <w:pPr>
      <w:pStyle w:val="Header"/>
      <w:rPr>
        <w:rStyle w:val="PageNumber"/>
        <w:lang w:val="en-US"/>
      </w:rPr>
    </w:pPr>
    <w:r>
      <w:rPr>
        <w:rStyle w:val="PageNumber"/>
        <w:lang w:val="en-US"/>
      </w:rPr>
      <w:t>C/49/14</w:t>
    </w:r>
  </w:p>
  <w:p w:rsidR="00EC73E6" w:rsidRPr="00C5280D" w:rsidRDefault="00EC73E6" w:rsidP="00EB048E">
    <w:pPr>
      <w:pStyle w:val="Header"/>
      <w:rPr>
        <w:lang w:val="en-US"/>
      </w:rPr>
    </w:pPr>
    <w:proofErr w:type="spellStart"/>
    <w:r>
      <w:rPr>
        <w:lang w:val="en-US"/>
      </w:rPr>
      <w:t>Annexe</w:t>
    </w:r>
    <w:proofErr w:type="spellEnd"/>
    <w:r>
      <w:rPr>
        <w:lang w:val="en-US"/>
      </w:rPr>
      <w:t xml:space="preserv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F15A2">
      <w:rPr>
        <w:rStyle w:val="PageNumber"/>
        <w:noProof/>
        <w:lang w:val="en-US"/>
      </w:rPr>
      <w:t>1</w:t>
    </w:r>
    <w:r w:rsidRPr="00C5280D">
      <w:rPr>
        <w:rStyle w:val="PageNumber"/>
        <w:lang w:val="en-US"/>
      </w:rPr>
      <w:fldChar w:fldCharType="end"/>
    </w:r>
  </w:p>
  <w:p w:rsidR="00EC73E6" w:rsidRPr="00C5280D" w:rsidRDefault="00EC73E6" w:rsidP="00EC73E6">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30" w:rsidRDefault="00231230">
    <w:pPr>
      <w:pStyle w:val="Header"/>
    </w:pPr>
    <w:r>
      <w:t>C/49/14</w:t>
    </w:r>
  </w:p>
  <w:p w:rsidR="00231230" w:rsidRDefault="00231230">
    <w:pPr>
      <w:pStyle w:val="Header"/>
    </w:pPr>
  </w:p>
  <w:p w:rsidR="00231230" w:rsidRDefault="00231230">
    <w:pPr>
      <w:pStyle w:val="Header"/>
    </w:pPr>
    <w:r>
      <w:t>ANNEX</w:t>
    </w:r>
    <w:r w:rsidR="006958F4">
      <w:t>E</w:t>
    </w:r>
    <w:r>
      <w:t xml:space="preserve"> IV</w:t>
    </w:r>
  </w:p>
  <w:p w:rsidR="00231230" w:rsidRDefault="00231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FE"/>
    <w:rsid w:val="00006358"/>
    <w:rsid w:val="000102B7"/>
    <w:rsid w:val="00010CF3"/>
    <w:rsid w:val="00011E27"/>
    <w:rsid w:val="00012F0A"/>
    <w:rsid w:val="00013946"/>
    <w:rsid w:val="000148BC"/>
    <w:rsid w:val="000236BE"/>
    <w:rsid w:val="00024AB8"/>
    <w:rsid w:val="00025E70"/>
    <w:rsid w:val="00030854"/>
    <w:rsid w:val="00030C17"/>
    <w:rsid w:val="00036028"/>
    <w:rsid w:val="000421C7"/>
    <w:rsid w:val="00044642"/>
    <w:rsid w:val="000446B9"/>
    <w:rsid w:val="00044ADC"/>
    <w:rsid w:val="00047E21"/>
    <w:rsid w:val="00053ABC"/>
    <w:rsid w:val="00057508"/>
    <w:rsid w:val="00071C70"/>
    <w:rsid w:val="00085505"/>
    <w:rsid w:val="00096D88"/>
    <w:rsid w:val="000A4D4F"/>
    <w:rsid w:val="000A68B4"/>
    <w:rsid w:val="000B2714"/>
    <w:rsid w:val="000B50FA"/>
    <w:rsid w:val="000C55A1"/>
    <w:rsid w:val="000C672D"/>
    <w:rsid w:val="000C7021"/>
    <w:rsid w:val="000D6BBC"/>
    <w:rsid w:val="000D7780"/>
    <w:rsid w:val="000F11E1"/>
    <w:rsid w:val="000F69B2"/>
    <w:rsid w:val="00105929"/>
    <w:rsid w:val="001122E0"/>
    <w:rsid w:val="001131D5"/>
    <w:rsid w:val="00117EDB"/>
    <w:rsid w:val="001205C1"/>
    <w:rsid w:val="00130FDB"/>
    <w:rsid w:val="00141DB8"/>
    <w:rsid w:val="0014355A"/>
    <w:rsid w:val="001505BF"/>
    <w:rsid w:val="00152C5D"/>
    <w:rsid w:val="00162CD7"/>
    <w:rsid w:val="0017474A"/>
    <w:rsid w:val="001758C6"/>
    <w:rsid w:val="00175D09"/>
    <w:rsid w:val="001763B5"/>
    <w:rsid w:val="001813A9"/>
    <w:rsid w:val="00181E95"/>
    <w:rsid w:val="00182B99"/>
    <w:rsid w:val="00187759"/>
    <w:rsid w:val="00194DC5"/>
    <w:rsid w:val="001A0080"/>
    <w:rsid w:val="001A09C6"/>
    <w:rsid w:val="001A16E0"/>
    <w:rsid w:val="001A178A"/>
    <w:rsid w:val="001A2045"/>
    <w:rsid w:val="001A6F64"/>
    <w:rsid w:val="001B1EC1"/>
    <w:rsid w:val="001B3D6E"/>
    <w:rsid w:val="001D50E7"/>
    <w:rsid w:val="001D5688"/>
    <w:rsid w:val="001D7941"/>
    <w:rsid w:val="001E0CF9"/>
    <w:rsid w:val="001E19AA"/>
    <w:rsid w:val="001F514F"/>
    <w:rsid w:val="0020192D"/>
    <w:rsid w:val="00213091"/>
    <w:rsid w:val="0021332C"/>
    <w:rsid w:val="00213982"/>
    <w:rsid w:val="002207F6"/>
    <w:rsid w:val="00223470"/>
    <w:rsid w:val="00231230"/>
    <w:rsid w:val="00242824"/>
    <w:rsid w:val="00243C12"/>
    <w:rsid w:val="0024416D"/>
    <w:rsid w:val="00245E80"/>
    <w:rsid w:val="002471C0"/>
    <w:rsid w:val="002521B6"/>
    <w:rsid w:val="002576A1"/>
    <w:rsid w:val="0026008D"/>
    <w:rsid w:val="00275C1C"/>
    <w:rsid w:val="002800A0"/>
    <w:rsid w:val="002801B3"/>
    <w:rsid w:val="0028098F"/>
    <w:rsid w:val="00281060"/>
    <w:rsid w:val="0028473F"/>
    <w:rsid w:val="002940E8"/>
    <w:rsid w:val="00294914"/>
    <w:rsid w:val="00295D78"/>
    <w:rsid w:val="002A6E50"/>
    <w:rsid w:val="002A7768"/>
    <w:rsid w:val="002B479D"/>
    <w:rsid w:val="002B585F"/>
    <w:rsid w:val="002B5F1D"/>
    <w:rsid w:val="002C256A"/>
    <w:rsid w:val="002C5C79"/>
    <w:rsid w:val="002C5F6E"/>
    <w:rsid w:val="002C7EEC"/>
    <w:rsid w:val="002D46DB"/>
    <w:rsid w:val="002D55F1"/>
    <w:rsid w:val="002D67D8"/>
    <w:rsid w:val="002D7647"/>
    <w:rsid w:val="002E5962"/>
    <w:rsid w:val="003022E9"/>
    <w:rsid w:val="003033D6"/>
    <w:rsid w:val="00303C68"/>
    <w:rsid w:val="00305A7F"/>
    <w:rsid w:val="00315280"/>
    <w:rsid w:val="003152FE"/>
    <w:rsid w:val="00327436"/>
    <w:rsid w:val="0033507D"/>
    <w:rsid w:val="003353DF"/>
    <w:rsid w:val="00335922"/>
    <w:rsid w:val="00340713"/>
    <w:rsid w:val="00341533"/>
    <w:rsid w:val="00344BD6"/>
    <w:rsid w:val="00351ED1"/>
    <w:rsid w:val="0035528D"/>
    <w:rsid w:val="00356FC4"/>
    <w:rsid w:val="00361821"/>
    <w:rsid w:val="00364FBB"/>
    <w:rsid w:val="00382842"/>
    <w:rsid w:val="003853C0"/>
    <w:rsid w:val="00396927"/>
    <w:rsid w:val="003A2CE5"/>
    <w:rsid w:val="003A351A"/>
    <w:rsid w:val="003A492E"/>
    <w:rsid w:val="003A603B"/>
    <w:rsid w:val="003B560D"/>
    <w:rsid w:val="003C10BC"/>
    <w:rsid w:val="003D227C"/>
    <w:rsid w:val="003D2B4D"/>
    <w:rsid w:val="003D384B"/>
    <w:rsid w:val="003D4482"/>
    <w:rsid w:val="004023D1"/>
    <w:rsid w:val="00402847"/>
    <w:rsid w:val="00403C95"/>
    <w:rsid w:val="00411490"/>
    <w:rsid w:val="0041551D"/>
    <w:rsid w:val="0042365E"/>
    <w:rsid w:val="00442C25"/>
    <w:rsid w:val="00444A88"/>
    <w:rsid w:val="00450FB5"/>
    <w:rsid w:val="00471E5E"/>
    <w:rsid w:val="00474DA4"/>
    <w:rsid w:val="00476B4D"/>
    <w:rsid w:val="004805FA"/>
    <w:rsid w:val="00481B4F"/>
    <w:rsid w:val="00482FD4"/>
    <w:rsid w:val="00496F98"/>
    <w:rsid w:val="004A4E29"/>
    <w:rsid w:val="004B2BCD"/>
    <w:rsid w:val="004C2EEA"/>
    <w:rsid w:val="004D047D"/>
    <w:rsid w:val="004D266B"/>
    <w:rsid w:val="004F1181"/>
    <w:rsid w:val="004F305A"/>
    <w:rsid w:val="004F57BB"/>
    <w:rsid w:val="005014D5"/>
    <w:rsid w:val="00512164"/>
    <w:rsid w:val="005123A2"/>
    <w:rsid w:val="00520297"/>
    <w:rsid w:val="00526127"/>
    <w:rsid w:val="005338F9"/>
    <w:rsid w:val="00535F54"/>
    <w:rsid w:val="0054281C"/>
    <w:rsid w:val="00547C77"/>
    <w:rsid w:val="0055268D"/>
    <w:rsid w:val="005607E8"/>
    <w:rsid w:val="00560A6D"/>
    <w:rsid w:val="00566DEE"/>
    <w:rsid w:val="00575D69"/>
    <w:rsid w:val="00576BE4"/>
    <w:rsid w:val="0057780D"/>
    <w:rsid w:val="0059082B"/>
    <w:rsid w:val="005A0D20"/>
    <w:rsid w:val="005A400A"/>
    <w:rsid w:val="005E20FA"/>
    <w:rsid w:val="005F05B6"/>
    <w:rsid w:val="005F2811"/>
    <w:rsid w:val="00612379"/>
    <w:rsid w:val="0061555F"/>
    <w:rsid w:val="00616BC6"/>
    <w:rsid w:val="006254BA"/>
    <w:rsid w:val="00631CBB"/>
    <w:rsid w:val="00641200"/>
    <w:rsid w:val="0064746E"/>
    <w:rsid w:val="00656481"/>
    <w:rsid w:val="006617DF"/>
    <w:rsid w:val="00663239"/>
    <w:rsid w:val="006655D3"/>
    <w:rsid w:val="006657A7"/>
    <w:rsid w:val="0067078A"/>
    <w:rsid w:val="00670DC2"/>
    <w:rsid w:val="00675D10"/>
    <w:rsid w:val="0068205C"/>
    <w:rsid w:val="00683D0A"/>
    <w:rsid w:val="00686552"/>
    <w:rsid w:val="00687EB4"/>
    <w:rsid w:val="00691783"/>
    <w:rsid w:val="00692976"/>
    <w:rsid w:val="006958F4"/>
    <w:rsid w:val="006A61F0"/>
    <w:rsid w:val="006B17D2"/>
    <w:rsid w:val="006B6E3A"/>
    <w:rsid w:val="006C0270"/>
    <w:rsid w:val="006C224E"/>
    <w:rsid w:val="006D2368"/>
    <w:rsid w:val="006D4519"/>
    <w:rsid w:val="006D780A"/>
    <w:rsid w:val="00700329"/>
    <w:rsid w:val="00711B26"/>
    <w:rsid w:val="0071415D"/>
    <w:rsid w:val="0072064A"/>
    <w:rsid w:val="007227F9"/>
    <w:rsid w:val="00732DEC"/>
    <w:rsid w:val="00733028"/>
    <w:rsid w:val="00735BD5"/>
    <w:rsid w:val="007556F6"/>
    <w:rsid w:val="0076086A"/>
    <w:rsid w:val="00760EEF"/>
    <w:rsid w:val="00771182"/>
    <w:rsid w:val="00777EE5"/>
    <w:rsid w:val="007845B3"/>
    <w:rsid w:val="00784836"/>
    <w:rsid w:val="0079023E"/>
    <w:rsid w:val="00794125"/>
    <w:rsid w:val="00795648"/>
    <w:rsid w:val="007A2854"/>
    <w:rsid w:val="007A3F44"/>
    <w:rsid w:val="007B2387"/>
    <w:rsid w:val="007D0B9D"/>
    <w:rsid w:val="007D0CF0"/>
    <w:rsid w:val="007D145D"/>
    <w:rsid w:val="007D19B0"/>
    <w:rsid w:val="007E5C4D"/>
    <w:rsid w:val="007E6805"/>
    <w:rsid w:val="007F498F"/>
    <w:rsid w:val="00800719"/>
    <w:rsid w:val="0080679D"/>
    <w:rsid w:val="008108B0"/>
    <w:rsid w:val="00811B20"/>
    <w:rsid w:val="00812B8A"/>
    <w:rsid w:val="00812BB5"/>
    <w:rsid w:val="00820068"/>
    <w:rsid w:val="0082296E"/>
    <w:rsid w:val="00824099"/>
    <w:rsid w:val="008252B5"/>
    <w:rsid w:val="00826887"/>
    <w:rsid w:val="0083082D"/>
    <w:rsid w:val="00837969"/>
    <w:rsid w:val="00842973"/>
    <w:rsid w:val="00850B96"/>
    <w:rsid w:val="00867AC1"/>
    <w:rsid w:val="0087412B"/>
    <w:rsid w:val="00886F0C"/>
    <w:rsid w:val="00891600"/>
    <w:rsid w:val="008932BD"/>
    <w:rsid w:val="008A3C6D"/>
    <w:rsid w:val="008A743F"/>
    <w:rsid w:val="008B7B01"/>
    <w:rsid w:val="008C0970"/>
    <w:rsid w:val="008C1A84"/>
    <w:rsid w:val="008C2B62"/>
    <w:rsid w:val="008D111D"/>
    <w:rsid w:val="008D2CF7"/>
    <w:rsid w:val="008E1106"/>
    <w:rsid w:val="008E2DDA"/>
    <w:rsid w:val="008F2761"/>
    <w:rsid w:val="009000EB"/>
    <w:rsid w:val="00900C26"/>
    <w:rsid w:val="0090197F"/>
    <w:rsid w:val="00901A3F"/>
    <w:rsid w:val="00906DDC"/>
    <w:rsid w:val="009145A3"/>
    <w:rsid w:val="0092693D"/>
    <w:rsid w:val="00934E09"/>
    <w:rsid w:val="00936253"/>
    <w:rsid w:val="00947760"/>
    <w:rsid w:val="00952DD4"/>
    <w:rsid w:val="009537FD"/>
    <w:rsid w:val="00970FED"/>
    <w:rsid w:val="00972047"/>
    <w:rsid w:val="00973A5C"/>
    <w:rsid w:val="009811CF"/>
    <w:rsid w:val="009823F0"/>
    <w:rsid w:val="00997029"/>
    <w:rsid w:val="00997ACA"/>
    <w:rsid w:val="009A33F9"/>
    <w:rsid w:val="009B1B95"/>
    <w:rsid w:val="009B6732"/>
    <w:rsid w:val="009B6ED8"/>
    <w:rsid w:val="009C056B"/>
    <w:rsid w:val="009C222F"/>
    <w:rsid w:val="009D1913"/>
    <w:rsid w:val="009D690D"/>
    <w:rsid w:val="009E2443"/>
    <w:rsid w:val="009E4018"/>
    <w:rsid w:val="009E65B6"/>
    <w:rsid w:val="009F15A2"/>
    <w:rsid w:val="009F4E6E"/>
    <w:rsid w:val="009F4F36"/>
    <w:rsid w:val="009F7D0F"/>
    <w:rsid w:val="00A1206B"/>
    <w:rsid w:val="00A21A80"/>
    <w:rsid w:val="00A25F74"/>
    <w:rsid w:val="00A279AF"/>
    <w:rsid w:val="00A42AC3"/>
    <w:rsid w:val="00A430CF"/>
    <w:rsid w:val="00A43EF7"/>
    <w:rsid w:val="00A47CB3"/>
    <w:rsid w:val="00A536DB"/>
    <w:rsid w:val="00A54309"/>
    <w:rsid w:val="00A56FAA"/>
    <w:rsid w:val="00A62021"/>
    <w:rsid w:val="00A66B92"/>
    <w:rsid w:val="00A67EC5"/>
    <w:rsid w:val="00A76D24"/>
    <w:rsid w:val="00A82D89"/>
    <w:rsid w:val="00A9243D"/>
    <w:rsid w:val="00A9292D"/>
    <w:rsid w:val="00A93392"/>
    <w:rsid w:val="00AB2B93"/>
    <w:rsid w:val="00AB3BB1"/>
    <w:rsid w:val="00AB7E5B"/>
    <w:rsid w:val="00AC116F"/>
    <w:rsid w:val="00AC38F7"/>
    <w:rsid w:val="00AE0EF1"/>
    <w:rsid w:val="00AE2937"/>
    <w:rsid w:val="00AF10E4"/>
    <w:rsid w:val="00B07301"/>
    <w:rsid w:val="00B11EC4"/>
    <w:rsid w:val="00B224DE"/>
    <w:rsid w:val="00B22568"/>
    <w:rsid w:val="00B26FA0"/>
    <w:rsid w:val="00B3225D"/>
    <w:rsid w:val="00B3282B"/>
    <w:rsid w:val="00B359F8"/>
    <w:rsid w:val="00B3732E"/>
    <w:rsid w:val="00B46575"/>
    <w:rsid w:val="00B575BA"/>
    <w:rsid w:val="00B6364D"/>
    <w:rsid w:val="00B7349B"/>
    <w:rsid w:val="00B803B8"/>
    <w:rsid w:val="00B84BBD"/>
    <w:rsid w:val="00B9632C"/>
    <w:rsid w:val="00BA1EFE"/>
    <w:rsid w:val="00BA41B8"/>
    <w:rsid w:val="00BA43FB"/>
    <w:rsid w:val="00BC127D"/>
    <w:rsid w:val="00BC1FE6"/>
    <w:rsid w:val="00BC5782"/>
    <w:rsid w:val="00BD2054"/>
    <w:rsid w:val="00C026BB"/>
    <w:rsid w:val="00C061B6"/>
    <w:rsid w:val="00C10924"/>
    <w:rsid w:val="00C16AC1"/>
    <w:rsid w:val="00C16E1F"/>
    <w:rsid w:val="00C2446C"/>
    <w:rsid w:val="00C3611F"/>
    <w:rsid w:val="00C36AE5"/>
    <w:rsid w:val="00C37023"/>
    <w:rsid w:val="00C418B5"/>
    <w:rsid w:val="00C41F17"/>
    <w:rsid w:val="00C42AFD"/>
    <w:rsid w:val="00C45234"/>
    <w:rsid w:val="00C51D44"/>
    <w:rsid w:val="00C5280D"/>
    <w:rsid w:val="00C5392E"/>
    <w:rsid w:val="00C55186"/>
    <w:rsid w:val="00C5762F"/>
    <w:rsid w:val="00C5791C"/>
    <w:rsid w:val="00C651CE"/>
    <w:rsid w:val="00C66290"/>
    <w:rsid w:val="00C72B7A"/>
    <w:rsid w:val="00C86164"/>
    <w:rsid w:val="00C86EE2"/>
    <w:rsid w:val="00C95420"/>
    <w:rsid w:val="00C95616"/>
    <w:rsid w:val="00C973F2"/>
    <w:rsid w:val="00C978F5"/>
    <w:rsid w:val="00CA0F9F"/>
    <w:rsid w:val="00CA304C"/>
    <w:rsid w:val="00CA774A"/>
    <w:rsid w:val="00CB0E47"/>
    <w:rsid w:val="00CC0281"/>
    <w:rsid w:val="00CC11B0"/>
    <w:rsid w:val="00CC4F7D"/>
    <w:rsid w:val="00CC78EF"/>
    <w:rsid w:val="00CD1A4A"/>
    <w:rsid w:val="00CD3AED"/>
    <w:rsid w:val="00CE25CA"/>
    <w:rsid w:val="00CF7E36"/>
    <w:rsid w:val="00D1039D"/>
    <w:rsid w:val="00D111FC"/>
    <w:rsid w:val="00D3708D"/>
    <w:rsid w:val="00D40098"/>
    <w:rsid w:val="00D40426"/>
    <w:rsid w:val="00D45171"/>
    <w:rsid w:val="00D52F15"/>
    <w:rsid w:val="00D57C96"/>
    <w:rsid w:val="00D57F11"/>
    <w:rsid w:val="00D75C3F"/>
    <w:rsid w:val="00D832EF"/>
    <w:rsid w:val="00D85727"/>
    <w:rsid w:val="00D9027C"/>
    <w:rsid w:val="00D91203"/>
    <w:rsid w:val="00D95174"/>
    <w:rsid w:val="00DA6F36"/>
    <w:rsid w:val="00DB1CCC"/>
    <w:rsid w:val="00DB596E"/>
    <w:rsid w:val="00DB6E5E"/>
    <w:rsid w:val="00DC00EA"/>
    <w:rsid w:val="00DC1BE7"/>
    <w:rsid w:val="00DC5BC4"/>
    <w:rsid w:val="00E17132"/>
    <w:rsid w:val="00E32C2E"/>
    <w:rsid w:val="00E32F7E"/>
    <w:rsid w:val="00E44EC1"/>
    <w:rsid w:val="00E6588A"/>
    <w:rsid w:val="00E72D49"/>
    <w:rsid w:val="00E7593C"/>
    <w:rsid w:val="00E7678A"/>
    <w:rsid w:val="00E935F1"/>
    <w:rsid w:val="00E94A81"/>
    <w:rsid w:val="00EA01E0"/>
    <w:rsid w:val="00EA1BFF"/>
    <w:rsid w:val="00EA1FFB"/>
    <w:rsid w:val="00EA7DCF"/>
    <w:rsid w:val="00EB048E"/>
    <w:rsid w:val="00EB1C90"/>
    <w:rsid w:val="00EB4FBC"/>
    <w:rsid w:val="00EC73E6"/>
    <w:rsid w:val="00ED6EFE"/>
    <w:rsid w:val="00EE175D"/>
    <w:rsid w:val="00EE340D"/>
    <w:rsid w:val="00EE34DF"/>
    <w:rsid w:val="00EE4442"/>
    <w:rsid w:val="00EE5E08"/>
    <w:rsid w:val="00EF2F89"/>
    <w:rsid w:val="00EF6B84"/>
    <w:rsid w:val="00F00490"/>
    <w:rsid w:val="00F1236F"/>
    <w:rsid w:val="00F1237A"/>
    <w:rsid w:val="00F17AFD"/>
    <w:rsid w:val="00F22CBD"/>
    <w:rsid w:val="00F2408A"/>
    <w:rsid w:val="00F3252F"/>
    <w:rsid w:val="00F33AD8"/>
    <w:rsid w:val="00F42340"/>
    <w:rsid w:val="00F433FB"/>
    <w:rsid w:val="00F45372"/>
    <w:rsid w:val="00F4605B"/>
    <w:rsid w:val="00F560F7"/>
    <w:rsid w:val="00F56C99"/>
    <w:rsid w:val="00F6334D"/>
    <w:rsid w:val="00F67A9B"/>
    <w:rsid w:val="00F75090"/>
    <w:rsid w:val="00F76193"/>
    <w:rsid w:val="00F80602"/>
    <w:rsid w:val="00F818B0"/>
    <w:rsid w:val="00F81D02"/>
    <w:rsid w:val="00FA102A"/>
    <w:rsid w:val="00FA49AB"/>
    <w:rsid w:val="00FB0C72"/>
    <w:rsid w:val="00FC0D7D"/>
    <w:rsid w:val="00FC3E46"/>
    <w:rsid w:val="00FC7DD3"/>
    <w:rsid w:val="00FD4181"/>
    <w:rsid w:val="00FD6833"/>
    <w:rsid w:val="00FE0F09"/>
    <w:rsid w:val="00FE1B48"/>
    <w:rsid w:val="00FE1F4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FE1F47"/>
    <w:pPr>
      <w:keepNext/>
      <w:ind w:left="567" w:hanging="567"/>
      <w:jc w:val="both"/>
      <w:outlineLvl w:val="3"/>
    </w:pPr>
    <w:rPr>
      <w:rFonts w:ascii="Arial" w:hAnsi="Arial"/>
      <w:i/>
      <w:lang w:val="fr-FR"/>
    </w:rPr>
  </w:style>
  <w:style w:type="paragraph" w:styleId="Heading5">
    <w:name w:val="heading 5"/>
    <w:next w:val="Normal"/>
    <w:autoRedefine/>
    <w:qFormat/>
    <w:rsid w:val="00EE4442"/>
    <w:pPr>
      <w:keepNext/>
      <w:ind w:left="567" w:hanging="567"/>
      <w:jc w:val="both"/>
      <w:outlineLvl w:val="4"/>
    </w:pPr>
    <w:rPr>
      <w:rFonts w:ascii="Arial" w:hAnsi="Arial"/>
      <w:i/>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ED6EFE"/>
    <w:rPr>
      <w:rFonts w:ascii="Arial" w:hAnsi="Arial"/>
      <w:i/>
    </w:rPr>
  </w:style>
  <w:style w:type="paragraph" w:styleId="ListParagraph">
    <w:name w:val="List Paragraph"/>
    <w:basedOn w:val="Normal"/>
    <w:uiPriority w:val="34"/>
    <w:qFormat/>
    <w:rsid w:val="00ED6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FE1F47"/>
    <w:pPr>
      <w:keepNext/>
      <w:ind w:left="567" w:hanging="567"/>
      <w:jc w:val="both"/>
      <w:outlineLvl w:val="3"/>
    </w:pPr>
    <w:rPr>
      <w:rFonts w:ascii="Arial" w:hAnsi="Arial"/>
      <w:i/>
      <w:lang w:val="fr-FR"/>
    </w:rPr>
  </w:style>
  <w:style w:type="paragraph" w:styleId="Heading5">
    <w:name w:val="heading 5"/>
    <w:next w:val="Normal"/>
    <w:autoRedefine/>
    <w:qFormat/>
    <w:rsid w:val="00EE4442"/>
    <w:pPr>
      <w:keepNext/>
      <w:ind w:left="567" w:hanging="567"/>
      <w:jc w:val="both"/>
      <w:outlineLvl w:val="4"/>
    </w:pPr>
    <w:rPr>
      <w:rFonts w:ascii="Arial" w:hAnsi="Arial"/>
      <w:i/>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ED6EFE"/>
    <w:rPr>
      <w:rFonts w:ascii="Arial" w:hAnsi="Arial"/>
      <w:i/>
    </w:rPr>
  </w:style>
  <w:style w:type="paragraph" w:styleId="ListParagraph">
    <w:name w:val="List Paragraph"/>
    <w:basedOn w:val="Normal"/>
    <w:uiPriority w:val="34"/>
    <w:qFormat/>
    <w:rsid w:val="00ED6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meetings/fr/topic.jsp?group_id=254"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upov.int/meetings/fr/topic.jsp?group_id=251"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upov.int/edocs/tgpdocs/fr/tgp_7.pdf"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3394</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C/49/15</vt:lpstr>
    </vt:vector>
  </TitlesOfParts>
  <Company>UPOV</Company>
  <LinksUpToDate>false</LinksUpToDate>
  <CharactersWithSpaces>23263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C/49/15</dc:title>
  <dc:creator>SANCHEZ-VIZCAINO GOMEZ Rosa Maria</dc:creator>
  <cp:keywords>PB/ST/ko</cp:keywords>
  <cp:lastModifiedBy>SANCHEZ-VIZCAINO GOMEZ Rosa Maria</cp:lastModifiedBy>
  <cp:revision>33</cp:revision>
  <cp:lastPrinted>2015-09-28T16:21:00Z</cp:lastPrinted>
  <dcterms:created xsi:type="dcterms:W3CDTF">2015-09-01T12:46:00Z</dcterms:created>
  <dcterms:modified xsi:type="dcterms:W3CDTF">2015-09-28T16:21:00Z</dcterms:modified>
</cp:coreProperties>
</file>