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54066" w:rsidRPr="00062B38" w:rsidTr="003F3563">
        <w:tc>
          <w:tcPr>
            <w:tcW w:w="6522" w:type="dxa"/>
          </w:tcPr>
          <w:p w:rsidR="00554066" w:rsidRPr="00062B38" w:rsidRDefault="00554066" w:rsidP="003F3563">
            <w:bookmarkStart w:id="0" w:name="TitleOfDoc"/>
            <w:bookmarkEnd w:id="0"/>
            <w:r>
              <w:rPr>
                <w:noProof/>
              </w:rPr>
              <w:drawing>
                <wp:inline distT="0" distB="0" distL="0" distR="0">
                  <wp:extent cx="952031" cy="244054"/>
                  <wp:effectExtent l="0" t="0" r="635" b="381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554066" w:rsidRPr="00062B38" w:rsidRDefault="00554066" w:rsidP="003F3563">
            <w:pPr>
              <w:pStyle w:val="Lettrine"/>
            </w:pPr>
            <w:r>
              <w:t>S</w:t>
            </w:r>
          </w:p>
        </w:tc>
      </w:tr>
      <w:tr w:rsidR="00554066" w:rsidRPr="00554066" w:rsidTr="003F3563">
        <w:trPr>
          <w:trHeight w:val="219"/>
        </w:trPr>
        <w:tc>
          <w:tcPr>
            <w:tcW w:w="6522" w:type="dxa"/>
          </w:tcPr>
          <w:p w:rsidR="00554066" w:rsidRPr="00554066" w:rsidRDefault="00554066" w:rsidP="003F3563">
            <w:pPr>
              <w:pStyle w:val="upove"/>
            </w:pPr>
            <w:r>
              <w:t xml:space="preserve">Unión Internacional para la Protección de las Obtenciones Vegetales </w:t>
            </w:r>
          </w:p>
        </w:tc>
        <w:tc>
          <w:tcPr>
            <w:tcW w:w="3117" w:type="dxa"/>
          </w:tcPr>
          <w:p w:rsidR="00554066" w:rsidRPr="00554066" w:rsidRDefault="00554066" w:rsidP="003F3563"/>
        </w:tc>
      </w:tr>
    </w:tbl>
    <w:p w:rsidR="00554066" w:rsidRPr="00554066" w:rsidRDefault="00554066" w:rsidP="00554066"/>
    <w:p w:rsidR="00554066" w:rsidRPr="00554066" w:rsidRDefault="00554066" w:rsidP="00554066"/>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54066" w:rsidRPr="00554066" w:rsidTr="003F3563">
        <w:tc>
          <w:tcPr>
            <w:tcW w:w="6512" w:type="dxa"/>
          </w:tcPr>
          <w:p w:rsidR="00042F26" w:rsidRDefault="00554066" w:rsidP="00042F26">
            <w:pPr>
              <w:pStyle w:val="Sessiontc"/>
              <w:spacing w:line="240" w:lineRule="auto"/>
            </w:pPr>
            <w:r>
              <w:t xml:space="preserve">Reunión sobre la elaboración de un </w:t>
            </w:r>
            <w:r w:rsidR="00042F26">
              <w:t xml:space="preserve">prototipo </w:t>
            </w:r>
            <w:r w:rsidR="00042F26">
              <w:t>de formulario electrónico</w:t>
            </w:r>
          </w:p>
          <w:p w:rsidR="00554066" w:rsidRPr="00554066" w:rsidRDefault="00042F26" w:rsidP="00042F26">
            <w:pPr>
              <w:pStyle w:val="Sessiontc"/>
              <w:spacing w:line="240" w:lineRule="auto"/>
              <w:rPr>
                <w:sz w:val="22"/>
              </w:rPr>
            </w:pPr>
            <w:r>
              <w:br/>
            </w:r>
            <w:r w:rsidR="00554066">
              <w:t>Novena reunión</w:t>
            </w:r>
            <w:r w:rsidR="00554066">
              <w:br/>
              <w:t>Ginebra, 7 de abril de 2017</w:t>
            </w:r>
          </w:p>
        </w:tc>
        <w:tc>
          <w:tcPr>
            <w:tcW w:w="3127" w:type="dxa"/>
          </w:tcPr>
          <w:p w:rsidR="00554066" w:rsidRPr="00554066" w:rsidRDefault="00554066" w:rsidP="003F3563">
            <w:pPr>
              <w:pStyle w:val="Doccode"/>
              <w:spacing w:before="40"/>
            </w:pPr>
            <w:r>
              <w:t>UPOV/EAF/9/3</w:t>
            </w:r>
          </w:p>
          <w:p w:rsidR="00554066" w:rsidRPr="00554066" w:rsidRDefault="00554066" w:rsidP="003F3563">
            <w:pPr>
              <w:pStyle w:val="Doccode"/>
              <w:spacing w:before="480"/>
            </w:pPr>
            <w:r>
              <w:t>Original:</w:t>
            </w:r>
            <w:r>
              <w:rPr>
                <w:b w:val="0"/>
                <w:spacing w:val="0"/>
              </w:rPr>
              <w:t xml:space="preserve">  Inglés</w:t>
            </w:r>
          </w:p>
          <w:p w:rsidR="00554066" w:rsidRPr="00554066" w:rsidRDefault="00554066" w:rsidP="00554066">
            <w:pPr>
              <w:pStyle w:val="Docoriginal"/>
              <w:spacing w:before="0" w:line="240" w:lineRule="auto"/>
              <w:contextualSpacing w:val="0"/>
            </w:pPr>
            <w:r>
              <w:t>Fecha:</w:t>
            </w:r>
            <w:r>
              <w:rPr>
                <w:b w:val="0"/>
                <w:spacing w:val="0"/>
              </w:rPr>
              <w:t xml:space="preserve">  9 de octubre de 2017</w:t>
            </w:r>
          </w:p>
        </w:tc>
      </w:tr>
    </w:tbl>
    <w:p w:rsidR="000D7780" w:rsidRPr="001B600C" w:rsidRDefault="00F86D27" w:rsidP="00FD02CA">
      <w:pPr>
        <w:pStyle w:val="Titleofdoc0"/>
      </w:pPr>
      <w:r>
        <w:t>INFORME</w:t>
      </w:r>
    </w:p>
    <w:p w:rsidR="00C23BE3" w:rsidRPr="001B600C" w:rsidRDefault="006B3305" w:rsidP="00276699">
      <w:pPr>
        <w:pStyle w:val="preparedby1"/>
        <w:jc w:val="both"/>
      </w:pPr>
      <w:bookmarkStart w:id="1" w:name="Prepared"/>
      <w:bookmarkEnd w:id="1"/>
      <w:r>
        <w:t>aprobado por la reunión sobre la elaboración de un formulario electrónico</w:t>
      </w:r>
      <w:r w:rsidR="00042F26">
        <w:t xml:space="preserve"> de solicitud</w:t>
      </w:r>
    </w:p>
    <w:p w:rsidR="00050E16" w:rsidRPr="001B600C" w:rsidRDefault="00A9797F" w:rsidP="006A644A">
      <w:pPr>
        <w:pStyle w:val="Disclaimer"/>
      </w:pPr>
      <w:r>
        <w:t xml:space="preserve">Descargo de responsabilidad:  </w:t>
      </w:r>
      <w:r w:rsidR="00050E16">
        <w:t>el presente documento no constituye un documento de política u orientación de la UPOV</w:t>
      </w:r>
    </w:p>
    <w:p w:rsidR="00D45276" w:rsidRPr="001B600C" w:rsidRDefault="00D45276" w:rsidP="007F5B31">
      <w:pPr>
        <w:pStyle w:val="Heading1"/>
      </w:pPr>
      <w:r>
        <w:t>Bienvenida y discurso de apertura</w:t>
      </w:r>
    </w:p>
    <w:p w:rsidR="00D45276" w:rsidRPr="001B600C" w:rsidRDefault="00D45276" w:rsidP="00FD02CA"/>
    <w:p w:rsidR="00D45276" w:rsidRPr="001B600C" w:rsidRDefault="00BC26FD" w:rsidP="00FD02CA">
      <w:r w:rsidRPr="001B600C">
        <w:fldChar w:fldCharType="begin"/>
      </w:r>
      <w:r w:rsidR="00EA3E13" w:rsidRPr="001B600C">
        <w:instrText xml:space="preserve"> AUTONUM  </w:instrText>
      </w:r>
      <w:r w:rsidRPr="001B600C">
        <w:fldChar w:fldCharType="end"/>
      </w:r>
      <w:r w:rsidR="00EA3E13">
        <w:tab/>
        <w:t xml:space="preserve">Inauguró y presidió la novena reunión sobre la elaboración de un prototipo de formulario electrónico (reunión EAF/9) el Sr. Peter Button, secretario general adjunto de la UPOV, quien dio la bienvenida a </w:t>
      </w:r>
      <w:r w:rsidR="00B74127">
        <w:t>los</w:t>
      </w:r>
      <w:r w:rsidR="00EA3E13">
        <w:t xml:space="preserve"> participa</w:t>
      </w:r>
      <w:r w:rsidR="00B74127">
        <w:t xml:space="preserve">ntes que </w:t>
      </w:r>
      <w:r w:rsidR="002608DB">
        <w:t>se encontraban en</w:t>
      </w:r>
      <w:r w:rsidR="00EA3E13">
        <w:t xml:space="preserve"> Ginebra y </w:t>
      </w:r>
      <w:r w:rsidR="00B74127">
        <w:t>a los participantes</w:t>
      </w:r>
      <w:r w:rsidR="00EA3E13">
        <w:t xml:space="preserve"> por teleconferencia.</w:t>
      </w:r>
    </w:p>
    <w:p w:rsidR="00D45276" w:rsidRPr="001B600C" w:rsidRDefault="00D45276" w:rsidP="00FD02CA"/>
    <w:p w:rsidR="00D45276" w:rsidRPr="001B600C" w:rsidRDefault="00BC26FD" w:rsidP="00FD02CA">
      <w:r w:rsidRPr="001B600C">
        <w:fldChar w:fldCharType="begin"/>
      </w:r>
      <w:r w:rsidR="00EA3E13" w:rsidRPr="001B600C">
        <w:instrText xml:space="preserve"> AUTONUM  </w:instrText>
      </w:r>
      <w:r w:rsidRPr="001B600C">
        <w:fldChar w:fldCharType="end"/>
      </w:r>
      <w:r w:rsidR="00EA3E13">
        <w:tab/>
        <w:t>La lista de participantes figura en el Anexo I del presente informe.</w:t>
      </w:r>
    </w:p>
    <w:p w:rsidR="00D45276" w:rsidRPr="001B600C" w:rsidRDefault="00D45276" w:rsidP="00FD02CA"/>
    <w:p w:rsidR="007F5B31" w:rsidRPr="001B600C" w:rsidRDefault="007F5B31" w:rsidP="00FD02CA"/>
    <w:p w:rsidR="00D45276" w:rsidRPr="001B600C" w:rsidRDefault="00D45276" w:rsidP="007F5B31">
      <w:pPr>
        <w:pStyle w:val="Heading1"/>
      </w:pPr>
      <w:r>
        <w:t>Aprobación del orden del día</w:t>
      </w:r>
    </w:p>
    <w:p w:rsidR="00D45276" w:rsidRPr="001B600C" w:rsidRDefault="00D45276" w:rsidP="00FD02CA"/>
    <w:p w:rsidR="00D45276" w:rsidRPr="001B600C" w:rsidRDefault="00BC26FD" w:rsidP="00FD02CA">
      <w:r w:rsidRPr="001B600C">
        <w:fldChar w:fldCharType="begin"/>
      </w:r>
      <w:r w:rsidR="00EA3E13" w:rsidRPr="001B600C">
        <w:instrText xml:space="preserve"> AUTONUM  </w:instrText>
      </w:r>
      <w:r w:rsidRPr="001B600C">
        <w:fldChar w:fldCharType="end"/>
      </w:r>
      <w:r w:rsidR="00EA3E13">
        <w:tab/>
        <w:t>En la reunión se aprobó el proyecto de orden del día que figura en el documento UPOV/EAF/9/1 Rev.</w:t>
      </w:r>
    </w:p>
    <w:p w:rsidR="00D45276" w:rsidRPr="001B600C" w:rsidRDefault="00D45276" w:rsidP="00FD02CA"/>
    <w:p w:rsidR="007F5B31" w:rsidRPr="001B600C" w:rsidRDefault="007F5B31" w:rsidP="00FD02CA"/>
    <w:p w:rsidR="00D45276" w:rsidRPr="001B600C" w:rsidRDefault="00D45276" w:rsidP="007F5B31">
      <w:pPr>
        <w:pStyle w:val="Heading1"/>
      </w:pPr>
      <w:r>
        <w:t>Novedades relativas al formulario electrónico de solicitud</w:t>
      </w:r>
    </w:p>
    <w:p w:rsidR="00D45276" w:rsidRPr="001B600C" w:rsidRDefault="00D45276" w:rsidP="00FD02CA"/>
    <w:p w:rsidR="00050E16" w:rsidRPr="001B600C" w:rsidRDefault="00BC26FD" w:rsidP="00FD02CA">
      <w:r w:rsidRPr="001B600C">
        <w:fldChar w:fldCharType="begin"/>
      </w:r>
      <w:r w:rsidR="00EA3E13" w:rsidRPr="001B600C">
        <w:instrText xml:space="preserve"> AUTONUM  </w:instrText>
      </w:r>
      <w:r w:rsidRPr="001B600C">
        <w:fldChar w:fldCharType="end"/>
      </w:r>
      <w:r w:rsidR="00EA3E13">
        <w:tab/>
        <w:t xml:space="preserve">Los participantes en la reunión examinaron el documento </w:t>
      </w:r>
      <w:hyperlink r:id="rId9">
        <w:r w:rsidR="00EA3E13">
          <w:rPr>
            <w:rStyle w:val="Hyperlink"/>
          </w:rPr>
          <w:t>UPOV/EAF/9/2 Corr.2</w:t>
        </w:r>
      </w:hyperlink>
      <w:r w:rsidR="00EA3E13">
        <w:t xml:space="preserve"> “Novedades relativas al formulario electrónico de solicitud” y asistieron a una ponencia de la Oficina de la Unión sobre las últimas novedades relativas al prototipo de formulario electrónico de solicitud, de la que se facilita una copia en el Anexo II del presente documento.</w:t>
      </w:r>
    </w:p>
    <w:p w:rsidR="00544581" w:rsidRPr="001B600C" w:rsidRDefault="00544581" w:rsidP="00FD02CA"/>
    <w:p w:rsidR="00272B35" w:rsidRPr="001B600C" w:rsidRDefault="00BC26FD" w:rsidP="00FD02CA">
      <w:r w:rsidRPr="001B600C">
        <w:fldChar w:fldCharType="begin"/>
      </w:r>
      <w:r w:rsidR="00EA3E13" w:rsidRPr="001B600C">
        <w:instrText xml:space="preserve"> AUTONUM  </w:instrText>
      </w:r>
      <w:r w:rsidRPr="001B600C">
        <w:fldChar w:fldCharType="end"/>
      </w:r>
      <w:r w:rsidR="00EA3E13">
        <w:tab/>
        <w:t>Los participantes convinieron en las siguientes novedades propuestas:</w:t>
      </w:r>
    </w:p>
    <w:p w:rsidR="00272B35" w:rsidRPr="001B600C" w:rsidRDefault="00272B35" w:rsidP="00FD02CA"/>
    <w:p w:rsidR="00FD02CA" w:rsidRPr="001B600C" w:rsidRDefault="00FD02CA" w:rsidP="00FD02CA"/>
    <w:p w:rsidR="00272B35" w:rsidRPr="001B600C" w:rsidRDefault="00272B35" w:rsidP="007F5B31">
      <w:pPr>
        <w:pStyle w:val="Heading2"/>
      </w:pPr>
      <w:bookmarkStart w:id="2" w:name="_Toc485110112"/>
      <w:r>
        <w:t>Nuevas versiones del EAF</w:t>
      </w:r>
      <w:bookmarkEnd w:id="2"/>
    </w:p>
    <w:p w:rsidR="00272B35" w:rsidRPr="001B600C" w:rsidRDefault="00272B35" w:rsidP="00FD02CA"/>
    <w:p w:rsidR="00272B35" w:rsidRPr="001B600C" w:rsidRDefault="00BC26FD" w:rsidP="00FD02CA">
      <w:r w:rsidRPr="001B600C">
        <w:fldChar w:fldCharType="begin"/>
      </w:r>
      <w:r w:rsidR="00272B35" w:rsidRPr="001B600C">
        <w:instrText xml:space="preserve"> AUTONUM  </w:instrText>
      </w:r>
      <w:r w:rsidRPr="001B600C">
        <w:fldChar w:fldCharType="end"/>
      </w:r>
      <w:r w:rsidR="00272B35">
        <w:tab/>
        <w:t>La versión actual del EAF era la versión 1.0.  Se previó que la próxima versión (versión 1.1) del EAF se publicara en julio de 2017</w:t>
      </w:r>
      <w:r w:rsidR="00A9797F">
        <w:t xml:space="preserve"> </w:t>
      </w:r>
      <w:r w:rsidR="00272B35">
        <w:t>y la siguiente (versión 2.0) en 2018.</w:t>
      </w:r>
    </w:p>
    <w:p w:rsidR="00272B35" w:rsidRPr="001B600C" w:rsidRDefault="00272B35" w:rsidP="00D432EC">
      <w:pPr>
        <w:spacing w:line="360" w:lineRule="auto"/>
      </w:pPr>
    </w:p>
    <w:p w:rsidR="00272B35" w:rsidRPr="001B600C" w:rsidRDefault="00272B35" w:rsidP="007F5B31">
      <w:pPr>
        <w:pStyle w:val="Heading3"/>
      </w:pPr>
      <w:bookmarkStart w:id="3" w:name="_Toc485110113"/>
      <w:r>
        <w:t>Versión 1.1</w:t>
      </w:r>
      <w:bookmarkEnd w:id="3"/>
    </w:p>
    <w:p w:rsidR="00272B35" w:rsidRPr="001B600C" w:rsidRDefault="00272B35" w:rsidP="00FD02CA">
      <w:pPr>
        <w:pStyle w:val="Heading4"/>
      </w:pPr>
      <w:bookmarkStart w:id="4" w:name="_Toc477541731"/>
    </w:p>
    <w:p w:rsidR="00272B35" w:rsidRPr="001B600C" w:rsidRDefault="00272B35" w:rsidP="00FD02CA">
      <w:pPr>
        <w:pStyle w:val="Heading4"/>
      </w:pPr>
      <w:r>
        <w:t>Miembros de la UPOV participantes</w:t>
      </w:r>
      <w:bookmarkEnd w:id="4"/>
    </w:p>
    <w:p w:rsidR="005B5BE3" w:rsidRPr="005B5BE3" w:rsidRDefault="005B5BE3" w:rsidP="005B5BE3">
      <w:pPr>
        <w:keepNext/>
        <w:rPr>
          <w:sz w:val="18"/>
        </w:rPr>
      </w:pPr>
    </w:p>
    <w:p w:rsidR="00272B35" w:rsidRPr="001B600C" w:rsidRDefault="00BC26FD" w:rsidP="00FD02CA">
      <w:r w:rsidRPr="001B600C">
        <w:fldChar w:fldCharType="begin"/>
      </w:r>
      <w:r w:rsidR="00272B35" w:rsidRPr="001B600C">
        <w:instrText xml:space="preserve"> AUTONUM  </w:instrText>
      </w:r>
      <w:r w:rsidRPr="001B600C">
        <w:fldChar w:fldCharType="end"/>
      </w:r>
      <w:r w:rsidR="00272B35">
        <w:tab/>
        <w:t xml:space="preserve">Los participantes tomaron nota de que los siguientes miembros de la UPOV adicionales habían facilitado la información necesaria y manifestado su intención de participar en la versión 1.1 de los cultivos indicados: </w:t>
      </w:r>
    </w:p>
    <w:p w:rsidR="00276699" w:rsidRPr="001B600C" w:rsidRDefault="00276699" w:rsidP="00FD02CA"/>
    <w:tbl>
      <w:tblPr>
        <w:tblStyle w:val="TableGrid"/>
        <w:tblW w:w="9915" w:type="dxa"/>
        <w:jc w:val="center"/>
        <w:tblInd w:w="567" w:type="dxa"/>
        <w:tblLayout w:type="fixed"/>
        <w:tblCellMar>
          <w:top w:w="57" w:type="dxa"/>
          <w:left w:w="28" w:type="dxa"/>
          <w:bottom w:w="28" w:type="dxa"/>
          <w:right w:w="28" w:type="dxa"/>
        </w:tblCellMar>
        <w:tblLook w:val="04A0" w:firstRow="1" w:lastRow="0" w:firstColumn="1" w:lastColumn="0" w:noHBand="0" w:noVBand="1"/>
      </w:tblPr>
      <w:tblGrid>
        <w:gridCol w:w="2105"/>
        <w:gridCol w:w="508"/>
        <w:gridCol w:w="1032"/>
        <w:gridCol w:w="1078"/>
        <w:gridCol w:w="1506"/>
        <w:gridCol w:w="985"/>
        <w:gridCol w:w="1283"/>
        <w:gridCol w:w="1418"/>
      </w:tblGrid>
      <w:tr w:rsidR="00276699" w:rsidRPr="001B600C" w:rsidTr="00042F26">
        <w:trPr>
          <w:cantSplit/>
          <w:jc w:val="center"/>
        </w:trPr>
        <w:tc>
          <w:tcPr>
            <w:tcW w:w="2613" w:type="dxa"/>
            <w:gridSpan w:val="2"/>
            <w:tcBorders>
              <w:bottom w:val="single" w:sz="4" w:space="0" w:color="auto"/>
            </w:tcBorders>
            <w:vAlign w:val="center"/>
          </w:tcPr>
          <w:p w:rsidR="00276699" w:rsidRPr="001B600C" w:rsidRDefault="00276699" w:rsidP="00D432EC">
            <w:pPr>
              <w:keepNext/>
              <w:jc w:val="left"/>
              <w:rPr>
                <w:sz w:val="16"/>
              </w:rPr>
            </w:pPr>
            <w:r>
              <w:rPr>
                <w:sz w:val="16"/>
              </w:rPr>
              <w:lastRenderedPageBreak/>
              <w:t>Autoridad</w:t>
            </w:r>
          </w:p>
        </w:tc>
        <w:tc>
          <w:tcPr>
            <w:tcW w:w="1032" w:type="dxa"/>
            <w:tcBorders>
              <w:bottom w:val="single" w:sz="4" w:space="0" w:color="auto"/>
            </w:tcBorders>
            <w:noWrap/>
            <w:hideMark/>
          </w:tcPr>
          <w:p w:rsidR="00276699" w:rsidRPr="001B600C" w:rsidRDefault="00276699" w:rsidP="00042F26">
            <w:pPr>
              <w:keepNext/>
              <w:spacing w:line="360" w:lineRule="auto"/>
              <w:jc w:val="center"/>
              <w:rPr>
                <w:sz w:val="14"/>
                <w:szCs w:val="14"/>
              </w:rPr>
            </w:pPr>
            <w:r>
              <w:rPr>
                <w:sz w:val="14"/>
              </w:rPr>
              <w:t>GLYCI_MAX</w:t>
            </w:r>
          </w:p>
          <w:p w:rsidR="00276699" w:rsidRPr="001B600C" w:rsidRDefault="00042F26" w:rsidP="00042F26">
            <w:pPr>
              <w:keepNext/>
              <w:jc w:val="center"/>
              <w:rPr>
                <w:sz w:val="14"/>
                <w:szCs w:val="14"/>
              </w:rPr>
            </w:pPr>
            <w:r>
              <w:rPr>
                <w:sz w:val="16"/>
              </w:rPr>
              <w:br/>
            </w:r>
            <w:r w:rsidR="00276699">
              <w:rPr>
                <w:sz w:val="16"/>
              </w:rPr>
              <w:t>Soja</w:t>
            </w:r>
          </w:p>
        </w:tc>
        <w:tc>
          <w:tcPr>
            <w:tcW w:w="1078" w:type="dxa"/>
            <w:tcBorders>
              <w:bottom w:val="single" w:sz="4" w:space="0" w:color="auto"/>
            </w:tcBorders>
            <w:noWrap/>
            <w:hideMark/>
          </w:tcPr>
          <w:p w:rsidR="00276699" w:rsidRPr="001B600C" w:rsidRDefault="00276699" w:rsidP="00042F26">
            <w:pPr>
              <w:keepNext/>
              <w:spacing w:line="360" w:lineRule="auto"/>
              <w:jc w:val="center"/>
              <w:rPr>
                <w:sz w:val="14"/>
                <w:szCs w:val="14"/>
              </w:rPr>
            </w:pPr>
            <w:r>
              <w:rPr>
                <w:sz w:val="14"/>
              </w:rPr>
              <w:t>LACTU_SAT</w:t>
            </w:r>
          </w:p>
          <w:p w:rsidR="00276699" w:rsidRPr="001B600C" w:rsidRDefault="00042F26" w:rsidP="00042F26">
            <w:pPr>
              <w:keepNext/>
              <w:jc w:val="center"/>
              <w:rPr>
                <w:sz w:val="14"/>
                <w:szCs w:val="14"/>
              </w:rPr>
            </w:pPr>
            <w:r>
              <w:rPr>
                <w:sz w:val="16"/>
              </w:rPr>
              <w:br/>
            </w:r>
            <w:r w:rsidR="00276699">
              <w:rPr>
                <w:sz w:val="16"/>
              </w:rPr>
              <w:t>Lechuga</w:t>
            </w:r>
          </w:p>
        </w:tc>
        <w:tc>
          <w:tcPr>
            <w:tcW w:w="1506" w:type="dxa"/>
            <w:tcBorders>
              <w:bottom w:val="single" w:sz="4" w:space="0" w:color="auto"/>
            </w:tcBorders>
            <w:noWrap/>
            <w:hideMark/>
          </w:tcPr>
          <w:p w:rsidR="00276699" w:rsidRPr="001B600C" w:rsidRDefault="00276699" w:rsidP="00042F26">
            <w:pPr>
              <w:keepNext/>
              <w:spacing w:line="360" w:lineRule="auto"/>
              <w:jc w:val="center"/>
              <w:rPr>
                <w:sz w:val="14"/>
                <w:szCs w:val="14"/>
              </w:rPr>
            </w:pPr>
            <w:r>
              <w:rPr>
                <w:sz w:val="14"/>
              </w:rPr>
              <w:t>MALUS_DOM</w:t>
            </w:r>
          </w:p>
          <w:p w:rsidR="00276699" w:rsidRPr="001B600C" w:rsidRDefault="00276699" w:rsidP="00042F26">
            <w:pPr>
              <w:keepNext/>
              <w:jc w:val="center"/>
              <w:rPr>
                <w:sz w:val="14"/>
                <w:szCs w:val="14"/>
              </w:rPr>
            </w:pPr>
            <w:r>
              <w:rPr>
                <w:sz w:val="16"/>
              </w:rPr>
              <w:t>Variedades frutales de manzano</w:t>
            </w:r>
          </w:p>
        </w:tc>
        <w:tc>
          <w:tcPr>
            <w:tcW w:w="985" w:type="dxa"/>
            <w:tcBorders>
              <w:bottom w:val="single" w:sz="4" w:space="0" w:color="auto"/>
            </w:tcBorders>
            <w:noWrap/>
            <w:hideMark/>
          </w:tcPr>
          <w:p w:rsidR="00276699" w:rsidRPr="001B600C" w:rsidRDefault="00276699" w:rsidP="00042F26">
            <w:pPr>
              <w:keepNext/>
              <w:spacing w:line="360" w:lineRule="auto"/>
              <w:jc w:val="center"/>
              <w:rPr>
                <w:sz w:val="14"/>
                <w:szCs w:val="14"/>
              </w:rPr>
            </w:pPr>
            <w:r>
              <w:rPr>
                <w:sz w:val="14"/>
              </w:rPr>
              <w:t>ROSAA</w:t>
            </w:r>
          </w:p>
          <w:p w:rsidR="00276699" w:rsidRPr="001B600C" w:rsidRDefault="00042F26" w:rsidP="00042F26">
            <w:pPr>
              <w:keepNext/>
              <w:jc w:val="center"/>
              <w:rPr>
                <w:sz w:val="14"/>
                <w:szCs w:val="14"/>
              </w:rPr>
            </w:pPr>
            <w:r>
              <w:rPr>
                <w:sz w:val="16"/>
              </w:rPr>
              <w:br/>
            </w:r>
            <w:r w:rsidR="00276699">
              <w:rPr>
                <w:sz w:val="16"/>
              </w:rPr>
              <w:t>Rosal</w:t>
            </w:r>
          </w:p>
        </w:tc>
        <w:tc>
          <w:tcPr>
            <w:tcW w:w="1283" w:type="dxa"/>
            <w:tcBorders>
              <w:bottom w:val="single" w:sz="4" w:space="0" w:color="auto"/>
            </w:tcBorders>
            <w:noWrap/>
            <w:hideMark/>
          </w:tcPr>
          <w:p w:rsidR="00276699" w:rsidRPr="001B600C" w:rsidRDefault="00276699" w:rsidP="00042F26">
            <w:pPr>
              <w:keepNext/>
              <w:spacing w:line="360" w:lineRule="auto"/>
              <w:jc w:val="center"/>
              <w:rPr>
                <w:sz w:val="14"/>
                <w:szCs w:val="14"/>
              </w:rPr>
            </w:pPr>
            <w:r>
              <w:rPr>
                <w:sz w:val="14"/>
              </w:rPr>
              <w:t>SOLAN_TUB</w:t>
            </w:r>
          </w:p>
          <w:p w:rsidR="00276699" w:rsidRPr="001B600C" w:rsidRDefault="00042F26" w:rsidP="00042F26">
            <w:pPr>
              <w:keepNext/>
              <w:jc w:val="center"/>
              <w:rPr>
                <w:sz w:val="14"/>
                <w:szCs w:val="14"/>
              </w:rPr>
            </w:pPr>
            <w:r>
              <w:rPr>
                <w:sz w:val="16"/>
              </w:rPr>
              <w:br/>
            </w:r>
            <w:r w:rsidR="00276699">
              <w:rPr>
                <w:sz w:val="16"/>
              </w:rPr>
              <w:t>Papa o patata</w:t>
            </w:r>
          </w:p>
        </w:tc>
        <w:tc>
          <w:tcPr>
            <w:tcW w:w="1418" w:type="dxa"/>
            <w:tcBorders>
              <w:bottom w:val="single" w:sz="4" w:space="0" w:color="auto"/>
            </w:tcBorders>
            <w:vAlign w:val="bottom"/>
          </w:tcPr>
          <w:p w:rsidR="00276699" w:rsidRPr="001B600C" w:rsidRDefault="00276699" w:rsidP="00042F26">
            <w:pPr>
              <w:keepNext/>
              <w:jc w:val="left"/>
              <w:rPr>
                <w:bCs/>
                <w:sz w:val="16"/>
              </w:rPr>
            </w:pPr>
            <w:r>
              <w:rPr>
                <w:sz w:val="16"/>
              </w:rPr>
              <w:t xml:space="preserve">Idiomas aceptados para </w:t>
            </w:r>
            <w:r w:rsidR="00042F26">
              <w:rPr>
                <w:sz w:val="16"/>
              </w:rPr>
              <w:br/>
            </w:r>
            <w:r>
              <w:rPr>
                <w:sz w:val="16"/>
              </w:rPr>
              <w:t>la presentación</w:t>
            </w:r>
          </w:p>
        </w:tc>
      </w:tr>
      <w:tr w:rsidR="00872E86" w:rsidRPr="00872E86" w:rsidTr="00042F26">
        <w:trPr>
          <w:cantSplit/>
          <w:jc w:val="center"/>
        </w:trPr>
        <w:tc>
          <w:tcPr>
            <w:tcW w:w="2613" w:type="dxa"/>
            <w:gridSpan w:val="2"/>
            <w:tcBorders>
              <w:left w:val="nil"/>
              <w:right w:val="nil"/>
            </w:tcBorders>
            <w:vAlign w:val="center"/>
          </w:tcPr>
          <w:p w:rsidR="00872E86" w:rsidRPr="00872E86" w:rsidRDefault="00872E86" w:rsidP="00D432EC">
            <w:pPr>
              <w:keepNext/>
              <w:jc w:val="left"/>
              <w:rPr>
                <w:sz w:val="2"/>
              </w:rPr>
            </w:pPr>
          </w:p>
        </w:tc>
        <w:tc>
          <w:tcPr>
            <w:tcW w:w="1032" w:type="dxa"/>
            <w:tcBorders>
              <w:left w:val="nil"/>
              <w:right w:val="nil"/>
            </w:tcBorders>
            <w:noWrap/>
            <w:vAlign w:val="center"/>
          </w:tcPr>
          <w:p w:rsidR="00872E86" w:rsidRPr="00872E86" w:rsidRDefault="00872E86" w:rsidP="00D432EC">
            <w:pPr>
              <w:keepNext/>
              <w:spacing w:line="360" w:lineRule="auto"/>
              <w:jc w:val="center"/>
              <w:rPr>
                <w:sz w:val="2"/>
                <w:szCs w:val="14"/>
              </w:rPr>
            </w:pPr>
          </w:p>
        </w:tc>
        <w:tc>
          <w:tcPr>
            <w:tcW w:w="1078" w:type="dxa"/>
            <w:tcBorders>
              <w:left w:val="nil"/>
              <w:right w:val="nil"/>
            </w:tcBorders>
            <w:noWrap/>
            <w:vAlign w:val="center"/>
          </w:tcPr>
          <w:p w:rsidR="00872E86" w:rsidRPr="00872E86" w:rsidRDefault="00872E86" w:rsidP="00D432EC">
            <w:pPr>
              <w:keepNext/>
              <w:spacing w:line="360" w:lineRule="auto"/>
              <w:jc w:val="center"/>
              <w:rPr>
                <w:sz w:val="2"/>
                <w:szCs w:val="14"/>
              </w:rPr>
            </w:pPr>
          </w:p>
        </w:tc>
        <w:tc>
          <w:tcPr>
            <w:tcW w:w="1506" w:type="dxa"/>
            <w:tcBorders>
              <w:left w:val="nil"/>
              <w:right w:val="nil"/>
            </w:tcBorders>
            <w:noWrap/>
            <w:vAlign w:val="center"/>
          </w:tcPr>
          <w:p w:rsidR="00872E86" w:rsidRPr="00872E86" w:rsidRDefault="00872E86" w:rsidP="00D432EC">
            <w:pPr>
              <w:keepNext/>
              <w:spacing w:line="360" w:lineRule="auto"/>
              <w:jc w:val="center"/>
              <w:rPr>
                <w:sz w:val="2"/>
                <w:szCs w:val="14"/>
              </w:rPr>
            </w:pPr>
          </w:p>
        </w:tc>
        <w:tc>
          <w:tcPr>
            <w:tcW w:w="985" w:type="dxa"/>
            <w:tcBorders>
              <w:left w:val="nil"/>
              <w:right w:val="nil"/>
            </w:tcBorders>
            <w:noWrap/>
            <w:vAlign w:val="center"/>
          </w:tcPr>
          <w:p w:rsidR="00872E86" w:rsidRPr="00872E86" w:rsidRDefault="00872E86" w:rsidP="00D432EC">
            <w:pPr>
              <w:keepNext/>
              <w:spacing w:line="360" w:lineRule="auto"/>
              <w:jc w:val="center"/>
              <w:rPr>
                <w:sz w:val="2"/>
                <w:szCs w:val="14"/>
              </w:rPr>
            </w:pPr>
          </w:p>
        </w:tc>
        <w:tc>
          <w:tcPr>
            <w:tcW w:w="1283" w:type="dxa"/>
            <w:tcBorders>
              <w:left w:val="nil"/>
              <w:right w:val="nil"/>
            </w:tcBorders>
            <w:noWrap/>
            <w:vAlign w:val="center"/>
          </w:tcPr>
          <w:p w:rsidR="00872E86" w:rsidRPr="00872E86" w:rsidRDefault="00872E86" w:rsidP="00D432EC">
            <w:pPr>
              <w:keepNext/>
              <w:spacing w:line="360" w:lineRule="auto"/>
              <w:jc w:val="center"/>
              <w:rPr>
                <w:sz w:val="2"/>
                <w:szCs w:val="14"/>
              </w:rPr>
            </w:pPr>
          </w:p>
        </w:tc>
        <w:tc>
          <w:tcPr>
            <w:tcW w:w="1418" w:type="dxa"/>
            <w:tcBorders>
              <w:left w:val="nil"/>
              <w:right w:val="nil"/>
            </w:tcBorders>
            <w:vAlign w:val="center"/>
          </w:tcPr>
          <w:p w:rsidR="00872E86" w:rsidRPr="00872E86" w:rsidRDefault="00872E86" w:rsidP="00D432EC">
            <w:pPr>
              <w:keepNext/>
              <w:jc w:val="left"/>
              <w:rPr>
                <w:sz w:val="2"/>
              </w:rPr>
            </w:pPr>
          </w:p>
        </w:tc>
      </w:tr>
      <w:tr w:rsidR="00F41FEB" w:rsidRPr="001B600C" w:rsidTr="00042F26">
        <w:trPr>
          <w:cantSplit/>
          <w:jc w:val="center"/>
        </w:trPr>
        <w:tc>
          <w:tcPr>
            <w:tcW w:w="2105" w:type="dxa"/>
            <w:vAlign w:val="center"/>
          </w:tcPr>
          <w:p w:rsidR="00F41FEB" w:rsidRPr="001B600C" w:rsidRDefault="00F41FEB" w:rsidP="00D432EC">
            <w:pPr>
              <w:keepNext/>
              <w:jc w:val="left"/>
              <w:rPr>
                <w:sz w:val="16"/>
              </w:rPr>
            </w:pPr>
            <w:r>
              <w:rPr>
                <w:sz w:val="16"/>
              </w:rPr>
              <w:t>China</w:t>
            </w:r>
          </w:p>
        </w:tc>
        <w:tc>
          <w:tcPr>
            <w:tcW w:w="508" w:type="dxa"/>
            <w:noWrap/>
            <w:vAlign w:val="center"/>
          </w:tcPr>
          <w:p w:rsidR="00F41FEB" w:rsidRPr="001B600C" w:rsidRDefault="00F41FEB" w:rsidP="00042F26">
            <w:pPr>
              <w:keepNext/>
              <w:jc w:val="center"/>
              <w:rPr>
                <w:sz w:val="16"/>
              </w:rPr>
            </w:pPr>
            <w:r>
              <w:rPr>
                <w:sz w:val="16"/>
              </w:rPr>
              <w:t>CN</w:t>
            </w:r>
          </w:p>
        </w:tc>
        <w:tc>
          <w:tcPr>
            <w:tcW w:w="1032" w:type="dxa"/>
            <w:noWrap/>
            <w:vAlign w:val="center"/>
            <w:hideMark/>
          </w:tcPr>
          <w:p w:rsidR="00F41FEB" w:rsidRPr="001B600C" w:rsidRDefault="00F41FEB" w:rsidP="00D432EC">
            <w:pPr>
              <w:keepNext/>
              <w:jc w:val="center"/>
              <w:rPr>
                <w:sz w:val="16"/>
              </w:rPr>
            </w:pPr>
          </w:p>
        </w:tc>
        <w:tc>
          <w:tcPr>
            <w:tcW w:w="1078" w:type="dxa"/>
            <w:noWrap/>
            <w:vAlign w:val="center"/>
            <w:hideMark/>
          </w:tcPr>
          <w:p w:rsidR="00F41FEB" w:rsidRPr="001B600C" w:rsidRDefault="00F41FEB" w:rsidP="00D432EC">
            <w:pPr>
              <w:keepNext/>
              <w:jc w:val="center"/>
              <w:rPr>
                <w:color w:val="000000"/>
                <w:spacing w:val="-2"/>
                <w:sz w:val="16"/>
              </w:rPr>
            </w:pPr>
            <w:r w:rsidRPr="001B600C">
              <w:rPr>
                <w:sz w:val="16"/>
              </w:rPr>
              <w:sym w:font="Wingdings 2" w:char="F050"/>
            </w:r>
          </w:p>
        </w:tc>
        <w:tc>
          <w:tcPr>
            <w:tcW w:w="1506" w:type="dxa"/>
            <w:noWrap/>
            <w:vAlign w:val="center"/>
            <w:hideMark/>
          </w:tcPr>
          <w:p w:rsidR="00F41FEB" w:rsidRPr="001B600C" w:rsidRDefault="00F41FEB" w:rsidP="00D432EC">
            <w:pPr>
              <w:keepNext/>
              <w:jc w:val="center"/>
              <w:rPr>
                <w:sz w:val="16"/>
              </w:rPr>
            </w:pPr>
          </w:p>
        </w:tc>
        <w:tc>
          <w:tcPr>
            <w:tcW w:w="985" w:type="dxa"/>
            <w:noWrap/>
            <w:vAlign w:val="center"/>
            <w:hideMark/>
          </w:tcPr>
          <w:p w:rsidR="00F41FEB" w:rsidRPr="001B600C" w:rsidRDefault="00F41FEB" w:rsidP="00D432EC">
            <w:pPr>
              <w:keepNext/>
              <w:jc w:val="center"/>
              <w:rPr>
                <w:color w:val="000000"/>
                <w:spacing w:val="-2"/>
                <w:sz w:val="16"/>
              </w:rPr>
            </w:pPr>
            <w:r w:rsidRPr="001B600C">
              <w:rPr>
                <w:sz w:val="16"/>
              </w:rPr>
              <w:sym w:font="Wingdings 2" w:char="F050"/>
            </w:r>
          </w:p>
        </w:tc>
        <w:tc>
          <w:tcPr>
            <w:tcW w:w="1283" w:type="dxa"/>
            <w:noWrap/>
            <w:vAlign w:val="center"/>
            <w:hideMark/>
          </w:tcPr>
          <w:p w:rsidR="00F41FEB" w:rsidRPr="001B600C" w:rsidRDefault="00F41FEB" w:rsidP="00D432EC">
            <w:pPr>
              <w:keepNext/>
              <w:jc w:val="center"/>
              <w:rPr>
                <w:sz w:val="16"/>
              </w:rPr>
            </w:pPr>
          </w:p>
        </w:tc>
        <w:tc>
          <w:tcPr>
            <w:tcW w:w="1418" w:type="dxa"/>
            <w:vAlign w:val="center"/>
          </w:tcPr>
          <w:p w:rsidR="00F41FEB" w:rsidRPr="001B600C" w:rsidRDefault="00F41FEB" w:rsidP="00D432EC">
            <w:pPr>
              <w:keepNext/>
              <w:rPr>
                <w:sz w:val="16"/>
              </w:rPr>
            </w:pPr>
            <w:r>
              <w:rPr>
                <w:sz w:val="16"/>
              </w:rPr>
              <w:t>chino</w:t>
            </w:r>
          </w:p>
        </w:tc>
      </w:tr>
      <w:tr w:rsidR="00F41FEB" w:rsidRPr="001B600C" w:rsidTr="00042F26">
        <w:trPr>
          <w:cantSplit/>
          <w:jc w:val="center"/>
        </w:trPr>
        <w:tc>
          <w:tcPr>
            <w:tcW w:w="2105" w:type="dxa"/>
            <w:vAlign w:val="center"/>
          </w:tcPr>
          <w:p w:rsidR="00F41FEB" w:rsidRPr="001B600C" w:rsidRDefault="00F41FEB" w:rsidP="00D432EC">
            <w:pPr>
              <w:keepNext/>
              <w:jc w:val="left"/>
              <w:rPr>
                <w:sz w:val="16"/>
              </w:rPr>
            </w:pPr>
            <w:r>
              <w:rPr>
                <w:sz w:val="16"/>
              </w:rPr>
              <w:t>Colombia</w:t>
            </w:r>
          </w:p>
        </w:tc>
        <w:tc>
          <w:tcPr>
            <w:tcW w:w="508" w:type="dxa"/>
            <w:noWrap/>
            <w:vAlign w:val="center"/>
          </w:tcPr>
          <w:p w:rsidR="00F41FEB" w:rsidRPr="001B600C" w:rsidRDefault="00F41FEB" w:rsidP="00042F26">
            <w:pPr>
              <w:keepNext/>
              <w:jc w:val="center"/>
              <w:rPr>
                <w:sz w:val="16"/>
              </w:rPr>
            </w:pPr>
            <w:r>
              <w:rPr>
                <w:sz w:val="16"/>
              </w:rPr>
              <w:t>CO</w:t>
            </w:r>
          </w:p>
        </w:tc>
        <w:tc>
          <w:tcPr>
            <w:tcW w:w="1032" w:type="dxa"/>
            <w:noWrap/>
            <w:vAlign w:val="center"/>
          </w:tcPr>
          <w:p w:rsidR="00F41FEB" w:rsidRPr="001B600C" w:rsidRDefault="00F41FEB" w:rsidP="00D432EC">
            <w:pPr>
              <w:keepNext/>
              <w:jc w:val="center"/>
              <w:rPr>
                <w:sz w:val="16"/>
              </w:rPr>
            </w:pPr>
          </w:p>
        </w:tc>
        <w:tc>
          <w:tcPr>
            <w:tcW w:w="1078" w:type="dxa"/>
            <w:noWrap/>
            <w:vAlign w:val="center"/>
          </w:tcPr>
          <w:p w:rsidR="00F41FEB" w:rsidRPr="001B600C" w:rsidRDefault="00F41FEB" w:rsidP="00D432EC">
            <w:pPr>
              <w:keepNext/>
              <w:jc w:val="center"/>
              <w:rPr>
                <w:sz w:val="16"/>
              </w:rPr>
            </w:pPr>
          </w:p>
        </w:tc>
        <w:tc>
          <w:tcPr>
            <w:tcW w:w="1506" w:type="dxa"/>
            <w:noWrap/>
            <w:vAlign w:val="center"/>
          </w:tcPr>
          <w:p w:rsidR="00F41FEB" w:rsidRPr="001B600C" w:rsidRDefault="00F41FEB" w:rsidP="00D432EC">
            <w:pPr>
              <w:keepNext/>
              <w:jc w:val="center"/>
              <w:rPr>
                <w:sz w:val="16"/>
              </w:rPr>
            </w:pPr>
          </w:p>
        </w:tc>
        <w:tc>
          <w:tcPr>
            <w:tcW w:w="985" w:type="dxa"/>
            <w:noWrap/>
            <w:vAlign w:val="center"/>
          </w:tcPr>
          <w:p w:rsidR="00F41FEB" w:rsidRPr="001B600C" w:rsidRDefault="00F41FEB" w:rsidP="00D432EC">
            <w:pPr>
              <w:keepNext/>
              <w:jc w:val="center"/>
              <w:rPr>
                <w:color w:val="000000"/>
                <w:spacing w:val="-2"/>
                <w:sz w:val="16"/>
              </w:rPr>
            </w:pPr>
            <w:r w:rsidRPr="001B600C">
              <w:rPr>
                <w:sz w:val="16"/>
              </w:rPr>
              <w:sym w:font="Wingdings 2" w:char="F050"/>
            </w:r>
          </w:p>
        </w:tc>
        <w:tc>
          <w:tcPr>
            <w:tcW w:w="1283" w:type="dxa"/>
            <w:noWrap/>
            <w:vAlign w:val="center"/>
          </w:tcPr>
          <w:p w:rsidR="00F41FEB" w:rsidRPr="001B600C" w:rsidRDefault="00F41FEB" w:rsidP="00D432EC">
            <w:pPr>
              <w:keepNext/>
              <w:jc w:val="center"/>
              <w:rPr>
                <w:sz w:val="16"/>
              </w:rPr>
            </w:pPr>
          </w:p>
        </w:tc>
        <w:tc>
          <w:tcPr>
            <w:tcW w:w="1418" w:type="dxa"/>
            <w:vAlign w:val="center"/>
          </w:tcPr>
          <w:p w:rsidR="00F41FEB" w:rsidRPr="001B600C" w:rsidRDefault="00F41FEB" w:rsidP="00D432EC">
            <w:pPr>
              <w:keepNext/>
              <w:rPr>
                <w:sz w:val="16"/>
              </w:rPr>
            </w:pPr>
            <w:r>
              <w:rPr>
                <w:sz w:val="16"/>
              </w:rPr>
              <w:t>español</w:t>
            </w:r>
          </w:p>
        </w:tc>
      </w:tr>
      <w:tr w:rsidR="00F41FEB" w:rsidRPr="001B600C" w:rsidTr="00042F26">
        <w:trPr>
          <w:cantSplit/>
          <w:jc w:val="center"/>
        </w:trPr>
        <w:tc>
          <w:tcPr>
            <w:tcW w:w="2105" w:type="dxa"/>
            <w:vAlign w:val="center"/>
          </w:tcPr>
          <w:p w:rsidR="00F41FEB" w:rsidRPr="001B600C" w:rsidRDefault="00F41FEB" w:rsidP="00D432EC">
            <w:pPr>
              <w:keepNext/>
              <w:jc w:val="left"/>
              <w:rPr>
                <w:sz w:val="16"/>
              </w:rPr>
            </w:pPr>
            <w:r>
              <w:rPr>
                <w:sz w:val="16"/>
              </w:rPr>
              <w:t>Estados Unidos de América</w:t>
            </w:r>
          </w:p>
        </w:tc>
        <w:tc>
          <w:tcPr>
            <w:tcW w:w="508" w:type="dxa"/>
            <w:noWrap/>
            <w:vAlign w:val="center"/>
          </w:tcPr>
          <w:p w:rsidR="00F41FEB" w:rsidRPr="001B600C" w:rsidRDefault="00F41FEB" w:rsidP="00042F26">
            <w:pPr>
              <w:keepNext/>
              <w:jc w:val="center"/>
              <w:rPr>
                <w:sz w:val="16"/>
              </w:rPr>
            </w:pPr>
            <w:r>
              <w:rPr>
                <w:sz w:val="16"/>
              </w:rPr>
              <w:t>US</w:t>
            </w:r>
          </w:p>
        </w:tc>
        <w:tc>
          <w:tcPr>
            <w:tcW w:w="1032" w:type="dxa"/>
            <w:noWrap/>
            <w:vAlign w:val="center"/>
          </w:tcPr>
          <w:p w:rsidR="00F41FEB" w:rsidRPr="001B600C" w:rsidRDefault="00F41FEB" w:rsidP="00D432EC">
            <w:pPr>
              <w:keepNext/>
              <w:jc w:val="center"/>
              <w:rPr>
                <w:sz w:val="16"/>
              </w:rPr>
            </w:pPr>
            <w:r w:rsidRPr="001B600C">
              <w:rPr>
                <w:sz w:val="16"/>
              </w:rPr>
              <w:sym w:font="Wingdings 2" w:char="F050"/>
            </w:r>
            <w:r>
              <w:rPr>
                <w:sz w:val="16"/>
              </w:rPr>
              <w:t>*</w:t>
            </w:r>
          </w:p>
        </w:tc>
        <w:tc>
          <w:tcPr>
            <w:tcW w:w="1078" w:type="dxa"/>
            <w:noWrap/>
            <w:vAlign w:val="center"/>
          </w:tcPr>
          <w:p w:rsidR="00F41FEB" w:rsidRPr="001B600C" w:rsidRDefault="00F41FEB" w:rsidP="00D432EC">
            <w:pPr>
              <w:keepNext/>
              <w:jc w:val="center"/>
              <w:rPr>
                <w:sz w:val="16"/>
              </w:rPr>
            </w:pPr>
            <w:r w:rsidRPr="001B600C">
              <w:rPr>
                <w:sz w:val="16"/>
              </w:rPr>
              <w:sym w:font="Wingdings 2" w:char="F050"/>
            </w:r>
            <w:r>
              <w:rPr>
                <w:sz w:val="16"/>
              </w:rPr>
              <w:t>*</w:t>
            </w:r>
          </w:p>
        </w:tc>
        <w:tc>
          <w:tcPr>
            <w:tcW w:w="1506" w:type="dxa"/>
            <w:noWrap/>
            <w:vAlign w:val="center"/>
          </w:tcPr>
          <w:p w:rsidR="00F41FEB" w:rsidRPr="001B600C" w:rsidRDefault="00F41FEB" w:rsidP="00D432EC">
            <w:pPr>
              <w:keepNext/>
              <w:jc w:val="center"/>
              <w:rPr>
                <w:sz w:val="16"/>
              </w:rPr>
            </w:pPr>
          </w:p>
        </w:tc>
        <w:tc>
          <w:tcPr>
            <w:tcW w:w="985" w:type="dxa"/>
            <w:noWrap/>
            <w:vAlign w:val="center"/>
          </w:tcPr>
          <w:p w:rsidR="00F41FEB" w:rsidRPr="001B600C" w:rsidRDefault="00F41FEB" w:rsidP="00D432EC">
            <w:pPr>
              <w:keepNext/>
              <w:jc w:val="center"/>
              <w:rPr>
                <w:sz w:val="16"/>
              </w:rPr>
            </w:pPr>
          </w:p>
        </w:tc>
        <w:tc>
          <w:tcPr>
            <w:tcW w:w="1283" w:type="dxa"/>
            <w:noWrap/>
            <w:vAlign w:val="center"/>
          </w:tcPr>
          <w:p w:rsidR="00F41FEB" w:rsidRPr="001B600C" w:rsidRDefault="00F41FEB" w:rsidP="00D432EC">
            <w:pPr>
              <w:keepNext/>
              <w:jc w:val="center"/>
              <w:rPr>
                <w:sz w:val="16"/>
              </w:rPr>
            </w:pPr>
            <w:r w:rsidRPr="001B600C">
              <w:rPr>
                <w:sz w:val="16"/>
              </w:rPr>
              <w:sym w:font="Wingdings 2" w:char="F050"/>
            </w:r>
          </w:p>
        </w:tc>
        <w:tc>
          <w:tcPr>
            <w:tcW w:w="1418" w:type="dxa"/>
            <w:vAlign w:val="center"/>
          </w:tcPr>
          <w:p w:rsidR="00F41FEB" w:rsidRPr="001B600C" w:rsidRDefault="00F41FEB" w:rsidP="00D432EC">
            <w:pPr>
              <w:keepNext/>
              <w:rPr>
                <w:sz w:val="16"/>
              </w:rPr>
            </w:pPr>
            <w:r>
              <w:rPr>
                <w:sz w:val="16"/>
              </w:rPr>
              <w:t>inglés</w:t>
            </w:r>
          </w:p>
        </w:tc>
      </w:tr>
      <w:tr w:rsidR="00F41FEB" w:rsidRPr="001B600C" w:rsidTr="00042F26">
        <w:trPr>
          <w:cantSplit/>
          <w:jc w:val="center"/>
        </w:trPr>
        <w:tc>
          <w:tcPr>
            <w:tcW w:w="2105" w:type="dxa"/>
            <w:vAlign w:val="center"/>
          </w:tcPr>
          <w:p w:rsidR="00F41FEB" w:rsidRPr="001B600C" w:rsidRDefault="00F41FEB" w:rsidP="00D432EC">
            <w:pPr>
              <w:keepNext/>
              <w:jc w:val="left"/>
              <w:rPr>
                <w:sz w:val="16"/>
              </w:rPr>
            </w:pPr>
            <w:r>
              <w:rPr>
                <w:sz w:val="16"/>
              </w:rPr>
              <w:t>Paraguay</w:t>
            </w:r>
          </w:p>
        </w:tc>
        <w:tc>
          <w:tcPr>
            <w:tcW w:w="508" w:type="dxa"/>
            <w:noWrap/>
            <w:vAlign w:val="center"/>
          </w:tcPr>
          <w:p w:rsidR="00F41FEB" w:rsidRPr="001B600C" w:rsidRDefault="00F41FEB" w:rsidP="00042F26">
            <w:pPr>
              <w:keepNext/>
              <w:jc w:val="center"/>
              <w:rPr>
                <w:sz w:val="16"/>
              </w:rPr>
            </w:pPr>
            <w:r>
              <w:rPr>
                <w:sz w:val="16"/>
              </w:rPr>
              <w:t>PY</w:t>
            </w:r>
          </w:p>
        </w:tc>
        <w:tc>
          <w:tcPr>
            <w:tcW w:w="1032" w:type="dxa"/>
            <w:noWrap/>
            <w:vAlign w:val="center"/>
          </w:tcPr>
          <w:p w:rsidR="00F41FEB" w:rsidRPr="001B600C" w:rsidRDefault="00F41FEB" w:rsidP="00D432EC">
            <w:pPr>
              <w:keepNext/>
              <w:jc w:val="center"/>
              <w:rPr>
                <w:color w:val="000000"/>
                <w:spacing w:val="-2"/>
                <w:sz w:val="16"/>
              </w:rPr>
            </w:pPr>
            <w:r w:rsidRPr="001B600C">
              <w:rPr>
                <w:sz w:val="16"/>
              </w:rPr>
              <w:sym w:font="Wingdings 2" w:char="F050"/>
            </w:r>
          </w:p>
        </w:tc>
        <w:tc>
          <w:tcPr>
            <w:tcW w:w="1078" w:type="dxa"/>
            <w:noWrap/>
            <w:vAlign w:val="center"/>
          </w:tcPr>
          <w:p w:rsidR="00F41FEB" w:rsidRPr="001B600C" w:rsidRDefault="00F41FEB" w:rsidP="00D432EC">
            <w:pPr>
              <w:keepNext/>
              <w:jc w:val="center"/>
              <w:rPr>
                <w:sz w:val="16"/>
              </w:rPr>
            </w:pPr>
          </w:p>
        </w:tc>
        <w:tc>
          <w:tcPr>
            <w:tcW w:w="1506" w:type="dxa"/>
            <w:noWrap/>
            <w:vAlign w:val="center"/>
          </w:tcPr>
          <w:p w:rsidR="00F41FEB" w:rsidRPr="001B600C" w:rsidRDefault="00F41FEB" w:rsidP="00D432EC">
            <w:pPr>
              <w:keepNext/>
              <w:jc w:val="center"/>
              <w:rPr>
                <w:sz w:val="16"/>
              </w:rPr>
            </w:pPr>
          </w:p>
        </w:tc>
        <w:tc>
          <w:tcPr>
            <w:tcW w:w="985" w:type="dxa"/>
            <w:noWrap/>
            <w:vAlign w:val="center"/>
          </w:tcPr>
          <w:p w:rsidR="00F41FEB" w:rsidRPr="001B600C" w:rsidRDefault="00F41FEB" w:rsidP="00D432EC">
            <w:pPr>
              <w:keepNext/>
              <w:jc w:val="center"/>
              <w:rPr>
                <w:sz w:val="16"/>
              </w:rPr>
            </w:pPr>
          </w:p>
        </w:tc>
        <w:tc>
          <w:tcPr>
            <w:tcW w:w="1283" w:type="dxa"/>
            <w:noWrap/>
            <w:vAlign w:val="center"/>
          </w:tcPr>
          <w:p w:rsidR="00F41FEB" w:rsidRPr="001B600C" w:rsidRDefault="00F41FEB" w:rsidP="00D432EC">
            <w:pPr>
              <w:keepNext/>
              <w:jc w:val="center"/>
              <w:rPr>
                <w:sz w:val="16"/>
              </w:rPr>
            </w:pPr>
          </w:p>
        </w:tc>
        <w:tc>
          <w:tcPr>
            <w:tcW w:w="1418" w:type="dxa"/>
            <w:vAlign w:val="center"/>
          </w:tcPr>
          <w:p w:rsidR="00F41FEB" w:rsidRPr="001B600C" w:rsidRDefault="00F41FEB" w:rsidP="00D432EC">
            <w:pPr>
              <w:keepNext/>
              <w:rPr>
                <w:sz w:val="16"/>
              </w:rPr>
            </w:pPr>
            <w:r>
              <w:rPr>
                <w:sz w:val="16"/>
              </w:rPr>
              <w:t>español</w:t>
            </w:r>
          </w:p>
        </w:tc>
      </w:tr>
      <w:tr w:rsidR="00F41FEB" w:rsidRPr="001B600C" w:rsidTr="00042F26">
        <w:trPr>
          <w:cantSplit/>
          <w:jc w:val="center"/>
        </w:trPr>
        <w:tc>
          <w:tcPr>
            <w:tcW w:w="2105" w:type="dxa"/>
            <w:vAlign w:val="center"/>
          </w:tcPr>
          <w:p w:rsidR="00F41FEB" w:rsidRPr="001B600C" w:rsidRDefault="00F41FEB" w:rsidP="00D432EC">
            <w:pPr>
              <w:keepNext/>
              <w:jc w:val="left"/>
              <w:rPr>
                <w:sz w:val="16"/>
              </w:rPr>
            </w:pPr>
            <w:r>
              <w:rPr>
                <w:sz w:val="16"/>
              </w:rPr>
              <w:t>República de Moldova</w:t>
            </w:r>
          </w:p>
        </w:tc>
        <w:tc>
          <w:tcPr>
            <w:tcW w:w="508" w:type="dxa"/>
            <w:noWrap/>
            <w:vAlign w:val="center"/>
          </w:tcPr>
          <w:p w:rsidR="00F41FEB" w:rsidRPr="001B600C" w:rsidRDefault="00F41FEB" w:rsidP="00042F26">
            <w:pPr>
              <w:keepNext/>
              <w:jc w:val="center"/>
              <w:rPr>
                <w:sz w:val="16"/>
              </w:rPr>
            </w:pPr>
            <w:r>
              <w:rPr>
                <w:sz w:val="16"/>
              </w:rPr>
              <w:t>MD</w:t>
            </w:r>
          </w:p>
        </w:tc>
        <w:tc>
          <w:tcPr>
            <w:tcW w:w="1032" w:type="dxa"/>
            <w:noWrap/>
            <w:vAlign w:val="center"/>
            <w:hideMark/>
          </w:tcPr>
          <w:p w:rsidR="00F41FEB" w:rsidRPr="001B600C" w:rsidRDefault="00F41FEB" w:rsidP="00D432EC">
            <w:pPr>
              <w:keepNext/>
              <w:jc w:val="center"/>
              <w:rPr>
                <w:color w:val="000000"/>
                <w:spacing w:val="-2"/>
                <w:sz w:val="16"/>
              </w:rPr>
            </w:pPr>
            <w:r w:rsidRPr="001B600C">
              <w:rPr>
                <w:sz w:val="16"/>
              </w:rPr>
              <w:sym w:font="Wingdings 2" w:char="F050"/>
            </w:r>
          </w:p>
        </w:tc>
        <w:tc>
          <w:tcPr>
            <w:tcW w:w="1078" w:type="dxa"/>
            <w:noWrap/>
            <w:vAlign w:val="center"/>
            <w:hideMark/>
          </w:tcPr>
          <w:p w:rsidR="00F41FEB" w:rsidRPr="001B600C" w:rsidRDefault="00F41FEB" w:rsidP="00D432EC">
            <w:pPr>
              <w:keepNext/>
              <w:jc w:val="center"/>
              <w:rPr>
                <w:color w:val="000000"/>
                <w:spacing w:val="-2"/>
                <w:sz w:val="16"/>
              </w:rPr>
            </w:pPr>
            <w:r w:rsidRPr="001B600C">
              <w:rPr>
                <w:sz w:val="16"/>
              </w:rPr>
              <w:sym w:font="Wingdings 2" w:char="F050"/>
            </w:r>
          </w:p>
        </w:tc>
        <w:tc>
          <w:tcPr>
            <w:tcW w:w="1506" w:type="dxa"/>
            <w:noWrap/>
            <w:vAlign w:val="center"/>
            <w:hideMark/>
          </w:tcPr>
          <w:p w:rsidR="00F41FEB" w:rsidRPr="001B600C" w:rsidRDefault="00F41FEB" w:rsidP="00D432EC">
            <w:pPr>
              <w:keepNext/>
              <w:jc w:val="center"/>
              <w:rPr>
                <w:color w:val="000000"/>
                <w:spacing w:val="-2"/>
                <w:sz w:val="16"/>
              </w:rPr>
            </w:pPr>
            <w:r w:rsidRPr="001B600C">
              <w:rPr>
                <w:sz w:val="16"/>
              </w:rPr>
              <w:sym w:font="Wingdings 2" w:char="F050"/>
            </w:r>
          </w:p>
        </w:tc>
        <w:tc>
          <w:tcPr>
            <w:tcW w:w="985" w:type="dxa"/>
            <w:noWrap/>
            <w:vAlign w:val="center"/>
            <w:hideMark/>
          </w:tcPr>
          <w:p w:rsidR="00F41FEB" w:rsidRPr="001B600C" w:rsidRDefault="00F41FEB" w:rsidP="00D432EC">
            <w:pPr>
              <w:keepNext/>
              <w:jc w:val="center"/>
              <w:rPr>
                <w:color w:val="000000"/>
                <w:spacing w:val="-2"/>
                <w:sz w:val="16"/>
              </w:rPr>
            </w:pPr>
            <w:r w:rsidRPr="001B600C">
              <w:rPr>
                <w:sz w:val="16"/>
              </w:rPr>
              <w:sym w:font="Wingdings 2" w:char="F050"/>
            </w:r>
          </w:p>
        </w:tc>
        <w:tc>
          <w:tcPr>
            <w:tcW w:w="1283" w:type="dxa"/>
            <w:noWrap/>
            <w:vAlign w:val="center"/>
            <w:hideMark/>
          </w:tcPr>
          <w:p w:rsidR="00F41FEB" w:rsidRPr="001B600C" w:rsidRDefault="00F41FEB" w:rsidP="00D432EC">
            <w:pPr>
              <w:keepNext/>
              <w:jc w:val="center"/>
              <w:rPr>
                <w:color w:val="000000"/>
                <w:spacing w:val="-2"/>
                <w:sz w:val="16"/>
              </w:rPr>
            </w:pPr>
            <w:r w:rsidRPr="001B600C">
              <w:rPr>
                <w:sz w:val="16"/>
              </w:rPr>
              <w:sym w:font="Wingdings 2" w:char="F050"/>
            </w:r>
          </w:p>
        </w:tc>
        <w:tc>
          <w:tcPr>
            <w:tcW w:w="1418" w:type="dxa"/>
            <w:vAlign w:val="center"/>
          </w:tcPr>
          <w:p w:rsidR="00F41FEB" w:rsidRPr="001B600C" w:rsidRDefault="00F41FEB" w:rsidP="00D432EC">
            <w:pPr>
              <w:keepNext/>
              <w:rPr>
                <w:sz w:val="16"/>
              </w:rPr>
            </w:pPr>
            <w:r>
              <w:rPr>
                <w:sz w:val="16"/>
              </w:rPr>
              <w:t>rumano</w:t>
            </w:r>
          </w:p>
        </w:tc>
      </w:tr>
      <w:tr w:rsidR="00F41FEB" w:rsidRPr="001B600C" w:rsidTr="00042F26">
        <w:trPr>
          <w:cantSplit/>
          <w:jc w:val="center"/>
        </w:trPr>
        <w:tc>
          <w:tcPr>
            <w:tcW w:w="2105" w:type="dxa"/>
            <w:vAlign w:val="center"/>
          </w:tcPr>
          <w:p w:rsidR="00F41FEB" w:rsidRPr="001B600C" w:rsidRDefault="00F41FEB" w:rsidP="00D432EC">
            <w:pPr>
              <w:keepNext/>
              <w:jc w:val="left"/>
              <w:rPr>
                <w:sz w:val="16"/>
              </w:rPr>
            </w:pPr>
            <w:r>
              <w:rPr>
                <w:sz w:val="16"/>
              </w:rPr>
              <w:t>Turquía</w:t>
            </w:r>
          </w:p>
        </w:tc>
        <w:tc>
          <w:tcPr>
            <w:tcW w:w="508" w:type="dxa"/>
            <w:noWrap/>
            <w:vAlign w:val="center"/>
          </w:tcPr>
          <w:p w:rsidR="00F41FEB" w:rsidRPr="001B600C" w:rsidRDefault="00F41FEB" w:rsidP="00042F26">
            <w:pPr>
              <w:keepNext/>
              <w:jc w:val="center"/>
              <w:rPr>
                <w:sz w:val="16"/>
              </w:rPr>
            </w:pPr>
            <w:r>
              <w:rPr>
                <w:sz w:val="16"/>
              </w:rPr>
              <w:t>TR</w:t>
            </w:r>
          </w:p>
        </w:tc>
        <w:tc>
          <w:tcPr>
            <w:tcW w:w="1032" w:type="dxa"/>
            <w:noWrap/>
            <w:vAlign w:val="center"/>
            <w:hideMark/>
          </w:tcPr>
          <w:p w:rsidR="00F41FEB" w:rsidRPr="001B600C" w:rsidRDefault="00F41FEB" w:rsidP="00D432EC">
            <w:pPr>
              <w:keepNext/>
              <w:jc w:val="center"/>
              <w:rPr>
                <w:color w:val="000000"/>
                <w:spacing w:val="-2"/>
                <w:sz w:val="16"/>
              </w:rPr>
            </w:pPr>
            <w:r w:rsidRPr="001B600C">
              <w:rPr>
                <w:sz w:val="16"/>
              </w:rPr>
              <w:sym w:font="Wingdings 2" w:char="F050"/>
            </w:r>
          </w:p>
        </w:tc>
        <w:tc>
          <w:tcPr>
            <w:tcW w:w="1078" w:type="dxa"/>
            <w:noWrap/>
            <w:vAlign w:val="center"/>
            <w:hideMark/>
          </w:tcPr>
          <w:p w:rsidR="00F41FEB" w:rsidRPr="001B600C" w:rsidRDefault="00F41FEB" w:rsidP="00D432EC">
            <w:pPr>
              <w:keepNext/>
              <w:jc w:val="center"/>
              <w:rPr>
                <w:color w:val="000000"/>
                <w:spacing w:val="-2"/>
                <w:sz w:val="16"/>
              </w:rPr>
            </w:pPr>
            <w:r w:rsidRPr="001B600C">
              <w:rPr>
                <w:sz w:val="16"/>
              </w:rPr>
              <w:sym w:font="Wingdings 2" w:char="F050"/>
            </w:r>
          </w:p>
        </w:tc>
        <w:tc>
          <w:tcPr>
            <w:tcW w:w="1506" w:type="dxa"/>
            <w:noWrap/>
            <w:vAlign w:val="center"/>
            <w:hideMark/>
          </w:tcPr>
          <w:p w:rsidR="00F41FEB" w:rsidRPr="001B600C" w:rsidRDefault="00F41FEB" w:rsidP="00D432EC">
            <w:pPr>
              <w:keepNext/>
              <w:jc w:val="center"/>
              <w:rPr>
                <w:color w:val="000000"/>
                <w:spacing w:val="-2"/>
                <w:sz w:val="16"/>
              </w:rPr>
            </w:pPr>
            <w:r w:rsidRPr="001B600C">
              <w:rPr>
                <w:sz w:val="16"/>
              </w:rPr>
              <w:sym w:font="Wingdings 2" w:char="F050"/>
            </w:r>
          </w:p>
        </w:tc>
        <w:tc>
          <w:tcPr>
            <w:tcW w:w="985" w:type="dxa"/>
            <w:noWrap/>
            <w:vAlign w:val="center"/>
            <w:hideMark/>
          </w:tcPr>
          <w:p w:rsidR="00F41FEB" w:rsidRPr="001B600C" w:rsidRDefault="00F41FEB" w:rsidP="00D432EC">
            <w:pPr>
              <w:keepNext/>
              <w:jc w:val="center"/>
              <w:rPr>
                <w:color w:val="000000"/>
                <w:spacing w:val="-2"/>
                <w:sz w:val="16"/>
              </w:rPr>
            </w:pPr>
            <w:r w:rsidRPr="001B600C">
              <w:rPr>
                <w:sz w:val="16"/>
              </w:rPr>
              <w:sym w:font="Wingdings 2" w:char="F050"/>
            </w:r>
          </w:p>
        </w:tc>
        <w:tc>
          <w:tcPr>
            <w:tcW w:w="1283" w:type="dxa"/>
            <w:noWrap/>
            <w:vAlign w:val="center"/>
            <w:hideMark/>
          </w:tcPr>
          <w:p w:rsidR="00F41FEB" w:rsidRPr="001B600C" w:rsidRDefault="00F41FEB" w:rsidP="00D432EC">
            <w:pPr>
              <w:keepNext/>
              <w:jc w:val="center"/>
              <w:rPr>
                <w:color w:val="000000"/>
                <w:spacing w:val="-2"/>
                <w:sz w:val="16"/>
              </w:rPr>
            </w:pPr>
            <w:r w:rsidRPr="001B600C">
              <w:rPr>
                <w:sz w:val="16"/>
              </w:rPr>
              <w:sym w:font="Wingdings 2" w:char="F050"/>
            </w:r>
          </w:p>
        </w:tc>
        <w:tc>
          <w:tcPr>
            <w:tcW w:w="1418" w:type="dxa"/>
            <w:vAlign w:val="center"/>
          </w:tcPr>
          <w:p w:rsidR="00F41FEB" w:rsidRPr="001B600C" w:rsidRDefault="00F41FEB" w:rsidP="00D432EC">
            <w:pPr>
              <w:keepNext/>
              <w:rPr>
                <w:sz w:val="16"/>
              </w:rPr>
            </w:pPr>
            <w:r>
              <w:rPr>
                <w:sz w:val="16"/>
              </w:rPr>
              <w:t>turco</w:t>
            </w:r>
          </w:p>
        </w:tc>
      </w:tr>
    </w:tbl>
    <w:p w:rsidR="00272B35" w:rsidRPr="001B600C" w:rsidRDefault="00272B35" w:rsidP="00276699">
      <w:pPr>
        <w:ind w:left="567"/>
        <w:rPr>
          <w:i/>
          <w:sz w:val="16"/>
        </w:rPr>
      </w:pPr>
      <w:r>
        <w:rPr>
          <w:i/>
          <w:sz w:val="16"/>
        </w:rPr>
        <w:t>* ya en la versión 1.0 del EAF</w:t>
      </w:r>
    </w:p>
    <w:p w:rsidR="00D432EC" w:rsidRDefault="00D432EC" w:rsidP="00D432EC">
      <w:bookmarkStart w:id="5" w:name="_Toc477541732"/>
    </w:p>
    <w:p w:rsidR="00272B35" w:rsidRPr="001B600C" w:rsidRDefault="00272B35" w:rsidP="00FD02CA">
      <w:pPr>
        <w:pStyle w:val="Heading4"/>
      </w:pPr>
      <w:r>
        <w:t>Idiomas</w:t>
      </w:r>
      <w:bookmarkEnd w:id="5"/>
    </w:p>
    <w:p w:rsidR="005B5BE3" w:rsidRPr="005B5BE3" w:rsidRDefault="005B5BE3" w:rsidP="005B5BE3">
      <w:pPr>
        <w:keepNext/>
        <w:rPr>
          <w:sz w:val="18"/>
        </w:rPr>
      </w:pPr>
    </w:p>
    <w:p w:rsidR="00272B35" w:rsidRPr="001B600C" w:rsidRDefault="00BC26FD" w:rsidP="00FD02CA">
      <w:r w:rsidRPr="001B600C">
        <w:fldChar w:fldCharType="begin"/>
      </w:r>
      <w:r w:rsidR="00272B35" w:rsidRPr="001B600C">
        <w:instrText xml:space="preserve"> AUTONUM  </w:instrText>
      </w:r>
      <w:r w:rsidRPr="001B600C">
        <w:fldChar w:fldCharType="end"/>
      </w:r>
      <w:r w:rsidR="00272B35">
        <w:tab/>
        <w:t>Los participantes tomaron nota de que se estaban llevando a cabo preparativos para introducir el chino (China), el rumano (República de Moldova) y el turco (Turquía) en la versión 1.1, a reserva de que los correspondientes miembros de la Unión facilitaran la información necesaria.</w:t>
      </w:r>
    </w:p>
    <w:p w:rsidR="00272B35" w:rsidRPr="001B600C" w:rsidRDefault="00272B35" w:rsidP="00FD02CA"/>
    <w:p w:rsidR="00272B35" w:rsidRPr="001B600C" w:rsidRDefault="00272B35" w:rsidP="00FD02CA">
      <w:pPr>
        <w:pStyle w:val="Heading4"/>
      </w:pPr>
      <w:r>
        <w:t>Hoja de estilo del formulario de solicitud</w:t>
      </w:r>
    </w:p>
    <w:p w:rsidR="005B5BE3" w:rsidRPr="005B5BE3" w:rsidRDefault="005B5BE3" w:rsidP="005B5BE3">
      <w:pPr>
        <w:keepNext/>
        <w:rPr>
          <w:sz w:val="18"/>
        </w:rPr>
      </w:pPr>
    </w:p>
    <w:p w:rsidR="00272B35" w:rsidRPr="001B600C" w:rsidRDefault="00BC26FD" w:rsidP="00FD02CA">
      <w:r w:rsidRPr="001B600C">
        <w:fldChar w:fldCharType="begin"/>
      </w:r>
      <w:r w:rsidR="00272B35" w:rsidRPr="001B600C">
        <w:instrText xml:space="preserve"> AUTONUM  </w:instrText>
      </w:r>
      <w:r w:rsidRPr="001B600C">
        <w:fldChar w:fldCharType="end"/>
      </w:r>
      <w:r w:rsidR="00272B35">
        <w:tab/>
        <w:t>Los participantes tomaron nota de que las oficinas de protección de las obtenciones vegetales que lo solicit</w:t>
      </w:r>
      <w:r w:rsidR="009B3301">
        <w:t>ara</w:t>
      </w:r>
      <w:r w:rsidR="00272B35">
        <w:t>n podr</w:t>
      </w:r>
      <w:r w:rsidR="009B3301">
        <w:t>ía</w:t>
      </w:r>
      <w:r w:rsidR="00272B35">
        <w:t>n recibir el formulario de solicitud en un formato adaptado (p. ej. con la referencia de codificación nacional o el logo de la oficina en cuestión añadidos al formulario), siempre que facilit</w:t>
      </w:r>
      <w:r w:rsidR="009B3301">
        <w:t>ara</w:t>
      </w:r>
      <w:r w:rsidR="00272B35">
        <w:t xml:space="preserve">n la información pertinente conforme al formato especificado. </w:t>
      </w:r>
    </w:p>
    <w:p w:rsidR="00272B35" w:rsidRPr="001B600C" w:rsidRDefault="00272B35" w:rsidP="00FD02CA">
      <w:pPr>
        <w:spacing w:line="360" w:lineRule="auto"/>
      </w:pPr>
    </w:p>
    <w:p w:rsidR="00272B35" w:rsidRPr="001B600C" w:rsidRDefault="00272B35" w:rsidP="00FD02CA">
      <w:pPr>
        <w:pStyle w:val="Heading3"/>
      </w:pPr>
      <w:bookmarkStart w:id="6" w:name="_Toc485110114"/>
      <w:r>
        <w:t>Versión 2.0</w:t>
      </w:r>
      <w:bookmarkEnd w:id="6"/>
    </w:p>
    <w:p w:rsidR="00272B35" w:rsidRPr="005B5BE3" w:rsidRDefault="00272B35" w:rsidP="00FD02CA">
      <w:pPr>
        <w:pStyle w:val="Heading4"/>
        <w:rPr>
          <w:sz w:val="20"/>
        </w:rPr>
      </w:pPr>
    </w:p>
    <w:p w:rsidR="00272B35" w:rsidRPr="001B600C" w:rsidRDefault="00272B35" w:rsidP="00FD02CA">
      <w:pPr>
        <w:pStyle w:val="Heading4"/>
      </w:pPr>
      <w:r>
        <w:t>Miembros de la UPOV participantes</w:t>
      </w:r>
    </w:p>
    <w:p w:rsidR="005B5BE3" w:rsidRPr="005B5BE3" w:rsidRDefault="005B5BE3" w:rsidP="005B5BE3">
      <w:pPr>
        <w:keepNext/>
        <w:rPr>
          <w:sz w:val="18"/>
        </w:rPr>
      </w:pPr>
    </w:p>
    <w:p w:rsidR="00272B35" w:rsidRPr="001B600C" w:rsidRDefault="00BC26FD" w:rsidP="00FD02CA">
      <w:r w:rsidRPr="001B600C">
        <w:fldChar w:fldCharType="begin"/>
      </w:r>
      <w:r w:rsidR="00272B35" w:rsidRPr="001B600C">
        <w:instrText xml:space="preserve"> AUTONUM  </w:instrText>
      </w:r>
      <w:r w:rsidRPr="001B600C">
        <w:fldChar w:fldCharType="end"/>
      </w:r>
      <w:r w:rsidR="00272B35">
        <w:tab/>
        <w:t xml:space="preserve">Los participantes tomaron nota de que solo podrían participar en la versión 2.0 las autoridades que hubieran participado en el PV2 o en la versión 1.1 (Argentina, Australia, Bolivia (Estado Plurinacional de), Brasil, Canadá, Chile, China, Colombia, </w:t>
      </w:r>
      <w:r w:rsidR="009B3301">
        <w:t xml:space="preserve">Estados Unidos de América, </w:t>
      </w:r>
      <w:r w:rsidR="00272B35">
        <w:t xml:space="preserve">Francia, Georgia, Japón, Kenya, México, Nueva Zelandia, Noruega, Organización Africana de la Propiedad Intelectual (OAPI), Países Bajos, Paraguay, República Checa, República de Corea, República de Moldova, Sudáfrica, Suiza, Túnez, Turquía, Unión Europea, Uruguay y Viet Nam).  </w:t>
      </w:r>
      <w:r w:rsidR="00272B35">
        <w:rPr>
          <w:color w:val="000000"/>
          <w:spacing w:val="-2"/>
        </w:rPr>
        <w:t>Después de la puesta en funcionamiento de la versión 2.0 se incluirían los nuevos miembros de la Unión participantes.</w:t>
      </w:r>
    </w:p>
    <w:p w:rsidR="00272B35" w:rsidRDefault="00272B35" w:rsidP="00B16798"/>
    <w:p w:rsidR="00B16798" w:rsidRPr="001B600C" w:rsidRDefault="00B16798" w:rsidP="00B16798"/>
    <w:p w:rsidR="00272B35" w:rsidRPr="001B600C" w:rsidRDefault="00272B35" w:rsidP="00B16798">
      <w:pPr>
        <w:pStyle w:val="Heading2"/>
      </w:pPr>
      <w:bookmarkStart w:id="7" w:name="_Toc477541736"/>
      <w:bookmarkStart w:id="8" w:name="_Toc485110115"/>
      <w:r>
        <w:t>Cultivos o especies</w:t>
      </w:r>
      <w:bookmarkEnd w:id="7"/>
      <w:bookmarkEnd w:id="8"/>
    </w:p>
    <w:p w:rsidR="00272B35" w:rsidRPr="001B600C" w:rsidRDefault="00272B35" w:rsidP="001B600C">
      <w:pPr>
        <w:keepNext/>
      </w:pPr>
    </w:p>
    <w:p w:rsidR="00272B35" w:rsidRPr="001B600C" w:rsidRDefault="00BC26FD" w:rsidP="00FD02CA">
      <w:r w:rsidRPr="001B600C">
        <w:fldChar w:fldCharType="begin"/>
      </w:r>
      <w:r w:rsidR="00272B35" w:rsidRPr="001B600C">
        <w:instrText xml:space="preserve"> AUTONUM  </w:instrText>
      </w:r>
      <w:r w:rsidRPr="001B600C">
        <w:fldChar w:fldCharType="end"/>
      </w:r>
      <w:r w:rsidR="00272B35">
        <w:tab/>
        <w:t xml:space="preserve">Los participantes tomaron nota de que se había convenido anteriormente en que sería beneficioso que el sistema abarcara la mayor cantidad de cultivos o especies lo antes posible.  En consecuencia, en la reunión EAF/8, se solicitó a la Oficina de la Unión que desarrollara un método para añadir nuevos cultivos con mayor rapidez y aumentar el número de cultivos incluidos en el EAF (véase el párrafo 6.j) del documento </w:t>
      </w:r>
      <w:hyperlink r:id="rId10">
        <w:r w:rsidR="00272B35">
          <w:rPr>
            <w:rStyle w:val="Hyperlink"/>
          </w:rPr>
          <w:t>UPOV/EAF/8/3</w:t>
        </w:r>
      </w:hyperlink>
      <w:r w:rsidR="00272B35">
        <w:t xml:space="preserve"> “</w:t>
      </w:r>
      <w:r w:rsidR="00272B35">
        <w:rPr>
          <w:i/>
        </w:rPr>
        <w:t>Report</w:t>
      </w:r>
      <w:r w:rsidR="00272B35">
        <w:t xml:space="preserve">” (informe)). </w:t>
      </w:r>
    </w:p>
    <w:p w:rsidR="00272B35" w:rsidRPr="001B600C" w:rsidRDefault="00272B35" w:rsidP="00FD02CA"/>
    <w:p w:rsidR="00272B35" w:rsidRPr="001B600C" w:rsidRDefault="00BC26FD" w:rsidP="00FD02CA">
      <w:r w:rsidRPr="001B600C">
        <w:fldChar w:fldCharType="begin"/>
      </w:r>
      <w:r w:rsidR="00272B35" w:rsidRPr="001B600C">
        <w:instrText xml:space="preserve"> AUTONUM  </w:instrText>
      </w:r>
      <w:r w:rsidRPr="001B600C">
        <w:fldChar w:fldCharType="end"/>
      </w:r>
      <w:r w:rsidR="00272B35">
        <w:tab/>
        <w:t>Se tomó nota de que la parte principal del formulario electrónico era la misma para todos los cultivos de una autoridad en concreto.  Sin embargo, la información técnica específica de cada cultivo, que suele facilitarse en el cuestionario técnico (TQ), difiere entre cultivos.  Por lo tanto, el problema de añadir nuevos cultivos radicaba en el modo de abordar la parte de la solicitud específica de cada cultivo.</w:t>
      </w:r>
    </w:p>
    <w:p w:rsidR="00276699" w:rsidRPr="001B600C" w:rsidRDefault="00276699" w:rsidP="00FD02CA"/>
    <w:p w:rsidR="00272B35" w:rsidRPr="001B600C" w:rsidRDefault="00BC26FD" w:rsidP="00FD02CA">
      <w:r w:rsidRPr="001B600C">
        <w:fldChar w:fldCharType="begin"/>
      </w:r>
      <w:r w:rsidR="00272B35" w:rsidRPr="001B600C">
        <w:instrText xml:space="preserve"> AUTONUM  </w:instrText>
      </w:r>
      <w:r w:rsidRPr="001B600C">
        <w:fldChar w:fldCharType="end"/>
      </w:r>
      <w:r w:rsidR="00272B35">
        <w:tab/>
        <w:t>A fin de poder abarcar la mayor cantidad de cultivos o especies lo antes posible, se propuso desarrollar tres métodos.  Correspondería a cada uno de los miembros participantes decidir, cultivo a cultivo, cuál de los métodos aplicar.</w:t>
      </w:r>
    </w:p>
    <w:p w:rsidR="00272B35" w:rsidRPr="001B600C" w:rsidRDefault="00272B35" w:rsidP="00B16798">
      <w:pPr>
        <w:spacing w:line="360" w:lineRule="auto"/>
      </w:pPr>
    </w:p>
    <w:p w:rsidR="00272B35" w:rsidRPr="001B600C" w:rsidRDefault="00272B35" w:rsidP="00B16798">
      <w:pPr>
        <w:pStyle w:val="Heading3"/>
      </w:pPr>
      <w:bookmarkStart w:id="9" w:name="_Toc477541737"/>
      <w:r>
        <w:t>Cuestionario Técnico de la UPOV (método 1)</w:t>
      </w:r>
      <w:bookmarkEnd w:id="9"/>
    </w:p>
    <w:p w:rsidR="005B5BE3" w:rsidRPr="005B5BE3" w:rsidRDefault="005B5BE3" w:rsidP="005B5BE3">
      <w:pPr>
        <w:keepNext/>
        <w:rPr>
          <w:sz w:val="18"/>
        </w:rPr>
      </w:pPr>
    </w:p>
    <w:p w:rsidR="00272B35" w:rsidRPr="001B600C" w:rsidRDefault="00BC26FD" w:rsidP="00042F26">
      <w:pPr>
        <w:spacing w:after="240"/>
      </w:pPr>
      <w:r w:rsidRPr="001B600C">
        <w:fldChar w:fldCharType="begin"/>
      </w:r>
      <w:r w:rsidR="00272B35" w:rsidRPr="001B600C">
        <w:instrText xml:space="preserve"> AUTONUM  </w:instrText>
      </w:r>
      <w:r w:rsidRPr="001B600C">
        <w:fldChar w:fldCharType="end"/>
      </w:r>
      <w:r w:rsidR="00272B35">
        <w:tab/>
        <w:t xml:space="preserve">El cuestionario técnico del EAF debería ser idéntico al cuestionario técnico de las directrices de examen de la UPOV aprobadas.  La plantilla en Internet de los documentos TG sería la fuente de información de los cuestionarios técnicos de las directrices de examen;  por lo tanto, para introducir cultivos </w:t>
      </w:r>
      <w:r w:rsidR="00272B35">
        <w:lastRenderedPageBreak/>
        <w:t xml:space="preserve">o especies según este método se deberían incluir las directrices de examen pertinentes en la plantilla en Internet de los documentos TG. </w:t>
      </w:r>
    </w:p>
    <w:p w:rsidR="00272B35" w:rsidRPr="001B600C" w:rsidRDefault="00BC26FD" w:rsidP="00FD02CA">
      <w:r w:rsidRPr="001B600C">
        <w:fldChar w:fldCharType="begin"/>
      </w:r>
      <w:r w:rsidR="00272B35" w:rsidRPr="001B600C">
        <w:instrText xml:space="preserve"> AUTONUM  </w:instrText>
      </w:r>
      <w:r w:rsidRPr="001B600C">
        <w:fldChar w:fldCharType="end"/>
      </w:r>
      <w:r w:rsidR="00272B35">
        <w:tab/>
        <w:t>En el caso de los cultivos o especies para los que no existan directrices de examen de la UPOV aprobadas, el cuestionario técnico de la EAF se basaría en la estructura del cuestionario técnico que figura en el documento TGP/7 “Elaboración de las directrices de examen”.  De esta manera los usuarios podrían facilitar información normalizada para: </w:t>
      </w:r>
    </w:p>
    <w:p w:rsidR="00272B35" w:rsidRPr="001B600C" w:rsidRDefault="00272B35" w:rsidP="00FD02CA">
      <w:r>
        <w:t xml:space="preserve"> </w:t>
      </w:r>
    </w:p>
    <w:p w:rsidR="00272B35" w:rsidRPr="001B600C" w:rsidRDefault="00272B35" w:rsidP="00042F26">
      <w:pPr>
        <w:pStyle w:val="ListParagraph"/>
        <w:numPr>
          <w:ilvl w:val="0"/>
          <w:numId w:val="12"/>
        </w:numPr>
        <w:ind w:left="851" w:hanging="284"/>
        <w:jc w:val="both"/>
        <w:rPr>
          <w:rFonts w:ascii="Arial" w:hAnsi="Arial"/>
          <w:sz w:val="20"/>
          <w:szCs w:val="20"/>
        </w:rPr>
      </w:pPr>
      <w:r>
        <w:rPr>
          <w:rFonts w:ascii="Arial" w:hAnsi="Arial"/>
          <w:sz w:val="20"/>
        </w:rPr>
        <w:t>el historial de fitomejoramiento:  método de la obtención;  método de reproducción o de multiplicación de la variedad;</w:t>
      </w:r>
    </w:p>
    <w:p w:rsidR="00272B35" w:rsidRPr="001B600C" w:rsidRDefault="00272B35" w:rsidP="00042F26">
      <w:pPr>
        <w:pStyle w:val="ListParagraph"/>
        <w:numPr>
          <w:ilvl w:val="0"/>
          <w:numId w:val="12"/>
        </w:numPr>
        <w:ind w:left="851" w:hanging="284"/>
        <w:jc w:val="both"/>
        <w:rPr>
          <w:rFonts w:ascii="Arial" w:hAnsi="Arial"/>
          <w:sz w:val="20"/>
          <w:szCs w:val="20"/>
        </w:rPr>
      </w:pPr>
      <w:r>
        <w:rPr>
          <w:rFonts w:ascii="Arial" w:hAnsi="Arial"/>
          <w:sz w:val="20"/>
        </w:rPr>
        <w:t xml:space="preserve">los caracteres del cuestionario técnico: </w:t>
      </w:r>
      <w:r w:rsidR="001F4306">
        <w:rPr>
          <w:rFonts w:ascii="Arial" w:hAnsi="Arial"/>
          <w:sz w:val="20"/>
        </w:rPr>
        <w:t xml:space="preserve"> </w:t>
      </w:r>
      <w:r>
        <w:rPr>
          <w:rFonts w:ascii="Arial" w:hAnsi="Arial"/>
          <w:sz w:val="20"/>
        </w:rPr>
        <w:t xml:space="preserve">caracteres y niveles de expresión que se indican mediante texto libre; </w:t>
      </w:r>
    </w:p>
    <w:p w:rsidR="00272B35" w:rsidRPr="001B600C" w:rsidRDefault="00272B35" w:rsidP="00042F26">
      <w:pPr>
        <w:pStyle w:val="ListParagraph"/>
        <w:numPr>
          <w:ilvl w:val="0"/>
          <w:numId w:val="12"/>
        </w:numPr>
        <w:ind w:left="851" w:hanging="284"/>
        <w:jc w:val="both"/>
        <w:rPr>
          <w:rFonts w:ascii="Arial" w:hAnsi="Arial"/>
          <w:sz w:val="20"/>
          <w:szCs w:val="20"/>
        </w:rPr>
      </w:pPr>
      <w:r>
        <w:rPr>
          <w:rFonts w:ascii="Arial" w:hAnsi="Arial"/>
          <w:sz w:val="20"/>
        </w:rPr>
        <w:t>las variedades similares y diferencias con respecto a esas variedades;</w:t>
      </w:r>
    </w:p>
    <w:p w:rsidR="00272B35" w:rsidRPr="001B600C" w:rsidRDefault="00272B35" w:rsidP="00042F26">
      <w:pPr>
        <w:pStyle w:val="ListParagraph"/>
        <w:numPr>
          <w:ilvl w:val="0"/>
          <w:numId w:val="12"/>
        </w:numPr>
        <w:ind w:left="851" w:hanging="284"/>
        <w:jc w:val="both"/>
        <w:rPr>
          <w:rFonts w:ascii="Arial" w:hAnsi="Arial"/>
          <w:sz w:val="20"/>
          <w:szCs w:val="20"/>
        </w:rPr>
      </w:pPr>
      <w:r>
        <w:rPr>
          <w:rFonts w:ascii="Arial" w:hAnsi="Arial"/>
          <w:sz w:val="20"/>
        </w:rPr>
        <w:t xml:space="preserve">la información adicional. </w:t>
      </w:r>
    </w:p>
    <w:p w:rsidR="00272B35" w:rsidRPr="001B600C" w:rsidRDefault="00272B35" w:rsidP="00D432EC">
      <w:pPr>
        <w:spacing w:line="360" w:lineRule="auto"/>
        <w:rPr>
          <w:highlight w:val="magenta"/>
        </w:rPr>
      </w:pPr>
    </w:p>
    <w:p w:rsidR="00272B35" w:rsidRPr="001B600C" w:rsidRDefault="00272B35" w:rsidP="00B16798">
      <w:pPr>
        <w:pStyle w:val="Heading3"/>
      </w:pPr>
      <w:bookmarkStart w:id="10" w:name="_Toc477541738"/>
      <w:r>
        <w:t>Cuestionario técnico adaptado (método 2)</w:t>
      </w:r>
      <w:bookmarkEnd w:id="10"/>
    </w:p>
    <w:p w:rsidR="005B5BE3" w:rsidRPr="005B5BE3" w:rsidRDefault="005B5BE3" w:rsidP="00B16798">
      <w:pPr>
        <w:pStyle w:val="Heading3"/>
      </w:pPr>
    </w:p>
    <w:p w:rsidR="00272B35" w:rsidRPr="001B600C" w:rsidRDefault="00BC26FD" w:rsidP="00FD02CA">
      <w:r w:rsidRPr="001B600C">
        <w:fldChar w:fldCharType="begin"/>
      </w:r>
      <w:r w:rsidR="00272B35" w:rsidRPr="001B600C">
        <w:instrText xml:space="preserve"> AUTONUM  </w:instrText>
      </w:r>
      <w:r w:rsidRPr="001B600C">
        <w:fldChar w:fldCharType="end"/>
      </w:r>
      <w:r w:rsidR="00272B35">
        <w:tab/>
        <w:t>El cuestionario técnico del EAF sería igual para todos los cultivos (inespecífico para cada cultivo), salvo en relación con los “caracteres de la variedad” (sección 5 del cuestionario técnico de la UPOV o equivalente) y las “variedades similares y diferencias con respecto a esas variedades” (sección 6 del cuestionario técnico de la UPOV o equivalente).  Los caracteres del cuestionario técnico del EAF serían:</w:t>
      </w:r>
    </w:p>
    <w:p w:rsidR="00272B35" w:rsidRPr="00042F26" w:rsidRDefault="00272B35" w:rsidP="00FD02CA">
      <w:pPr>
        <w:rPr>
          <w:sz w:val="16"/>
        </w:rPr>
      </w:pPr>
    </w:p>
    <w:p w:rsidR="00272B35" w:rsidRPr="001F4306" w:rsidRDefault="001F4306" w:rsidP="001F4306">
      <w:pPr>
        <w:ind w:left="567"/>
      </w:pPr>
      <w:r>
        <w:t>a)</w:t>
      </w:r>
      <w:r>
        <w:tab/>
      </w:r>
      <w:r w:rsidR="001B600C" w:rsidRPr="001F4306">
        <w:t xml:space="preserve">los caracteres de las directrices de examen de la UPOV; </w:t>
      </w:r>
    </w:p>
    <w:p w:rsidR="00272B35" w:rsidRPr="001F4306" w:rsidRDefault="001F4306" w:rsidP="001F4306">
      <w:pPr>
        <w:ind w:left="567"/>
      </w:pPr>
      <w:r>
        <w:t>b)</w:t>
      </w:r>
      <w:r>
        <w:tab/>
      </w:r>
      <w:r w:rsidR="00272B35" w:rsidRPr="001F4306">
        <w:t>los caracteres específicos de cada autoridad;</w:t>
      </w:r>
    </w:p>
    <w:p w:rsidR="00272B35" w:rsidRPr="001F4306" w:rsidRDefault="001F4306" w:rsidP="001F4306">
      <w:pPr>
        <w:ind w:left="567"/>
      </w:pPr>
      <w:r>
        <w:t>c)</w:t>
      </w:r>
      <w:r>
        <w:tab/>
        <w:t xml:space="preserve">la información indicada mediante </w:t>
      </w:r>
      <w:r w:rsidR="00272B35" w:rsidRPr="001F4306">
        <w:t>texto libre.</w:t>
      </w:r>
    </w:p>
    <w:p w:rsidR="00D432EC" w:rsidRPr="001B600C" w:rsidRDefault="00D432EC" w:rsidP="00D432EC">
      <w:pPr>
        <w:spacing w:line="360" w:lineRule="auto"/>
      </w:pPr>
    </w:p>
    <w:p w:rsidR="00272B35" w:rsidRPr="001B600C" w:rsidRDefault="00272B35" w:rsidP="00B16798">
      <w:pPr>
        <w:pStyle w:val="Heading3"/>
      </w:pPr>
      <w:bookmarkStart w:id="11" w:name="_Toc477541739"/>
      <w:r>
        <w:t>Cuestionario técnico adaptado (método 3)</w:t>
      </w:r>
      <w:bookmarkEnd w:id="11"/>
    </w:p>
    <w:p w:rsidR="005B5BE3" w:rsidRPr="005B5BE3" w:rsidRDefault="005B5BE3" w:rsidP="00B16798">
      <w:pPr>
        <w:pStyle w:val="Heading3"/>
      </w:pPr>
    </w:p>
    <w:p w:rsidR="00272B35" w:rsidRPr="001B600C" w:rsidRDefault="00BC26FD" w:rsidP="00FD02CA">
      <w:r w:rsidRPr="001B600C">
        <w:fldChar w:fldCharType="begin"/>
      </w:r>
      <w:r w:rsidR="00272B35" w:rsidRPr="001B600C">
        <w:instrText xml:space="preserve"> AUTONUM  </w:instrText>
      </w:r>
      <w:r w:rsidRPr="001B600C">
        <w:fldChar w:fldCharType="end"/>
      </w:r>
      <w:r w:rsidR="00272B35">
        <w:tab/>
        <w:t>El cuestionario técnico del EAF incluiría secciones específicas para cada cultivo, además de las señaladas en el método 2.</w:t>
      </w:r>
    </w:p>
    <w:p w:rsidR="00272B35" w:rsidRPr="001B600C" w:rsidRDefault="00272B35" w:rsidP="00FD02CA"/>
    <w:p w:rsidR="00272B35" w:rsidRPr="001B600C" w:rsidRDefault="00BC26FD" w:rsidP="00FD02CA">
      <w:r w:rsidRPr="001B600C">
        <w:fldChar w:fldCharType="begin"/>
      </w:r>
      <w:r w:rsidR="00272B35" w:rsidRPr="001B600C">
        <w:instrText xml:space="preserve"> AUTONUM  </w:instrText>
      </w:r>
      <w:r w:rsidRPr="001B600C">
        <w:fldChar w:fldCharType="end"/>
      </w:r>
      <w:r w:rsidR="00272B35">
        <w:tab/>
        <w:t>En la siguiente tabla se resumen los métodos que emplean actualmente los miembros participantes en la versión 1.0 del EAF:</w:t>
      </w:r>
    </w:p>
    <w:p w:rsidR="00272B35" w:rsidRPr="001B600C" w:rsidRDefault="00272B35" w:rsidP="00FD02CA"/>
    <w:tbl>
      <w:tblPr>
        <w:tblStyle w:val="TableGrid"/>
        <w:tblW w:w="6712" w:type="dxa"/>
        <w:tblInd w:w="567" w:type="dxa"/>
        <w:tblLayout w:type="fixed"/>
        <w:tblCellMar>
          <w:top w:w="28" w:type="dxa"/>
          <w:left w:w="85" w:type="dxa"/>
          <w:bottom w:w="28" w:type="dxa"/>
          <w:right w:w="85" w:type="dxa"/>
        </w:tblCellMar>
        <w:tblLook w:val="04A0" w:firstRow="1" w:lastRow="0" w:firstColumn="1" w:lastColumn="0" w:noHBand="0" w:noVBand="1"/>
      </w:tblPr>
      <w:tblGrid>
        <w:gridCol w:w="2460"/>
        <w:gridCol w:w="567"/>
        <w:gridCol w:w="1239"/>
        <w:gridCol w:w="1170"/>
        <w:gridCol w:w="1276"/>
      </w:tblGrid>
      <w:tr w:rsidR="00272B35" w:rsidRPr="00D432EC" w:rsidTr="00042F26">
        <w:trPr>
          <w:cantSplit/>
          <w:trHeight w:val="434"/>
        </w:trPr>
        <w:tc>
          <w:tcPr>
            <w:tcW w:w="3027" w:type="dxa"/>
            <w:gridSpan w:val="2"/>
            <w:vAlign w:val="center"/>
          </w:tcPr>
          <w:p w:rsidR="00272B35" w:rsidRPr="00D432EC" w:rsidRDefault="00272B35" w:rsidP="00872E86">
            <w:pPr>
              <w:jc w:val="left"/>
              <w:rPr>
                <w:sz w:val="16"/>
                <w:szCs w:val="18"/>
              </w:rPr>
            </w:pPr>
            <w:r>
              <w:rPr>
                <w:sz w:val="16"/>
              </w:rPr>
              <w:t>Autoridad</w:t>
            </w:r>
            <w:r>
              <w:rPr>
                <w:sz w:val="16"/>
                <w:szCs w:val="18"/>
              </w:rPr>
              <w:br/>
            </w:r>
            <w:r>
              <w:rPr>
                <w:sz w:val="16"/>
              </w:rPr>
              <w:t>(para cultivos o especies existentes)</w:t>
            </w:r>
          </w:p>
        </w:tc>
        <w:tc>
          <w:tcPr>
            <w:tcW w:w="1239" w:type="dxa"/>
            <w:noWrap/>
            <w:vAlign w:val="center"/>
            <w:hideMark/>
          </w:tcPr>
          <w:p w:rsidR="00272B35" w:rsidRPr="00D432EC" w:rsidRDefault="00272B35" w:rsidP="00D432EC">
            <w:pPr>
              <w:jc w:val="center"/>
              <w:rPr>
                <w:sz w:val="16"/>
                <w:szCs w:val="18"/>
              </w:rPr>
            </w:pPr>
            <w:r>
              <w:rPr>
                <w:sz w:val="16"/>
              </w:rPr>
              <w:t>Método 1</w:t>
            </w:r>
          </w:p>
        </w:tc>
        <w:tc>
          <w:tcPr>
            <w:tcW w:w="1170" w:type="dxa"/>
            <w:noWrap/>
            <w:vAlign w:val="center"/>
          </w:tcPr>
          <w:p w:rsidR="00272B35" w:rsidRPr="00D432EC" w:rsidRDefault="00272B35" w:rsidP="00D432EC">
            <w:pPr>
              <w:jc w:val="center"/>
              <w:rPr>
                <w:sz w:val="16"/>
                <w:szCs w:val="18"/>
              </w:rPr>
            </w:pPr>
            <w:r>
              <w:rPr>
                <w:sz w:val="16"/>
              </w:rPr>
              <w:t>Método 2</w:t>
            </w:r>
          </w:p>
        </w:tc>
        <w:tc>
          <w:tcPr>
            <w:tcW w:w="1276" w:type="dxa"/>
            <w:noWrap/>
            <w:vAlign w:val="center"/>
          </w:tcPr>
          <w:p w:rsidR="00272B35" w:rsidRPr="00D432EC" w:rsidRDefault="00272B35" w:rsidP="00D432EC">
            <w:pPr>
              <w:jc w:val="center"/>
              <w:rPr>
                <w:sz w:val="16"/>
                <w:szCs w:val="18"/>
              </w:rPr>
            </w:pPr>
            <w:r>
              <w:rPr>
                <w:sz w:val="16"/>
              </w:rPr>
              <w:t>Método 3</w:t>
            </w:r>
          </w:p>
        </w:tc>
      </w:tr>
      <w:tr w:rsidR="001A4E29" w:rsidRPr="00D432EC" w:rsidTr="00042F26">
        <w:trPr>
          <w:cantSplit/>
        </w:trPr>
        <w:tc>
          <w:tcPr>
            <w:tcW w:w="2460" w:type="dxa"/>
            <w:tcBorders>
              <w:left w:val="nil"/>
              <w:bottom w:val="single" w:sz="4" w:space="0" w:color="auto"/>
              <w:right w:val="nil"/>
            </w:tcBorders>
            <w:vAlign w:val="center"/>
          </w:tcPr>
          <w:p w:rsidR="001A4E29" w:rsidRPr="00D432EC" w:rsidRDefault="001A4E29" w:rsidP="005B5BE3">
            <w:pPr>
              <w:jc w:val="left"/>
              <w:rPr>
                <w:sz w:val="6"/>
                <w:szCs w:val="18"/>
              </w:rPr>
            </w:pPr>
          </w:p>
        </w:tc>
        <w:tc>
          <w:tcPr>
            <w:tcW w:w="567" w:type="dxa"/>
            <w:tcBorders>
              <w:left w:val="nil"/>
              <w:bottom w:val="single" w:sz="4" w:space="0" w:color="auto"/>
              <w:right w:val="nil"/>
            </w:tcBorders>
            <w:noWrap/>
            <w:vAlign w:val="center"/>
          </w:tcPr>
          <w:p w:rsidR="001A4E29" w:rsidRPr="00D432EC" w:rsidRDefault="001A4E29" w:rsidP="005B5BE3">
            <w:pPr>
              <w:jc w:val="left"/>
              <w:rPr>
                <w:sz w:val="6"/>
                <w:szCs w:val="18"/>
              </w:rPr>
            </w:pPr>
          </w:p>
        </w:tc>
        <w:tc>
          <w:tcPr>
            <w:tcW w:w="1239" w:type="dxa"/>
            <w:tcBorders>
              <w:left w:val="nil"/>
              <w:bottom w:val="single" w:sz="4" w:space="0" w:color="auto"/>
              <w:right w:val="nil"/>
            </w:tcBorders>
            <w:noWrap/>
            <w:vAlign w:val="center"/>
          </w:tcPr>
          <w:p w:rsidR="001A4E29" w:rsidRPr="00D432EC" w:rsidRDefault="001A4E29" w:rsidP="005B5BE3">
            <w:pPr>
              <w:jc w:val="center"/>
              <w:rPr>
                <w:sz w:val="6"/>
                <w:szCs w:val="18"/>
              </w:rPr>
            </w:pPr>
          </w:p>
        </w:tc>
        <w:tc>
          <w:tcPr>
            <w:tcW w:w="1170" w:type="dxa"/>
            <w:tcBorders>
              <w:left w:val="nil"/>
              <w:bottom w:val="single" w:sz="4" w:space="0" w:color="auto"/>
              <w:right w:val="nil"/>
            </w:tcBorders>
            <w:noWrap/>
            <w:vAlign w:val="center"/>
          </w:tcPr>
          <w:p w:rsidR="001A4E29" w:rsidRPr="00D432EC" w:rsidRDefault="001A4E29" w:rsidP="005B5BE3">
            <w:pPr>
              <w:jc w:val="center"/>
              <w:rPr>
                <w:sz w:val="6"/>
              </w:rPr>
            </w:pPr>
          </w:p>
        </w:tc>
        <w:tc>
          <w:tcPr>
            <w:tcW w:w="1276" w:type="dxa"/>
            <w:tcBorders>
              <w:left w:val="nil"/>
              <w:bottom w:val="single" w:sz="4" w:space="0" w:color="auto"/>
              <w:right w:val="nil"/>
            </w:tcBorders>
            <w:noWrap/>
            <w:vAlign w:val="center"/>
          </w:tcPr>
          <w:p w:rsidR="001A4E29" w:rsidRPr="00D432EC" w:rsidRDefault="001A4E29" w:rsidP="005B5BE3">
            <w:pPr>
              <w:jc w:val="center"/>
              <w:rPr>
                <w:rFonts w:eastAsiaTheme="minorHAnsi"/>
                <w:sz w:val="6"/>
                <w:szCs w:val="18"/>
              </w:rPr>
            </w:pPr>
          </w:p>
        </w:tc>
      </w:tr>
      <w:tr w:rsidR="00E32160" w:rsidRPr="00D432EC" w:rsidTr="00042F26">
        <w:trPr>
          <w:cantSplit/>
        </w:trPr>
        <w:tc>
          <w:tcPr>
            <w:tcW w:w="2460" w:type="dxa"/>
            <w:vAlign w:val="center"/>
          </w:tcPr>
          <w:p w:rsidR="00E32160" w:rsidRPr="00D432EC" w:rsidRDefault="00E32160" w:rsidP="00D432EC">
            <w:pPr>
              <w:jc w:val="left"/>
              <w:rPr>
                <w:sz w:val="16"/>
                <w:szCs w:val="18"/>
              </w:rPr>
            </w:pPr>
            <w:r>
              <w:rPr>
                <w:sz w:val="16"/>
              </w:rPr>
              <w:t>Argentina</w:t>
            </w:r>
          </w:p>
        </w:tc>
        <w:tc>
          <w:tcPr>
            <w:tcW w:w="567" w:type="dxa"/>
            <w:noWrap/>
            <w:vAlign w:val="center"/>
            <w:hideMark/>
          </w:tcPr>
          <w:p w:rsidR="00E32160" w:rsidRPr="00D432EC" w:rsidRDefault="00E32160" w:rsidP="00D432EC">
            <w:pPr>
              <w:jc w:val="left"/>
              <w:rPr>
                <w:sz w:val="16"/>
                <w:szCs w:val="18"/>
              </w:rPr>
            </w:pPr>
            <w:r>
              <w:rPr>
                <w:sz w:val="16"/>
              </w:rPr>
              <w:t>AR</w:t>
            </w:r>
          </w:p>
        </w:tc>
        <w:tc>
          <w:tcPr>
            <w:tcW w:w="1239" w:type="dxa"/>
            <w:noWrap/>
            <w:vAlign w:val="center"/>
            <w:hideMark/>
          </w:tcPr>
          <w:p w:rsidR="00E32160" w:rsidRPr="00872E86" w:rsidRDefault="00E32160" w:rsidP="00D432EC">
            <w:pPr>
              <w:jc w:val="center"/>
              <w:rPr>
                <w:sz w:val="16"/>
                <w:szCs w:val="16"/>
              </w:rPr>
            </w:pPr>
          </w:p>
        </w:tc>
        <w:tc>
          <w:tcPr>
            <w:tcW w:w="1170" w:type="dxa"/>
            <w:noWrap/>
            <w:vAlign w:val="center"/>
          </w:tcPr>
          <w:p w:rsidR="00E32160" w:rsidRPr="00872E86" w:rsidRDefault="00E32160" w:rsidP="00D432EC">
            <w:pPr>
              <w:jc w:val="center"/>
              <w:rPr>
                <w:rFonts w:eastAsiaTheme="minorHAnsi"/>
                <w:color w:val="000000"/>
                <w:spacing w:val="-2"/>
                <w:sz w:val="16"/>
                <w:szCs w:val="16"/>
              </w:rPr>
            </w:pPr>
            <w:r w:rsidRPr="00872E86">
              <w:rPr>
                <w:sz w:val="16"/>
                <w:szCs w:val="16"/>
              </w:rPr>
              <w:sym w:font="Wingdings 2" w:char="F050"/>
            </w:r>
          </w:p>
        </w:tc>
        <w:tc>
          <w:tcPr>
            <w:tcW w:w="1276" w:type="dxa"/>
            <w:noWrap/>
            <w:vAlign w:val="center"/>
          </w:tcPr>
          <w:p w:rsidR="00E32160" w:rsidRPr="00872E86" w:rsidRDefault="00E32160" w:rsidP="00D432EC">
            <w:pPr>
              <w:jc w:val="center"/>
              <w:rPr>
                <w:rFonts w:eastAsiaTheme="minorHAnsi"/>
                <w:sz w:val="16"/>
                <w:szCs w:val="16"/>
              </w:rPr>
            </w:pPr>
          </w:p>
        </w:tc>
      </w:tr>
      <w:tr w:rsidR="00E32160" w:rsidRPr="00D432EC" w:rsidTr="00042F26">
        <w:trPr>
          <w:cantSplit/>
        </w:trPr>
        <w:tc>
          <w:tcPr>
            <w:tcW w:w="2460" w:type="dxa"/>
            <w:vAlign w:val="center"/>
          </w:tcPr>
          <w:p w:rsidR="00E32160" w:rsidRPr="00D432EC" w:rsidRDefault="00E32160" w:rsidP="00D432EC">
            <w:pPr>
              <w:jc w:val="left"/>
              <w:rPr>
                <w:sz w:val="16"/>
                <w:szCs w:val="18"/>
              </w:rPr>
            </w:pPr>
            <w:r>
              <w:rPr>
                <w:sz w:val="16"/>
              </w:rPr>
              <w:t>Australia</w:t>
            </w:r>
          </w:p>
        </w:tc>
        <w:tc>
          <w:tcPr>
            <w:tcW w:w="567" w:type="dxa"/>
            <w:noWrap/>
            <w:vAlign w:val="center"/>
            <w:hideMark/>
          </w:tcPr>
          <w:p w:rsidR="00E32160" w:rsidRPr="00D432EC" w:rsidRDefault="00E32160" w:rsidP="00D432EC">
            <w:pPr>
              <w:jc w:val="left"/>
              <w:rPr>
                <w:sz w:val="16"/>
                <w:szCs w:val="18"/>
              </w:rPr>
            </w:pPr>
            <w:r>
              <w:rPr>
                <w:sz w:val="16"/>
              </w:rPr>
              <w:t>AU</w:t>
            </w:r>
          </w:p>
        </w:tc>
        <w:tc>
          <w:tcPr>
            <w:tcW w:w="1239" w:type="dxa"/>
            <w:noWrap/>
            <w:vAlign w:val="center"/>
            <w:hideMark/>
          </w:tcPr>
          <w:p w:rsidR="00E32160" w:rsidRPr="00872E86" w:rsidRDefault="00E32160" w:rsidP="00D432EC">
            <w:pPr>
              <w:jc w:val="center"/>
              <w:rPr>
                <w:sz w:val="16"/>
                <w:szCs w:val="16"/>
              </w:rPr>
            </w:pPr>
          </w:p>
        </w:tc>
        <w:tc>
          <w:tcPr>
            <w:tcW w:w="1170" w:type="dxa"/>
            <w:noWrap/>
            <w:vAlign w:val="center"/>
          </w:tcPr>
          <w:p w:rsidR="00E32160" w:rsidRPr="00872E86" w:rsidRDefault="00E32160" w:rsidP="00D432EC">
            <w:pPr>
              <w:jc w:val="center"/>
              <w:rPr>
                <w:rFonts w:eastAsiaTheme="minorHAnsi"/>
                <w:color w:val="000000"/>
                <w:spacing w:val="-2"/>
                <w:sz w:val="16"/>
                <w:szCs w:val="16"/>
              </w:rPr>
            </w:pPr>
            <w:r w:rsidRPr="00872E86">
              <w:rPr>
                <w:sz w:val="16"/>
                <w:szCs w:val="16"/>
              </w:rPr>
              <w:sym w:font="Wingdings 2" w:char="F050"/>
            </w:r>
          </w:p>
        </w:tc>
        <w:tc>
          <w:tcPr>
            <w:tcW w:w="1276" w:type="dxa"/>
            <w:noWrap/>
            <w:vAlign w:val="center"/>
          </w:tcPr>
          <w:p w:rsidR="00E32160" w:rsidRPr="00872E86" w:rsidRDefault="00E32160" w:rsidP="00D432EC">
            <w:pPr>
              <w:jc w:val="center"/>
              <w:rPr>
                <w:rFonts w:eastAsiaTheme="minorHAnsi"/>
                <w:sz w:val="16"/>
                <w:szCs w:val="16"/>
              </w:rPr>
            </w:pPr>
          </w:p>
        </w:tc>
      </w:tr>
      <w:tr w:rsidR="00E32160" w:rsidRPr="00D432EC" w:rsidTr="00042F26">
        <w:trPr>
          <w:cantSplit/>
        </w:trPr>
        <w:tc>
          <w:tcPr>
            <w:tcW w:w="2460" w:type="dxa"/>
            <w:vAlign w:val="center"/>
          </w:tcPr>
          <w:p w:rsidR="00E32160" w:rsidRPr="00D432EC" w:rsidRDefault="00E32160" w:rsidP="00D432EC">
            <w:pPr>
              <w:jc w:val="left"/>
              <w:rPr>
                <w:sz w:val="16"/>
                <w:szCs w:val="18"/>
              </w:rPr>
            </w:pPr>
            <w:r>
              <w:rPr>
                <w:sz w:val="16"/>
              </w:rPr>
              <w:t>Chile</w:t>
            </w:r>
          </w:p>
        </w:tc>
        <w:tc>
          <w:tcPr>
            <w:tcW w:w="567" w:type="dxa"/>
            <w:noWrap/>
            <w:vAlign w:val="center"/>
            <w:hideMark/>
          </w:tcPr>
          <w:p w:rsidR="00E32160" w:rsidRPr="00D432EC" w:rsidRDefault="00E32160" w:rsidP="00D432EC">
            <w:pPr>
              <w:jc w:val="left"/>
              <w:rPr>
                <w:sz w:val="16"/>
                <w:szCs w:val="18"/>
              </w:rPr>
            </w:pPr>
            <w:r>
              <w:rPr>
                <w:sz w:val="16"/>
              </w:rPr>
              <w:t>CL</w:t>
            </w:r>
          </w:p>
        </w:tc>
        <w:tc>
          <w:tcPr>
            <w:tcW w:w="1239" w:type="dxa"/>
            <w:noWrap/>
            <w:vAlign w:val="center"/>
            <w:hideMark/>
          </w:tcPr>
          <w:p w:rsidR="00E32160" w:rsidRPr="00872E86" w:rsidRDefault="00E32160" w:rsidP="00D432EC">
            <w:pPr>
              <w:jc w:val="center"/>
              <w:rPr>
                <w:rFonts w:eastAsiaTheme="minorHAnsi"/>
                <w:color w:val="000000"/>
                <w:spacing w:val="-2"/>
                <w:sz w:val="16"/>
                <w:szCs w:val="16"/>
              </w:rPr>
            </w:pPr>
            <w:r w:rsidRPr="00872E86">
              <w:rPr>
                <w:sz w:val="16"/>
                <w:szCs w:val="16"/>
              </w:rPr>
              <w:sym w:font="Wingdings 2" w:char="F050"/>
            </w:r>
          </w:p>
        </w:tc>
        <w:tc>
          <w:tcPr>
            <w:tcW w:w="1170" w:type="dxa"/>
            <w:noWrap/>
            <w:vAlign w:val="center"/>
          </w:tcPr>
          <w:p w:rsidR="00E32160" w:rsidRPr="00872E86" w:rsidRDefault="00E32160" w:rsidP="00D432EC">
            <w:pPr>
              <w:jc w:val="center"/>
              <w:rPr>
                <w:rFonts w:eastAsiaTheme="minorHAnsi"/>
                <w:sz w:val="16"/>
                <w:szCs w:val="16"/>
              </w:rPr>
            </w:pPr>
          </w:p>
        </w:tc>
        <w:tc>
          <w:tcPr>
            <w:tcW w:w="1276" w:type="dxa"/>
            <w:noWrap/>
            <w:vAlign w:val="center"/>
          </w:tcPr>
          <w:p w:rsidR="00E32160" w:rsidRPr="00872E86" w:rsidRDefault="00E32160" w:rsidP="00D432EC">
            <w:pPr>
              <w:jc w:val="center"/>
              <w:rPr>
                <w:rFonts w:eastAsiaTheme="minorHAnsi"/>
                <w:sz w:val="16"/>
                <w:szCs w:val="16"/>
              </w:rPr>
            </w:pPr>
          </w:p>
        </w:tc>
      </w:tr>
      <w:tr w:rsidR="00E32160" w:rsidRPr="00D432EC" w:rsidTr="00042F26">
        <w:trPr>
          <w:cantSplit/>
        </w:trPr>
        <w:tc>
          <w:tcPr>
            <w:tcW w:w="2460" w:type="dxa"/>
            <w:vAlign w:val="center"/>
          </w:tcPr>
          <w:p w:rsidR="00E32160" w:rsidRPr="00D432EC" w:rsidRDefault="00E32160" w:rsidP="00D432EC">
            <w:pPr>
              <w:jc w:val="left"/>
              <w:rPr>
                <w:sz w:val="16"/>
                <w:szCs w:val="18"/>
              </w:rPr>
            </w:pPr>
            <w:r>
              <w:rPr>
                <w:sz w:val="16"/>
              </w:rPr>
              <w:t>Estados Unidos de América</w:t>
            </w:r>
          </w:p>
        </w:tc>
        <w:tc>
          <w:tcPr>
            <w:tcW w:w="567" w:type="dxa"/>
            <w:noWrap/>
            <w:vAlign w:val="center"/>
            <w:hideMark/>
          </w:tcPr>
          <w:p w:rsidR="00E32160" w:rsidRPr="00D432EC" w:rsidRDefault="00E32160" w:rsidP="00D432EC">
            <w:pPr>
              <w:jc w:val="left"/>
              <w:rPr>
                <w:sz w:val="16"/>
                <w:szCs w:val="18"/>
              </w:rPr>
            </w:pPr>
            <w:r>
              <w:rPr>
                <w:sz w:val="16"/>
              </w:rPr>
              <w:t>US</w:t>
            </w:r>
          </w:p>
        </w:tc>
        <w:tc>
          <w:tcPr>
            <w:tcW w:w="1239" w:type="dxa"/>
            <w:noWrap/>
            <w:vAlign w:val="center"/>
            <w:hideMark/>
          </w:tcPr>
          <w:p w:rsidR="00E32160" w:rsidRPr="00872E86" w:rsidRDefault="00E32160" w:rsidP="00D432EC">
            <w:pPr>
              <w:jc w:val="center"/>
              <w:rPr>
                <w:sz w:val="16"/>
                <w:szCs w:val="16"/>
              </w:rPr>
            </w:pPr>
          </w:p>
        </w:tc>
        <w:tc>
          <w:tcPr>
            <w:tcW w:w="1170" w:type="dxa"/>
            <w:noWrap/>
            <w:vAlign w:val="center"/>
          </w:tcPr>
          <w:p w:rsidR="00E32160" w:rsidRPr="00872E86" w:rsidRDefault="00E32160" w:rsidP="00D432EC">
            <w:pPr>
              <w:jc w:val="center"/>
              <w:rPr>
                <w:rFonts w:eastAsiaTheme="minorHAnsi"/>
                <w:color w:val="000000"/>
                <w:spacing w:val="-2"/>
                <w:sz w:val="16"/>
                <w:szCs w:val="16"/>
              </w:rPr>
            </w:pPr>
            <w:r w:rsidRPr="00872E86">
              <w:rPr>
                <w:sz w:val="16"/>
                <w:szCs w:val="16"/>
              </w:rPr>
              <w:sym w:font="Wingdings 2" w:char="F050"/>
            </w:r>
          </w:p>
        </w:tc>
        <w:tc>
          <w:tcPr>
            <w:tcW w:w="1276" w:type="dxa"/>
            <w:noWrap/>
            <w:vAlign w:val="center"/>
          </w:tcPr>
          <w:p w:rsidR="00E32160" w:rsidRPr="00872E86" w:rsidRDefault="00E32160" w:rsidP="00D432EC">
            <w:pPr>
              <w:jc w:val="center"/>
              <w:rPr>
                <w:rFonts w:eastAsiaTheme="minorHAnsi"/>
                <w:sz w:val="16"/>
                <w:szCs w:val="16"/>
              </w:rPr>
            </w:pPr>
          </w:p>
        </w:tc>
      </w:tr>
      <w:tr w:rsidR="00E32160" w:rsidRPr="00D432EC" w:rsidTr="00042F26">
        <w:trPr>
          <w:cantSplit/>
        </w:trPr>
        <w:tc>
          <w:tcPr>
            <w:tcW w:w="2460" w:type="dxa"/>
            <w:vAlign w:val="center"/>
          </w:tcPr>
          <w:p w:rsidR="00E32160" w:rsidRPr="00D432EC" w:rsidRDefault="00E32160" w:rsidP="00D432EC">
            <w:pPr>
              <w:jc w:val="left"/>
              <w:rPr>
                <w:sz w:val="16"/>
                <w:szCs w:val="18"/>
              </w:rPr>
            </w:pPr>
            <w:r>
              <w:rPr>
                <w:sz w:val="16"/>
              </w:rPr>
              <w:t>Francia</w:t>
            </w:r>
          </w:p>
        </w:tc>
        <w:tc>
          <w:tcPr>
            <w:tcW w:w="567" w:type="dxa"/>
            <w:noWrap/>
            <w:vAlign w:val="center"/>
            <w:hideMark/>
          </w:tcPr>
          <w:p w:rsidR="00E32160" w:rsidRPr="00D432EC" w:rsidRDefault="00E32160" w:rsidP="00D432EC">
            <w:pPr>
              <w:jc w:val="left"/>
              <w:rPr>
                <w:sz w:val="16"/>
                <w:szCs w:val="18"/>
              </w:rPr>
            </w:pPr>
            <w:r>
              <w:rPr>
                <w:sz w:val="16"/>
              </w:rPr>
              <w:t>FR</w:t>
            </w:r>
          </w:p>
        </w:tc>
        <w:tc>
          <w:tcPr>
            <w:tcW w:w="1239" w:type="dxa"/>
            <w:noWrap/>
            <w:vAlign w:val="center"/>
            <w:hideMark/>
          </w:tcPr>
          <w:p w:rsidR="00E32160" w:rsidRPr="00872E86" w:rsidRDefault="00E32160" w:rsidP="00D432EC">
            <w:pPr>
              <w:jc w:val="center"/>
              <w:rPr>
                <w:sz w:val="16"/>
                <w:szCs w:val="16"/>
              </w:rPr>
            </w:pPr>
          </w:p>
        </w:tc>
        <w:tc>
          <w:tcPr>
            <w:tcW w:w="1170" w:type="dxa"/>
            <w:noWrap/>
            <w:vAlign w:val="center"/>
          </w:tcPr>
          <w:p w:rsidR="00E32160" w:rsidRPr="00872E86" w:rsidRDefault="00E32160" w:rsidP="00D432EC">
            <w:pPr>
              <w:jc w:val="center"/>
              <w:rPr>
                <w:rFonts w:eastAsiaTheme="minorHAnsi"/>
                <w:sz w:val="16"/>
                <w:szCs w:val="16"/>
              </w:rPr>
            </w:pPr>
          </w:p>
        </w:tc>
        <w:tc>
          <w:tcPr>
            <w:tcW w:w="1276" w:type="dxa"/>
            <w:noWrap/>
            <w:vAlign w:val="center"/>
          </w:tcPr>
          <w:p w:rsidR="00E32160" w:rsidRPr="00872E86" w:rsidRDefault="00E32160" w:rsidP="00D432EC">
            <w:pPr>
              <w:jc w:val="center"/>
              <w:rPr>
                <w:rFonts w:eastAsiaTheme="minorHAnsi"/>
                <w:color w:val="000000"/>
                <w:spacing w:val="-2"/>
                <w:sz w:val="16"/>
                <w:szCs w:val="16"/>
              </w:rPr>
            </w:pPr>
            <w:r w:rsidRPr="00872E86">
              <w:rPr>
                <w:sz w:val="16"/>
                <w:szCs w:val="16"/>
              </w:rPr>
              <w:sym w:font="Wingdings 2" w:char="F050"/>
            </w:r>
          </w:p>
        </w:tc>
      </w:tr>
      <w:tr w:rsidR="00E32160" w:rsidRPr="00D432EC" w:rsidTr="00042F26">
        <w:trPr>
          <w:cantSplit/>
        </w:trPr>
        <w:tc>
          <w:tcPr>
            <w:tcW w:w="2460" w:type="dxa"/>
            <w:vAlign w:val="center"/>
          </w:tcPr>
          <w:p w:rsidR="00E32160" w:rsidRPr="00D432EC" w:rsidRDefault="00E32160" w:rsidP="00D432EC">
            <w:pPr>
              <w:jc w:val="left"/>
              <w:rPr>
                <w:sz w:val="16"/>
                <w:szCs w:val="18"/>
              </w:rPr>
            </w:pPr>
            <w:r>
              <w:rPr>
                <w:sz w:val="16"/>
              </w:rPr>
              <w:t>Kenya</w:t>
            </w:r>
          </w:p>
        </w:tc>
        <w:tc>
          <w:tcPr>
            <w:tcW w:w="567" w:type="dxa"/>
            <w:noWrap/>
            <w:vAlign w:val="center"/>
            <w:hideMark/>
          </w:tcPr>
          <w:p w:rsidR="00E32160" w:rsidRPr="00D432EC" w:rsidRDefault="00E32160" w:rsidP="00D432EC">
            <w:pPr>
              <w:jc w:val="left"/>
              <w:rPr>
                <w:sz w:val="16"/>
                <w:szCs w:val="18"/>
              </w:rPr>
            </w:pPr>
            <w:r>
              <w:rPr>
                <w:sz w:val="16"/>
              </w:rPr>
              <w:t>KE</w:t>
            </w:r>
          </w:p>
        </w:tc>
        <w:tc>
          <w:tcPr>
            <w:tcW w:w="1239" w:type="dxa"/>
            <w:noWrap/>
            <w:vAlign w:val="center"/>
            <w:hideMark/>
          </w:tcPr>
          <w:p w:rsidR="00E32160" w:rsidRPr="00872E86" w:rsidRDefault="00E32160" w:rsidP="00D432EC">
            <w:pPr>
              <w:jc w:val="center"/>
              <w:rPr>
                <w:rFonts w:eastAsiaTheme="minorHAnsi"/>
                <w:color w:val="000000"/>
                <w:spacing w:val="-2"/>
                <w:sz w:val="16"/>
                <w:szCs w:val="16"/>
              </w:rPr>
            </w:pPr>
            <w:r w:rsidRPr="00872E86">
              <w:rPr>
                <w:sz w:val="16"/>
                <w:szCs w:val="16"/>
              </w:rPr>
              <w:sym w:font="Wingdings 2" w:char="F050"/>
            </w:r>
          </w:p>
        </w:tc>
        <w:tc>
          <w:tcPr>
            <w:tcW w:w="1170" w:type="dxa"/>
            <w:noWrap/>
            <w:vAlign w:val="center"/>
          </w:tcPr>
          <w:p w:rsidR="00E32160" w:rsidRPr="00872E86" w:rsidRDefault="00E32160" w:rsidP="00D432EC">
            <w:pPr>
              <w:jc w:val="center"/>
              <w:rPr>
                <w:rFonts w:eastAsiaTheme="minorHAnsi"/>
                <w:sz w:val="16"/>
                <w:szCs w:val="16"/>
              </w:rPr>
            </w:pPr>
          </w:p>
        </w:tc>
        <w:tc>
          <w:tcPr>
            <w:tcW w:w="1276" w:type="dxa"/>
            <w:noWrap/>
            <w:vAlign w:val="center"/>
          </w:tcPr>
          <w:p w:rsidR="00E32160" w:rsidRPr="00872E86" w:rsidRDefault="00E32160" w:rsidP="00D432EC">
            <w:pPr>
              <w:jc w:val="center"/>
              <w:rPr>
                <w:rFonts w:eastAsiaTheme="minorHAnsi"/>
                <w:sz w:val="16"/>
                <w:szCs w:val="16"/>
              </w:rPr>
            </w:pPr>
          </w:p>
        </w:tc>
      </w:tr>
      <w:tr w:rsidR="00E32160" w:rsidRPr="00D432EC" w:rsidTr="00042F26">
        <w:trPr>
          <w:cantSplit/>
        </w:trPr>
        <w:tc>
          <w:tcPr>
            <w:tcW w:w="2460" w:type="dxa"/>
            <w:vAlign w:val="center"/>
          </w:tcPr>
          <w:p w:rsidR="00E32160" w:rsidRPr="00D432EC" w:rsidRDefault="00E32160" w:rsidP="00D432EC">
            <w:pPr>
              <w:jc w:val="left"/>
              <w:rPr>
                <w:sz w:val="16"/>
                <w:szCs w:val="18"/>
              </w:rPr>
            </w:pPr>
            <w:r>
              <w:rPr>
                <w:sz w:val="16"/>
              </w:rPr>
              <w:t>Noruega</w:t>
            </w:r>
          </w:p>
        </w:tc>
        <w:tc>
          <w:tcPr>
            <w:tcW w:w="567" w:type="dxa"/>
            <w:noWrap/>
            <w:vAlign w:val="center"/>
            <w:hideMark/>
          </w:tcPr>
          <w:p w:rsidR="00E32160" w:rsidRPr="00D432EC" w:rsidRDefault="00E32160" w:rsidP="00D432EC">
            <w:pPr>
              <w:jc w:val="left"/>
              <w:rPr>
                <w:sz w:val="16"/>
                <w:szCs w:val="18"/>
              </w:rPr>
            </w:pPr>
            <w:r>
              <w:rPr>
                <w:sz w:val="16"/>
              </w:rPr>
              <w:t>NO</w:t>
            </w:r>
          </w:p>
        </w:tc>
        <w:tc>
          <w:tcPr>
            <w:tcW w:w="1239" w:type="dxa"/>
            <w:noWrap/>
            <w:vAlign w:val="center"/>
            <w:hideMark/>
          </w:tcPr>
          <w:p w:rsidR="00E32160" w:rsidRPr="00872E86" w:rsidRDefault="00E32160" w:rsidP="00D432EC">
            <w:pPr>
              <w:jc w:val="center"/>
              <w:rPr>
                <w:sz w:val="16"/>
                <w:szCs w:val="16"/>
              </w:rPr>
            </w:pPr>
          </w:p>
        </w:tc>
        <w:tc>
          <w:tcPr>
            <w:tcW w:w="1170" w:type="dxa"/>
            <w:noWrap/>
            <w:vAlign w:val="center"/>
          </w:tcPr>
          <w:p w:rsidR="00E32160" w:rsidRPr="00872E86" w:rsidRDefault="00E32160" w:rsidP="00D432EC">
            <w:pPr>
              <w:jc w:val="center"/>
              <w:rPr>
                <w:rFonts w:eastAsiaTheme="minorHAnsi"/>
                <w:sz w:val="16"/>
                <w:szCs w:val="16"/>
              </w:rPr>
            </w:pPr>
          </w:p>
        </w:tc>
        <w:tc>
          <w:tcPr>
            <w:tcW w:w="1276" w:type="dxa"/>
            <w:noWrap/>
            <w:vAlign w:val="center"/>
          </w:tcPr>
          <w:p w:rsidR="00E32160" w:rsidRPr="00872E86" w:rsidRDefault="00E32160" w:rsidP="00D432EC">
            <w:pPr>
              <w:jc w:val="center"/>
              <w:rPr>
                <w:rFonts w:eastAsiaTheme="minorHAnsi"/>
                <w:color w:val="000000"/>
                <w:spacing w:val="-2"/>
                <w:sz w:val="16"/>
                <w:szCs w:val="16"/>
              </w:rPr>
            </w:pPr>
            <w:r w:rsidRPr="00872E86">
              <w:rPr>
                <w:sz w:val="16"/>
                <w:szCs w:val="16"/>
              </w:rPr>
              <w:sym w:font="Wingdings 2" w:char="F050"/>
            </w:r>
          </w:p>
        </w:tc>
      </w:tr>
      <w:tr w:rsidR="00E32160" w:rsidRPr="00D432EC" w:rsidTr="00042F26">
        <w:trPr>
          <w:cantSplit/>
        </w:trPr>
        <w:tc>
          <w:tcPr>
            <w:tcW w:w="2460" w:type="dxa"/>
            <w:vAlign w:val="center"/>
          </w:tcPr>
          <w:p w:rsidR="00E32160" w:rsidRPr="00D432EC" w:rsidRDefault="00E32160" w:rsidP="00D432EC">
            <w:pPr>
              <w:jc w:val="left"/>
              <w:rPr>
                <w:sz w:val="16"/>
                <w:szCs w:val="18"/>
              </w:rPr>
            </w:pPr>
            <w:r>
              <w:rPr>
                <w:sz w:val="16"/>
              </w:rPr>
              <w:t>Nueva Zelandia</w:t>
            </w:r>
          </w:p>
        </w:tc>
        <w:tc>
          <w:tcPr>
            <w:tcW w:w="567" w:type="dxa"/>
            <w:noWrap/>
            <w:vAlign w:val="center"/>
            <w:hideMark/>
          </w:tcPr>
          <w:p w:rsidR="00E32160" w:rsidRPr="00D432EC" w:rsidRDefault="00E32160" w:rsidP="00D432EC">
            <w:pPr>
              <w:jc w:val="left"/>
              <w:rPr>
                <w:sz w:val="16"/>
                <w:szCs w:val="18"/>
              </w:rPr>
            </w:pPr>
            <w:r>
              <w:rPr>
                <w:sz w:val="16"/>
              </w:rPr>
              <w:t>NZ</w:t>
            </w:r>
          </w:p>
        </w:tc>
        <w:tc>
          <w:tcPr>
            <w:tcW w:w="1239" w:type="dxa"/>
            <w:noWrap/>
            <w:vAlign w:val="center"/>
            <w:hideMark/>
          </w:tcPr>
          <w:p w:rsidR="00E32160" w:rsidRPr="00872E86" w:rsidRDefault="00E32160" w:rsidP="00D432EC">
            <w:pPr>
              <w:jc w:val="center"/>
              <w:rPr>
                <w:sz w:val="16"/>
                <w:szCs w:val="16"/>
              </w:rPr>
            </w:pPr>
          </w:p>
        </w:tc>
        <w:tc>
          <w:tcPr>
            <w:tcW w:w="1170" w:type="dxa"/>
            <w:noWrap/>
            <w:vAlign w:val="center"/>
          </w:tcPr>
          <w:p w:rsidR="00E32160" w:rsidRPr="00872E86" w:rsidRDefault="00E32160" w:rsidP="00D432EC">
            <w:pPr>
              <w:jc w:val="center"/>
              <w:rPr>
                <w:rFonts w:eastAsiaTheme="minorHAnsi"/>
                <w:sz w:val="16"/>
                <w:szCs w:val="16"/>
              </w:rPr>
            </w:pPr>
          </w:p>
        </w:tc>
        <w:tc>
          <w:tcPr>
            <w:tcW w:w="1276" w:type="dxa"/>
            <w:noWrap/>
            <w:vAlign w:val="center"/>
          </w:tcPr>
          <w:p w:rsidR="00E32160" w:rsidRPr="00872E86" w:rsidRDefault="00E32160" w:rsidP="00D432EC">
            <w:pPr>
              <w:jc w:val="center"/>
              <w:rPr>
                <w:rFonts w:eastAsiaTheme="minorHAnsi"/>
                <w:color w:val="000000"/>
                <w:spacing w:val="-2"/>
                <w:sz w:val="16"/>
                <w:szCs w:val="16"/>
              </w:rPr>
            </w:pPr>
            <w:r w:rsidRPr="00872E86">
              <w:rPr>
                <w:sz w:val="16"/>
                <w:szCs w:val="16"/>
              </w:rPr>
              <w:sym w:font="Wingdings 2" w:char="F050"/>
            </w:r>
          </w:p>
        </w:tc>
      </w:tr>
      <w:tr w:rsidR="00E32160" w:rsidRPr="00D432EC" w:rsidTr="00042F26">
        <w:trPr>
          <w:cantSplit/>
        </w:trPr>
        <w:tc>
          <w:tcPr>
            <w:tcW w:w="2460" w:type="dxa"/>
            <w:vAlign w:val="center"/>
          </w:tcPr>
          <w:p w:rsidR="00E32160" w:rsidRPr="00D432EC" w:rsidRDefault="00E32160" w:rsidP="00D432EC">
            <w:pPr>
              <w:jc w:val="left"/>
              <w:rPr>
                <w:sz w:val="16"/>
                <w:szCs w:val="18"/>
              </w:rPr>
            </w:pPr>
            <w:r>
              <w:rPr>
                <w:sz w:val="16"/>
              </w:rPr>
              <w:t>Países Bajos</w:t>
            </w:r>
          </w:p>
        </w:tc>
        <w:tc>
          <w:tcPr>
            <w:tcW w:w="567" w:type="dxa"/>
            <w:noWrap/>
            <w:vAlign w:val="center"/>
            <w:hideMark/>
          </w:tcPr>
          <w:p w:rsidR="00E32160" w:rsidRPr="00D432EC" w:rsidRDefault="00E32160" w:rsidP="00D432EC">
            <w:pPr>
              <w:jc w:val="left"/>
              <w:rPr>
                <w:sz w:val="16"/>
                <w:szCs w:val="18"/>
              </w:rPr>
            </w:pPr>
            <w:r>
              <w:rPr>
                <w:sz w:val="16"/>
              </w:rPr>
              <w:t>NL</w:t>
            </w:r>
          </w:p>
        </w:tc>
        <w:tc>
          <w:tcPr>
            <w:tcW w:w="1239" w:type="dxa"/>
            <w:noWrap/>
            <w:vAlign w:val="center"/>
            <w:hideMark/>
          </w:tcPr>
          <w:p w:rsidR="00E32160" w:rsidRPr="00872E86" w:rsidRDefault="00E32160" w:rsidP="00D432EC">
            <w:pPr>
              <w:jc w:val="center"/>
              <w:rPr>
                <w:sz w:val="16"/>
                <w:szCs w:val="16"/>
              </w:rPr>
            </w:pPr>
          </w:p>
        </w:tc>
        <w:tc>
          <w:tcPr>
            <w:tcW w:w="1170" w:type="dxa"/>
            <w:noWrap/>
            <w:vAlign w:val="center"/>
          </w:tcPr>
          <w:p w:rsidR="00E32160" w:rsidRPr="00872E86" w:rsidRDefault="00E32160" w:rsidP="00D432EC">
            <w:pPr>
              <w:jc w:val="center"/>
              <w:rPr>
                <w:rFonts w:eastAsiaTheme="minorHAnsi"/>
                <w:sz w:val="16"/>
                <w:szCs w:val="16"/>
              </w:rPr>
            </w:pPr>
          </w:p>
        </w:tc>
        <w:tc>
          <w:tcPr>
            <w:tcW w:w="1276" w:type="dxa"/>
            <w:noWrap/>
            <w:vAlign w:val="center"/>
          </w:tcPr>
          <w:p w:rsidR="00E32160" w:rsidRPr="00872E86" w:rsidRDefault="00E32160" w:rsidP="00D432EC">
            <w:pPr>
              <w:jc w:val="center"/>
              <w:rPr>
                <w:rFonts w:eastAsiaTheme="minorHAnsi"/>
                <w:color w:val="000000"/>
                <w:spacing w:val="-2"/>
                <w:sz w:val="16"/>
                <w:szCs w:val="16"/>
              </w:rPr>
            </w:pPr>
            <w:r w:rsidRPr="00872E86">
              <w:rPr>
                <w:sz w:val="16"/>
                <w:szCs w:val="16"/>
              </w:rPr>
              <w:sym w:font="Wingdings 2" w:char="F050"/>
            </w:r>
          </w:p>
        </w:tc>
      </w:tr>
      <w:tr w:rsidR="00E32160" w:rsidRPr="00D432EC" w:rsidTr="00042F26">
        <w:trPr>
          <w:cantSplit/>
        </w:trPr>
        <w:tc>
          <w:tcPr>
            <w:tcW w:w="2460" w:type="dxa"/>
            <w:vAlign w:val="center"/>
          </w:tcPr>
          <w:p w:rsidR="00E32160" w:rsidRPr="00D432EC" w:rsidRDefault="00E32160" w:rsidP="00D432EC">
            <w:pPr>
              <w:jc w:val="left"/>
              <w:rPr>
                <w:sz w:val="16"/>
                <w:szCs w:val="18"/>
              </w:rPr>
            </w:pPr>
            <w:r>
              <w:rPr>
                <w:sz w:val="16"/>
              </w:rPr>
              <w:t>Suiza</w:t>
            </w:r>
          </w:p>
        </w:tc>
        <w:tc>
          <w:tcPr>
            <w:tcW w:w="567" w:type="dxa"/>
            <w:noWrap/>
            <w:vAlign w:val="center"/>
          </w:tcPr>
          <w:p w:rsidR="00E32160" w:rsidRPr="00D432EC" w:rsidRDefault="00E32160" w:rsidP="00D432EC">
            <w:pPr>
              <w:jc w:val="left"/>
              <w:rPr>
                <w:sz w:val="16"/>
                <w:szCs w:val="18"/>
              </w:rPr>
            </w:pPr>
            <w:r>
              <w:rPr>
                <w:sz w:val="16"/>
              </w:rPr>
              <w:t>CH</w:t>
            </w:r>
          </w:p>
        </w:tc>
        <w:tc>
          <w:tcPr>
            <w:tcW w:w="1239" w:type="dxa"/>
            <w:noWrap/>
            <w:vAlign w:val="center"/>
          </w:tcPr>
          <w:p w:rsidR="00E32160" w:rsidRPr="00872E86" w:rsidRDefault="00E32160" w:rsidP="00D432EC">
            <w:pPr>
              <w:jc w:val="center"/>
              <w:rPr>
                <w:rFonts w:eastAsiaTheme="minorHAnsi"/>
                <w:sz w:val="16"/>
                <w:szCs w:val="16"/>
              </w:rPr>
            </w:pPr>
          </w:p>
        </w:tc>
        <w:tc>
          <w:tcPr>
            <w:tcW w:w="1170" w:type="dxa"/>
            <w:noWrap/>
            <w:vAlign w:val="center"/>
          </w:tcPr>
          <w:p w:rsidR="00E32160" w:rsidRPr="00872E86" w:rsidRDefault="00E32160" w:rsidP="00D432EC">
            <w:pPr>
              <w:jc w:val="center"/>
              <w:rPr>
                <w:rFonts w:eastAsiaTheme="minorHAnsi"/>
                <w:sz w:val="16"/>
                <w:szCs w:val="16"/>
              </w:rPr>
            </w:pPr>
          </w:p>
        </w:tc>
        <w:tc>
          <w:tcPr>
            <w:tcW w:w="1276" w:type="dxa"/>
            <w:noWrap/>
            <w:vAlign w:val="center"/>
          </w:tcPr>
          <w:p w:rsidR="00E32160" w:rsidRPr="00872E86" w:rsidRDefault="00E32160" w:rsidP="00D432EC">
            <w:pPr>
              <w:jc w:val="center"/>
              <w:rPr>
                <w:rFonts w:eastAsiaTheme="minorHAnsi"/>
                <w:color w:val="000000"/>
                <w:spacing w:val="-2"/>
                <w:sz w:val="16"/>
                <w:szCs w:val="16"/>
              </w:rPr>
            </w:pPr>
            <w:r w:rsidRPr="00872E86">
              <w:rPr>
                <w:sz w:val="16"/>
                <w:szCs w:val="16"/>
              </w:rPr>
              <w:sym w:font="Wingdings 2" w:char="F050"/>
            </w:r>
          </w:p>
        </w:tc>
      </w:tr>
      <w:tr w:rsidR="00E32160" w:rsidRPr="00D432EC" w:rsidTr="00042F26">
        <w:trPr>
          <w:cantSplit/>
        </w:trPr>
        <w:tc>
          <w:tcPr>
            <w:tcW w:w="2460" w:type="dxa"/>
            <w:vAlign w:val="center"/>
          </w:tcPr>
          <w:p w:rsidR="00E32160" w:rsidRPr="00D432EC" w:rsidRDefault="00E32160" w:rsidP="00D432EC">
            <w:pPr>
              <w:jc w:val="left"/>
              <w:rPr>
                <w:sz w:val="16"/>
                <w:szCs w:val="18"/>
              </w:rPr>
            </w:pPr>
            <w:r>
              <w:rPr>
                <w:sz w:val="16"/>
              </w:rPr>
              <w:t>Túnez</w:t>
            </w:r>
          </w:p>
        </w:tc>
        <w:tc>
          <w:tcPr>
            <w:tcW w:w="567" w:type="dxa"/>
            <w:noWrap/>
            <w:vAlign w:val="center"/>
            <w:hideMark/>
          </w:tcPr>
          <w:p w:rsidR="00E32160" w:rsidRPr="00D432EC" w:rsidRDefault="00E32160" w:rsidP="00D432EC">
            <w:pPr>
              <w:jc w:val="left"/>
              <w:rPr>
                <w:sz w:val="16"/>
                <w:szCs w:val="18"/>
              </w:rPr>
            </w:pPr>
            <w:r>
              <w:rPr>
                <w:sz w:val="16"/>
              </w:rPr>
              <w:t>TN</w:t>
            </w:r>
          </w:p>
        </w:tc>
        <w:tc>
          <w:tcPr>
            <w:tcW w:w="1239" w:type="dxa"/>
            <w:noWrap/>
            <w:vAlign w:val="center"/>
            <w:hideMark/>
          </w:tcPr>
          <w:p w:rsidR="00E32160" w:rsidRPr="00872E86" w:rsidRDefault="00E32160" w:rsidP="00D432EC">
            <w:pPr>
              <w:jc w:val="center"/>
              <w:rPr>
                <w:rFonts w:eastAsiaTheme="minorHAnsi"/>
                <w:color w:val="000000"/>
                <w:spacing w:val="-2"/>
                <w:sz w:val="16"/>
                <w:szCs w:val="16"/>
              </w:rPr>
            </w:pPr>
            <w:r w:rsidRPr="00872E86">
              <w:rPr>
                <w:sz w:val="16"/>
                <w:szCs w:val="16"/>
              </w:rPr>
              <w:sym w:font="Wingdings 2" w:char="F050"/>
            </w:r>
          </w:p>
        </w:tc>
        <w:tc>
          <w:tcPr>
            <w:tcW w:w="1170" w:type="dxa"/>
            <w:noWrap/>
            <w:vAlign w:val="center"/>
          </w:tcPr>
          <w:p w:rsidR="00E32160" w:rsidRPr="00872E86" w:rsidRDefault="00E32160" w:rsidP="00D432EC">
            <w:pPr>
              <w:jc w:val="center"/>
              <w:rPr>
                <w:rFonts w:eastAsiaTheme="minorHAnsi"/>
                <w:sz w:val="16"/>
                <w:szCs w:val="16"/>
              </w:rPr>
            </w:pPr>
          </w:p>
        </w:tc>
        <w:tc>
          <w:tcPr>
            <w:tcW w:w="1276" w:type="dxa"/>
            <w:noWrap/>
            <w:vAlign w:val="center"/>
          </w:tcPr>
          <w:p w:rsidR="00E32160" w:rsidRPr="00872E86" w:rsidRDefault="00E32160" w:rsidP="00D432EC">
            <w:pPr>
              <w:jc w:val="center"/>
              <w:rPr>
                <w:rFonts w:eastAsiaTheme="minorHAnsi"/>
                <w:sz w:val="16"/>
                <w:szCs w:val="16"/>
              </w:rPr>
            </w:pPr>
          </w:p>
        </w:tc>
      </w:tr>
      <w:tr w:rsidR="00E32160" w:rsidRPr="00D432EC" w:rsidTr="00042F26">
        <w:trPr>
          <w:cantSplit/>
        </w:trPr>
        <w:tc>
          <w:tcPr>
            <w:tcW w:w="2460" w:type="dxa"/>
            <w:tcBorders>
              <w:bottom w:val="single" w:sz="4" w:space="0" w:color="auto"/>
            </w:tcBorders>
            <w:vAlign w:val="center"/>
          </w:tcPr>
          <w:p w:rsidR="00E32160" w:rsidRPr="00D432EC" w:rsidRDefault="00E32160" w:rsidP="00D432EC">
            <w:pPr>
              <w:jc w:val="left"/>
              <w:rPr>
                <w:sz w:val="16"/>
                <w:szCs w:val="18"/>
              </w:rPr>
            </w:pPr>
            <w:r>
              <w:rPr>
                <w:sz w:val="16"/>
              </w:rPr>
              <w:t>Uruguay</w:t>
            </w:r>
          </w:p>
        </w:tc>
        <w:tc>
          <w:tcPr>
            <w:tcW w:w="567" w:type="dxa"/>
            <w:tcBorders>
              <w:bottom w:val="single" w:sz="4" w:space="0" w:color="auto"/>
            </w:tcBorders>
            <w:noWrap/>
            <w:vAlign w:val="center"/>
            <w:hideMark/>
          </w:tcPr>
          <w:p w:rsidR="00E32160" w:rsidRPr="00D432EC" w:rsidRDefault="00E32160" w:rsidP="00D432EC">
            <w:pPr>
              <w:jc w:val="left"/>
              <w:rPr>
                <w:sz w:val="16"/>
                <w:szCs w:val="18"/>
              </w:rPr>
            </w:pPr>
            <w:r>
              <w:rPr>
                <w:sz w:val="16"/>
              </w:rPr>
              <w:t>UY</w:t>
            </w:r>
          </w:p>
        </w:tc>
        <w:tc>
          <w:tcPr>
            <w:tcW w:w="1239" w:type="dxa"/>
            <w:tcBorders>
              <w:bottom w:val="single" w:sz="4" w:space="0" w:color="auto"/>
            </w:tcBorders>
            <w:noWrap/>
            <w:vAlign w:val="center"/>
            <w:hideMark/>
          </w:tcPr>
          <w:p w:rsidR="00E32160" w:rsidRPr="00872E86" w:rsidRDefault="00E32160" w:rsidP="00D432EC">
            <w:pPr>
              <w:jc w:val="center"/>
              <w:rPr>
                <w:sz w:val="16"/>
                <w:szCs w:val="16"/>
              </w:rPr>
            </w:pPr>
          </w:p>
        </w:tc>
        <w:tc>
          <w:tcPr>
            <w:tcW w:w="1170" w:type="dxa"/>
            <w:tcBorders>
              <w:bottom w:val="single" w:sz="4" w:space="0" w:color="auto"/>
            </w:tcBorders>
            <w:noWrap/>
            <w:vAlign w:val="center"/>
          </w:tcPr>
          <w:p w:rsidR="00E32160" w:rsidRPr="00872E86" w:rsidRDefault="00E32160" w:rsidP="00D432EC">
            <w:pPr>
              <w:jc w:val="center"/>
              <w:rPr>
                <w:rFonts w:eastAsiaTheme="minorHAnsi"/>
                <w:color w:val="000000"/>
                <w:spacing w:val="-2"/>
                <w:sz w:val="16"/>
                <w:szCs w:val="16"/>
              </w:rPr>
            </w:pPr>
            <w:r w:rsidRPr="00872E86">
              <w:rPr>
                <w:sz w:val="16"/>
                <w:szCs w:val="16"/>
              </w:rPr>
              <w:sym w:font="Wingdings 2" w:char="F050"/>
            </w:r>
          </w:p>
        </w:tc>
        <w:tc>
          <w:tcPr>
            <w:tcW w:w="1276" w:type="dxa"/>
            <w:tcBorders>
              <w:bottom w:val="single" w:sz="4" w:space="0" w:color="auto"/>
            </w:tcBorders>
            <w:noWrap/>
            <w:vAlign w:val="center"/>
          </w:tcPr>
          <w:p w:rsidR="00E32160" w:rsidRPr="00872E86" w:rsidRDefault="00E32160" w:rsidP="00D432EC">
            <w:pPr>
              <w:jc w:val="center"/>
              <w:rPr>
                <w:rFonts w:eastAsiaTheme="minorHAnsi"/>
                <w:sz w:val="16"/>
                <w:szCs w:val="16"/>
              </w:rPr>
            </w:pPr>
          </w:p>
        </w:tc>
      </w:tr>
      <w:tr w:rsidR="00D432EC" w:rsidRPr="00D432EC" w:rsidTr="00042F26">
        <w:trPr>
          <w:cantSplit/>
        </w:trPr>
        <w:tc>
          <w:tcPr>
            <w:tcW w:w="2460" w:type="dxa"/>
            <w:tcBorders>
              <w:left w:val="nil"/>
              <w:bottom w:val="single" w:sz="4" w:space="0" w:color="auto"/>
              <w:right w:val="nil"/>
            </w:tcBorders>
            <w:vAlign w:val="center"/>
          </w:tcPr>
          <w:p w:rsidR="00D432EC" w:rsidRPr="00D432EC" w:rsidRDefault="00D432EC" w:rsidP="00D432EC">
            <w:pPr>
              <w:jc w:val="left"/>
              <w:rPr>
                <w:sz w:val="6"/>
                <w:szCs w:val="18"/>
              </w:rPr>
            </w:pPr>
          </w:p>
        </w:tc>
        <w:tc>
          <w:tcPr>
            <w:tcW w:w="567" w:type="dxa"/>
            <w:tcBorders>
              <w:left w:val="nil"/>
              <w:bottom w:val="single" w:sz="4" w:space="0" w:color="auto"/>
              <w:right w:val="nil"/>
            </w:tcBorders>
            <w:noWrap/>
            <w:vAlign w:val="center"/>
          </w:tcPr>
          <w:p w:rsidR="00D432EC" w:rsidRPr="00D432EC" w:rsidRDefault="00D432EC" w:rsidP="00D432EC">
            <w:pPr>
              <w:jc w:val="left"/>
              <w:rPr>
                <w:sz w:val="6"/>
                <w:szCs w:val="18"/>
              </w:rPr>
            </w:pPr>
          </w:p>
        </w:tc>
        <w:tc>
          <w:tcPr>
            <w:tcW w:w="1239" w:type="dxa"/>
            <w:tcBorders>
              <w:left w:val="nil"/>
              <w:bottom w:val="single" w:sz="4" w:space="0" w:color="auto"/>
              <w:right w:val="nil"/>
            </w:tcBorders>
            <w:noWrap/>
            <w:vAlign w:val="center"/>
          </w:tcPr>
          <w:p w:rsidR="00D432EC" w:rsidRPr="00D432EC" w:rsidRDefault="00D432EC" w:rsidP="00D432EC">
            <w:pPr>
              <w:jc w:val="center"/>
              <w:rPr>
                <w:sz w:val="6"/>
                <w:szCs w:val="18"/>
              </w:rPr>
            </w:pPr>
          </w:p>
        </w:tc>
        <w:tc>
          <w:tcPr>
            <w:tcW w:w="1170" w:type="dxa"/>
            <w:tcBorders>
              <w:left w:val="nil"/>
              <w:bottom w:val="single" w:sz="4" w:space="0" w:color="auto"/>
              <w:right w:val="nil"/>
            </w:tcBorders>
            <w:noWrap/>
            <w:vAlign w:val="center"/>
          </w:tcPr>
          <w:p w:rsidR="00D432EC" w:rsidRPr="00D432EC" w:rsidRDefault="00D432EC" w:rsidP="00D432EC">
            <w:pPr>
              <w:jc w:val="center"/>
              <w:rPr>
                <w:sz w:val="6"/>
              </w:rPr>
            </w:pPr>
          </w:p>
        </w:tc>
        <w:tc>
          <w:tcPr>
            <w:tcW w:w="1276" w:type="dxa"/>
            <w:tcBorders>
              <w:left w:val="nil"/>
              <w:bottom w:val="single" w:sz="4" w:space="0" w:color="auto"/>
              <w:right w:val="nil"/>
            </w:tcBorders>
            <w:noWrap/>
            <w:vAlign w:val="center"/>
          </w:tcPr>
          <w:p w:rsidR="00D432EC" w:rsidRPr="00D432EC" w:rsidRDefault="00D432EC" w:rsidP="00D432EC">
            <w:pPr>
              <w:jc w:val="center"/>
              <w:rPr>
                <w:rFonts w:eastAsiaTheme="minorHAnsi"/>
                <w:sz w:val="6"/>
                <w:szCs w:val="18"/>
              </w:rPr>
            </w:pPr>
          </w:p>
        </w:tc>
      </w:tr>
      <w:tr w:rsidR="00A41F94" w:rsidRPr="00D432EC" w:rsidTr="00042F26">
        <w:trPr>
          <w:cantSplit/>
        </w:trPr>
        <w:tc>
          <w:tcPr>
            <w:tcW w:w="2460" w:type="dxa"/>
            <w:tcBorders>
              <w:top w:val="single" w:sz="4" w:space="0" w:color="auto"/>
            </w:tcBorders>
            <w:vAlign w:val="center"/>
          </w:tcPr>
          <w:p w:rsidR="00A41F94" w:rsidRPr="00D432EC" w:rsidRDefault="00A41F94" w:rsidP="001A4E29">
            <w:pPr>
              <w:ind w:right="195"/>
              <w:jc w:val="center"/>
              <w:rPr>
                <w:sz w:val="16"/>
                <w:szCs w:val="18"/>
              </w:rPr>
            </w:pPr>
            <w:r>
              <w:rPr>
                <w:sz w:val="16"/>
              </w:rPr>
              <w:t>Total</w:t>
            </w:r>
          </w:p>
        </w:tc>
        <w:tc>
          <w:tcPr>
            <w:tcW w:w="567" w:type="dxa"/>
            <w:tcBorders>
              <w:top w:val="single" w:sz="4" w:space="0" w:color="auto"/>
            </w:tcBorders>
            <w:noWrap/>
            <w:vAlign w:val="center"/>
            <w:hideMark/>
          </w:tcPr>
          <w:p w:rsidR="00A41F94" w:rsidRPr="00D432EC" w:rsidRDefault="00A41F94" w:rsidP="00D432EC">
            <w:pPr>
              <w:jc w:val="left"/>
              <w:rPr>
                <w:sz w:val="16"/>
                <w:szCs w:val="18"/>
              </w:rPr>
            </w:pPr>
            <w:r>
              <w:rPr>
                <w:sz w:val="16"/>
              </w:rPr>
              <w:t>12</w:t>
            </w:r>
          </w:p>
        </w:tc>
        <w:tc>
          <w:tcPr>
            <w:tcW w:w="1239" w:type="dxa"/>
            <w:tcBorders>
              <w:top w:val="single" w:sz="4" w:space="0" w:color="auto"/>
            </w:tcBorders>
            <w:noWrap/>
            <w:vAlign w:val="center"/>
          </w:tcPr>
          <w:p w:rsidR="00A41F94" w:rsidRPr="00D432EC" w:rsidRDefault="00A41F94" w:rsidP="00D432EC">
            <w:pPr>
              <w:jc w:val="center"/>
              <w:rPr>
                <w:rFonts w:eastAsiaTheme="minorHAnsi"/>
                <w:sz w:val="16"/>
                <w:szCs w:val="18"/>
              </w:rPr>
            </w:pPr>
            <w:r>
              <w:rPr>
                <w:sz w:val="16"/>
              </w:rPr>
              <w:t>3</w:t>
            </w:r>
          </w:p>
        </w:tc>
        <w:tc>
          <w:tcPr>
            <w:tcW w:w="1170" w:type="dxa"/>
            <w:tcBorders>
              <w:top w:val="single" w:sz="4" w:space="0" w:color="auto"/>
            </w:tcBorders>
            <w:noWrap/>
            <w:vAlign w:val="center"/>
          </w:tcPr>
          <w:p w:rsidR="00A41F94" w:rsidRPr="00D432EC" w:rsidRDefault="00A41F94" w:rsidP="00D432EC">
            <w:pPr>
              <w:jc w:val="center"/>
              <w:rPr>
                <w:rFonts w:eastAsiaTheme="minorHAnsi"/>
                <w:sz w:val="16"/>
                <w:szCs w:val="18"/>
              </w:rPr>
            </w:pPr>
            <w:r>
              <w:rPr>
                <w:sz w:val="16"/>
              </w:rPr>
              <w:t>4</w:t>
            </w:r>
          </w:p>
        </w:tc>
        <w:tc>
          <w:tcPr>
            <w:tcW w:w="1276" w:type="dxa"/>
            <w:tcBorders>
              <w:top w:val="single" w:sz="4" w:space="0" w:color="auto"/>
            </w:tcBorders>
            <w:noWrap/>
            <w:vAlign w:val="center"/>
          </w:tcPr>
          <w:p w:rsidR="00A41F94" w:rsidRPr="00D432EC" w:rsidRDefault="00A41F94" w:rsidP="00D432EC">
            <w:pPr>
              <w:jc w:val="center"/>
              <w:rPr>
                <w:rFonts w:eastAsiaTheme="minorHAnsi"/>
                <w:sz w:val="16"/>
                <w:szCs w:val="18"/>
              </w:rPr>
            </w:pPr>
            <w:r>
              <w:rPr>
                <w:sz w:val="16"/>
              </w:rPr>
              <w:t>5</w:t>
            </w:r>
          </w:p>
        </w:tc>
      </w:tr>
    </w:tbl>
    <w:p w:rsidR="00272B35" w:rsidRPr="001B600C" w:rsidRDefault="00272B35" w:rsidP="00FD02CA"/>
    <w:p w:rsidR="00272B35" w:rsidRPr="001B600C" w:rsidRDefault="00BC26FD" w:rsidP="00FD02CA">
      <w:r w:rsidRPr="001B600C">
        <w:fldChar w:fldCharType="begin"/>
      </w:r>
      <w:r w:rsidR="00272B35" w:rsidRPr="001B600C">
        <w:instrText xml:space="preserve"> AUTONUM  </w:instrText>
      </w:r>
      <w:r w:rsidRPr="001B600C">
        <w:fldChar w:fldCharType="end"/>
      </w:r>
      <w:r w:rsidR="00272B35">
        <w:tab/>
        <w:t>Los participantes tomaron nota de que</w:t>
      </w:r>
      <w:r w:rsidR="00027EDC">
        <w:t>,</w:t>
      </w:r>
      <w:r w:rsidR="00272B35">
        <w:t xml:space="preserve"> teniendo en cuenta que los recursos se asignar</w:t>
      </w:r>
      <w:r w:rsidR="00027EDC">
        <w:t>ía</w:t>
      </w:r>
      <w:r w:rsidR="00272B35">
        <w:t>n equitativamente a los tres métodos, sería posible abarcar todos los cultivos o especies en el caso de los métodos 1 y 2 al término de 2018.  En el caso del método 3, el proceso continuaría indefinidamente, según el orden de prioridad acordado.</w:t>
      </w:r>
    </w:p>
    <w:p w:rsidR="00027EDC" w:rsidRDefault="00027EDC">
      <w:pPr>
        <w:jc w:val="left"/>
      </w:pPr>
    </w:p>
    <w:tbl>
      <w:tblPr>
        <w:tblW w:w="8683" w:type="dxa"/>
        <w:jc w:val="center"/>
        <w:tblInd w:w="179" w:type="dxa"/>
        <w:tblCellMar>
          <w:top w:w="57" w:type="dxa"/>
          <w:left w:w="57" w:type="dxa"/>
          <w:bottom w:w="28" w:type="dxa"/>
          <w:right w:w="57" w:type="dxa"/>
        </w:tblCellMar>
        <w:tblLook w:val="04A0" w:firstRow="1" w:lastRow="0" w:firstColumn="1" w:lastColumn="0" w:noHBand="0" w:noVBand="1"/>
      </w:tblPr>
      <w:tblGrid>
        <w:gridCol w:w="2233"/>
        <w:gridCol w:w="2271"/>
        <w:gridCol w:w="2017"/>
        <w:gridCol w:w="2162"/>
      </w:tblGrid>
      <w:tr w:rsidR="00272B35" w:rsidRPr="001B600C" w:rsidTr="00872E86">
        <w:trPr>
          <w:cantSplit/>
          <w:jc w:val="center"/>
        </w:trPr>
        <w:tc>
          <w:tcPr>
            <w:tcW w:w="2233"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272B35" w:rsidRPr="00872E86" w:rsidRDefault="00272B35" w:rsidP="00872E86">
            <w:pPr>
              <w:jc w:val="left"/>
              <w:rPr>
                <w:sz w:val="16"/>
              </w:rPr>
            </w:pPr>
            <w:r>
              <w:rPr>
                <w:sz w:val="16"/>
              </w:rPr>
              <w:t>2018</w:t>
            </w:r>
          </w:p>
        </w:tc>
        <w:tc>
          <w:tcPr>
            <w:tcW w:w="2271" w:type="dxa"/>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rsidR="00272B35" w:rsidRPr="00872E86" w:rsidRDefault="00272B35" w:rsidP="00872E86">
            <w:pPr>
              <w:jc w:val="left"/>
              <w:rPr>
                <w:sz w:val="16"/>
              </w:rPr>
            </w:pPr>
            <w:r>
              <w:rPr>
                <w:sz w:val="16"/>
              </w:rPr>
              <w:t>2019</w:t>
            </w:r>
          </w:p>
        </w:tc>
        <w:tc>
          <w:tcPr>
            <w:tcW w:w="2017" w:type="dxa"/>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rsidR="00272B35" w:rsidRPr="00872E86" w:rsidRDefault="00272B35" w:rsidP="00872E86">
            <w:pPr>
              <w:jc w:val="left"/>
              <w:rPr>
                <w:sz w:val="16"/>
              </w:rPr>
            </w:pPr>
            <w:r>
              <w:rPr>
                <w:sz w:val="16"/>
              </w:rPr>
              <w:t>2020</w:t>
            </w:r>
          </w:p>
        </w:tc>
        <w:tc>
          <w:tcPr>
            <w:tcW w:w="2162" w:type="dxa"/>
            <w:tcBorders>
              <w:top w:val="single" w:sz="8" w:space="0" w:color="auto"/>
              <w:left w:val="nil"/>
              <w:bottom w:val="single" w:sz="8" w:space="0" w:color="auto"/>
              <w:right w:val="single" w:sz="8" w:space="0" w:color="auto"/>
            </w:tcBorders>
          </w:tcPr>
          <w:p w:rsidR="00272B35" w:rsidRPr="00872E86" w:rsidRDefault="00272B35" w:rsidP="00872E86">
            <w:pPr>
              <w:jc w:val="left"/>
              <w:rPr>
                <w:sz w:val="16"/>
              </w:rPr>
            </w:pPr>
            <w:r>
              <w:rPr>
                <w:sz w:val="16"/>
              </w:rPr>
              <w:t>…</w:t>
            </w:r>
          </w:p>
        </w:tc>
      </w:tr>
      <w:tr w:rsidR="00272B35" w:rsidRPr="001B600C" w:rsidTr="00872E86">
        <w:trPr>
          <w:cantSplit/>
          <w:jc w:val="center"/>
        </w:trPr>
        <w:tc>
          <w:tcPr>
            <w:tcW w:w="223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272B35" w:rsidRPr="00872E86" w:rsidRDefault="00272B35" w:rsidP="00FD02CA">
            <w:pPr>
              <w:rPr>
                <w:sz w:val="16"/>
                <w:szCs w:val="18"/>
              </w:rPr>
            </w:pPr>
            <w:r>
              <w:rPr>
                <w:sz w:val="16"/>
              </w:rPr>
              <w:t>Método 1* finalizado</w:t>
            </w:r>
          </w:p>
        </w:tc>
        <w:tc>
          <w:tcPr>
            <w:tcW w:w="4288" w:type="dxa"/>
            <w:gridSpan w:val="2"/>
            <w:tcBorders>
              <w:top w:val="nil"/>
              <w:left w:val="nil"/>
              <w:bottom w:val="single" w:sz="8" w:space="0" w:color="auto"/>
              <w:right w:val="single" w:sz="8" w:space="0" w:color="auto"/>
            </w:tcBorders>
            <w:shd w:val="clear" w:color="auto" w:fill="BFBFBF"/>
            <w:tcMar>
              <w:top w:w="28" w:type="dxa"/>
              <w:left w:w="57" w:type="dxa"/>
              <w:bottom w:w="28" w:type="dxa"/>
              <w:right w:w="57" w:type="dxa"/>
            </w:tcMar>
            <w:vAlign w:val="center"/>
          </w:tcPr>
          <w:p w:rsidR="00272B35" w:rsidRPr="00872E86" w:rsidRDefault="00272B35" w:rsidP="00FD02CA">
            <w:pPr>
              <w:rPr>
                <w:sz w:val="16"/>
              </w:rPr>
            </w:pPr>
          </w:p>
        </w:tc>
        <w:tc>
          <w:tcPr>
            <w:tcW w:w="2162" w:type="dxa"/>
            <w:tcBorders>
              <w:top w:val="nil"/>
              <w:left w:val="nil"/>
              <w:bottom w:val="single" w:sz="8" w:space="0" w:color="auto"/>
              <w:right w:val="single" w:sz="8" w:space="0" w:color="auto"/>
            </w:tcBorders>
            <w:shd w:val="clear" w:color="auto" w:fill="BFBFBF"/>
          </w:tcPr>
          <w:p w:rsidR="00272B35" w:rsidRPr="00872E86" w:rsidRDefault="00272B35" w:rsidP="00FD02CA">
            <w:pPr>
              <w:rPr>
                <w:sz w:val="16"/>
              </w:rPr>
            </w:pPr>
          </w:p>
        </w:tc>
      </w:tr>
      <w:tr w:rsidR="00272B35" w:rsidRPr="001B600C" w:rsidTr="00872E86">
        <w:trPr>
          <w:cantSplit/>
          <w:jc w:val="center"/>
        </w:trPr>
        <w:tc>
          <w:tcPr>
            <w:tcW w:w="2233"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272B35" w:rsidRPr="00872E86" w:rsidRDefault="00272B35" w:rsidP="00FD02CA">
            <w:pPr>
              <w:rPr>
                <w:sz w:val="16"/>
                <w:szCs w:val="18"/>
              </w:rPr>
            </w:pPr>
            <w:r>
              <w:rPr>
                <w:sz w:val="16"/>
              </w:rPr>
              <w:t>Método 2* finalizado</w:t>
            </w:r>
          </w:p>
        </w:tc>
        <w:tc>
          <w:tcPr>
            <w:tcW w:w="4288" w:type="dxa"/>
            <w:gridSpan w:val="2"/>
            <w:tcBorders>
              <w:top w:val="nil"/>
              <w:left w:val="nil"/>
              <w:bottom w:val="single" w:sz="8" w:space="0" w:color="auto"/>
              <w:right w:val="single" w:sz="8" w:space="0" w:color="auto"/>
            </w:tcBorders>
            <w:shd w:val="clear" w:color="auto" w:fill="BFBFBF"/>
            <w:tcMar>
              <w:top w:w="28" w:type="dxa"/>
              <w:left w:w="57" w:type="dxa"/>
              <w:bottom w:w="28" w:type="dxa"/>
              <w:right w:w="57" w:type="dxa"/>
            </w:tcMar>
            <w:vAlign w:val="center"/>
          </w:tcPr>
          <w:p w:rsidR="00272B35" w:rsidRPr="00872E86" w:rsidRDefault="00272B35" w:rsidP="00FD02CA">
            <w:pPr>
              <w:rPr>
                <w:sz w:val="16"/>
              </w:rPr>
            </w:pPr>
          </w:p>
        </w:tc>
        <w:tc>
          <w:tcPr>
            <w:tcW w:w="2162" w:type="dxa"/>
            <w:tcBorders>
              <w:top w:val="nil"/>
              <w:left w:val="nil"/>
              <w:bottom w:val="single" w:sz="8" w:space="0" w:color="auto"/>
              <w:right w:val="single" w:sz="8" w:space="0" w:color="auto"/>
            </w:tcBorders>
            <w:shd w:val="clear" w:color="auto" w:fill="BFBFBF"/>
          </w:tcPr>
          <w:p w:rsidR="00272B35" w:rsidRPr="00872E86" w:rsidRDefault="00272B35" w:rsidP="00FD02CA">
            <w:pPr>
              <w:rPr>
                <w:sz w:val="16"/>
              </w:rPr>
            </w:pPr>
          </w:p>
        </w:tc>
      </w:tr>
      <w:tr w:rsidR="00272B35" w:rsidRPr="001B600C" w:rsidTr="00872E86">
        <w:trPr>
          <w:cantSplit/>
          <w:jc w:val="center"/>
        </w:trPr>
        <w:tc>
          <w:tcPr>
            <w:tcW w:w="652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28" w:type="dxa"/>
              <w:left w:w="57" w:type="dxa"/>
              <w:bottom w:w="28" w:type="dxa"/>
              <w:right w:w="57" w:type="dxa"/>
            </w:tcMar>
            <w:vAlign w:val="center"/>
          </w:tcPr>
          <w:p w:rsidR="00272B35" w:rsidRPr="00872E86" w:rsidRDefault="00272B35" w:rsidP="00872E86">
            <w:pPr>
              <w:jc w:val="center"/>
              <w:rPr>
                <w:sz w:val="16"/>
                <w:szCs w:val="18"/>
              </w:rPr>
            </w:pPr>
            <w:r>
              <w:rPr>
                <w:sz w:val="16"/>
              </w:rPr>
              <w:t>Método 3</w:t>
            </w:r>
          </w:p>
        </w:tc>
        <w:tc>
          <w:tcPr>
            <w:tcW w:w="2162" w:type="dxa"/>
            <w:tcBorders>
              <w:top w:val="nil"/>
              <w:left w:val="nil"/>
              <w:bottom w:val="single" w:sz="8" w:space="0" w:color="auto"/>
              <w:right w:val="single" w:sz="8" w:space="0" w:color="auto"/>
            </w:tcBorders>
          </w:tcPr>
          <w:p w:rsidR="00272B35" w:rsidRPr="00872E86" w:rsidRDefault="00272B35" w:rsidP="00872E86">
            <w:pPr>
              <w:jc w:val="left"/>
              <w:rPr>
                <w:sz w:val="16"/>
              </w:rPr>
            </w:pPr>
            <w:r>
              <w:rPr>
                <w:sz w:val="16"/>
              </w:rPr>
              <w:t>…</w:t>
            </w:r>
          </w:p>
        </w:tc>
      </w:tr>
    </w:tbl>
    <w:p w:rsidR="00272B35" w:rsidRPr="00872E86" w:rsidRDefault="00272B35" w:rsidP="00872E86">
      <w:pPr>
        <w:ind w:left="567"/>
        <w:rPr>
          <w:i/>
        </w:rPr>
      </w:pPr>
      <w:r>
        <w:rPr>
          <w:i/>
          <w:sz w:val="16"/>
        </w:rPr>
        <w:t>* según el número de directrices de examen aprobadas e incluidas en la base de datos de plantillas de directrices de examen</w:t>
      </w:r>
    </w:p>
    <w:p w:rsidR="00272B35" w:rsidRPr="001B600C" w:rsidRDefault="00272B35" w:rsidP="00FD02CA"/>
    <w:p w:rsidR="00272B35" w:rsidRPr="001B600C" w:rsidRDefault="00BC26FD" w:rsidP="00FD02CA">
      <w:pPr>
        <w:rPr>
          <w:sz w:val="22"/>
          <w:szCs w:val="22"/>
        </w:rPr>
      </w:pPr>
      <w:r w:rsidRPr="001B600C">
        <w:fldChar w:fldCharType="begin"/>
      </w:r>
      <w:r w:rsidR="00272B35" w:rsidRPr="001B600C">
        <w:instrText xml:space="preserve"> AUTONUM  </w:instrText>
      </w:r>
      <w:r w:rsidRPr="001B600C">
        <w:fldChar w:fldCharType="end"/>
      </w:r>
      <w:r w:rsidR="00272B35">
        <w:tab/>
        <w:t xml:space="preserve">Para todos los métodos, el orden de prioridad </w:t>
      </w:r>
      <w:r w:rsidR="00027EDC">
        <w:t>con que se añad</w:t>
      </w:r>
      <w:r w:rsidR="00A9797F">
        <w:t>irá</w:t>
      </w:r>
      <w:r w:rsidR="00027EDC">
        <w:t>n los</w:t>
      </w:r>
      <w:r w:rsidR="00272B35">
        <w:t xml:space="preserve"> cultivos o especies se decidirá previa consulta con los participantes en el EAF. </w:t>
      </w:r>
    </w:p>
    <w:p w:rsidR="00272B35" w:rsidRDefault="00272B35" w:rsidP="00FD02CA"/>
    <w:p w:rsidR="00042F26" w:rsidRPr="001B600C" w:rsidRDefault="00042F26" w:rsidP="00FD02CA"/>
    <w:p w:rsidR="00272B35" w:rsidRPr="001B600C" w:rsidRDefault="00272B35" w:rsidP="00B16798">
      <w:pPr>
        <w:pStyle w:val="Heading2"/>
      </w:pPr>
      <w:bookmarkStart w:id="12" w:name="_Toc477541740"/>
      <w:bookmarkStart w:id="13" w:name="_Toc485110116"/>
      <w:r>
        <w:t>Funciones</w:t>
      </w:r>
      <w:bookmarkEnd w:id="12"/>
      <w:bookmarkEnd w:id="13"/>
    </w:p>
    <w:p w:rsidR="00272B35" w:rsidRPr="001B600C" w:rsidRDefault="00272B35" w:rsidP="00272B35">
      <w:pPr>
        <w:pStyle w:val="Heading3"/>
      </w:pPr>
    </w:p>
    <w:p w:rsidR="00272B35" w:rsidRPr="001B600C" w:rsidRDefault="00272B35" w:rsidP="00B16798">
      <w:pPr>
        <w:pStyle w:val="Heading3"/>
      </w:pPr>
      <w:r>
        <w:t>Información a efectos del registro oficial de variedades</w:t>
      </w:r>
    </w:p>
    <w:p w:rsidR="005B5BE3" w:rsidRPr="005B5BE3" w:rsidRDefault="005B5BE3" w:rsidP="00B16798">
      <w:pPr>
        <w:pStyle w:val="Heading3"/>
      </w:pPr>
    </w:p>
    <w:p w:rsidR="00272B35" w:rsidRPr="001B600C" w:rsidRDefault="00BC26FD" w:rsidP="00FD02CA">
      <w:r w:rsidRPr="001B600C">
        <w:rPr>
          <w:color w:val="000000"/>
          <w:spacing w:val="-2"/>
        </w:rPr>
        <w:fldChar w:fldCharType="begin"/>
      </w:r>
      <w:r w:rsidR="00272B35" w:rsidRPr="001B600C">
        <w:rPr>
          <w:color w:val="000000"/>
          <w:spacing w:val="-2"/>
        </w:rPr>
        <w:instrText xml:space="preserve"> AUTONUM  </w:instrText>
      </w:r>
      <w:r w:rsidRPr="001B600C">
        <w:rPr>
          <w:color w:val="000000"/>
          <w:spacing w:val="-2"/>
        </w:rPr>
        <w:fldChar w:fldCharType="end"/>
      </w:r>
      <w:r w:rsidR="00272B35">
        <w:tab/>
        <w:t>Los participantes tomaron nota de que</w:t>
      </w:r>
      <w:r w:rsidR="00027EDC">
        <w:t>,</w:t>
      </w:r>
      <w:r w:rsidR="00272B35">
        <w:t xml:space="preserve"> en cuanto a la información a efectos del registro oficial de variedades, los requisitos se debatirían con cada miembro de la Unión participante que hubiera manifestado su deseo de incluirla. </w:t>
      </w:r>
      <w:r w:rsidR="00A9797F">
        <w:t xml:space="preserve"> </w:t>
      </w:r>
      <w:r w:rsidR="00272B35">
        <w:t xml:space="preserve">Al respecto, también se podría invitar al miembro de la Unión participante a que considere la posibilidad de facilitar fuentes, a fin de </w:t>
      </w:r>
      <w:r w:rsidR="00027EDC">
        <w:t>cumplir</w:t>
      </w:r>
      <w:r w:rsidR="00272B35">
        <w:t xml:space="preserve"> esos requisitos.</w:t>
      </w:r>
    </w:p>
    <w:p w:rsidR="00272B35" w:rsidRPr="001B600C" w:rsidRDefault="00272B35" w:rsidP="00B16798">
      <w:pPr>
        <w:spacing w:line="360" w:lineRule="auto"/>
      </w:pPr>
    </w:p>
    <w:p w:rsidR="00272B35" w:rsidRPr="001B600C" w:rsidRDefault="00272B35" w:rsidP="00B16798">
      <w:pPr>
        <w:pStyle w:val="Heading3"/>
      </w:pPr>
      <w:bookmarkStart w:id="14" w:name="_Toc457833225"/>
      <w:bookmarkStart w:id="15" w:name="_Toc461641449"/>
      <w:r>
        <w:t>Pago</w:t>
      </w:r>
      <w:bookmarkEnd w:id="14"/>
      <w:bookmarkEnd w:id="15"/>
    </w:p>
    <w:p w:rsidR="00272B35" w:rsidRPr="005B5BE3" w:rsidRDefault="00272B35" w:rsidP="00B16798">
      <w:pPr>
        <w:pStyle w:val="Heading3"/>
      </w:pPr>
    </w:p>
    <w:p w:rsidR="00272B35" w:rsidRPr="001B600C" w:rsidRDefault="00BC26FD" w:rsidP="00FD02CA">
      <w:pPr>
        <w:rPr>
          <w:rFonts w:eastAsia="MS Mincho"/>
        </w:rPr>
      </w:pPr>
      <w:r w:rsidRPr="001B600C">
        <w:rPr>
          <w:color w:val="000000"/>
        </w:rPr>
        <w:fldChar w:fldCharType="begin"/>
      </w:r>
      <w:r w:rsidR="00272B35" w:rsidRPr="001B600C">
        <w:rPr>
          <w:color w:val="000000"/>
        </w:rPr>
        <w:instrText xml:space="preserve"> AUTONUM  </w:instrText>
      </w:r>
      <w:r w:rsidRPr="001B600C">
        <w:rPr>
          <w:color w:val="000000"/>
        </w:rPr>
        <w:fldChar w:fldCharType="end"/>
      </w:r>
      <w:r w:rsidR="00272B35">
        <w:tab/>
        <w:t>Los participantes tomaron nota de que en la versión 2.0 será posible introducir métodos de pago adicionales, p.</w:t>
      </w:r>
      <w:r w:rsidR="00A9797F">
        <w:t> </w:t>
      </w:r>
      <w:r w:rsidR="00272B35">
        <w:t xml:space="preserve">ej. cuenta corriente o monedero electrónico. </w:t>
      </w:r>
      <w:r w:rsidR="00027EDC">
        <w:t xml:space="preserve"> </w:t>
      </w:r>
      <w:r w:rsidR="00272B35">
        <w:t>Se propuso investigar esas distintas posibilidades e informar sobre las novedades que pudiera haber sobre ellas en una reunión EAF posterior.</w:t>
      </w:r>
    </w:p>
    <w:p w:rsidR="00272B35" w:rsidRPr="001B600C" w:rsidRDefault="00272B35" w:rsidP="00B16798">
      <w:pPr>
        <w:spacing w:line="360" w:lineRule="auto"/>
      </w:pPr>
    </w:p>
    <w:p w:rsidR="00272B35" w:rsidRPr="001B600C" w:rsidRDefault="00272B35" w:rsidP="00B16798">
      <w:pPr>
        <w:pStyle w:val="Heading3"/>
      </w:pPr>
      <w:r>
        <w:t>Enlace a la información disponible en la base de datos GENIE</w:t>
      </w:r>
    </w:p>
    <w:p w:rsidR="005B5BE3" w:rsidRPr="005B5BE3" w:rsidRDefault="005B5BE3" w:rsidP="00B16798">
      <w:pPr>
        <w:pStyle w:val="Heading3"/>
      </w:pPr>
    </w:p>
    <w:p w:rsidR="00272B35" w:rsidRPr="001B600C" w:rsidRDefault="00BC26FD" w:rsidP="00FD02CA">
      <w:r w:rsidRPr="001B600C">
        <w:fldChar w:fldCharType="begin"/>
      </w:r>
      <w:r w:rsidR="00272B35" w:rsidRPr="001B600C">
        <w:instrText xml:space="preserve"> AUTONUM  </w:instrText>
      </w:r>
      <w:r w:rsidRPr="001B600C">
        <w:fldChar w:fldCharType="end"/>
      </w:r>
      <w:r w:rsidR="00272B35">
        <w:tab/>
        <w:t xml:space="preserve">Los participantes tomaron nota de la propuesta de introducir en el sitio web del EAF un enlace a la información disponible en GENIE, en especial la relativa a la experiencia y la cooperación en el examen DHE. </w:t>
      </w:r>
    </w:p>
    <w:p w:rsidR="00272B35" w:rsidRDefault="00272B35" w:rsidP="00B16798"/>
    <w:p w:rsidR="00B16798" w:rsidRPr="001B600C" w:rsidRDefault="00B16798" w:rsidP="00B16798"/>
    <w:p w:rsidR="00272B35" w:rsidRPr="001B600C" w:rsidRDefault="00272B35" w:rsidP="00B16798">
      <w:pPr>
        <w:pStyle w:val="Heading2"/>
      </w:pPr>
      <w:bookmarkStart w:id="16" w:name="_Toc477541741"/>
      <w:bookmarkStart w:id="17" w:name="_Toc485110117"/>
      <w:r>
        <w:t>Comunicación:</w:t>
      </w:r>
      <w:bookmarkEnd w:id="16"/>
      <w:bookmarkEnd w:id="17"/>
    </w:p>
    <w:p w:rsidR="00272B35" w:rsidRPr="001B600C" w:rsidRDefault="00272B35" w:rsidP="00B16798">
      <w:pPr>
        <w:pStyle w:val="Heading2"/>
      </w:pPr>
    </w:p>
    <w:p w:rsidR="00272B35" w:rsidRPr="001B600C" w:rsidRDefault="00BC26FD" w:rsidP="00FD02CA">
      <w:pPr>
        <w:rPr>
          <w:rFonts w:eastAsia="MS Mincho"/>
          <w:spacing w:val="-2"/>
        </w:rPr>
      </w:pPr>
      <w:r w:rsidRPr="001B600C">
        <w:fldChar w:fldCharType="begin"/>
      </w:r>
      <w:r w:rsidR="00272B35" w:rsidRPr="001B600C">
        <w:instrText xml:space="preserve"> AUTONUM  </w:instrText>
      </w:r>
      <w:r w:rsidRPr="001B600C">
        <w:fldChar w:fldCharType="end"/>
      </w:r>
      <w:r w:rsidR="00272B35">
        <w:tab/>
        <w:t>Los participantes tomaron nota de que:</w:t>
      </w:r>
    </w:p>
    <w:p w:rsidR="00272B35" w:rsidRPr="001B600C" w:rsidRDefault="00272B35" w:rsidP="00FD02CA">
      <w:pPr>
        <w:rPr>
          <w:rFonts w:eastAsia="MS Mincho"/>
        </w:rPr>
      </w:pPr>
    </w:p>
    <w:p w:rsidR="00272B35" w:rsidRPr="00027EDC" w:rsidRDefault="00027EDC" w:rsidP="00027EDC">
      <w:pPr>
        <w:ind w:firstLine="567"/>
      </w:pPr>
      <w:r>
        <w:t>a)</w:t>
      </w:r>
      <w:r>
        <w:tab/>
      </w:r>
      <w:r w:rsidR="00272B35" w:rsidRPr="00027EDC">
        <w:t xml:space="preserve">en el momento de la puesta en </w:t>
      </w:r>
      <w:r w:rsidR="00EE3C07">
        <w:t>funcionamiento</w:t>
      </w:r>
      <w:r w:rsidR="00272B35" w:rsidRPr="00027EDC">
        <w:t xml:space="preserve"> del EAF, la Oficina de la Unión había informado sobre la disponibilidad del sistema a las organizaciones de obtentores y las oficinas de protección de las obtenciones vegetales (véanse las circulares E-17/007, E-17/008 y E-17/009) y las </w:t>
      </w:r>
      <w:r w:rsidR="00EE3C07">
        <w:t>había invitado</w:t>
      </w:r>
      <w:r w:rsidR="00272B35" w:rsidRPr="00027EDC">
        <w:t xml:space="preserve"> a que informaran a todos los sectores interesados pertinentes; </w:t>
      </w:r>
    </w:p>
    <w:p w:rsidR="0043283D" w:rsidRPr="0043283D" w:rsidRDefault="0043283D" w:rsidP="00027EDC">
      <w:pPr>
        <w:ind w:firstLine="567"/>
      </w:pPr>
    </w:p>
    <w:p w:rsidR="00272B35" w:rsidRPr="00027EDC" w:rsidRDefault="00027EDC" w:rsidP="00027EDC">
      <w:pPr>
        <w:ind w:firstLine="567"/>
      </w:pPr>
      <w:r>
        <w:t>b)</w:t>
      </w:r>
      <w:r>
        <w:tab/>
      </w:r>
      <w:r w:rsidR="00272B35" w:rsidRPr="00027EDC">
        <w:t xml:space="preserve">se elaboraría una serie de materiales de comunicación (p. ej. carteles y folletos) para los miembros de la UPOV y las organizaciones de obtentores; </w:t>
      </w:r>
    </w:p>
    <w:p w:rsidR="0043283D" w:rsidRPr="0043283D" w:rsidRDefault="0043283D" w:rsidP="00027EDC">
      <w:pPr>
        <w:ind w:firstLine="567"/>
      </w:pPr>
    </w:p>
    <w:p w:rsidR="00272B35" w:rsidRPr="00027EDC" w:rsidRDefault="00027EDC" w:rsidP="00027EDC">
      <w:pPr>
        <w:ind w:firstLine="567"/>
      </w:pPr>
      <w:r>
        <w:t>c)</w:t>
      </w:r>
      <w:r>
        <w:tab/>
      </w:r>
      <w:r w:rsidR="00272B35" w:rsidRPr="00027EDC">
        <w:t>se organizarían reuniones (entre ellas sesiones y seminarios por Internet), previa petición, para solicitantes individuales o grupos de solicitantes y se elaboraría material de formación (p. ej. presentaciones en PowerPoint, guías y formación en línea).</w:t>
      </w:r>
    </w:p>
    <w:p w:rsidR="00272B35" w:rsidRPr="001B600C" w:rsidRDefault="00272B35" w:rsidP="00FD02CA"/>
    <w:p w:rsidR="00272B35" w:rsidRPr="001B600C" w:rsidRDefault="00BC26FD" w:rsidP="00FD02CA">
      <w:r w:rsidRPr="001B600C">
        <w:fldChar w:fldCharType="begin"/>
      </w:r>
      <w:r w:rsidR="00272B35" w:rsidRPr="001B600C">
        <w:instrText xml:space="preserve"> AUTONUM  </w:instrText>
      </w:r>
      <w:r w:rsidRPr="001B600C">
        <w:fldChar w:fldCharType="end"/>
      </w:r>
      <w:r w:rsidR="00272B35">
        <w:tab/>
        <w:t xml:space="preserve">Los participantes tomaron nota de la propuesta, efectuada por algunas de las oficinas de protección de las obtenciones vegetales participantes en el EAF, de añadir en sus propios sitios web un enlace que remita al EAF.  Se convino además en la importancia de que las oficinas de protección de las obtenciones vegetales difundan la información sobre la disponibilidad del </w:t>
      </w:r>
      <w:r w:rsidR="00A9797F">
        <w:t>EAF a los posibles usuarios (p. </w:t>
      </w:r>
      <w:r w:rsidR="00272B35">
        <w:t>ej. obtentores, representantes, agentes, etc.).</w:t>
      </w:r>
    </w:p>
    <w:p w:rsidR="00272B35" w:rsidRDefault="00272B35" w:rsidP="00B16798"/>
    <w:p w:rsidR="00B16798" w:rsidRPr="001B600C" w:rsidRDefault="00B16798" w:rsidP="00B16798"/>
    <w:p w:rsidR="00272B35" w:rsidRPr="001B600C" w:rsidRDefault="00272B35" w:rsidP="00B16798">
      <w:pPr>
        <w:pStyle w:val="Heading2"/>
      </w:pPr>
      <w:bookmarkStart w:id="18" w:name="_Toc477541742"/>
      <w:bookmarkStart w:id="19" w:name="_Toc485110118"/>
      <w:r>
        <w:t>Apoyo</w:t>
      </w:r>
      <w:bookmarkEnd w:id="18"/>
      <w:bookmarkEnd w:id="19"/>
    </w:p>
    <w:p w:rsidR="00272B35" w:rsidRPr="001B600C" w:rsidRDefault="00272B35" w:rsidP="00B16798">
      <w:pPr>
        <w:pStyle w:val="Heading2"/>
      </w:pPr>
    </w:p>
    <w:p w:rsidR="00272B35" w:rsidRPr="001B600C" w:rsidRDefault="00BC26FD" w:rsidP="00FD02CA">
      <w:r w:rsidRPr="001B600C">
        <w:fldChar w:fldCharType="begin"/>
      </w:r>
      <w:r w:rsidR="00272B35" w:rsidRPr="001B600C">
        <w:instrText xml:space="preserve"> AUTONUM  </w:instrText>
      </w:r>
      <w:r w:rsidRPr="001B600C">
        <w:fldChar w:fldCharType="end"/>
      </w:r>
      <w:r w:rsidR="00272B35">
        <w:tab/>
        <w:t>Los participantes tomaron nota de que</w:t>
      </w:r>
      <w:r w:rsidR="006775F5">
        <w:t>,</w:t>
      </w:r>
      <w:r w:rsidR="00272B35">
        <w:t xml:space="preserve"> en consulta con las reuniones EAF, se elaboraría un programa de apoyo a los usuarios y previsiones de mantenimiento habitual para las oficinas de protección de las obtenciones vegetales, según las necesidades expresadas y los recursos disponibles en la Oficina de la Unión. </w:t>
      </w:r>
    </w:p>
    <w:p w:rsidR="00272B35" w:rsidRDefault="00272B35" w:rsidP="00B16798"/>
    <w:p w:rsidR="00B16798" w:rsidRPr="001B600C" w:rsidRDefault="00B16798" w:rsidP="00B16798"/>
    <w:p w:rsidR="00272B35" w:rsidRPr="001B600C" w:rsidRDefault="00272B35" w:rsidP="00B16798">
      <w:pPr>
        <w:pStyle w:val="Heading2"/>
      </w:pPr>
      <w:bookmarkStart w:id="20" w:name="_Toc477541743"/>
      <w:bookmarkStart w:id="21" w:name="_Toc485110119"/>
      <w:r>
        <w:t>Nombre</w:t>
      </w:r>
      <w:bookmarkEnd w:id="20"/>
      <w:bookmarkEnd w:id="21"/>
    </w:p>
    <w:p w:rsidR="00272B35" w:rsidRPr="001B600C" w:rsidRDefault="00272B35" w:rsidP="00B16798">
      <w:pPr>
        <w:pStyle w:val="Heading2"/>
      </w:pPr>
    </w:p>
    <w:p w:rsidR="00272B35" w:rsidRDefault="00BC26FD" w:rsidP="001F2358">
      <w:pPr>
        <w:keepNext/>
      </w:pPr>
      <w:r w:rsidRPr="001B600C">
        <w:fldChar w:fldCharType="begin"/>
      </w:r>
      <w:r w:rsidR="00272B35" w:rsidRPr="001B600C">
        <w:instrText xml:space="preserve"> AUTONUM  </w:instrText>
      </w:r>
      <w:r w:rsidRPr="001B600C">
        <w:fldChar w:fldCharType="end"/>
      </w:r>
      <w:r w:rsidR="00272B35">
        <w:tab/>
        <w:t>En la reunión EAF/9 se consideró que el nuevo nombre del EAF sea “PRISMA” (sigla en inglés de Sistema de información de encaminamiento para datos de variedades vegetales con formul</w:t>
      </w:r>
      <w:r w:rsidR="002D0400">
        <w:t>arios plurilingües) y se eligió</w:t>
      </w:r>
      <w:r w:rsidR="00272B35">
        <w:t> el siguiente logo, que se presentó en la reunión:</w:t>
      </w:r>
    </w:p>
    <w:p w:rsidR="00DF2F16" w:rsidRDefault="00DF2F16" w:rsidP="001F2358">
      <w:pPr>
        <w:keepNext/>
      </w:pPr>
    </w:p>
    <w:p w:rsidR="00DF2F16" w:rsidRPr="001B600C" w:rsidRDefault="00DF2F16" w:rsidP="001F2358">
      <w:pPr>
        <w:ind w:left="567"/>
      </w:pPr>
      <w:r>
        <w:rPr>
          <w:noProof/>
        </w:rPr>
        <w:drawing>
          <wp:inline distT="0" distB="0" distL="0" distR="0">
            <wp:extent cx="400050" cy="457200"/>
            <wp:effectExtent l="0" t="0" r="0" b="0"/>
            <wp:docPr id="1" name="Picture 1" descr="N:\OrgUPOV\Shared\UPOV_EAF\logo_PRISMA\PRISMA_Logo_final\CR_logos\prisma-color-4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UPOV_EAF\logo_PRISMA\PRISMA_Logo_final\CR_logos\prisma-color-48px.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p w:rsidR="00272B35" w:rsidRPr="001B600C" w:rsidRDefault="00272B35" w:rsidP="00FD02CA"/>
    <w:p w:rsidR="00272B35" w:rsidRPr="001B600C" w:rsidRDefault="00BC26FD" w:rsidP="001F2358">
      <w:pPr>
        <w:spacing w:after="720"/>
      </w:pPr>
      <w:r w:rsidRPr="001B600C">
        <w:fldChar w:fldCharType="begin"/>
      </w:r>
      <w:r w:rsidR="00272B35" w:rsidRPr="001B600C">
        <w:instrText xml:space="preserve"> AUTONUM  </w:instrText>
      </w:r>
      <w:r w:rsidRPr="001B600C">
        <w:fldChar w:fldCharType="end"/>
      </w:r>
      <w:r w:rsidR="00272B35">
        <w:tab/>
        <w:t>En la reunión EAF/9 se acordó que el nombre “PRISMA” y el logo propuesto se sometieran a la aprobación del Consejo en su quincuagésima primera sesión ordinaria, prevista en Ginebra el 26 de octubre de 2017.</w:t>
      </w:r>
    </w:p>
    <w:p w:rsidR="00272B35" w:rsidRPr="001B600C" w:rsidRDefault="00272B35" w:rsidP="00B16798">
      <w:pPr>
        <w:pStyle w:val="Heading1"/>
      </w:pPr>
      <w:bookmarkStart w:id="22" w:name="_Toc485110120"/>
      <w:r>
        <w:t>Últimas novedades</w:t>
      </w:r>
      <w:bookmarkEnd w:id="22"/>
    </w:p>
    <w:p w:rsidR="00272B35" w:rsidRPr="00740FAC" w:rsidRDefault="00272B35" w:rsidP="00B16798">
      <w:pPr>
        <w:pStyle w:val="Heading1"/>
      </w:pPr>
    </w:p>
    <w:p w:rsidR="00272B35" w:rsidRPr="001B600C" w:rsidRDefault="00BC26FD" w:rsidP="00B16798">
      <w:pPr>
        <w:keepNext/>
      </w:pPr>
      <w:r w:rsidRPr="001B600C">
        <w:fldChar w:fldCharType="begin"/>
      </w:r>
      <w:r w:rsidR="00272B35" w:rsidRPr="001B600C">
        <w:instrText xml:space="preserve"> AUTONUM  </w:instrText>
      </w:r>
      <w:r w:rsidRPr="001B600C">
        <w:fldChar w:fldCharType="end"/>
      </w:r>
      <w:r w:rsidR="00272B35">
        <w:tab/>
        <w:t>La Oficina de la Unión notificó que el Ecuador había comunicado a la Oficina de la Unión su interés en participar en el EAF.</w:t>
      </w:r>
    </w:p>
    <w:p w:rsidR="00272B35" w:rsidRPr="001B600C" w:rsidRDefault="00272B35" w:rsidP="00B16798">
      <w:pPr>
        <w:keepNext/>
      </w:pPr>
    </w:p>
    <w:p w:rsidR="00272B35" w:rsidRPr="001B600C" w:rsidRDefault="00BC26FD" w:rsidP="00FD02CA">
      <w:r w:rsidRPr="001B600C">
        <w:fldChar w:fldCharType="begin"/>
      </w:r>
      <w:r w:rsidR="00272B35" w:rsidRPr="001B600C">
        <w:instrText xml:space="preserve"> AUTONUM  </w:instrText>
      </w:r>
      <w:r w:rsidRPr="001B600C">
        <w:fldChar w:fldCharType="end"/>
      </w:r>
      <w:r w:rsidR="00272B35">
        <w:tab/>
        <w:t>La Oficina de la Unión también explicó que los miembros de la Unión que no hubieran participado en la V2P o la versión 1.1 podrían ser incluidos tras la puesta en funcionamiento de la versión 2.0.  Esos miembros deberían proporcionar sus formularios para los cultivos seleccionados (formulario de solicitud y cuestionario técnico) en uno de los idiomas de la UPOV y, si procede, facilitar las traducciones de las preguntas de los formularios de solicitud y los cuestionarios técnicos de los otros idiomas empleados en el</w:t>
      </w:r>
      <w:r w:rsidR="002D0400">
        <w:t> </w:t>
      </w:r>
      <w:r w:rsidR="00272B35">
        <w:t>EAF.  El calendario de la incorporación de nuevos miembros de la Unión estaría sujeto a la disponibilidad de recursos y variaría según el contenido del formulario de solicitud y los cuestionarios técnicos.</w:t>
      </w:r>
    </w:p>
    <w:p w:rsidR="00272B35" w:rsidRDefault="00272B35" w:rsidP="00FD02CA"/>
    <w:p w:rsidR="00B16798" w:rsidRDefault="00B16798" w:rsidP="00FD02CA"/>
    <w:p w:rsidR="00B16798" w:rsidRPr="001B600C" w:rsidRDefault="00B16798" w:rsidP="00FD02CA"/>
    <w:p w:rsidR="00EA3E13" w:rsidRPr="001B600C" w:rsidRDefault="00EA3E13" w:rsidP="00B16798">
      <w:pPr>
        <w:pStyle w:val="Heading1"/>
      </w:pPr>
      <w:r>
        <w:t>Fecha de la próxima reunión</w:t>
      </w:r>
    </w:p>
    <w:p w:rsidR="00EA3E13" w:rsidRPr="001B600C" w:rsidRDefault="00EA3E13" w:rsidP="00FD02CA"/>
    <w:p w:rsidR="00EA3E13" w:rsidRPr="001B600C" w:rsidRDefault="00BC26FD" w:rsidP="00FD02CA">
      <w:r w:rsidRPr="001B600C">
        <w:fldChar w:fldCharType="begin"/>
      </w:r>
      <w:r w:rsidR="00EA3E13" w:rsidRPr="001B600C">
        <w:instrText xml:space="preserve"> AUTONUM  </w:instrText>
      </w:r>
      <w:r w:rsidRPr="001B600C">
        <w:fldChar w:fldCharType="end"/>
      </w:r>
      <w:r w:rsidR="00EA3E13">
        <w:tab/>
        <w:t xml:space="preserve">Se acordó que la próxima reunión EAF (reunión EAF/10) se celebre en Ginebra la tarde del </w:t>
      </w:r>
      <w:r w:rsidR="00042F26">
        <w:t>viernes 27 </w:t>
      </w:r>
      <w:r w:rsidR="00EA3E13">
        <w:t>de octubre de 2017.</w:t>
      </w:r>
    </w:p>
    <w:p w:rsidR="00732484" w:rsidRPr="001B600C" w:rsidRDefault="00732484" w:rsidP="00FD02CA"/>
    <w:p w:rsidR="006B3305" w:rsidRDefault="00BC26FD" w:rsidP="006B3305">
      <w:pPr>
        <w:tabs>
          <w:tab w:val="left" w:pos="5387"/>
        </w:tabs>
        <w:ind w:left="4820"/>
        <w:rPr>
          <w:rFonts w:eastAsiaTheme="minorHAnsi"/>
          <w:i/>
        </w:rPr>
      </w:pPr>
      <w:r w:rsidRPr="00490771">
        <w:rPr>
          <w:rFonts w:eastAsiaTheme="minorHAnsi"/>
          <w:i/>
        </w:rPr>
        <w:fldChar w:fldCharType="begin"/>
      </w:r>
      <w:r w:rsidR="006B3305" w:rsidRPr="00490771">
        <w:rPr>
          <w:rFonts w:eastAsiaTheme="minorHAnsi"/>
          <w:i/>
        </w:rPr>
        <w:instrText xml:space="preserve"> AUTONUM  </w:instrText>
      </w:r>
      <w:r w:rsidRPr="00490771">
        <w:rPr>
          <w:rFonts w:eastAsiaTheme="minorHAnsi"/>
          <w:i/>
        </w:rPr>
        <w:fldChar w:fldCharType="end"/>
      </w:r>
      <w:r w:rsidR="006B3305">
        <w:tab/>
      </w:r>
      <w:r w:rsidR="006B3305">
        <w:rPr>
          <w:rFonts w:eastAsiaTheme="minorHAnsi"/>
          <w:i/>
        </w:rPr>
        <w:t>E</w:t>
      </w:r>
      <w:r w:rsidR="00FE21C6">
        <w:rPr>
          <w:rFonts w:eastAsiaTheme="minorHAnsi"/>
          <w:i/>
        </w:rPr>
        <w:t>l presen</w:t>
      </w:r>
      <w:r w:rsidR="006B3305">
        <w:rPr>
          <w:rFonts w:eastAsiaTheme="minorHAnsi"/>
          <w:i/>
        </w:rPr>
        <w:t>te informe se aprobó por correspondencia.</w:t>
      </w:r>
    </w:p>
    <w:p w:rsidR="006B3305" w:rsidRDefault="006B3305" w:rsidP="006B3305"/>
    <w:p w:rsidR="006B3305" w:rsidRDefault="006B3305" w:rsidP="006B3305"/>
    <w:p w:rsidR="006228C8" w:rsidRPr="001B600C" w:rsidRDefault="006228C8" w:rsidP="00FD02CA"/>
    <w:p w:rsidR="006228C8" w:rsidRPr="001B600C" w:rsidRDefault="006228C8" w:rsidP="00FD02CA"/>
    <w:p w:rsidR="009B440E" w:rsidRPr="001B600C" w:rsidRDefault="00050E16" w:rsidP="00B16798">
      <w:pPr>
        <w:jc w:val="right"/>
      </w:pPr>
      <w:r>
        <w:t>[Siguen los Anexos]</w:t>
      </w:r>
    </w:p>
    <w:p w:rsidR="00903264" w:rsidRPr="001B600C" w:rsidRDefault="00903264" w:rsidP="00FD02CA"/>
    <w:p w:rsidR="00666DA5" w:rsidRPr="001B600C" w:rsidRDefault="00666DA5" w:rsidP="00FD02CA"/>
    <w:p w:rsidR="003E3020" w:rsidRPr="001B600C" w:rsidRDefault="003E3020" w:rsidP="00FD02CA">
      <w:pPr>
        <w:sectPr w:rsidR="003E3020" w:rsidRPr="001B600C" w:rsidSect="00D432EC">
          <w:headerReference w:type="default" r:id="rId12"/>
          <w:footerReference w:type="first" r:id="rId13"/>
          <w:pgSz w:w="11907" w:h="16840" w:code="9"/>
          <w:pgMar w:top="510" w:right="1134" w:bottom="1134" w:left="1134" w:header="510" w:footer="680" w:gutter="0"/>
          <w:cols w:space="720"/>
          <w:titlePg/>
        </w:sectPr>
      </w:pPr>
    </w:p>
    <w:p w:rsidR="004148CF" w:rsidRPr="001B600C" w:rsidRDefault="004148CF" w:rsidP="001F2358">
      <w:pPr>
        <w:jc w:val="center"/>
      </w:pPr>
      <w:r>
        <w:t>UPOV/EAF/9/3</w:t>
      </w:r>
    </w:p>
    <w:p w:rsidR="004148CF" w:rsidRPr="001B600C" w:rsidRDefault="004148CF" w:rsidP="001F2358">
      <w:pPr>
        <w:jc w:val="center"/>
      </w:pPr>
    </w:p>
    <w:p w:rsidR="004148CF" w:rsidRPr="001B600C" w:rsidRDefault="004148CF" w:rsidP="001F2358">
      <w:pPr>
        <w:jc w:val="center"/>
      </w:pPr>
      <w:r w:rsidRPr="001B600C">
        <w:t>ANNEX I</w:t>
      </w:r>
    </w:p>
    <w:p w:rsidR="004148CF" w:rsidRDefault="004148CF" w:rsidP="001F2358">
      <w:pPr>
        <w:jc w:val="center"/>
      </w:pPr>
    </w:p>
    <w:p w:rsidR="004148CF" w:rsidRPr="001B600C" w:rsidRDefault="004148CF" w:rsidP="001F2358">
      <w:pPr>
        <w:jc w:val="center"/>
      </w:pPr>
    </w:p>
    <w:p w:rsidR="004148CF" w:rsidRPr="001B600C" w:rsidRDefault="004148CF" w:rsidP="001F2358">
      <w:pPr>
        <w:jc w:val="center"/>
      </w:pPr>
      <w:r w:rsidRPr="001B600C">
        <w:t>LISTE DES PARTICIPANTS / LIST OF PARTICIPANTS /</w:t>
      </w:r>
      <w:r w:rsidRPr="001B600C">
        <w:br/>
        <w:t>TEILNEHMERLISTE / LISTA DE PARTICIPANTES</w:t>
      </w:r>
      <w:r w:rsidRPr="001B600C">
        <w:br/>
      </w:r>
      <w:r w:rsidRPr="001B600C">
        <w:br/>
        <w:t xml:space="preserve">(dans l’ordre alphabétique des noms français des membres / </w:t>
      </w:r>
      <w:r w:rsidRPr="001B600C">
        <w:br/>
        <w:t xml:space="preserve">in the alphabetical order of the French names of the Members / </w:t>
      </w:r>
      <w:r w:rsidRPr="001B600C">
        <w:br/>
        <w:t xml:space="preserve">in alphabetischer Reihenfolge der französischen Namen der Mitglieder / </w:t>
      </w:r>
      <w:r w:rsidRPr="001B600C">
        <w:br/>
        <w:t>por orden alfabético de los nombres en francés de los miembros)</w:t>
      </w:r>
    </w:p>
    <w:p w:rsidR="004148CF" w:rsidRPr="001B600C" w:rsidRDefault="004148CF" w:rsidP="00FD02CA">
      <w:pPr>
        <w:pStyle w:val="plheading"/>
      </w:pPr>
      <w:r w:rsidRPr="001B600C">
        <w:t>I. MEMBRES / MEMBERS / VERBANDSMITGLIEDER / MIEMBROS</w:t>
      </w:r>
    </w:p>
    <w:p w:rsidR="004148CF" w:rsidRPr="001B600C" w:rsidRDefault="004148CF" w:rsidP="00FD02CA">
      <w:pPr>
        <w:pStyle w:val="plcountry"/>
      </w:pPr>
      <w:r w:rsidRPr="001B600C">
        <w:t>ARGENTINE / ARGENTINA / ARGENTINIEN / ARGENTINA</w:t>
      </w:r>
    </w:p>
    <w:p w:rsidR="004148CF" w:rsidRPr="001B600C" w:rsidRDefault="004148CF" w:rsidP="00FD02CA">
      <w:pPr>
        <w:pStyle w:val="pldetails"/>
      </w:pPr>
      <w:r w:rsidRPr="001B600C">
        <w:t xml:space="preserve">Raimundo LAVIGNOLLE, Presidente del Directorio, Instituto Nacional de Semillas (INASE), </w:t>
      </w:r>
      <w:r w:rsidRPr="001B600C">
        <w:br/>
        <w:t xml:space="preserve">Secretaría de Agricultura, Ganadería y Pesca, Ministerio de Economía, Buenos Aires  </w:t>
      </w:r>
      <w:r w:rsidRPr="001B600C">
        <w:br/>
        <w:t xml:space="preserve">(e-mail: rlavignolle@inase.gov.ar) </w:t>
      </w:r>
    </w:p>
    <w:p w:rsidR="004148CF" w:rsidRPr="001B600C" w:rsidRDefault="004148CF" w:rsidP="00FD02CA">
      <w:pPr>
        <w:pStyle w:val="pldetails"/>
      </w:pPr>
      <w:r w:rsidRPr="001B600C">
        <w:t xml:space="preserve">María Laura VILLAMAYOR (Sra.), Abogada, Unidad Presidencia, Instituto Nacional de Semillas (INASE), Secretaría de Agricultura, Ganadería y Pesca, Ministerio de Economía, Buenos Aires  </w:t>
      </w:r>
      <w:r w:rsidRPr="001B600C">
        <w:br/>
        <w:t xml:space="preserve">(e-mail: mlvillamayor@inase.gov.ar) </w:t>
      </w:r>
    </w:p>
    <w:p w:rsidR="004148CF" w:rsidRPr="001B600C" w:rsidRDefault="004148CF" w:rsidP="00FD02CA">
      <w:pPr>
        <w:pStyle w:val="plcountry"/>
      </w:pPr>
      <w:r w:rsidRPr="001B600C">
        <w:t>AUSTRALIE / AUSTRALIA / AUSTRALIEN / AUSTRALIA</w:t>
      </w:r>
    </w:p>
    <w:p w:rsidR="004148CF" w:rsidRPr="001B600C" w:rsidRDefault="004148CF" w:rsidP="00FD02CA">
      <w:pPr>
        <w:pStyle w:val="pldetails"/>
      </w:pPr>
      <w:r w:rsidRPr="001B600C">
        <w:t xml:space="preserve">Nik HULSE, Chief of Plant Breeders' Rights, Plant Breeder's Rights Office, IP Australia, Woden </w:t>
      </w:r>
      <w:r w:rsidRPr="001B600C">
        <w:br/>
        <w:t xml:space="preserve">(e-mail: nik.hulse@ipaustralia.gov.au) </w:t>
      </w:r>
    </w:p>
    <w:p w:rsidR="004148CF" w:rsidRPr="001B600C" w:rsidRDefault="004148CF" w:rsidP="00FD02CA">
      <w:pPr>
        <w:pStyle w:val="pldetails"/>
      </w:pPr>
      <w:r w:rsidRPr="001B600C">
        <w:t xml:space="preserve">Tanvir HOSSAIN, Senior Examiner, Plant Breeder's Rights Office, IP Australia, Woden </w:t>
      </w:r>
      <w:r w:rsidRPr="001B600C">
        <w:br/>
        <w:t xml:space="preserve">(e-mail: tanvir.hossain@ipaustralia.gov.au) </w:t>
      </w:r>
    </w:p>
    <w:p w:rsidR="004148CF" w:rsidRPr="001B600C" w:rsidRDefault="004148CF" w:rsidP="00FD02CA">
      <w:pPr>
        <w:pStyle w:val="plcountry"/>
      </w:pPr>
      <w:r w:rsidRPr="001B600C">
        <w:t>BÉLARUS / BELARUS / BELARUS / BELARÚS</w:t>
      </w:r>
    </w:p>
    <w:p w:rsidR="004148CF" w:rsidRPr="001B600C" w:rsidRDefault="004148CF" w:rsidP="00FD02CA">
      <w:pPr>
        <w:pStyle w:val="pldetails"/>
      </w:pPr>
      <w:r w:rsidRPr="001B600C">
        <w:t xml:space="preserve">Uladzimir BEINIA, Director, State Inspection for Testing and Protection of Plant Varieties, Minsk  </w:t>
      </w:r>
      <w:r w:rsidRPr="001B600C">
        <w:br/>
        <w:t xml:space="preserve">(e-mail: belsort@mail.ru) </w:t>
      </w:r>
    </w:p>
    <w:p w:rsidR="004148CF" w:rsidRPr="001B600C" w:rsidRDefault="004148CF" w:rsidP="00FD02CA">
      <w:pPr>
        <w:pStyle w:val="pldetails"/>
      </w:pPr>
      <w:r w:rsidRPr="001B600C">
        <w:t xml:space="preserve">Tatsiana SIAMASHKA (Mrs.), Deputy Director of DUS Testing, State Inspection for Testing and Protection of Plant Varieties, Minsk  </w:t>
      </w:r>
      <w:r w:rsidRPr="001B600C">
        <w:br/>
        <w:t xml:space="preserve">(e-mail: tatianasortr@mail.ru) </w:t>
      </w:r>
    </w:p>
    <w:p w:rsidR="004148CF" w:rsidRPr="001B600C" w:rsidRDefault="004148CF" w:rsidP="00FD02CA">
      <w:pPr>
        <w:pStyle w:val="pldetails"/>
      </w:pPr>
      <w:r w:rsidRPr="001B600C">
        <w:t xml:space="preserve">Maryna SALADUKHA (Ms.), Head, International Cooperation Department, State Inspection for Testing and Protection of Plant Varieties, Minsk  </w:t>
      </w:r>
      <w:r w:rsidRPr="001B600C">
        <w:br/>
        <w:t xml:space="preserve">(e-mail: belsort@mail.ru) </w:t>
      </w:r>
    </w:p>
    <w:p w:rsidR="004148CF" w:rsidRPr="001B600C" w:rsidRDefault="004148CF" w:rsidP="00FD02CA">
      <w:pPr>
        <w:pStyle w:val="plcountry"/>
      </w:pPr>
      <w:r w:rsidRPr="001B600C">
        <w:t>BELGIQUE / BELGIUM / BELGIEN / BÉLGICA</w:t>
      </w:r>
    </w:p>
    <w:p w:rsidR="004148CF" w:rsidRPr="001B600C" w:rsidRDefault="004148CF" w:rsidP="00FD02CA">
      <w:pPr>
        <w:pStyle w:val="pldetails"/>
      </w:pPr>
      <w:r w:rsidRPr="001B600C">
        <w:t xml:space="preserve">Björn COENE, Attaché, Office de la Propriété Intellectuelle, Direction générale de la Réglementation économique, Bruxelles  </w:t>
      </w:r>
      <w:r w:rsidRPr="001B600C">
        <w:br/>
        <w:t xml:space="preserve">(e-mail: bjorn.coene@economie.fgov.be) </w:t>
      </w:r>
    </w:p>
    <w:p w:rsidR="004148CF" w:rsidRPr="001B600C" w:rsidRDefault="004148CF" w:rsidP="00FD02CA">
      <w:pPr>
        <w:pStyle w:val="plcountry"/>
      </w:pPr>
      <w:r w:rsidRPr="001B600C">
        <w:t>BRÉSIL / BRAZIL / BRASILIEN / BRASIL</w:t>
      </w:r>
    </w:p>
    <w:p w:rsidR="004148CF" w:rsidRPr="001B600C" w:rsidRDefault="004148CF" w:rsidP="00FD02CA">
      <w:pPr>
        <w:pStyle w:val="pldetails"/>
      </w:pPr>
      <w:r w:rsidRPr="001B600C">
        <w:t xml:space="preserve">Ricardo ZANATTA MACHADO, Fiscal Federal Agropecuário, Coordinador do SNPC, Serviço Nacional de Proteção de Cultivares (SNPC), Ministério da Agricultura, Pecuária e Abastecimento, Brasilia , D.F. </w:t>
      </w:r>
      <w:r w:rsidRPr="001B600C">
        <w:br/>
        <w:t xml:space="preserve">(e-mail: ricardo.machado@agricultura.gov.br) </w:t>
      </w:r>
    </w:p>
    <w:p w:rsidR="004148CF" w:rsidRPr="001B600C" w:rsidRDefault="004148CF" w:rsidP="00FD02CA">
      <w:pPr>
        <w:pStyle w:val="pldetails"/>
      </w:pPr>
      <w:r w:rsidRPr="001B600C">
        <w:t>Samo Sergio GONÇALVES, Diplomate, Permanent Mission of Brazil, Geneva</w:t>
      </w:r>
      <w:r w:rsidRPr="001B600C">
        <w:br/>
        <w:t>(e-mail: samogoncalves@gmail.com)</w:t>
      </w:r>
    </w:p>
    <w:p w:rsidR="004148CF" w:rsidRPr="001B600C" w:rsidRDefault="004148CF" w:rsidP="00FD02CA">
      <w:pPr>
        <w:pStyle w:val="pldetails"/>
      </w:pPr>
      <w:r w:rsidRPr="001B600C">
        <w:t>Rosana DE LIMA BEZERRA (Ms.), Trainee, Permanent Mission of Brazil, Geneva</w:t>
      </w:r>
      <w:r w:rsidRPr="001B600C">
        <w:br/>
        <w:t>(e-mail: rosana.bezerra@itamaraty.gov.br)</w:t>
      </w:r>
    </w:p>
    <w:p w:rsidR="004148CF" w:rsidRPr="001B600C" w:rsidRDefault="004148CF" w:rsidP="00FD02CA">
      <w:pPr>
        <w:pStyle w:val="plcountry"/>
      </w:pPr>
      <w:r w:rsidRPr="001B600C">
        <w:t>CANADA / canada / KANADA / CANADÁ</w:t>
      </w:r>
    </w:p>
    <w:p w:rsidR="004148CF" w:rsidRPr="001B600C" w:rsidRDefault="004148CF" w:rsidP="00FD02CA">
      <w:pPr>
        <w:pStyle w:val="pldetails"/>
      </w:pPr>
      <w:r w:rsidRPr="001B600C">
        <w:t xml:space="preserve">Anthony PARKER, Commissioner, Plant Breeders' Rights Office, Canadian Food Inspection Agency (CFIA), Ottawa </w:t>
      </w:r>
      <w:r w:rsidRPr="001B600C">
        <w:br/>
        <w:t xml:space="preserve">(e-mail: anthony.parker@inspection.gc.ca) </w:t>
      </w:r>
    </w:p>
    <w:p w:rsidR="004148CF" w:rsidRPr="001B600C" w:rsidRDefault="004148CF" w:rsidP="00FD02CA">
      <w:pPr>
        <w:pStyle w:val="pldetails"/>
      </w:pPr>
      <w:r w:rsidRPr="001B600C">
        <w:t xml:space="preserve">Marc DE WIT, Examiner, Plant Breeders' Rights Office, Canadian Food Inspection Agency (CFIA), Ottawa </w:t>
      </w:r>
      <w:r w:rsidRPr="001B600C">
        <w:br/>
        <w:t xml:space="preserve">(e-mail: Marc.deWit@inspection.gc.ca) </w:t>
      </w:r>
    </w:p>
    <w:p w:rsidR="004148CF" w:rsidRPr="001B600C" w:rsidRDefault="004148CF" w:rsidP="00FD02CA">
      <w:pPr>
        <w:pStyle w:val="pldetails"/>
      </w:pPr>
      <w:r w:rsidRPr="001B600C">
        <w:t xml:space="preserve">Ashley BALCHIN (Ms.), Examiner, Plant Breeders' Rights Office, Canadian Food Inspection Agency (CFIA), Ottawa </w:t>
      </w:r>
      <w:r w:rsidRPr="001B600C">
        <w:br/>
        <w:t xml:space="preserve">(e-mail: ashley.balchin@inspection.gc.ca) </w:t>
      </w:r>
      <w:r w:rsidRPr="001B600C">
        <w:rPr>
          <w:highlight w:val="cyan"/>
        </w:rPr>
        <w:br/>
      </w:r>
      <w:r w:rsidRPr="001B600C">
        <w:rPr>
          <w:highlight w:val="lightGray"/>
        </w:rPr>
        <w:t>[via WebEx]</w:t>
      </w:r>
    </w:p>
    <w:p w:rsidR="004148CF" w:rsidRPr="001B600C" w:rsidRDefault="004148CF" w:rsidP="00FD02CA">
      <w:pPr>
        <w:pStyle w:val="pldetails"/>
      </w:pPr>
      <w:r w:rsidRPr="001B600C">
        <w:t xml:space="preserve">Jennifer ROACH (Ms.), Examiner, Plant Breeders' Rights Office, Canadian Food Inspection Agency (CFIA), Ottawa </w:t>
      </w:r>
      <w:r w:rsidRPr="001B600C">
        <w:br/>
        <w:t xml:space="preserve">(e-mail: Jennifer.Roach@inspection.gc.ca) </w:t>
      </w:r>
      <w:r w:rsidRPr="001B600C">
        <w:br/>
      </w:r>
      <w:r w:rsidRPr="001B600C">
        <w:rPr>
          <w:highlight w:val="lightGray"/>
        </w:rPr>
        <w:t>[via WebEx]</w:t>
      </w:r>
    </w:p>
    <w:p w:rsidR="004148CF" w:rsidRPr="001B600C" w:rsidRDefault="004148CF" w:rsidP="00FD02CA">
      <w:pPr>
        <w:pStyle w:val="plcountry"/>
      </w:pPr>
      <w:r w:rsidRPr="001B600C">
        <w:t>CHILI / CHILE / CHILE / CHILE</w:t>
      </w:r>
    </w:p>
    <w:p w:rsidR="004148CF" w:rsidRPr="001B600C" w:rsidRDefault="004148CF" w:rsidP="00FD02CA">
      <w:pPr>
        <w:pStyle w:val="pldetails"/>
      </w:pPr>
      <w:r w:rsidRPr="001B600C">
        <w:t xml:space="preserve">Natalia SOTOMAYOR CABRERA (Sra.), Abogado, Departamento de Asesoría Jurídica, Oficina de Estudios y Politicas Agrarias (ODEPA), Santiago de Chile  </w:t>
      </w:r>
      <w:r w:rsidRPr="001B600C">
        <w:br/>
        <w:t xml:space="preserve">(e-mail: nsotomayor@odepa.gob.cl) </w:t>
      </w:r>
    </w:p>
    <w:p w:rsidR="004148CF" w:rsidRPr="001B600C" w:rsidRDefault="004148CF" w:rsidP="00FD02CA">
      <w:pPr>
        <w:pStyle w:val="pldetails"/>
      </w:pPr>
      <w:r w:rsidRPr="001B600C">
        <w:t xml:space="preserve">Alvaro ULLOA, Encargado Área Frutales, Servicio Agrícola y Ganadero, Ministerio de Agricultura, Santiago de Chile  </w:t>
      </w:r>
      <w:r w:rsidRPr="001B600C">
        <w:br/>
        <w:t xml:space="preserve">(e-mail: alvaro.ulloa@sag.gob.cl) </w:t>
      </w:r>
    </w:p>
    <w:p w:rsidR="004148CF" w:rsidRPr="001B600C" w:rsidRDefault="004148CF" w:rsidP="00FD02CA">
      <w:pPr>
        <w:pStyle w:val="plcountry"/>
      </w:pPr>
      <w:r w:rsidRPr="001B600C">
        <w:t>CHINE / CHINA / CHINA / CHINA</w:t>
      </w:r>
    </w:p>
    <w:p w:rsidR="004148CF" w:rsidRPr="001B600C" w:rsidRDefault="004148CF" w:rsidP="00FD02CA">
      <w:pPr>
        <w:pStyle w:val="pldetails"/>
      </w:pPr>
      <w:r w:rsidRPr="001B600C">
        <w:t xml:space="preserve">Wenjun CHEN, Project Officer, State Intellectual Property Office, Beijing </w:t>
      </w:r>
      <w:r w:rsidRPr="001B600C">
        <w:br/>
        <w:t xml:space="preserve">(e-mail: chenwenjun@sipo.gov.cn) </w:t>
      </w:r>
    </w:p>
    <w:p w:rsidR="004148CF" w:rsidRPr="001B600C" w:rsidRDefault="004148CF" w:rsidP="00FD02CA">
      <w:pPr>
        <w:pStyle w:val="pldetails"/>
      </w:pPr>
      <w:r w:rsidRPr="001B600C">
        <w:t xml:space="preserve">Chao DENG, Principal Staff Member, Ministry of Agriculture, Ministry of Agriculture, Beijing  </w:t>
      </w:r>
      <w:r w:rsidRPr="001B600C">
        <w:br/>
        <w:t xml:space="preserve">(e-mail: dengchaowin@sina.com) </w:t>
      </w:r>
    </w:p>
    <w:p w:rsidR="004148CF" w:rsidRPr="001B600C" w:rsidRDefault="004148CF" w:rsidP="00FD02CA">
      <w:pPr>
        <w:pStyle w:val="pldetails"/>
      </w:pPr>
      <w:r w:rsidRPr="001B600C">
        <w:t xml:space="preserve">Faji HUANG, Officer, Office for the Protection of New Plant Varieties, State Forestry Administration, Beijing  </w:t>
      </w:r>
      <w:r w:rsidRPr="001B600C">
        <w:br/>
        <w:t xml:space="preserve">(e-mail: huangfaji@sina.com) </w:t>
      </w:r>
    </w:p>
    <w:p w:rsidR="004148CF" w:rsidRPr="001B600C" w:rsidRDefault="004148CF" w:rsidP="00FD02CA">
      <w:pPr>
        <w:pStyle w:val="plcountry"/>
      </w:pPr>
      <w:r w:rsidRPr="001B600C">
        <w:t>COLOMBIE / COLOMBIA / KOLUMBIEN / COLOMBIA</w:t>
      </w:r>
    </w:p>
    <w:p w:rsidR="004148CF" w:rsidRPr="001B600C" w:rsidRDefault="004148CF" w:rsidP="00FD02CA">
      <w:pPr>
        <w:pStyle w:val="pldetails"/>
      </w:pPr>
      <w:r w:rsidRPr="001B600C">
        <w:t xml:space="preserve">Ana Luisa DÍAZ JIMÉNEZ (Sra.), Directora, Dirección Técnica de Semillas, Instituto Colombiano Agropecuario (ICA), Bogotá D.C. </w:t>
      </w:r>
      <w:r w:rsidRPr="001B600C">
        <w:br/>
        <w:t xml:space="preserve">(e-mail: analuisadiazj@gmail.com) </w:t>
      </w:r>
    </w:p>
    <w:p w:rsidR="004148CF" w:rsidRPr="001B600C" w:rsidRDefault="004148CF" w:rsidP="00FD02CA">
      <w:pPr>
        <w:pStyle w:val="pldetails"/>
      </w:pPr>
      <w:r w:rsidRPr="001B600C">
        <w:t xml:space="preserve">Juan Camilo SARETZKI-FORERO, Consejero, Misión Permanente, Ginebra  </w:t>
      </w:r>
      <w:r w:rsidRPr="001B600C">
        <w:br/>
        <w:t xml:space="preserve">(e-mail: juan.saretzki@misioncolombia.ch) </w:t>
      </w:r>
    </w:p>
    <w:p w:rsidR="004148CF" w:rsidRPr="001B600C" w:rsidRDefault="004148CF" w:rsidP="00FD02CA">
      <w:pPr>
        <w:pStyle w:val="pldetails"/>
      </w:pPr>
      <w:r w:rsidRPr="001B600C">
        <w:t xml:space="preserve">Daniela Carolina PEREZ MAHECHA (Ms.), Intern, Misión Permanente, Ginebra  </w:t>
      </w:r>
      <w:r w:rsidRPr="001B600C">
        <w:br/>
        <w:t xml:space="preserve">(e-mail: daniela.perez@misioncolombia.ch) </w:t>
      </w:r>
    </w:p>
    <w:p w:rsidR="004148CF" w:rsidRPr="001B600C" w:rsidRDefault="004148CF" w:rsidP="00FD02CA">
      <w:pPr>
        <w:pStyle w:val="plcountry"/>
      </w:pPr>
      <w:r w:rsidRPr="001B600C">
        <w:t>ESTONIE / ESTONIA / ESTLAND / ESTONIA</w:t>
      </w:r>
    </w:p>
    <w:p w:rsidR="004148CF" w:rsidRPr="001B600C" w:rsidRDefault="004148CF" w:rsidP="00FD02CA">
      <w:pPr>
        <w:pStyle w:val="pldetails"/>
      </w:pPr>
      <w:r w:rsidRPr="001B600C">
        <w:t xml:space="preserve">Laima PUUR (Ms.), Head, Variety Department, Estonian Agricultural Board, Viljandi  </w:t>
      </w:r>
      <w:r w:rsidRPr="001B600C">
        <w:br/>
        <w:t xml:space="preserve">(e-mail: laima.puur@pma.agri.ee) </w:t>
      </w:r>
    </w:p>
    <w:p w:rsidR="004148CF" w:rsidRPr="001B600C" w:rsidRDefault="004148CF" w:rsidP="00FD02CA">
      <w:pPr>
        <w:pStyle w:val="pldetails"/>
      </w:pPr>
      <w:r w:rsidRPr="001B600C">
        <w:t>Evelin SIMER (Ms.), Councelor, Permanent Mission, Geneva</w:t>
      </w:r>
      <w:r w:rsidRPr="001B600C">
        <w:br/>
        <w:t>(e-mail: evelin.simer@mfa.ee)</w:t>
      </w:r>
    </w:p>
    <w:p w:rsidR="004148CF" w:rsidRPr="001B600C" w:rsidRDefault="004148CF" w:rsidP="00FD02CA">
      <w:pPr>
        <w:pStyle w:val="plcountry"/>
      </w:pPr>
      <w:r w:rsidRPr="001B600C">
        <w:t xml:space="preserve">ÉTATS-UNIS D'AMÉRIQUE / UNITED STATES OF AMERICA / VEREINIGTE STAATEN VON AMERIKA / </w:t>
      </w:r>
      <w:r w:rsidRPr="001B600C">
        <w:br/>
        <w:t>ESTADOS UNIDOS DE AMÉRICA</w:t>
      </w:r>
    </w:p>
    <w:p w:rsidR="004148CF" w:rsidRPr="001B600C" w:rsidRDefault="004148CF" w:rsidP="00FD02CA">
      <w:pPr>
        <w:pStyle w:val="pldetails"/>
      </w:pPr>
      <w:r w:rsidRPr="001B600C">
        <w:t xml:space="preserve">Kitisri SUKHAPINDA (Ms.), Patent Attorney, Office of Policy and International Affairs, United States Patent and Trademark Office (USPTO), Department of Commerce, Department of Commerce, Alexandria </w:t>
      </w:r>
      <w:r w:rsidRPr="001B600C">
        <w:br/>
        <w:t xml:space="preserve">(e-mail: kitisri.sukhapinda@uspto.gov) </w:t>
      </w:r>
    </w:p>
    <w:p w:rsidR="004148CF" w:rsidRPr="001B600C" w:rsidRDefault="004148CF" w:rsidP="00FD02CA">
      <w:pPr>
        <w:pStyle w:val="pldetails"/>
      </w:pPr>
      <w:r w:rsidRPr="001B600C">
        <w:t xml:space="preserve">Elaine WU (Ms.), Attorney - Advisor, United States Patent and Trademark Office (USPTO), Department of Commerce, Alexandria  </w:t>
      </w:r>
      <w:r w:rsidRPr="001B600C">
        <w:br/>
        <w:t xml:space="preserve">(e-mail: elaine.wu@uspto.gov) </w:t>
      </w:r>
    </w:p>
    <w:p w:rsidR="004148CF" w:rsidRPr="001B600C" w:rsidRDefault="004148CF" w:rsidP="00FD02CA">
      <w:pPr>
        <w:pStyle w:val="pldetails"/>
      </w:pPr>
      <w:r w:rsidRPr="001B600C">
        <w:t xml:space="preserve">Yasmine Nicole FULENA (Mme), Intellectual Property Assistant, Permanent Mission, Geneva  </w:t>
      </w:r>
      <w:r w:rsidRPr="001B600C">
        <w:br/>
        <w:t xml:space="preserve">(e-mail: fulenayn@state.gov) </w:t>
      </w:r>
    </w:p>
    <w:p w:rsidR="004148CF" w:rsidRPr="001B600C" w:rsidRDefault="004148CF" w:rsidP="00FD02CA">
      <w:pPr>
        <w:pStyle w:val="pldetails"/>
      </w:pPr>
      <w:r w:rsidRPr="001B600C">
        <w:t xml:space="preserve">Jeffery HAYNES, Deputy Commissioner, U.S. Plant Variety Protection Office, USDA, AMS, S&amp;T, Plant Variety Protection Office, Washington D.C.  </w:t>
      </w:r>
      <w:r w:rsidRPr="001B600C">
        <w:br/>
        <w:t xml:space="preserve">(e-mail: Jeffery.Haynes@ams.usda.gov) </w:t>
      </w:r>
      <w:r w:rsidRPr="001B600C">
        <w:br/>
      </w:r>
      <w:r w:rsidRPr="001B600C">
        <w:rPr>
          <w:highlight w:val="lightGray"/>
        </w:rPr>
        <w:t>[via WebEx]</w:t>
      </w:r>
    </w:p>
    <w:p w:rsidR="004148CF" w:rsidRPr="001B600C" w:rsidRDefault="004148CF" w:rsidP="00FD02CA">
      <w:pPr>
        <w:pStyle w:val="pldetails"/>
      </w:pPr>
      <w:r w:rsidRPr="001B600C">
        <w:t xml:space="preserve">Paul M. ZANKOWSKI, Commissioner, Plant Variety Protection Office, United States Department of Agriculture (USDA), AMS, S&amp;T, Washington D.C. </w:t>
      </w:r>
      <w:r w:rsidRPr="001B600C">
        <w:br/>
        <w:t xml:space="preserve">(e-mail: paul.zankowski@ams.usda.gov) </w:t>
      </w:r>
      <w:r w:rsidRPr="001B600C">
        <w:br/>
      </w:r>
      <w:r w:rsidRPr="001B600C">
        <w:rPr>
          <w:highlight w:val="lightGray"/>
        </w:rPr>
        <w:t>[via WebEx]</w:t>
      </w:r>
    </w:p>
    <w:p w:rsidR="004148CF" w:rsidRPr="001B600C" w:rsidRDefault="004148CF" w:rsidP="00FD02CA">
      <w:pPr>
        <w:pStyle w:val="plcountry"/>
      </w:pPr>
      <w:r w:rsidRPr="001B600C">
        <w:t>FRANCE / France / FRANKREICH / FRANCIA</w:t>
      </w:r>
    </w:p>
    <w:p w:rsidR="004148CF" w:rsidRPr="001B600C" w:rsidRDefault="004148CF" w:rsidP="00FD02CA">
      <w:pPr>
        <w:pStyle w:val="pldetails"/>
      </w:pPr>
      <w:r w:rsidRPr="001B600C">
        <w:t xml:space="preserve">Yvane MERESSE (Mme), Responsable juridique / Legal Expert, Groupe d'Etude et de Contrôle des Variétés et des Semences (GEVES), Beaucouzé </w:t>
      </w:r>
      <w:r w:rsidRPr="001B600C">
        <w:br/>
        <w:t xml:space="preserve">(e-mail: yvane.meresse@geves.fr) </w:t>
      </w:r>
    </w:p>
    <w:p w:rsidR="004148CF" w:rsidRPr="001B600C" w:rsidRDefault="004148CF" w:rsidP="00FD02CA">
      <w:pPr>
        <w:pStyle w:val="pldetails"/>
      </w:pPr>
      <w:r w:rsidRPr="001B600C">
        <w:t xml:space="preserve">Catherine MALATIER (Mme), Assistante INOV, Groupe d’étude et de contrôle des variétés et des semences (GEVES), Beaucouzé  </w:t>
      </w:r>
      <w:r w:rsidRPr="001B600C">
        <w:br/>
        <w:t xml:space="preserve">(e-mail: catherine.malatier@geves.fr) </w:t>
      </w:r>
    </w:p>
    <w:p w:rsidR="004148CF" w:rsidRPr="001B600C" w:rsidRDefault="004148CF" w:rsidP="00FD02CA">
      <w:pPr>
        <w:pStyle w:val="plcountry"/>
      </w:pPr>
      <w:r w:rsidRPr="001B600C">
        <w:t>ISRAËL / ISRAEL / ISRAEL / ISRAEL</w:t>
      </w:r>
    </w:p>
    <w:p w:rsidR="004148CF" w:rsidRPr="001B600C" w:rsidRDefault="004148CF" w:rsidP="00FD02CA">
      <w:pPr>
        <w:pStyle w:val="pldetails"/>
      </w:pPr>
      <w:r w:rsidRPr="001B600C">
        <w:t xml:space="preserve">Dikla DABBY-NAOR (Ms.), Chairperson, Plant Breeders' Rights Council, Ministry of Agriculture and Rural Development, Beit-Dagan </w:t>
      </w:r>
      <w:r w:rsidRPr="001B600C">
        <w:br/>
        <w:t xml:space="preserve">(e-mail: diklad@moag.gov.il) </w:t>
      </w:r>
    </w:p>
    <w:p w:rsidR="004148CF" w:rsidRPr="001B600C" w:rsidRDefault="004148CF" w:rsidP="00FD02CA">
      <w:pPr>
        <w:pStyle w:val="plcountry"/>
      </w:pPr>
      <w:r w:rsidRPr="001B600C">
        <w:t>MAROC / MOROCCO / MAROKKO / MARRUECOS</w:t>
      </w:r>
    </w:p>
    <w:p w:rsidR="004148CF" w:rsidRPr="001B600C" w:rsidRDefault="004148CF" w:rsidP="00FD02CA">
      <w:pPr>
        <w:pStyle w:val="pldetails"/>
      </w:pPr>
      <w:r w:rsidRPr="001B600C">
        <w:t xml:space="preserve">Zoubida TAOUSSI (Mrs.), Chargée de la protection des obtentions végétales, Office National de Sécurité de Produits Alimentaires, Rabat  </w:t>
      </w:r>
      <w:r w:rsidRPr="001B600C">
        <w:br/>
        <w:t xml:space="preserve">(e-mail: ztaoussi67@gmail.com) </w:t>
      </w:r>
    </w:p>
    <w:p w:rsidR="004148CF" w:rsidRPr="001B600C" w:rsidRDefault="004148CF" w:rsidP="00FD02CA">
      <w:pPr>
        <w:pStyle w:val="plcountry"/>
      </w:pPr>
      <w:r w:rsidRPr="001B600C">
        <w:t>NORVÈGE / NORWAY / NORWEGEN / NORUEGA</w:t>
      </w:r>
    </w:p>
    <w:p w:rsidR="004148CF" w:rsidRPr="001B600C" w:rsidRDefault="004148CF" w:rsidP="00FD02CA">
      <w:pPr>
        <w:pStyle w:val="pldetails"/>
      </w:pPr>
      <w:r w:rsidRPr="001B600C">
        <w:t xml:space="preserve">Tor Erik JØRGENSEN, Head of Section, National Approvals, Norwegian Food Safety Authority, Brumunddal  </w:t>
      </w:r>
      <w:r w:rsidRPr="001B600C">
        <w:br/>
        <w:t xml:space="preserve">(e-mail: tor.erik.jorgensen@mattilsynet.no) </w:t>
      </w:r>
    </w:p>
    <w:p w:rsidR="004148CF" w:rsidRPr="001B600C" w:rsidRDefault="004148CF" w:rsidP="00FD02CA">
      <w:pPr>
        <w:pStyle w:val="plcountry"/>
      </w:pPr>
      <w:r w:rsidRPr="001B600C">
        <w:t>NOUVELLE-ZÉLANDE / NEW ZEALAND / NEUSEELAND / NUEVA ZELANDIA</w:t>
      </w:r>
    </w:p>
    <w:p w:rsidR="004148CF" w:rsidRPr="001B600C" w:rsidRDefault="004148CF" w:rsidP="00FD02CA">
      <w:pPr>
        <w:pStyle w:val="pldetails"/>
      </w:pPr>
      <w:r w:rsidRPr="001B600C">
        <w:t xml:space="preserve">Christopher J. BARNABY, Assistant Commissioner / Principal Examiner for Plant Variety Rights, Plant Variety Rights Office, Intellectual Property Office of New Zealand, Intellectual Property Office of New Zealand, Plant Variety Rights, Ministry of Economic Development, Christchurch </w:t>
      </w:r>
      <w:r w:rsidRPr="001B600C">
        <w:br/>
        <w:t xml:space="preserve">(e-mail: Chris.Barnaby@pvr.govt.nz) </w:t>
      </w:r>
    </w:p>
    <w:p w:rsidR="004148CF" w:rsidRPr="001B600C" w:rsidRDefault="004148CF" w:rsidP="00FD02CA">
      <w:pPr>
        <w:pStyle w:val="plcountry"/>
      </w:pPr>
      <w:r w:rsidRPr="001B600C">
        <w:t>OMAN / oman / OMAN / OMÁN</w:t>
      </w:r>
    </w:p>
    <w:p w:rsidR="004148CF" w:rsidRPr="001B600C" w:rsidRDefault="004148CF" w:rsidP="00FD02CA">
      <w:pPr>
        <w:pStyle w:val="pldetails"/>
      </w:pPr>
      <w:r w:rsidRPr="001B600C">
        <w:t xml:space="preserve">Ali AL LAWATI, Plant Genetic Resources Expert, Oman Animal and Plant Genetic Resources Center, The Research Council, Muscat  </w:t>
      </w:r>
      <w:r w:rsidRPr="001B600C">
        <w:br/>
        <w:t xml:space="preserve">(e-mail: ali.allawati@trc.gov.om) </w:t>
      </w:r>
    </w:p>
    <w:p w:rsidR="004148CF" w:rsidRPr="001B600C" w:rsidRDefault="004148CF" w:rsidP="00FD02CA">
      <w:pPr>
        <w:pStyle w:val="pldetails"/>
      </w:pPr>
      <w:r w:rsidRPr="001B600C">
        <w:t xml:space="preserve">Khalid Ali ALBUSAIDI, International Relations Specialist, Oman Animal and Plant Genetic Resources Center, Al-Athaiba  </w:t>
      </w:r>
      <w:r w:rsidRPr="001B600C">
        <w:br/>
        <w:t xml:space="preserve">(e-mail: khalid.albusaidi@oapgrc.gov.om) </w:t>
      </w:r>
    </w:p>
    <w:p w:rsidR="004148CF" w:rsidRPr="001B600C" w:rsidRDefault="004148CF" w:rsidP="00FD02CA">
      <w:pPr>
        <w:pStyle w:val="pldetails"/>
      </w:pPr>
      <w:r w:rsidRPr="001B600C">
        <w:t xml:space="preserve">Mohammed AL-BALUSHI, First Secretary, Permanent Mission, Geneva  </w:t>
      </w:r>
      <w:r w:rsidRPr="001B600C">
        <w:br/>
        <w:t xml:space="preserve">(e-mail: oman_wto@bluewin.ch) </w:t>
      </w:r>
    </w:p>
    <w:p w:rsidR="004148CF" w:rsidRPr="001B600C" w:rsidRDefault="004148CF" w:rsidP="00FD02CA">
      <w:pPr>
        <w:pStyle w:val="plcountry"/>
      </w:pPr>
      <w:r w:rsidRPr="001B600C">
        <w:t xml:space="preserve">ORGANISATION AFRICAINE DE LA PROPRIÉTÉ INTELLECTUELLE / </w:t>
      </w:r>
      <w:r w:rsidRPr="001B600C">
        <w:br/>
        <w:t xml:space="preserve">OAPI - AFRICAN INTELLECTUAL PROPERTY ORGANIZATION / </w:t>
      </w:r>
      <w:r w:rsidRPr="001B600C">
        <w:br/>
        <w:t xml:space="preserve">AFRIKANISCHE ORGANISATION FÜR GEISTIGES EIGENTUM / </w:t>
      </w:r>
      <w:r w:rsidRPr="001B600C">
        <w:br/>
        <w:t>ORGANIZACIÓN AFRICANA DE LA PROPIEDAD INTELECTUAL</w:t>
      </w:r>
    </w:p>
    <w:p w:rsidR="004148CF" w:rsidRPr="001B600C" w:rsidRDefault="004148CF" w:rsidP="00FD02CA">
      <w:pPr>
        <w:pStyle w:val="pldetails"/>
      </w:pPr>
      <w:r w:rsidRPr="001B600C">
        <w:t xml:space="preserve">Dosso MÉMASSI, Directeur, Département de la protection de la propriété industrielle, </w:t>
      </w:r>
      <w:r w:rsidRPr="001B600C">
        <w:br/>
        <w:t xml:space="preserve">Organisation africaine de la propriété intellectuelle (OAPI), Yaoundé  </w:t>
      </w:r>
      <w:r w:rsidRPr="001B600C">
        <w:br/>
        <w:t xml:space="preserve">(e-mail: dossomemassi@gmail.com) </w:t>
      </w:r>
    </w:p>
    <w:p w:rsidR="004148CF" w:rsidRPr="001B600C" w:rsidRDefault="004148CF" w:rsidP="00FD02CA">
      <w:pPr>
        <w:pStyle w:val="pldetails"/>
      </w:pPr>
      <w:r w:rsidRPr="001B600C">
        <w:t xml:space="preserve">Vladimir Ludovic MEZUI ONO, Examinateur Brevet chimie, Organisation africaine de la propriété intellectuelle (OAPI), Yaoundé  </w:t>
      </w:r>
      <w:r w:rsidRPr="001B600C">
        <w:br/>
        <w:t xml:space="preserve">(e-mail: mezuiono@hotmail.com) </w:t>
      </w:r>
    </w:p>
    <w:p w:rsidR="004148CF" w:rsidRPr="001B600C" w:rsidRDefault="004148CF" w:rsidP="00FD02CA">
      <w:pPr>
        <w:pStyle w:val="plcountry"/>
      </w:pPr>
      <w:r w:rsidRPr="001B600C">
        <w:t>Panama / panama / panama / panamá</w:t>
      </w:r>
    </w:p>
    <w:p w:rsidR="004148CF" w:rsidRPr="001B600C" w:rsidRDefault="004148CF" w:rsidP="00FD02CA">
      <w:pPr>
        <w:pStyle w:val="pldetails"/>
      </w:pPr>
      <w:r w:rsidRPr="001B600C">
        <w:t xml:space="preserve">Rafael Ernesto MONTERREY GONZÁLEZ, Jefe del Departamento de Variedades Vegetales, Dirección General del Registro de la Propiedad Intelectual, Ministerio de Comercio e Industrias, Dirección General del Registro de la Propiedad Industrial, Ciudad de Panamá </w:t>
      </w:r>
      <w:r w:rsidRPr="001B600C">
        <w:br/>
        <w:t>(e-mail: rmonterrey@mici.gob.pa)</w:t>
      </w:r>
    </w:p>
    <w:p w:rsidR="004148CF" w:rsidRPr="001B600C" w:rsidRDefault="004148CF" w:rsidP="00FD02CA">
      <w:pPr>
        <w:pStyle w:val="plcountry"/>
      </w:pPr>
      <w:r w:rsidRPr="001B600C">
        <w:t>PARAGUAY / PARAGUAY / PARAGUAY / PARAGUAY</w:t>
      </w:r>
    </w:p>
    <w:p w:rsidR="004148CF" w:rsidRPr="001B600C" w:rsidRDefault="004148CF" w:rsidP="00FD02CA">
      <w:pPr>
        <w:pStyle w:val="pldetails"/>
      </w:pPr>
      <w:r w:rsidRPr="001B600C">
        <w:t xml:space="preserve">Nidia Concepción TALAVERA GODOY (Sra.), Directora, Dirección de Semillas, Servicio Nacional de Calidad y Sanidad Vegetal y de Semillas (SENAVE), San Lorenzo </w:t>
      </w:r>
      <w:r w:rsidRPr="001B600C">
        <w:br/>
        <w:t>(e-mail: nidia.talavera@senave.gov.py)</w:t>
      </w:r>
    </w:p>
    <w:p w:rsidR="004148CF" w:rsidRPr="001B600C" w:rsidRDefault="004148CF" w:rsidP="00FD02CA">
      <w:pPr>
        <w:pStyle w:val="plcountry"/>
      </w:pPr>
      <w:r w:rsidRPr="001B600C">
        <w:t>PAYS-BAS / NETHERLANDS / NIEDERLANDE / PAÍSES BAJOS</w:t>
      </w:r>
    </w:p>
    <w:p w:rsidR="004148CF" w:rsidRPr="001B600C" w:rsidRDefault="004148CF" w:rsidP="00FD02CA">
      <w:pPr>
        <w:pStyle w:val="pldetails"/>
      </w:pPr>
      <w:r w:rsidRPr="001B600C">
        <w:t xml:space="preserve">Marien VALSTAR, Senior Policy Officer, Seeds and Plant Propagation Material, Ministry of Economic Affairs, DG AGRO &amp; NATURE, The Hague  </w:t>
      </w:r>
      <w:r w:rsidRPr="001B600C">
        <w:br/>
        <w:t xml:space="preserve">(e-mail: m.valstar@minez.nl) </w:t>
      </w:r>
    </w:p>
    <w:p w:rsidR="004148CF" w:rsidRPr="001B600C" w:rsidRDefault="004148CF" w:rsidP="00FD02CA">
      <w:pPr>
        <w:pStyle w:val="pldetails"/>
      </w:pPr>
      <w:r w:rsidRPr="001B600C">
        <w:t xml:space="preserve">Kees Jan GROENEWOUD, Secretary, Dutch Board for Plant Variety (Raad voor Plantenrassen), Naktuinbouw, Roelofarendsveen  </w:t>
      </w:r>
      <w:r w:rsidRPr="001B600C">
        <w:br/>
        <w:t xml:space="preserve">(e-mail: c.j.a.groenewoud@naktuinbouw.nl) </w:t>
      </w:r>
    </w:p>
    <w:p w:rsidR="004148CF" w:rsidRPr="001B600C" w:rsidRDefault="004148CF" w:rsidP="00FD02CA">
      <w:pPr>
        <w:pStyle w:val="pldetails"/>
        <w:rPr>
          <w:highlight w:val="cyan"/>
        </w:rPr>
      </w:pPr>
      <w:r w:rsidRPr="001B600C">
        <w:t xml:space="preserve">Marcel RIJSBERGEN, Team DUS vegetables, DUS testing department, Naktuinbouw, Roelofarendsveen,  </w:t>
      </w:r>
      <w:r w:rsidRPr="001B600C">
        <w:br/>
        <w:t xml:space="preserve">(e-mail: m.rijsbergen@naktuinbouw.nl) </w:t>
      </w:r>
      <w:r w:rsidRPr="001B600C">
        <w:br/>
      </w:r>
      <w:r w:rsidRPr="001B600C">
        <w:rPr>
          <w:highlight w:val="lightGray"/>
        </w:rPr>
        <w:t>[via WebEx]</w:t>
      </w:r>
    </w:p>
    <w:p w:rsidR="004148CF" w:rsidRPr="001B600C" w:rsidRDefault="004148CF" w:rsidP="00FD02CA">
      <w:pPr>
        <w:pStyle w:val="pldetails"/>
      </w:pPr>
      <w:r w:rsidRPr="001B600C">
        <w:t xml:space="preserve">Wim SANGSTER, Team DUS Vegetables, Naktuinbouw, Roelofarendsveen  </w:t>
      </w:r>
      <w:r w:rsidRPr="001B600C">
        <w:br/>
        <w:t xml:space="preserve">(e-mail: w.sangster@naktuinbouw.nl) </w:t>
      </w:r>
      <w:r w:rsidRPr="001B600C">
        <w:br/>
      </w:r>
      <w:r w:rsidRPr="001B600C">
        <w:rPr>
          <w:highlight w:val="lightGray"/>
        </w:rPr>
        <w:t>[via WebEx]</w:t>
      </w:r>
    </w:p>
    <w:p w:rsidR="004148CF" w:rsidRPr="001B600C" w:rsidRDefault="004148CF" w:rsidP="00FD02CA">
      <w:pPr>
        <w:pStyle w:val="plcountry"/>
      </w:pPr>
      <w:r w:rsidRPr="001B600C">
        <w:t>PORTUGAL / portugal / PORTUGAL / PORTUGAL</w:t>
      </w:r>
    </w:p>
    <w:p w:rsidR="004148CF" w:rsidRPr="001B600C" w:rsidRDefault="004148CF" w:rsidP="00FD02CA">
      <w:pPr>
        <w:pStyle w:val="pldetails"/>
      </w:pPr>
      <w:r w:rsidRPr="001B600C">
        <w:t xml:space="preserve">João PINTA DE MORAIS, First Secretary, Permanent Mission, Geneva  </w:t>
      </w:r>
      <w:r w:rsidRPr="001B600C">
        <w:br/>
        <w:t xml:space="preserve">(e-mail: trade1@missionportugal.ch) </w:t>
      </w:r>
    </w:p>
    <w:p w:rsidR="004148CF" w:rsidRPr="001B600C" w:rsidRDefault="004148CF" w:rsidP="00FD02CA">
      <w:pPr>
        <w:pStyle w:val="pldetails"/>
      </w:pPr>
      <w:r w:rsidRPr="001B600C">
        <w:t xml:space="preserve">Inês DOS SANTOS (Ms.), Intern, Permanent Mission, Geneva  </w:t>
      </w:r>
      <w:r w:rsidRPr="001B600C">
        <w:br/>
        <w:t xml:space="preserve">(e-mail: ines.dossantos@outlook.fr) </w:t>
      </w:r>
    </w:p>
    <w:p w:rsidR="004148CF" w:rsidRPr="001B600C" w:rsidRDefault="004148CF" w:rsidP="00FD02CA">
      <w:pPr>
        <w:pStyle w:val="plcountry"/>
      </w:pPr>
      <w:r w:rsidRPr="001B600C">
        <w:t>RÉPUBLIQUE DE CORÉE / REPUBLIC OF KOREA / REPUBLIK KOREA / REPÚBLICA DE COREA</w:t>
      </w:r>
    </w:p>
    <w:p w:rsidR="004148CF" w:rsidRPr="001B600C" w:rsidRDefault="004148CF" w:rsidP="00FD02CA">
      <w:pPr>
        <w:pStyle w:val="pldetails"/>
      </w:pPr>
      <w:r w:rsidRPr="001B600C">
        <w:t xml:space="preserve">Jino YOO, Deputy Director, Senior Examiner, Korean Intellectual Property Office (KIPO), Daejeon Metropolitan City  </w:t>
      </w:r>
      <w:r w:rsidRPr="001B600C">
        <w:br/>
        <w:t xml:space="preserve">(e-mail: jino0524@kipo.go.kr) </w:t>
      </w:r>
    </w:p>
    <w:p w:rsidR="004148CF" w:rsidRPr="001B600C" w:rsidRDefault="004148CF" w:rsidP="00FD02CA">
      <w:pPr>
        <w:pStyle w:val="plcountry"/>
      </w:pPr>
      <w:r w:rsidRPr="001B600C">
        <w:t xml:space="preserve">RÉPUBLIQUE DE MOLDOVA / REPUBLIC OF MOLDOVA / REPUBLIK MOLDAU / </w:t>
      </w:r>
      <w:r w:rsidRPr="001B600C">
        <w:br/>
        <w:t>REPÚBLICA DE MOLDOVA</w:t>
      </w:r>
    </w:p>
    <w:p w:rsidR="004148CF" w:rsidRPr="001B600C" w:rsidRDefault="004148CF" w:rsidP="00FD02CA">
      <w:pPr>
        <w:pStyle w:val="pldetails"/>
      </w:pPr>
      <w:r w:rsidRPr="001B600C">
        <w:t xml:space="preserve">Mihail MACHIDON, Chairman, State Commission for Crops Variety Testing and Registration (SCCVTR), Chisinau  </w:t>
      </w:r>
      <w:r w:rsidRPr="001B600C">
        <w:br/>
        <w:t xml:space="preserve">(e-mail: info@cstsp.md) </w:t>
      </w:r>
    </w:p>
    <w:p w:rsidR="004148CF" w:rsidRPr="001B600C" w:rsidRDefault="004148CF" w:rsidP="00FD02CA">
      <w:pPr>
        <w:pStyle w:val="pldetails"/>
      </w:pPr>
      <w:r w:rsidRPr="001B600C">
        <w:t xml:space="preserve">Ala GUSAN (Ms.), Head, Patents Division, Inventions and Plant Varieties Department, State Agency on Intellectual Property of the Republic of Moldova (AGEPI), Chisinau  </w:t>
      </w:r>
      <w:r w:rsidRPr="001B600C">
        <w:br/>
        <w:t xml:space="preserve">(e-mail: ala.gusan@agepi.gov.md) </w:t>
      </w:r>
    </w:p>
    <w:p w:rsidR="004148CF" w:rsidRPr="001B600C" w:rsidRDefault="004148CF" w:rsidP="00FD02CA">
      <w:pPr>
        <w:pStyle w:val="plcountry"/>
      </w:pPr>
      <w:r w:rsidRPr="001B600C">
        <w:t xml:space="preserve">RÉPUBLIQUE-UNIE DE TANZANIE / UNITED REPUBLIC OF TANZANIA / </w:t>
      </w:r>
      <w:r w:rsidRPr="001B600C">
        <w:br/>
        <w:t>VEREINIGTE REPUBLIK TANSANIA / REPÚBLICA UNIDA DE TANZANÍA</w:t>
      </w:r>
    </w:p>
    <w:p w:rsidR="004148CF" w:rsidRPr="001B600C" w:rsidRDefault="004148CF" w:rsidP="00FD02CA">
      <w:pPr>
        <w:pStyle w:val="pldetails"/>
      </w:pPr>
      <w:r w:rsidRPr="001B600C">
        <w:t xml:space="preserve">Asia Filfil THANI (Ms.), Registrar of Plant Breeders' Rights, Ministry of Agriculture and Natural Resources, Darajani, Zanzibar  </w:t>
      </w:r>
      <w:r w:rsidRPr="001B600C">
        <w:br/>
        <w:t xml:space="preserve">(e-mail: asiathani@yahoo.com) </w:t>
      </w:r>
    </w:p>
    <w:p w:rsidR="004148CF" w:rsidRPr="001B600C" w:rsidRDefault="004148CF" w:rsidP="00FD02CA">
      <w:pPr>
        <w:pStyle w:val="plcountry"/>
      </w:pPr>
      <w:r w:rsidRPr="001B600C">
        <w:t xml:space="preserve">RÉPUBLIQUE Dominicaine / dominican REPUBLIC / dominikanische REPUBLIK / </w:t>
      </w:r>
      <w:r w:rsidRPr="001B600C">
        <w:br/>
        <w:t>REPÚBLICA Dominicana</w:t>
      </w:r>
    </w:p>
    <w:p w:rsidR="004148CF" w:rsidRPr="001B600C" w:rsidRDefault="004148CF" w:rsidP="00FD02CA">
      <w:pPr>
        <w:pStyle w:val="pldetails"/>
      </w:pPr>
      <w:r w:rsidRPr="001B600C">
        <w:t xml:space="preserve">Rafael COLÓN NUÑEZ, Enc. Producción, BIO-ARROZ, Ministerio de Agricultura, Santo Domingo </w:t>
      </w:r>
      <w:r w:rsidRPr="001B600C">
        <w:br/>
        <w:t xml:space="preserve">(e-mail: ing.rafaelcolon@hotmail.com)  </w:t>
      </w:r>
    </w:p>
    <w:p w:rsidR="004148CF" w:rsidRPr="001B600C" w:rsidRDefault="004148CF" w:rsidP="00FD02CA">
      <w:pPr>
        <w:pStyle w:val="pldetails"/>
      </w:pPr>
      <w:r w:rsidRPr="001B600C">
        <w:t xml:space="preserve">Antonio FERNÁNDEZ ACOSTA, Inspector de certificación de semilla, BIO-ARROZ, Ministerio de Agricultura, Santo Domingo </w:t>
      </w:r>
      <w:r w:rsidRPr="001B600C">
        <w:br/>
        <w:t xml:space="preserve">(e-mail: ing-antoniofedez-08@hotmail.com) </w:t>
      </w:r>
    </w:p>
    <w:p w:rsidR="004148CF" w:rsidRPr="001B600C" w:rsidRDefault="004148CF" w:rsidP="00FD02CA">
      <w:pPr>
        <w:pStyle w:val="plcountry"/>
      </w:pPr>
      <w:r w:rsidRPr="001B600C">
        <w:t>ROUMANIE / ROMANIA / RUMÄNIEN / RUMANIA</w:t>
      </w:r>
    </w:p>
    <w:p w:rsidR="004148CF" w:rsidRPr="001B600C" w:rsidRDefault="004148CF" w:rsidP="00FD02CA">
      <w:pPr>
        <w:pStyle w:val="pldetails"/>
      </w:pPr>
      <w:r w:rsidRPr="001B600C">
        <w:t xml:space="preserve">Cristian Irinel MOCANU, Head of Legal Department, State Institute for Variety Testing and Registration, Bucarest  </w:t>
      </w:r>
      <w:r w:rsidRPr="001B600C">
        <w:br/>
        <w:t xml:space="preserve">(e-mail: irinel_mocanu@istis.ro) </w:t>
      </w:r>
    </w:p>
    <w:p w:rsidR="004148CF" w:rsidRPr="001B600C" w:rsidRDefault="004148CF" w:rsidP="00FD02CA">
      <w:pPr>
        <w:pStyle w:val="pldetails"/>
      </w:pPr>
      <w:r w:rsidRPr="001B600C">
        <w:t xml:space="preserve">Aura Giorgiana MINDRUTA (Ms.), Expert, State Institute for Variety Testing and Registration (ISTIS), Bucarest  </w:t>
      </w:r>
      <w:r w:rsidRPr="001B600C">
        <w:br/>
        <w:t xml:space="preserve">(e-mail: aura_mindruta@istis.ro) </w:t>
      </w:r>
    </w:p>
    <w:p w:rsidR="004148CF" w:rsidRPr="001B600C" w:rsidRDefault="004148CF" w:rsidP="00FD02CA">
      <w:pPr>
        <w:pStyle w:val="plcountry"/>
      </w:pPr>
      <w:r w:rsidRPr="001B600C">
        <w:t>SLOVAQUIE / SLOVAKIA / SLOWAKEI / ESLOVAQUIA</w:t>
      </w:r>
    </w:p>
    <w:p w:rsidR="004148CF" w:rsidRPr="001B600C" w:rsidRDefault="004148CF" w:rsidP="00FD02CA">
      <w:pPr>
        <w:pStyle w:val="pldetails"/>
      </w:pPr>
      <w:r w:rsidRPr="001B600C">
        <w:t xml:space="preserve">Bronislava BÁTOROVÁ (Ms.), National Coordinator for the Cooperation of the Slovak Republic with UPOV/ Senior Officer, Department of Variety Testing, Central Controlling and Testing Institute in Agriculture (ÚKSÚP), Nitra  </w:t>
      </w:r>
      <w:r w:rsidRPr="001B600C">
        <w:br/>
        <w:t xml:space="preserve">(e-mail: bronislava.batorova@uksup.sk) </w:t>
      </w:r>
    </w:p>
    <w:p w:rsidR="004148CF" w:rsidRPr="001B600C" w:rsidRDefault="004148CF" w:rsidP="00FD02CA">
      <w:pPr>
        <w:pStyle w:val="pldetails"/>
      </w:pPr>
      <w:r w:rsidRPr="001B600C">
        <w:t xml:space="preserve">Ľuba GASPAROVÁ (Ms.), Senior Officer, Deputy of the National Coordinator for the Cooperation of the Slovak Republic with UPOV, Central Controlling and Testing Institute in Agriculture (UKSUP), Bratislava  </w:t>
      </w:r>
      <w:r w:rsidRPr="001B600C">
        <w:br/>
        <w:t xml:space="preserve">(e-mail: Luba.Gasparova@uksup.sk) </w:t>
      </w:r>
    </w:p>
    <w:p w:rsidR="004148CF" w:rsidRPr="001B600C" w:rsidRDefault="004148CF" w:rsidP="00FD02CA">
      <w:pPr>
        <w:pStyle w:val="plcountry"/>
      </w:pPr>
      <w:r w:rsidRPr="001B600C">
        <w:t>SUISSE / SWITZERLAND / SCHWEIZ / SUIZA</w:t>
      </w:r>
    </w:p>
    <w:p w:rsidR="004148CF" w:rsidRPr="001B600C" w:rsidRDefault="004148CF" w:rsidP="00FD02CA">
      <w:pPr>
        <w:pStyle w:val="pldetails"/>
      </w:pPr>
      <w:r w:rsidRPr="001B600C">
        <w:t xml:space="preserve">Manuela BRAND (Ms.), Plant Variety Rights Office, Plant Health and Varieties, Office fédéral de l'agriculture (OFAG), Bern  </w:t>
      </w:r>
      <w:r w:rsidRPr="001B600C">
        <w:br/>
        <w:t xml:space="preserve">(e-mail: manuela.brand@blw.admin.ch) </w:t>
      </w:r>
    </w:p>
    <w:p w:rsidR="004148CF" w:rsidRPr="001B600C" w:rsidRDefault="004148CF" w:rsidP="00FD02CA">
      <w:pPr>
        <w:pStyle w:val="plcountry"/>
      </w:pPr>
      <w:r w:rsidRPr="001B600C">
        <w:t>TURQUIE / TURKEY / TÜRKEI / TURQUÍA</w:t>
      </w:r>
    </w:p>
    <w:p w:rsidR="004148CF" w:rsidRPr="001B600C" w:rsidRDefault="004148CF" w:rsidP="00FD02CA">
      <w:pPr>
        <w:pStyle w:val="pldetails"/>
      </w:pPr>
      <w:r w:rsidRPr="001B600C">
        <w:t>Mehmet ÇAKMAK, PBR Expert, Seed Department, General Directorate of Plant Production, Ministry of Food, Agriculture and Livestock, Ankara, Turkey</w:t>
      </w:r>
      <w:r w:rsidRPr="001B600C">
        <w:br/>
        <w:t>E-mail:  mehmet.cakmak@tarim.gov.tr</w:t>
      </w:r>
    </w:p>
    <w:p w:rsidR="004148CF" w:rsidRPr="001B600C" w:rsidRDefault="004148CF" w:rsidP="00FD02CA">
      <w:pPr>
        <w:pStyle w:val="pldetails"/>
      </w:pPr>
      <w:r w:rsidRPr="001B600C">
        <w:t>Mehmet SIĞIRCI,Head, Seed Department, Ministry of Agriculture and Rural Affairs, Ankara, Turkey</w:t>
      </w:r>
      <w:r w:rsidRPr="001B600C">
        <w:br/>
        <w:t>E-mail:  mehmet.sigirci@tarim.gov.tr</w:t>
      </w:r>
    </w:p>
    <w:p w:rsidR="004148CF" w:rsidRPr="001B600C" w:rsidRDefault="004148CF" w:rsidP="00FD02CA">
      <w:pPr>
        <w:pStyle w:val="plcountry"/>
      </w:pPr>
      <w:r w:rsidRPr="001B600C">
        <w:t>UNION EUROPÉENNE / EUROPEAN UNION / EUROPÄISCHE UNION / UNIÓN EUROPEA</w:t>
      </w:r>
    </w:p>
    <w:p w:rsidR="004148CF" w:rsidRPr="001B600C" w:rsidRDefault="004148CF" w:rsidP="00FD02CA">
      <w:pPr>
        <w:pStyle w:val="pldetails"/>
      </w:pPr>
      <w:r w:rsidRPr="001B600C">
        <w:t xml:space="preserve">Bronislava BÁTOROVÁ (Ms.), National Coordinator for the Cooperation of the Slovak Republic with UPOV/ Senior Officer, Department of Variety Testing, Central Controlling and Testing Institute in Agriculture (ÚKSÚP), Nitra  </w:t>
      </w:r>
      <w:r w:rsidRPr="001B600C">
        <w:br/>
        <w:t xml:space="preserve">(e-mail: bronislava.batorova@uksup.sk) </w:t>
      </w:r>
    </w:p>
    <w:p w:rsidR="004148CF" w:rsidRPr="001B600C" w:rsidRDefault="004148CF" w:rsidP="00FD02CA">
      <w:pPr>
        <w:pStyle w:val="pldetails"/>
      </w:pPr>
      <w:r w:rsidRPr="001B600C">
        <w:t xml:space="preserve">Dirk THEOBALD, Head of the Technical Unit, Community Plant Variety Office (CPVO), Angers </w:t>
      </w:r>
      <w:r w:rsidRPr="001B600C">
        <w:br/>
        <w:t xml:space="preserve">(e-mail: theobald@cpvo.europa.eu) </w:t>
      </w:r>
    </w:p>
    <w:p w:rsidR="004148CF" w:rsidRPr="001B600C" w:rsidRDefault="004148CF" w:rsidP="00FD02CA">
      <w:pPr>
        <w:pStyle w:val="pldetails"/>
        <w:rPr>
          <w:sz w:val="27"/>
          <w:szCs w:val="27"/>
        </w:rPr>
      </w:pPr>
      <w:r w:rsidRPr="001B600C">
        <w:t xml:space="preserve">Jean MAISON, Deputy Head, Technical Unit, Community Plant Variety Office (CPVO), Angers </w:t>
      </w:r>
      <w:r w:rsidRPr="001B600C">
        <w:br/>
        <w:t xml:space="preserve">(e-mail: maison@cpvo.europa.eu) </w:t>
      </w:r>
    </w:p>
    <w:p w:rsidR="004148CF" w:rsidRPr="001B600C" w:rsidRDefault="004148CF" w:rsidP="00FD02CA">
      <w:pPr>
        <w:pStyle w:val="pldetails"/>
      </w:pPr>
      <w:r w:rsidRPr="001B600C">
        <w:t xml:space="preserve">Marc ROUILLARD, Webmaster, Supporting Services, Community Plant Variety Office (CPVO), Angers </w:t>
      </w:r>
      <w:r w:rsidRPr="001B600C">
        <w:br/>
        <w:t xml:space="preserve">(e-mail: rouillard@cpvo.europa.eu) </w:t>
      </w:r>
      <w:r w:rsidRPr="001B600C">
        <w:br/>
      </w:r>
      <w:r w:rsidRPr="001B600C">
        <w:rPr>
          <w:highlight w:val="lightGray"/>
        </w:rPr>
        <w:t>[via WebEx]</w:t>
      </w:r>
    </w:p>
    <w:p w:rsidR="004148CF" w:rsidRPr="001B600C" w:rsidRDefault="004148CF" w:rsidP="00FD02CA">
      <w:pPr>
        <w:pStyle w:val="plheading"/>
      </w:pPr>
      <w:r w:rsidRPr="001B600C">
        <w:t>II. OBSERVATEURS / OBSERVERS / BEOBACHTER / OBSERVADORES</w:t>
      </w:r>
    </w:p>
    <w:p w:rsidR="004148CF" w:rsidRPr="001B600C" w:rsidRDefault="004148CF" w:rsidP="00FD02CA">
      <w:pPr>
        <w:pStyle w:val="plcountry"/>
      </w:pPr>
      <w:r w:rsidRPr="001B600C">
        <w:t>ARABIE SAOUDITE / SAUDI ARABIA / SAUDI-ARABIEN / ARABIA SAUDITA</w:t>
      </w:r>
    </w:p>
    <w:p w:rsidR="004148CF" w:rsidRPr="001B600C" w:rsidRDefault="004148CF" w:rsidP="00FD02CA">
      <w:pPr>
        <w:pStyle w:val="pldetails"/>
      </w:pPr>
      <w:r w:rsidRPr="001B600C">
        <w:t xml:space="preserve">Bandar ALHOMED, Consultant Judge, KSA, Riyadh </w:t>
      </w:r>
      <w:r w:rsidRPr="001B600C">
        <w:br/>
        <w:t>(e-mail: bandar8580@hotmail.com)</w:t>
      </w:r>
    </w:p>
    <w:p w:rsidR="004148CF" w:rsidRPr="001B600C" w:rsidRDefault="004148CF" w:rsidP="00FD02CA">
      <w:pPr>
        <w:pStyle w:val="pldetails"/>
      </w:pPr>
      <w:r w:rsidRPr="001B600C">
        <w:t xml:space="preserve">Badie Saud ALBADIE, Consultant Judge, KSA, Riyadh </w:t>
      </w:r>
      <w:r w:rsidRPr="001B600C">
        <w:br/>
        <w:t>(e-mail: abosaud1384@hotmail.com)</w:t>
      </w:r>
    </w:p>
    <w:p w:rsidR="004148CF" w:rsidRPr="001B600C" w:rsidRDefault="004148CF" w:rsidP="00FD02CA">
      <w:pPr>
        <w:pStyle w:val="plheading"/>
      </w:pPr>
      <w:r w:rsidRPr="001B600C">
        <w:t>iII. ORGANISATIONS / ORGANIZATIONS / ORGANISATIONEN / ORGANIZACIONES</w:t>
      </w:r>
    </w:p>
    <w:p w:rsidR="004148CF" w:rsidRPr="001B600C" w:rsidRDefault="004148CF" w:rsidP="00FD02CA">
      <w:pPr>
        <w:pStyle w:val="plcountry"/>
      </w:pPr>
      <w:r w:rsidRPr="001B600C">
        <w:t>COMMUNAUTÉ INTERNATIONALE DES OBTENTEURS DE PLANTES ORNEMENTALES ET FRUITIÈRES À REPRODUCTION ASEXUÉE (CIOPORA) / INTERNATIONAL COMMUNITY  OF BREEDERS OF ASEXUALLY REPRODUCED ORNAMENTAL AND FRUIT PLANTS (CIOPORA) / INTERNATIONALE GEMEINSCHAFT DER ZÜCHTER VEGETATIV VERMEHRBARER ZIERUND OBSTPFLANZEN (CIOPORA) / COMUNIDAD INTERNACIONAL DE OBTENTORES DE VARIEDADES ORNAMENTALES Y FRUTALES DE REPRODUCCIÓN ASEXUADA (CIOPORA)</w:t>
      </w:r>
    </w:p>
    <w:p w:rsidR="004148CF" w:rsidRPr="001B600C" w:rsidRDefault="004148CF" w:rsidP="00FD02CA">
      <w:pPr>
        <w:pStyle w:val="pldetails"/>
      </w:pPr>
      <w:r w:rsidRPr="001B600C">
        <w:t xml:space="preserve">Hélène JOURDAN (Madame), Secrétaire générale, AOHE, Responsible COV &amp; Marques, Meilland International S.A., Association des Obtenteurs Horticoles Européens (AOHE), Le Luc en Provence  </w:t>
      </w:r>
      <w:r w:rsidRPr="001B600C">
        <w:br/>
        <w:t xml:space="preserve">(e-mail: licprot@meilland.com) </w:t>
      </w:r>
    </w:p>
    <w:p w:rsidR="004148CF" w:rsidRPr="001B600C" w:rsidRDefault="004148CF" w:rsidP="00FD02CA">
      <w:pPr>
        <w:pStyle w:val="plcountry"/>
      </w:pPr>
      <w:r w:rsidRPr="001B600C">
        <w:t>CROPLIFE INTERNATIONAL</w:t>
      </w:r>
    </w:p>
    <w:p w:rsidR="004148CF" w:rsidRPr="001B600C" w:rsidRDefault="004148CF" w:rsidP="00FD02CA">
      <w:pPr>
        <w:pStyle w:val="pldetails"/>
      </w:pPr>
      <w:r w:rsidRPr="001B600C">
        <w:t xml:space="preserve">Marcel BRUINS, Consultant, CropLife International, Bruxelles </w:t>
      </w:r>
      <w:r w:rsidRPr="001B600C">
        <w:br/>
        <w:t xml:space="preserve">(e-mail: mbruins1964@gmail.com) </w:t>
      </w:r>
    </w:p>
    <w:p w:rsidR="004148CF" w:rsidRPr="001B600C" w:rsidRDefault="004148CF" w:rsidP="00FD02CA">
      <w:pPr>
        <w:pStyle w:val="pldetails"/>
      </w:pPr>
      <w:r w:rsidRPr="001B600C">
        <w:t xml:space="preserve">François-Xavier MULLER, EU Corn Breeding IP/QMS Manager, Monsanto SAS, Monbéqui  </w:t>
      </w:r>
      <w:r w:rsidRPr="001B600C">
        <w:br/>
        <w:t xml:space="preserve">(e-mail: francois-xavier.muller@monsanto.com) </w:t>
      </w:r>
    </w:p>
    <w:p w:rsidR="004148CF" w:rsidRPr="001B600C" w:rsidRDefault="004148CF" w:rsidP="00FD02CA">
      <w:pPr>
        <w:pStyle w:val="plcountry"/>
      </w:pPr>
      <w:r w:rsidRPr="001B600C">
        <w:t>INTERNATIONAL SEED FEDERATION (ISF)</w:t>
      </w:r>
    </w:p>
    <w:p w:rsidR="004148CF" w:rsidRPr="001B600C" w:rsidRDefault="004148CF" w:rsidP="00FD02CA">
      <w:pPr>
        <w:pStyle w:val="pldetails"/>
      </w:pPr>
      <w:r w:rsidRPr="001B600C">
        <w:t xml:space="preserve">Szabolcs RUTHNER, Regulatory Affairs Executive, International Seed Federation (ISF), Nyon </w:t>
      </w:r>
      <w:r w:rsidRPr="001B600C">
        <w:br/>
        <w:t xml:space="preserve">(e-mail: s.ruthner@worldseed.org) </w:t>
      </w:r>
    </w:p>
    <w:p w:rsidR="004148CF" w:rsidRPr="001B600C" w:rsidRDefault="004148CF" w:rsidP="00FD02CA">
      <w:pPr>
        <w:pStyle w:val="pldetails"/>
      </w:pPr>
      <w:r w:rsidRPr="001B600C">
        <w:t xml:space="preserve">Amy D. CURTIS (Ms.), Soybean &amp; Cotton Patent Scientist, Monsanto US, St. Louis </w:t>
      </w:r>
      <w:r w:rsidRPr="001B600C">
        <w:br/>
        <w:t xml:space="preserve">(e-mail: amy.curtis@monsanto.com) </w:t>
      </w:r>
    </w:p>
    <w:p w:rsidR="004148CF" w:rsidRPr="001B600C" w:rsidRDefault="004148CF" w:rsidP="00FD02CA">
      <w:pPr>
        <w:pStyle w:val="pldetails"/>
      </w:pPr>
      <w:r w:rsidRPr="001B600C">
        <w:t xml:space="preserve">Stevan MADJARAC, Germplasm IP Lead, American Seed Trade Association (ASTA), Alexandria  </w:t>
      </w:r>
      <w:r w:rsidRPr="001B600C">
        <w:br/>
        <w:t>(e-mail: s.madjarac@gmail.com)</w:t>
      </w:r>
    </w:p>
    <w:p w:rsidR="004148CF" w:rsidRPr="001B600C" w:rsidRDefault="004148CF" w:rsidP="00FD02CA">
      <w:pPr>
        <w:pStyle w:val="pldetails"/>
      </w:pPr>
      <w:r w:rsidRPr="001B600C">
        <w:t xml:space="preserve">Astrid M. SCHENKEVELD (Ms.), Specialist, Variety Registration &amp; Protection, Rijk Zwaan Zaadteelt en Zaadhandel B.V., De Lier  </w:t>
      </w:r>
      <w:r w:rsidRPr="001B600C">
        <w:br/>
        <w:t xml:space="preserve">(e-mail: a.schenkeveld@rijkzwaan.nl) </w:t>
      </w:r>
    </w:p>
    <w:p w:rsidR="004148CF" w:rsidRPr="001B600C" w:rsidRDefault="004148CF" w:rsidP="00FD02CA">
      <w:pPr>
        <w:pStyle w:val="pldetails"/>
      </w:pPr>
      <w:r w:rsidRPr="001B600C">
        <w:t xml:space="preserve">Corien JEURISSEN (Mrs.), Manager Plant Variety Protection &amp; Trademarks, Crop Science Division, Nunhem  </w:t>
      </w:r>
      <w:r w:rsidRPr="001B600C">
        <w:br/>
        <w:t xml:space="preserve">(e-mail: corien.jeurissen@bayer.com) </w:t>
      </w:r>
      <w:r w:rsidRPr="001B600C">
        <w:br/>
      </w:r>
      <w:r w:rsidRPr="001B600C">
        <w:rPr>
          <w:highlight w:val="lightGray"/>
        </w:rPr>
        <w:t>[via WebEx]</w:t>
      </w:r>
    </w:p>
    <w:p w:rsidR="004148CF" w:rsidRPr="001B600C" w:rsidRDefault="004148CF" w:rsidP="00FD02CA">
      <w:pPr>
        <w:pStyle w:val="pldetails"/>
      </w:pPr>
      <w:r w:rsidRPr="001B600C">
        <w:t xml:space="preserve">Jan KNOL, Officer, Plant Variety Protection and Registration, Bayer CropScience Vegetable Seeds, Haelen  </w:t>
      </w:r>
      <w:r w:rsidRPr="001B600C">
        <w:br/>
        <w:t xml:space="preserve">(e-mail: jan.knol@bayer.com) </w:t>
      </w:r>
      <w:r w:rsidRPr="001B600C">
        <w:br/>
      </w:r>
      <w:r w:rsidRPr="001B600C">
        <w:rPr>
          <w:highlight w:val="lightGray"/>
        </w:rPr>
        <w:t>[via WebEx]</w:t>
      </w:r>
    </w:p>
    <w:p w:rsidR="004148CF" w:rsidRPr="001B600C" w:rsidRDefault="004148CF" w:rsidP="00FD02CA">
      <w:pPr>
        <w:pStyle w:val="pldetails"/>
      </w:pPr>
      <w:r w:rsidRPr="001B600C">
        <w:t xml:space="preserve">Maria José VILLALÓN-ROBLES (Ms.), PVP Specialist EMEA, Monsanto, Wageningen  </w:t>
      </w:r>
      <w:r w:rsidRPr="001B600C">
        <w:br/>
        <w:t xml:space="preserve">(e-mail: maria.jose.villalon.robles@monsanto.com) </w:t>
      </w:r>
      <w:r w:rsidRPr="001B600C">
        <w:br/>
      </w:r>
      <w:r w:rsidRPr="001B600C">
        <w:rPr>
          <w:highlight w:val="lightGray"/>
        </w:rPr>
        <w:t>[via WebEx]</w:t>
      </w:r>
    </w:p>
    <w:p w:rsidR="004148CF" w:rsidRPr="001B600C" w:rsidRDefault="004148CF" w:rsidP="00FD02CA">
      <w:pPr>
        <w:pStyle w:val="pldetails"/>
      </w:pPr>
      <w:r w:rsidRPr="001B600C">
        <w:t xml:space="preserve">Sietske WOUDA (Ms.), Lead Global Germplasm PVP/MA, Syngenta International AG, Basel  </w:t>
      </w:r>
      <w:r w:rsidRPr="001B600C">
        <w:br/>
        <w:t xml:space="preserve">(e-mail: sietske.wouda@syngenta.com) </w:t>
      </w:r>
      <w:r w:rsidRPr="001B600C">
        <w:br/>
      </w:r>
      <w:r w:rsidRPr="001B600C">
        <w:rPr>
          <w:highlight w:val="lightGray"/>
        </w:rPr>
        <w:t>[via WebEx]</w:t>
      </w:r>
    </w:p>
    <w:p w:rsidR="004148CF" w:rsidRPr="001B600C" w:rsidRDefault="004148CF" w:rsidP="00FD02CA">
      <w:pPr>
        <w:pStyle w:val="pldetails"/>
      </w:pPr>
      <w:r w:rsidRPr="001B600C">
        <w:t xml:space="preserve">Veronique BEEREN (Ms.), Department Plant Variety Protection and Trademarks, Nunhems B.V.  </w:t>
      </w:r>
      <w:r w:rsidRPr="001B600C">
        <w:br/>
        <w:t xml:space="preserve">(e-mail: nunhems.varietyregistration.nl@bayer.com) </w:t>
      </w:r>
      <w:r w:rsidRPr="001B600C">
        <w:br/>
      </w:r>
      <w:r w:rsidRPr="001B600C">
        <w:rPr>
          <w:highlight w:val="lightGray"/>
        </w:rPr>
        <w:t>[via WebEx]</w:t>
      </w:r>
    </w:p>
    <w:p w:rsidR="004148CF" w:rsidRPr="001B600C" w:rsidRDefault="004148CF" w:rsidP="00FD02CA">
      <w:pPr>
        <w:pStyle w:val="pldetails"/>
      </w:pPr>
      <w:r w:rsidRPr="001B600C">
        <w:t xml:space="preserve">Marymar BUTRUILLE (Ms.), Germplasm IP Stewardship Coordinator, Monsanto Company, Ankeny </w:t>
      </w:r>
      <w:r w:rsidRPr="001B600C">
        <w:br/>
        <w:t xml:space="preserve">(e-mail: marymar.butruille@monsanto.com) </w:t>
      </w:r>
      <w:r w:rsidRPr="001B600C">
        <w:br/>
      </w:r>
      <w:r w:rsidRPr="001B600C">
        <w:rPr>
          <w:highlight w:val="lightGray"/>
        </w:rPr>
        <w:t>[via WebEx]</w:t>
      </w:r>
    </w:p>
    <w:p w:rsidR="004148CF" w:rsidRPr="001B600C" w:rsidRDefault="004148CF" w:rsidP="00FD02CA">
      <w:pPr>
        <w:pStyle w:val="pldetails"/>
      </w:pPr>
      <w:r w:rsidRPr="001B600C">
        <w:t xml:space="preserve">Dominique QUENNEVAT (Ms.), Administrative Assistant, DuPont Pioneer Genetique, Aussonne  </w:t>
      </w:r>
      <w:r w:rsidRPr="001B600C">
        <w:br/>
        <w:t xml:space="preserve">(e-mail: dominique.quennevat@pioneer.com) </w:t>
      </w:r>
      <w:r w:rsidRPr="001B600C">
        <w:br/>
      </w:r>
      <w:r w:rsidRPr="001B600C">
        <w:rPr>
          <w:highlight w:val="lightGray"/>
        </w:rPr>
        <w:t>[via WebEx]</w:t>
      </w:r>
    </w:p>
    <w:p w:rsidR="004148CF" w:rsidRPr="001B600C" w:rsidRDefault="004148CF" w:rsidP="00FD02CA">
      <w:pPr>
        <w:pStyle w:val="pldetails"/>
      </w:pPr>
      <w:r w:rsidRPr="001B600C">
        <w:t xml:space="preserve">Daniela RODRIGUES (Ms.), Syngenta International AG, Basel </w:t>
      </w:r>
      <w:r w:rsidRPr="001B600C">
        <w:rPr>
          <w:highlight w:val="cyan"/>
        </w:rPr>
        <w:br/>
      </w:r>
      <w:r w:rsidRPr="001B600C">
        <w:t>(e-mail: daniela.rodrigues@syngenta.com)</w:t>
      </w:r>
      <w:r w:rsidRPr="001B600C">
        <w:br/>
      </w:r>
      <w:r w:rsidRPr="001B600C">
        <w:rPr>
          <w:highlight w:val="lightGray"/>
        </w:rPr>
        <w:t>[via WebEx]</w:t>
      </w:r>
    </w:p>
    <w:p w:rsidR="004148CF" w:rsidRPr="001B600C" w:rsidRDefault="004148CF" w:rsidP="00FD02CA">
      <w:pPr>
        <w:rPr>
          <w:snapToGrid w:val="0"/>
          <w:u w:val="single"/>
        </w:rPr>
      </w:pPr>
      <w:r w:rsidRPr="001B600C">
        <w:br w:type="page"/>
      </w:r>
    </w:p>
    <w:p w:rsidR="004148CF" w:rsidRPr="001B600C" w:rsidRDefault="004148CF" w:rsidP="00FD02CA">
      <w:pPr>
        <w:pStyle w:val="plheading"/>
      </w:pPr>
      <w:r w:rsidRPr="001B600C">
        <w:t>Iv. BUREAU DE L’OMPI / OFFICE OF WIPO / BÜRO DER WIPO / OFICINA DE LA OMPI</w:t>
      </w:r>
    </w:p>
    <w:p w:rsidR="004148CF" w:rsidRPr="001B600C" w:rsidRDefault="004148CF" w:rsidP="00FD02CA">
      <w:pPr>
        <w:pStyle w:val="pldetails"/>
      </w:pPr>
      <w:r w:rsidRPr="001B600C">
        <w:t>Kelvin HAYES, Head, Finance Division</w:t>
      </w:r>
    </w:p>
    <w:p w:rsidR="004148CF" w:rsidRPr="001B600C" w:rsidRDefault="004148CF" w:rsidP="00FD02CA">
      <w:pPr>
        <w:pStyle w:val="pldetails"/>
      </w:pPr>
      <w:r w:rsidRPr="001B600C">
        <w:t>Young-Woo YUN, Head, International Classifications and Standards Division</w:t>
      </w:r>
    </w:p>
    <w:p w:rsidR="004148CF" w:rsidRPr="001B600C" w:rsidRDefault="004148CF" w:rsidP="00FD02CA">
      <w:pPr>
        <w:pStyle w:val="pldetails"/>
      </w:pPr>
      <w:r w:rsidRPr="001B600C">
        <w:t>Gaëtan BLUNIER, Manager, ERP Functional Team, Management and Administration Applications Section</w:t>
      </w:r>
    </w:p>
    <w:p w:rsidR="004148CF" w:rsidRPr="001B600C" w:rsidRDefault="004148CF" w:rsidP="00FD02CA">
      <w:pPr>
        <w:pStyle w:val="plheading"/>
      </w:pPr>
      <w:r w:rsidRPr="001B600C">
        <w:t>V. BUREAU / OFFICER / VORSITZ / OFICINA</w:t>
      </w:r>
    </w:p>
    <w:p w:rsidR="004148CF" w:rsidRPr="001B600C" w:rsidRDefault="004148CF" w:rsidP="00FD02CA">
      <w:pPr>
        <w:pStyle w:val="pldetails"/>
      </w:pPr>
      <w:r w:rsidRPr="001B600C">
        <w:t>Peter BUTTON, Chair</w:t>
      </w:r>
    </w:p>
    <w:p w:rsidR="004148CF" w:rsidRPr="001B600C" w:rsidRDefault="004148CF" w:rsidP="00FD02CA">
      <w:pPr>
        <w:pStyle w:val="plheading"/>
      </w:pPr>
      <w:r w:rsidRPr="001B600C">
        <w:t>Vi. BUREAU DE L’UPOV / OFFICE OF UPOV / BÜRO DER UPOV / OFICINA DE LA UPOV</w:t>
      </w:r>
    </w:p>
    <w:p w:rsidR="004148CF" w:rsidRPr="001B600C" w:rsidRDefault="004148CF" w:rsidP="00FD02CA">
      <w:pPr>
        <w:pStyle w:val="pldetails"/>
      </w:pPr>
      <w:r w:rsidRPr="001B600C">
        <w:t>Peter BUTTON, Vice Secretary-General</w:t>
      </w:r>
    </w:p>
    <w:p w:rsidR="004148CF" w:rsidRPr="001B600C" w:rsidRDefault="004148CF" w:rsidP="00FD02CA">
      <w:pPr>
        <w:pStyle w:val="pldetails"/>
      </w:pPr>
      <w:r w:rsidRPr="001B600C">
        <w:t>Yolanda HUERTA (Ms.), Legal Counsel</w:t>
      </w:r>
    </w:p>
    <w:p w:rsidR="004148CF" w:rsidRPr="001B600C" w:rsidRDefault="004148CF" w:rsidP="00FD02CA">
      <w:pPr>
        <w:pStyle w:val="pldetails"/>
      </w:pPr>
      <w:r w:rsidRPr="001B600C">
        <w:t>Tomochika MOTOMURA, Technical/Regional Officer (Asia)</w:t>
      </w:r>
    </w:p>
    <w:p w:rsidR="004148CF" w:rsidRPr="001B600C" w:rsidRDefault="004148CF" w:rsidP="00FD02CA">
      <w:pPr>
        <w:pStyle w:val="pldetails"/>
      </w:pPr>
      <w:r w:rsidRPr="001B600C">
        <w:t>Ben RIVOIRE, Technical/Regional Officer (Africa, Arab countries)</w:t>
      </w:r>
    </w:p>
    <w:p w:rsidR="004148CF" w:rsidRPr="001B600C" w:rsidRDefault="004148CF" w:rsidP="00FD02CA">
      <w:pPr>
        <w:pStyle w:val="pldetails"/>
      </w:pPr>
      <w:r w:rsidRPr="001B600C">
        <w:t>Leontino TAVEIRA, Technical/Regional Officer (Latin America, Caribbean countries)</w:t>
      </w:r>
    </w:p>
    <w:p w:rsidR="004148CF" w:rsidRPr="001B600C" w:rsidRDefault="004148CF" w:rsidP="00FD02CA">
      <w:pPr>
        <w:pStyle w:val="pldetails"/>
      </w:pPr>
      <w:r w:rsidRPr="001B600C">
        <w:t>Hend MADHOUR (Ms.), Data Modeler and Business Needs Analyst</w:t>
      </w:r>
    </w:p>
    <w:p w:rsidR="004148CF" w:rsidRPr="001B600C" w:rsidRDefault="004148CF" w:rsidP="00FD02CA"/>
    <w:p w:rsidR="004148CF" w:rsidRPr="001B600C" w:rsidRDefault="004148CF" w:rsidP="00FD02CA"/>
    <w:p w:rsidR="004148CF" w:rsidRDefault="004148CF" w:rsidP="00FD02CA"/>
    <w:p w:rsidR="004148CF" w:rsidRDefault="004148CF" w:rsidP="00CB6696">
      <w:pPr>
        <w:jc w:val="right"/>
      </w:pPr>
      <w:r w:rsidRPr="001B600C">
        <w:t>[</w:t>
      </w:r>
      <w:r>
        <w:t xml:space="preserve">L’annexe II suit/ </w:t>
      </w:r>
    </w:p>
    <w:p w:rsidR="004148CF" w:rsidRDefault="004148CF" w:rsidP="00CB6696">
      <w:pPr>
        <w:jc w:val="right"/>
      </w:pPr>
      <w:r w:rsidRPr="001B600C">
        <w:t>Annex II follows</w:t>
      </w:r>
      <w:r>
        <w:t xml:space="preserve">/ </w:t>
      </w:r>
    </w:p>
    <w:p w:rsidR="004148CF" w:rsidRDefault="004148CF" w:rsidP="00CB6696">
      <w:pPr>
        <w:jc w:val="right"/>
      </w:pPr>
      <w:r>
        <w:t>Anlage II folgt/</w:t>
      </w:r>
    </w:p>
    <w:p w:rsidR="004148CF" w:rsidRPr="001B600C" w:rsidRDefault="004148CF" w:rsidP="00CB6696">
      <w:pPr>
        <w:jc w:val="right"/>
      </w:pPr>
      <w:r>
        <w:t>Sigue el Anexo II</w:t>
      </w:r>
      <w:r w:rsidRPr="001B600C">
        <w:t>]</w:t>
      </w:r>
    </w:p>
    <w:p w:rsidR="004148CF" w:rsidRPr="001B600C" w:rsidRDefault="004148CF" w:rsidP="00FD02CA">
      <w:pPr>
        <w:sectPr w:rsidR="004148CF" w:rsidRPr="001B600C" w:rsidSect="004148CF">
          <w:headerReference w:type="default" r:id="rId14"/>
          <w:pgSz w:w="11907" w:h="16840" w:code="9"/>
          <w:pgMar w:top="510" w:right="1134" w:bottom="1134" w:left="1134" w:header="510" w:footer="624" w:gutter="0"/>
          <w:pgNumType w:start="1"/>
          <w:cols w:space="720"/>
          <w:titlePg/>
        </w:sectPr>
      </w:pPr>
    </w:p>
    <w:p w:rsidR="004148CF" w:rsidRPr="001B600C" w:rsidRDefault="004148CF" w:rsidP="00CB6696">
      <w:pPr>
        <w:jc w:val="center"/>
      </w:pPr>
      <w:r>
        <w:t>UPOV/EAF/9/3</w:t>
      </w:r>
    </w:p>
    <w:p w:rsidR="004148CF" w:rsidRPr="001B600C" w:rsidRDefault="004148CF" w:rsidP="00FD02CA"/>
    <w:p w:rsidR="004148CF" w:rsidRPr="001B600C" w:rsidRDefault="004148CF" w:rsidP="00CB6696">
      <w:pPr>
        <w:jc w:val="center"/>
      </w:pPr>
      <w:r w:rsidRPr="001B600C">
        <w:t>ANNEX II</w:t>
      </w:r>
      <w:r>
        <w:t xml:space="preserve"> / ANNEXE II / ANLAGE II / ANEXO II</w:t>
      </w:r>
    </w:p>
    <w:p w:rsidR="004148CF" w:rsidRPr="001B600C" w:rsidRDefault="004148CF" w:rsidP="00FD02CA">
      <w:bookmarkStart w:id="23" w:name="_GoBack"/>
      <w:bookmarkEnd w:id="23"/>
    </w:p>
    <w:p w:rsidR="004148CF" w:rsidRPr="001B600C" w:rsidRDefault="004148CF" w:rsidP="00FD02CA"/>
    <w:p w:rsidR="004148CF" w:rsidRPr="001B600C" w:rsidRDefault="004148CF" w:rsidP="00FD02CA"/>
    <w:p w:rsidR="004148CF" w:rsidRPr="00AD7F5F" w:rsidRDefault="004148CF" w:rsidP="00AD7F5F">
      <w:pPr>
        <w:jc w:val="center"/>
        <w:rPr>
          <w:i/>
        </w:rPr>
      </w:pPr>
      <w:r w:rsidRPr="00AD7F5F">
        <w:rPr>
          <w:i/>
        </w:rPr>
        <w:t>[</w:t>
      </w:r>
      <w:r>
        <w:rPr>
          <w:i/>
        </w:rPr>
        <w:t>S</w:t>
      </w:r>
      <w:r w:rsidRPr="00AD7F5F">
        <w:rPr>
          <w:i/>
        </w:rPr>
        <w:t>ee the PDF version / Voir la version PDF / Siehe PDF Version / Veáse la version en PDF]</w:t>
      </w:r>
    </w:p>
    <w:p w:rsidR="004148CF" w:rsidRPr="001B600C" w:rsidRDefault="004148CF" w:rsidP="00FD02CA"/>
    <w:p w:rsidR="004148CF" w:rsidRPr="001B600C" w:rsidRDefault="004148CF" w:rsidP="00FD02CA"/>
    <w:p w:rsidR="004148CF" w:rsidRPr="001B600C" w:rsidRDefault="004148CF" w:rsidP="00FD02CA"/>
    <w:p w:rsidR="004148CF" w:rsidRPr="001B600C" w:rsidRDefault="004148CF" w:rsidP="00FD02CA"/>
    <w:p w:rsidR="004148CF" w:rsidRPr="001B600C" w:rsidRDefault="004148CF" w:rsidP="00FD02CA"/>
    <w:p w:rsidR="004148CF" w:rsidRDefault="004148CF" w:rsidP="00D04487">
      <w:pPr>
        <w:jc w:val="right"/>
      </w:pPr>
      <w:r>
        <w:t>[End of Annex II and of document/</w:t>
      </w:r>
    </w:p>
    <w:p w:rsidR="004148CF" w:rsidRDefault="004148CF" w:rsidP="00D04487">
      <w:pPr>
        <w:jc w:val="right"/>
      </w:pPr>
      <w:r>
        <w:t>Fin de l’Annexe II et du document/</w:t>
      </w:r>
    </w:p>
    <w:p w:rsidR="004148CF" w:rsidRDefault="004148CF" w:rsidP="00D04487">
      <w:pPr>
        <w:jc w:val="right"/>
      </w:pPr>
      <w:r>
        <w:t>Ende der Anlage II und des Dokuments/</w:t>
      </w:r>
    </w:p>
    <w:p w:rsidR="004148CF" w:rsidRDefault="004148CF" w:rsidP="00D04487">
      <w:pPr>
        <w:jc w:val="right"/>
      </w:pPr>
      <w:r>
        <w:t>Fin del Anexo II y del documento]</w:t>
      </w:r>
    </w:p>
    <w:p w:rsidR="004148CF" w:rsidRPr="001B600C" w:rsidRDefault="004148CF" w:rsidP="00EA194B">
      <w:pPr>
        <w:jc w:val="right"/>
      </w:pPr>
    </w:p>
    <w:p w:rsidR="004148CF" w:rsidRPr="001B600C" w:rsidRDefault="004148CF" w:rsidP="00FD02CA"/>
    <w:p w:rsidR="004148CF" w:rsidRPr="001B600C" w:rsidRDefault="004148CF" w:rsidP="00FD02CA"/>
    <w:p w:rsidR="00050E16" w:rsidRPr="007D1E9D" w:rsidRDefault="00050E16" w:rsidP="00FD02CA"/>
    <w:sectPr w:rsidR="00050E16" w:rsidRPr="007D1E9D" w:rsidSect="005B5BE3">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670" w:rsidRDefault="00AD4670" w:rsidP="00FD02CA">
      <w:r>
        <w:separator/>
      </w:r>
    </w:p>
    <w:p w:rsidR="00AD4670" w:rsidRDefault="00AD4670" w:rsidP="00FD02CA"/>
    <w:p w:rsidR="00AD4670" w:rsidRDefault="00AD4670" w:rsidP="00FD02CA"/>
  </w:endnote>
  <w:endnote w:type="continuationSeparator" w:id="0">
    <w:p w:rsidR="00AD4670" w:rsidRDefault="00AD4670" w:rsidP="00FD02CA">
      <w:r>
        <w:separator/>
      </w:r>
    </w:p>
    <w:p w:rsidR="00AD4670" w:rsidRPr="00294751" w:rsidRDefault="00AD4670">
      <w:pPr>
        <w:pStyle w:val="Footer"/>
        <w:spacing w:after="60"/>
        <w:rPr>
          <w:sz w:val="18"/>
          <w:lang w:val="fr-FR"/>
        </w:rPr>
      </w:pPr>
      <w:r w:rsidRPr="00294751">
        <w:rPr>
          <w:sz w:val="18"/>
          <w:lang w:val="fr-FR"/>
        </w:rPr>
        <w:t>[Suite de la note de la page précédente]</w:t>
      </w:r>
    </w:p>
    <w:p w:rsidR="00AD4670" w:rsidRPr="00294751" w:rsidRDefault="00AD4670" w:rsidP="00FD02CA">
      <w:pPr>
        <w:rPr>
          <w:lang w:val="fr-FR"/>
        </w:rPr>
      </w:pPr>
    </w:p>
    <w:p w:rsidR="00AD4670" w:rsidRPr="00294751" w:rsidRDefault="00AD4670" w:rsidP="00FD02CA">
      <w:pPr>
        <w:rPr>
          <w:lang w:val="fr-FR"/>
        </w:rPr>
      </w:pPr>
    </w:p>
  </w:endnote>
  <w:endnote w:type="continuationNotice" w:id="1">
    <w:p w:rsidR="00AD4670" w:rsidRPr="00294751" w:rsidRDefault="00AD4670" w:rsidP="00FD02CA">
      <w:pPr>
        <w:rPr>
          <w:lang w:val="fr-FR"/>
        </w:rPr>
      </w:pPr>
      <w:r w:rsidRPr="00294751">
        <w:rPr>
          <w:lang w:val="fr-FR"/>
        </w:rPr>
        <w:t>[Suite de la note page suivante]</w:t>
      </w:r>
    </w:p>
    <w:p w:rsidR="00AD4670" w:rsidRPr="00294751" w:rsidRDefault="00AD4670" w:rsidP="00FD02CA">
      <w:pPr>
        <w:rPr>
          <w:lang w:val="fr-FR"/>
        </w:rPr>
      </w:pPr>
    </w:p>
    <w:p w:rsidR="00AD4670" w:rsidRPr="00294751" w:rsidRDefault="00AD4670" w:rsidP="00FD02CA">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BE3" w:rsidRPr="00C43E4A" w:rsidRDefault="005B5BE3" w:rsidP="00425B2D">
    <w:pPr>
      <w:pStyle w:val="Footer"/>
      <w:tabs>
        <w:tab w:val="left" w:leader="underscore" w:pos="1985"/>
      </w:tabs>
      <w:spacing w:before="120"/>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670" w:rsidRDefault="00AD4670" w:rsidP="00FD02CA">
      <w:r>
        <w:separator/>
      </w:r>
    </w:p>
  </w:footnote>
  <w:footnote w:type="continuationSeparator" w:id="0">
    <w:p w:rsidR="00AD4670" w:rsidRDefault="00AD4670" w:rsidP="00FD02CA">
      <w:r>
        <w:separator/>
      </w:r>
    </w:p>
  </w:footnote>
  <w:footnote w:type="continuationNotice" w:id="1">
    <w:p w:rsidR="00AD4670" w:rsidRPr="00AB530F" w:rsidRDefault="00AD467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BE3" w:rsidRPr="00C5280D" w:rsidRDefault="006B3305" w:rsidP="00EB048E">
    <w:pPr>
      <w:pStyle w:val="Header"/>
      <w:rPr>
        <w:rStyle w:val="PageNumber"/>
      </w:rPr>
    </w:pPr>
    <w:r>
      <w:rPr>
        <w:rStyle w:val="PageNumber"/>
      </w:rPr>
      <w:t>UPOV/EAF/9/3</w:t>
    </w:r>
  </w:p>
  <w:p w:rsidR="005B5BE3" w:rsidRPr="00C5280D" w:rsidRDefault="00286D5E" w:rsidP="00EB048E">
    <w:pPr>
      <w:pStyle w:val="Header"/>
    </w:pPr>
    <w:r>
      <w:t xml:space="preserve">página </w:t>
    </w:r>
    <w:r w:rsidR="00BC26FD" w:rsidRPr="00C5280D">
      <w:rPr>
        <w:rStyle w:val="PageNumber"/>
      </w:rPr>
      <w:fldChar w:fldCharType="begin"/>
    </w:r>
    <w:r w:rsidR="005B5BE3" w:rsidRPr="00C5280D">
      <w:rPr>
        <w:rStyle w:val="PageNumber"/>
      </w:rPr>
      <w:instrText xml:space="preserve"> PAGE </w:instrText>
    </w:r>
    <w:r w:rsidR="00BC26FD" w:rsidRPr="00C5280D">
      <w:rPr>
        <w:rStyle w:val="PageNumber"/>
      </w:rPr>
      <w:fldChar w:fldCharType="separate"/>
    </w:r>
    <w:r w:rsidR="005E3CE5">
      <w:rPr>
        <w:rStyle w:val="PageNumber"/>
        <w:noProof/>
      </w:rPr>
      <w:t>5</w:t>
    </w:r>
    <w:r w:rsidR="00BC26FD" w:rsidRPr="00C5280D">
      <w:rPr>
        <w:rStyle w:val="PageNumber"/>
      </w:rPr>
      <w:fldChar w:fldCharType="end"/>
    </w:r>
  </w:p>
  <w:p w:rsidR="005B5BE3" w:rsidRPr="00C5280D" w:rsidRDefault="005B5BE3" w:rsidP="00FD02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CF" w:rsidRPr="00187D7B" w:rsidRDefault="004148CF">
    <w:pPr>
      <w:pStyle w:val="Header"/>
      <w:rPr>
        <w:lang w:val="en-US"/>
      </w:rPr>
    </w:pPr>
    <w:r>
      <w:rPr>
        <w:lang w:val="en-US"/>
      </w:rPr>
      <w:t>UPOV/EAF/9/3</w:t>
    </w:r>
  </w:p>
  <w:p w:rsidR="004148CF" w:rsidRPr="00187D7B" w:rsidRDefault="004148CF">
    <w:pPr>
      <w:pStyle w:val="Header"/>
      <w:rPr>
        <w:noProof/>
        <w:lang w:val="en-US"/>
      </w:rPr>
    </w:pPr>
    <w:r>
      <w:rPr>
        <w:lang w:val="en-US"/>
      </w:rPr>
      <w:t xml:space="preserve">Annexe I / </w:t>
    </w:r>
    <w:r w:rsidRPr="00187D7B">
      <w:rPr>
        <w:lang w:val="en-US"/>
      </w:rPr>
      <w:t>Annex I</w:t>
    </w:r>
    <w:r>
      <w:rPr>
        <w:lang w:val="en-US"/>
      </w:rPr>
      <w:t xml:space="preserve"> / Anlage I / Anexo I</w:t>
    </w:r>
    <w:r>
      <w:rPr>
        <w:lang w:val="en-US"/>
      </w:rPr>
      <w:br/>
    </w:r>
    <w:r w:rsidRPr="00187D7B">
      <w:rPr>
        <w:lang w:val="en-US"/>
      </w:rPr>
      <w:t xml:space="preserve">page </w:t>
    </w:r>
    <w:r>
      <w:fldChar w:fldCharType="begin"/>
    </w:r>
    <w:r w:rsidRPr="00187D7B">
      <w:rPr>
        <w:lang w:val="en-US"/>
      </w:rPr>
      <w:instrText xml:space="preserve"> PAGE   \* MERGEFORMAT </w:instrText>
    </w:r>
    <w:r>
      <w:fldChar w:fldCharType="separate"/>
    </w:r>
    <w:r w:rsidR="005E3CE5">
      <w:rPr>
        <w:noProof/>
        <w:lang w:val="en-US"/>
      </w:rPr>
      <w:t>7</w:t>
    </w:r>
    <w:r>
      <w:rPr>
        <w:noProof/>
      </w:rPr>
      <w:fldChar w:fldCharType="end"/>
    </w:r>
    <w:r>
      <w:rPr>
        <w:noProof/>
      </w:rPr>
      <w:t xml:space="preserve"> / Seite </w:t>
    </w:r>
    <w:r>
      <w:fldChar w:fldCharType="begin"/>
    </w:r>
    <w:r w:rsidRPr="00187D7B">
      <w:rPr>
        <w:lang w:val="en-US"/>
      </w:rPr>
      <w:instrText xml:space="preserve"> PAGE   \* MERGEFORMAT </w:instrText>
    </w:r>
    <w:r>
      <w:fldChar w:fldCharType="separate"/>
    </w:r>
    <w:r w:rsidR="005E3CE5">
      <w:rPr>
        <w:noProof/>
        <w:lang w:val="en-US"/>
      </w:rPr>
      <w:t>7</w:t>
    </w:r>
    <w:r>
      <w:rPr>
        <w:noProof/>
      </w:rPr>
      <w:fldChar w:fldCharType="end"/>
    </w:r>
    <w:r>
      <w:rPr>
        <w:noProof/>
      </w:rPr>
      <w:t xml:space="preserve"> / página </w:t>
    </w:r>
    <w:r>
      <w:fldChar w:fldCharType="begin"/>
    </w:r>
    <w:r w:rsidRPr="00187D7B">
      <w:rPr>
        <w:lang w:val="en-US"/>
      </w:rPr>
      <w:instrText xml:space="preserve"> PAGE   \* MERGEFORMAT </w:instrText>
    </w:r>
    <w:r>
      <w:fldChar w:fldCharType="separate"/>
    </w:r>
    <w:r w:rsidR="005E3CE5">
      <w:rPr>
        <w:noProof/>
        <w:lang w:val="en-US"/>
      </w:rPr>
      <w:t>7</w:t>
    </w:r>
    <w:r>
      <w:rPr>
        <w:noProof/>
      </w:rPr>
      <w:fldChar w:fldCharType="end"/>
    </w:r>
  </w:p>
  <w:p w:rsidR="004148CF" w:rsidRPr="00187D7B" w:rsidRDefault="004148CF">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3FB1"/>
    <w:multiLevelType w:val="hybridMultilevel"/>
    <w:tmpl w:val="5E18555E"/>
    <w:lvl w:ilvl="0" w:tplc="9F6A0B92">
      <w:start w:val="1"/>
      <w:numFmt w:val="lowerLetter"/>
      <w:lvlText w:val="(%1)"/>
      <w:lvlJc w:val="left"/>
      <w:pPr>
        <w:ind w:left="1287" w:hanging="360"/>
      </w:pPr>
      <w:rPr>
        <w:rFonts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14E246E9"/>
    <w:multiLevelType w:val="hybridMultilevel"/>
    <w:tmpl w:val="09C424E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C9D67C5"/>
    <w:multiLevelType w:val="hybridMultilevel"/>
    <w:tmpl w:val="988A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B747EC"/>
    <w:multiLevelType w:val="hybridMultilevel"/>
    <w:tmpl w:val="FE689680"/>
    <w:lvl w:ilvl="0" w:tplc="00AAEC1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2C8A7002"/>
    <w:multiLevelType w:val="hybridMultilevel"/>
    <w:tmpl w:val="5462AA8E"/>
    <w:lvl w:ilvl="0" w:tplc="04090001">
      <w:start w:val="1"/>
      <w:numFmt w:val="bullet"/>
      <w:lvlText w:val=""/>
      <w:lvlJc w:val="left"/>
      <w:pPr>
        <w:ind w:left="1287" w:hanging="360"/>
      </w:pPr>
      <w:rPr>
        <w:rFonts w:ascii="Symbol" w:hAnsi="Symbo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7B027A1"/>
    <w:multiLevelType w:val="hybridMultilevel"/>
    <w:tmpl w:val="04045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B421C96"/>
    <w:multiLevelType w:val="hybridMultilevel"/>
    <w:tmpl w:val="BB9AA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01197E"/>
    <w:multiLevelType w:val="hybridMultilevel"/>
    <w:tmpl w:val="57BE733A"/>
    <w:lvl w:ilvl="0" w:tplc="9F6A0B9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1"/>
  </w:num>
  <w:num w:numId="5">
    <w:abstractNumId w:val="12"/>
  </w:num>
  <w:num w:numId="6">
    <w:abstractNumId w:val="6"/>
  </w:num>
  <w:num w:numId="7">
    <w:abstractNumId w:val="7"/>
  </w:num>
  <w:num w:numId="8">
    <w:abstractNumId w:val="13"/>
  </w:num>
  <w:num w:numId="9">
    <w:abstractNumId w:val="2"/>
  </w:num>
  <w:num w:numId="10">
    <w:abstractNumId w:val="10"/>
  </w:num>
  <w:num w:numId="11">
    <w:abstractNumId w:val="3"/>
  </w:num>
  <w:num w:numId="12">
    <w:abstractNumId w:val="4"/>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09"/>
    <w:rsid w:val="00010CF3"/>
    <w:rsid w:val="00011E27"/>
    <w:rsid w:val="000148BC"/>
    <w:rsid w:val="0001779F"/>
    <w:rsid w:val="00024AB8"/>
    <w:rsid w:val="00027EDC"/>
    <w:rsid w:val="00030854"/>
    <w:rsid w:val="0003583A"/>
    <w:rsid w:val="00036028"/>
    <w:rsid w:val="00042F26"/>
    <w:rsid w:val="00044642"/>
    <w:rsid w:val="000446B9"/>
    <w:rsid w:val="00047E21"/>
    <w:rsid w:val="00050E16"/>
    <w:rsid w:val="00065C94"/>
    <w:rsid w:val="00085505"/>
    <w:rsid w:val="00096403"/>
    <w:rsid w:val="000A3E77"/>
    <w:rsid w:val="000C4E25"/>
    <w:rsid w:val="000C7021"/>
    <w:rsid w:val="000D6BBC"/>
    <w:rsid w:val="000D7780"/>
    <w:rsid w:val="000E50B7"/>
    <w:rsid w:val="000E636A"/>
    <w:rsid w:val="000F2F11"/>
    <w:rsid w:val="00105929"/>
    <w:rsid w:val="00110C36"/>
    <w:rsid w:val="001131D5"/>
    <w:rsid w:val="001259FF"/>
    <w:rsid w:val="00141DB8"/>
    <w:rsid w:val="00172084"/>
    <w:rsid w:val="0017474A"/>
    <w:rsid w:val="001758C6"/>
    <w:rsid w:val="00182B99"/>
    <w:rsid w:val="001A4E29"/>
    <w:rsid w:val="001A558E"/>
    <w:rsid w:val="001B31E9"/>
    <w:rsid w:val="001B600C"/>
    <w:rsid w:val="001C1525"/>
    <w:rsid w:val="001E161D"/>
    <w:rsid w:val="001E390F"/>
    <w:rsid w:val="001F2358"/>
    <w:rsid w:val="001F4306"/>
    <w:rsid w:val="0021332C"/>
    <w:rsid w:val="00213982"/>
    <w:rsid w:val="00243BFF"/>
    <w:rsid w:val="0024416D"/>
    <w:rsid w:val="002608DB"/>
    <w:rsid w:val="00267D6B"/>
    <w:rsid w:val="00271911"/>
    <w:rsid w:val="00272B35"/>
    <w:rsid w:val="00276699"/>
    <w:rsid w:val="002800A0"/>
    <w:rsid w:val="002801B3"/>
    <w:rsid w:val="00281060"/>
    <w:rsid w:val="00286D5E"/>
    <w:rsid w:val="002940E8"/>
    <w:rsid w:val="00294751"/>
    <w:rsid w:val="002A6E50"/>
    <w:rsid w:val="002B4298"/>
    <w:rsid w:val="002C256A"/>
    <w:rsid w:val="002D0400"/>
    <w:rsid w:val="002D70CF"/>
    <w:rsid w:val="002E3CCF"/>
    <w:rsid w:val="00305A7F"/>
    <w:rsid w:val="003152FE"/>
    <w:rsid w:val="00327436"/>
    <w:rsid w:val="00344BD6"/>
    <w:rsid w:val="00346B44"/>
    <w:rsid w:val="003547ED"/>
    <w:rsid w:val="0035528D"/>
    <w:rsid w:val="00361821"/>
    <w:rsid w:val="00361E9E"/>
    <w:rsid w:val="00380ED2"/>
    <w:rsid w:val="003A1609"/>
    <w:rsid w:val="003C7FBE"/>
    <w:rsid w:val="003D227C"/>
    <w:rsid w:val="003D2B4D"/>
    <w:rsid w:val="003D7294"/>
    <w:rsid w:val="003E3020"/>
    <w:rsid w:val="004148CF"/>
    <w:rsid w:val="00422032"/>
    <w:rsid w:val="00425B2D"/>
    <w:rsid w:val="0043283D"/>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54066"/>
    <w:rsid w:val="00567AED"/>
    <w:rsid w:val="00576BE4"/>
    <w:rsid w:val="005978A4"/>
    <w:rsid w:val="005A400A"/>
    <w:rsid w:val="005B5BE3"/>
    <w:rsid w:val="005D7CBB"/>
    <w:rsid w:val="005E3CE5"/>
    <w:rsid w:val="005F7B92"/>
    <w:rsid w:val="00612379"/>
    <w:rsid w:val="006153B6"/>
    <w:rsid w:val="0061555F"/>
    <w:rsid w:val="006228C8"/>
    <w:rsid w:val="00636CA6"/>
    <w:rsid w:val="00641200"/>
    <w:rsid w:val="00645CA8"/>
    <w:rsid w:val="00661F6A"/>
    <w:rsid w:val="006655D3"/>
    <w:rsid w:val="00666DA5"/>
    <w:rsid w:val="00667404"/>
    <w:rsid w:val="00675C86"/>
    <w:rsid w:val="006775F5"/>
    <w:rsid w:val="00687EB4"/>
    <w:rsid w:val="00695C56"/>
    <w:rsid w:val="006A5CDE"/>
    <w:rsid w:val="006A644A"/>
    <w:rsid w:val="006B17D2"/>
    <w:rsid w:val="006B3305"/>
    <w:rsid w:val="006C224E"/>
    <w:rsid w:val="006C672B"/>
    <w:rsid w:val="006D780A"/>
    <w:rsid w:val="0071271E"/>
    <w:rsid w:val="00732484"/>
    <w:rsid w:val="00732DEC"/>
    <w:rsid w:val="00735416"/>
    <w:rsid w:val="00735BD5"/>
    <w:rsid w:val="00740FAC"/>
    <w:rsid w:val="00751613"/>
    <w:rsid w:val="007556F6"/>
    <w:rsid w:val="00760EEF"/>
    <w:rsid w:val="00773119"/>
    <w:rsid w:val="00777EE5"/>
    <w:rsid w:val="00784836"/>
    <w:rsid w:val="0079023E"/>
    <w:rsid w:val="007A2854"/>
    <w:rsid w:val="007C1D92"/>
    <w:rsid w:val="007C4CB9"/>
    <w:rsid w:val="007D0B9D"/>
    <w:rsid w:val="007D19B0"/>
    <w:rsid w:val="007D1E9D"/>
    <w:rsid w:val="007F498F"/>
    <w:rsid w:val="007F5B31"/>
    <w:rsid w:val="0080056C"/>
    <w:rsid w:val="0080679D"/>
    <w:rsid w:val="00810240"/>
    <w:rsid w:val="008108B0"/>
    <w:rsid w:val="00811B20"/>
    <w:rsid w:val="008211B5"/>
    <w:rsid w:val="0082296E"/>
    <w:rsid w:val="00824099"/>
    <w:rsid w:val="00840595"/>
    <w:rsid w:val="00846D7C"/>
    <w:rsid w:val="00867AC1"/>
    <w:rsid w:val="00872E86"/>
    <w:rsid w:val="00890DF8"/>
    <w:rsid w:val="008A743F"/>
    <w:rsid w:val="008B276C"/>
    <w:rsid w:val="008C0970"/>
    <w:rsid w:val="008C3987"/>
    <w:rsid w:val="008D0BC5"/>
    <w:rsid w:val="008D2CF7"/>
    <w:rsid w:val="008D3840"/>
    <w:rsid w:val="008E27AB"/>
    <w:rsid w:val="00900C26"/>
    <w:rsid w:val="0090197F"/>
    <w:rsid w:val="00903264"/>
    <w:rsid w:val="00906DDC"/>
    <w:rsid w:val="00916CAF"/>
    <w:rsid w:val="00934E09"/>
    <w:rsid w:val="00936253"/>
    <w:rsid w:val="0093772E"/>
    <w:rsid w:val="00940D46"/>
    <w:rsid w:val="00952DD4"/>
    <w:rsid w:val="00965AE7"/>
    <w:rsid w:val="00970FED"/>
    <w:rsid w:val="00974014"/>
    <w:rsid w:val="00992D82"/>
    <w:rsid w:val="00997029"/>
    <w:rsid w:val="009A33F9"/>
    <w:rsid w:val="009A7339"/>
    <w:rsid w:val="009B3301"/>
    <w:rsid w:val="009B440E"/>
    <w:rsid w:val="009D690D"/>
    <w:rsid w:val="009E47E8"/>
    <w:rsid w:val="009E65B6"/>
    <w:rsid w:val="009F77CF"/>
    <w:rsid w:val="00A24C10"/>
    <w:rsid w:val="00A33150"/>
    <w:rsid w:val="00A41F94"/>
    <w:rsid w:val="00A42AC3"/>
    <w:rsid w:val="00A430CF"/>
    <w:rsid w:val="00A47F1F"/>
    <w:rsid w:val="00A51758"/>
    <w:rsid w:val="00A54309"/>
    <w:rsid w:val="00A9797F"/>
    <w:rsid w:val="00AB2B93"/>
    <w:rsid w:val="00AB530F"/>
    <w:rsid w:val="00AB7E5B"/>
    <w:rsid w:val="00AC2883"/>
    <w:rsid w:val="00AD4670"/>
    <w:rsid w:val="00AD7F5F"/>
    <w:rsid w:val="00AE0EF1"/>
    <w:rsid w:val="00AE2937"/>
    <w:rsid w:val="00AF0684"/>
    <w:rsid w:val="00B01E9D"/>
    <w:rsid w:val="00B07301"/>
    <w:rsid w:val="00B11F3E"/>
    <w:rsid w:val="00B16798"/>
    <w:rsid w:val="00B224DE"/>
    <w:rsid w:val="00B324D4"/>
    <w:rsid w:val="00B46575"/>
    <w:rsid w:val="00B52127"/>
    <w:rsid w:val="00B61777"/>
    <w:rsid w:val="00B67675"/>
    <w:rsid w:val="00B74127"/>
    <w:rsid w:val="00B84BBD"/>
    <w:rsid w:val="00BA1722"/>
    <w:rsid w:val="00BA43FB"/>
    <w:rsid w:val="00BB466B"/>
    <w:rsid w:val="00BC127D"/>
    <w:rsid w:val="00BC1FE6"/>
    <w:rsid w:val="00BC26FD"/>
    <w:rsid w:val="00C061B6"/>
    <w:rsid w:val="00C23BE3"/>
    <w:rsid w:val="00C2446C"/>
    <w:rsid w:val="00C36AE5"/>
    <w:rsid w:val="00C41F17"/>
    <w:rsid w:val="00C527FA"/>
    <w:rsid w:val="00C5280D"/>
    <w:rsid w:val="00C53EB3"/>
    <w:rsid w:val="00C5791C"/>
    <w:rsid w:val="00C66290"/>
    <w:rsid w:val="00C72B7A"/>
    <w:rsid w:val="00C973F2"/>
    <w:rsid w:val="00CA304C"/>
    <w:rsid w:val="00CA774A"/>
    <w:rsid w:val="00CB6696"/>
    <w:rsid w:val="00CC11B0"/>
    <w:rsid w:val="00CC2841"/>
    <w:rsid w:val="00CF1330"/>
    <w:rsid w:val="00CF3EDA"/>
    <w:rsid w:val="00CF7E36"/>
    <w:rsid w:val="00D04487"/>
    <w:rsid w:val="00D10AA7"/>
    <w:rsid w:val="00D3708D"/>
    <w:rsid w:val="00D40426"/>
    <w:rsid w:val="00D432EC"/>
    <w:rsid w:val="00D43DD9"/>
    <w:rsid w:val="00D45276"/>
    <w:rsid w:val="00D57C96"/>
    <w:rsid w:val="00D57D18"/>
    <w:rsid w:val="00D62F31"/>
    <w:rsid w:val="00D71FA6"/>
    <w:rsid w:val="00D76D09"/>
    <w:rsid w:val="00D91203"/>
    <w:rsid w:val="00D95174"/>
    <w:rsid w:val="00DA2B4A"/>
    <w:rsid w:val="00DA4973"/>
    <w:rsid w:val="00DA6F36"/>
    <w:rsid w:val="00DB596E"/>
    <w:rsid w:val="00DB7773"/>
    <w:rsid w:val="00DC00EA"/>
    <w:rsid w:val="00DC3802"/>
    <w:rsid w:val="00DF2F16"/>
    <w:rsid w:val="00E07D87"/>
    <w:rsid w:val="00E11537"/>
    <w:rsid w:val="00E32160"/>
    <w:rsid w:val="00E32F7E"/>
    <w:rsid w:val="00E36266"/>
    <w:rsid w:val="00E5267B"/>
    <w:rsid w:val="00E63C0E"/>
    <w:rsid w:val="00E72D49"/>
    <w:rsid w:val="00E7593C"/>
    <w:rsid w:val="00E7678A"/>
    <w:rsid w:val="00E935F1"/>
    <w:rsid w:val="00E94A81"/>
    <w:rsid w:val="00EA194B"/>
    <w:rsid w:val="00EA1CB3"/>
    <w:rsid w:val="00EA1FFB"/>
    <w:rsid w:val="00EA3E13"/>
    <w:rsid w:val="00EB048E"/>
    <w:rsid w:val="00EB4E9C"/>
    <w:rsid w:val="00EE34DF"/>
    <w:rsid w:val="00EE3C07"/>
    <w:rsid w:val="00EE78D4"/>
    <w:rsid w:val="00EF2F89"/>
    <w:rsid w:val="00F03E98"/>
    <w:rsid w:val="00F1237A"/>
    <w:rsid w:val="00F22CBD"/>
    <w:rsid w:val="00F272F1"/>
    <w:rsid w:val="00F31192"/>
    <w:rsid w:val="00F41FEB"/>
    <w:rsid w:val="00F45372"/>
    <w:rsid w:val="00F560F7"/>
    <w:rsid w:val="00F6334D"/>
    <w:rsid w:val="00F63599"/>
    <w:rsid w:val="00F67174"/>
    <w:rsid w:val="00F86D27"/>
    <w:rsid w:val="00FA49AB"/>
    <w:rsid w:val="00FD02CA"/>
    <w:rsid w:val="00FE21C6"/>
    <w:rsid w:val="00FE2AA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2CA"/>
    <w:pPr>
      <w:jc w:val="both"/>
    </w:pPr>
    <w:rPr>
      <w:rFonts w:ascii="Arial" w:hAnsi="Arial" w:cs="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FD02CA"/>
    <w:pPr>
      <w:keepNext/>
      <w:ind w:left="567"/>
      <w:jc w:val="both"/>
      <w:outlineLvl w:val="3"/>
    </w:pPr>
    <w:rPr>
      <w:rFonts w:ascii="Arial" w:hAnsi="Arial"/>
      <w:i/>
      <w:sz w:val="18"/>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425B2D"/>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425B2D"/>
    <w:rPr>
      <w:rFonts w:ascii="Arial" w:hAnsi="Arial"/>
      <w:sz w:val="14"/>
    </w:rPr>
  </w:style>
  <w:style w:type="character" w:customStyle="1" w:styleId="plcountryChar">
    <w:name w:val="plcountry Char"/>
    <w:basedOn w:val="DefaultParagraphFont"/>
    <w:link w:val="plcountry"/>
    <w:rsid w:val="003E3020"/>
    <w:rPr>
      <w:rFonts w:ascii="Arial" w:hAnsi="Arial"/>
      <w:caps/>
      <w:noProof/>
      <w:snapToGrid w:val="0"/>
      <w:u w:val="single"/>
    </w:rPr>
  </w:style>
  <w:style w:type="character" w:customStyle="1" w:styleId="pldetailsChar">
    <w:name w:val="pldetails Char"/>
    <w:link w:val="pldetails"/>
    <w:locked/>
    <w:rsid w:val="003E3020"/>
    <w:rPr>
      <w:rFonts w:ascii="Arial" w:hAnsi="Arial"/>
      <w:noProof/>
      <w:snapToGrid w:val="0"/>
    </w:rPr>
  </w:style>
  <w:style w:type="character" w:customStyle="1" w:styleId="Heading2Char">
    <w:name w:val="Heading 2 Char"/>
    <w:basedOn w:val="DefaultParagraphFont"/>
    <w:link w:val="Heading2"/>
    <w:rsid w:val="00272B35"/>
    <w:rPr>
      <w:rFonts w:ascii="Arial" w:hAnsi="Arial"/>
      <w:u w:val="single"/>
    </w:rPr>
  </w:style>
  <w:style w:type="character" w:customStyle="1" w:styleId="Heading3Char">
    <w:name w:val="Heading 3 Char"/>
    <w:basedOn w:val="DefaultParagraphFont"/>
    <w:link w:val="Heading3"/>
    <w:rsid w:val="00272B35"/>
    <w:rPr>
      <w:rFonts w:ascii="Arial" w:hAnsi="Arial"/>
      <w:i/>
    </w:rPr>
  </w:style>
  <w:style w:type="table" w:styleId="TableGrid">
    <w:name w:val="Table Grid"/>
    <w:basedOn w:val="TableNormal"/>
    <w:rsid w:val="00272B35"/>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2CA"/>
    <w:pPr>
      <w:jc w:val="both"/>
    </w:pPr>
    <w:rPr>
      <w:rFonts w:ascii="Arial" w:hAnsi="Arial" w:cs="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FD02CA"/>
    <w:pPr>
      <w:keepNext/>
      <w:ind w:left="567"/>
      <w:jc w:val="both"/>
      <w:outlineLvl w:val="3"/>
    </w:pPr>
    <w:rPr>
      <w:rFonts w:ascii="Arial" w:hAnsi="Arial"/>
      <w:i/>
      <w:sz w:val="18"/>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425B2D"/>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425B2D"/>
    <w:rPr>
      <w:rFonts w:ascii="Arial" w:hAnsi="Arial"/>
      <w:sz w:val="14"/>
    </w:rPr>
  </w:style>
  <w:style w:type="character" w:customStyle="1" w:styleId="plcountryChar">
    <w:name w:val="plcountry Char"/>
    <w:basedOn w:val="DefaultParagraphFont"/>
    <w:link w:val="plcountry"/>
    <w:rsid w:val="003E3020"/>
    <w:rPr>
      <w:rFonts w:ascii="Arial" w:hAnsi="Arial"/>
      <w:caps/>
      <w:noProof/>
      <w:snapToGrid w:val="0"/>
      <w:u w:val="single"/>
    </w:rPr>
  </w:style>
  <w:style w:type="character" w:customStyle="1" w:styleId="pldetailsChar">
    <w:name w:val="pldetails Char"/>
    <w:link w:val="pldetails"/>
    <w:locked/>
    <w:rsid w:val="003E3020"/>
    <w:rPr>
      <w:rFonts w:ascii="Arial" w:hAnsi="Arial"/>
      <w:noProof/>
      <w:snapToGrid w:val="0"/>
    </w:rPr>
  </w:style>
  <w:style w:type="character" w:customStyle="1" w:styleId="Heading2Char">
    <w:name w:val="Heading 2 Char"/>
    <w:basedOn w:val="DefaultParagraphFont"/>
    <w:link w:val="Heading2"/>
    <w:rsid w:val="00272B35"/>
    <w:rPr>
      <w:rFonts w:ascii="Arial" w:hAnsi="Arial"/>
      <w:u w:val="single"/>
    </w:rPr>
  </w:style>
  <w:style w:type="character" w:customStyle="1" w:styleId="Heading3Char">
    <w:name w:val="Heading 3 Char"/>
    <w:basedOn w:val="DefaultParagraphFont"/>
    <w:link w:val="Heading3"/>
    <w:rsid w:val="00272B35"/>
    <w:rPr>
      <w:rFonts w:ascii="Arial" w:hAnsi="Arial"/>
      <w:i/>
    </w:rPr>
  </w:style>
  <w:style w:type="table" w:styleId="TableGrid">
    <w:name w:val="Table Grid"/>
    <w:basedOn w:val="TableNormal"/>
    <w:rsid w:val="00272B35"/>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1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pov.int/meetings/es/details.jsp?meeting_id=40045" TargetMode="External"/><Relationship Id="rId4" Type="http://schemas.openxmlformats.org/officeDocument/2006/relationships/settings" Target="settings.xml"/><Relationship Id="rId9" Type="http://schemas.openxmlformats.org/officeDocument/2006/relationships/hyperlink" Target="http://www.upov.int/meetings/es/details.jsp?meeting_id=4264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4429</Words>
  <Characters>25251</Characters>
  <Application>Microsoft Office Word</Application>
  <DocSecurity>0</DocSecurity>
  <Lines>210</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29621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2017-10-20T13:53:00Z</dcterms:created>
  <dcterms:modified xsi:type="dcterms:W3CDTF">2017-10-26T10:03:00Z</dcterms:modified>
</cp:coreProperties>
</file>