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C3097" w14:paraId="744EBB8A" w14:textId="77777777" w:rsidTr="00EB4E9C">
        <w:tc>
          <w:tcPr>
            <w:tcW w:w="6522" w:type="dxa"/>
          </w:tcPr>
          <w:p w14:paraId="2DC0A08B" w14:textId="77777777" w:rsidR="00DC3802" w:rsidRPr="00FC3097" w:rsidRDefault="00DC3802" w:rsidP="00AC2883">
            <w:pPr>
              <w:rPr>
                <w:lang w:val="es-ES_tradnl"/>
              </w:rPr>
            </w:pPr>
            <w:r w:rsidRPr="00FC3097">
              <w:rPr>
                <w:noProof/>
                <w:lang w:val="es-ES_tradnl"/>
              </w:rPr>
              <w:drawing>
                <wp:inline distT="0" distB="0" distL="0" distR="0" wp14:anchorId="28A3E144" wp14:editId="3205AA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DBB229" w14:textId="77777777" w:rsidR="00DC3802" w:rsidRPr="00FC3097" w:rsidRDefault="00DC3802" w:rsidP="00AC2883">
            <w:pPr>
              <w:pStyle w:val="Lettrine"/>
              <w:rPr>
                <w:lang w:val="es-ES_tradnl"/>
              </w:rPr>
            </w:pPr>
            <w:r w:rsidRPr="00FC3097">
              <w:rPr>
                <w:lang w:val="es-ES_tradnl"/>
              </w:rPr>
              <w:t>S</w:t>
            </w:r>
          </w:p>
        </w:tc>
      </w:tr>
      <w:tr w:rsidR="00DC3802" w:rsidRPr="00FC3097" w14:paraId="2E52EA0A" w14:textId="77777777" w:rsidTr="00645CA8">
        <w:trPr>
          <w:trHeight w:val="219"/>
        </w:trPr>
        <w:tc>
          <w:tcPr>
            <w:tcW w:w="6522" w:type="dxa"/>
          </w:tcPr>
          <w:p w14:paraId="0B7D8583" w14:textId="77777777" w:rsidR="00DC3802" w:rsidRPr="00FC3097" w:rsidRDefault="00DC3802" w:rsidP="00AC2883">
            <w:pPr>
              <w:pStyle w:val="upove"/>
              <w:rPr>
                <w:lang w:val="es-ES_tradnl"/>
              </w:rPr>
            </w:pPr>
            <w:r w:rsidRPr="00FC3097">
              <w:rPr>
                <w:lang w:val="es-ES_tradnl"/>
              </w:rPr>
              <w:t>Unión Internacional para la Protección de las Obtenciones Vegetales</w:t>
            </w:r>
          </w:p>
        </w:tc>
        <w:tc>
          <w:tcPr>
            <w:tcW w:w="3117" w:type="dxa"/>
          </w:tcPr>
          <w:p w14:paraId="6977A71D" w14:textId="77777777" w:rsidR="00DC3802" w:rsidRPr="00FC3097" w:rsidRDefault="00DC3802" w:rsidP="00DA4973">
            <w:pPr>
              <w:rPr>
                <w:lang w:val="es-ES_tradnl"/>
              </w:rPr>
            </w:pPr>
          </w:p>
        </w:tc>
      </w:tr>
    </w:tbl>
    <w:p w14:paraId="3DE947B1" w14:textId="77777777" w:rsidR="00DC3802" w:rsidRPr="00FC3097" w:rsidRDefault="00DC3802" w:rsidP="00DC3802">
      <w:pPr>
        <w:rPr>
          <w:lang w:val="es-ES_tradnl"/>
        </w:rPr>
      </w:pPr>
    </w:p>
    <w:p w14:paraId="397024C6" w14:textId="77777777" w:rsidR="00B22ED6" w:rsidRPr="00FC3097" w:rsidRDefault="00B22ED6" w:rsidP="00B22ED6">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FC3097" w14:paraId="5431E896" w14:textId="77777777" w:rsidTr="00D7425C">
        <w:tc>
          <w:tcPr>
            <w:tcW w:w="6512" w:type="dxa"/>
          </w:tcPr>
          <w:p w14:paraId="1E3F80BF" w14:textId="77777777" w:rsidR="00B22ED6" w:rsidRPr="00FC3097" w:rsidRDefault="00B22ED6" w:rsidP="00D7425C">
            <w:pPr>
              <w:pStyle w:val="Sessiontwp"/>
              <w:rPr>
                <w:lang w:val="es-ES_tradnl"/>
              </w:rPr>
            </w:pPr>
            <w:r w:rsidRPr="00FC3097">
              <w:rPr>
                <w:lang w:val="es-ES_tradnl"/>
              </w:rPr>
              <w:t>Comité Técnico</w:t>
            </w:r>
          </w:p>
          <w:p w14:paraId="053AD770" w14:textId="77777777" w:rsidR="00B22ED6" w:rsidRPr="00FC3097" w:rsidRDefault="00B22ED6" w:rsidP="00D7425C">
            <w:pPr>
              <w:pStyle w:val="Sessiontwpplacedate"/>
              <w:rPr>
                <w:lang w:val="es-ES_tradnl"/>
              </w:rPr>
            </w:pPr>
            <w:r w:rsidRPr="00FC3097">
              <w:rPr>
                <w:lang w:val="es-ES_tradnl"/>
              </w:rPr>
              <w:t>Sexagésima sesión</w:t>
            </w:r>
          </w:p>
          <w:p w14:paraId="3D679212" w14:textId="7F91DCF6" w:rsidR="00B22ED6" w:rsidRPr="00FC3097" w:rsidRDefault="00B22ED6" w:rsidP="00D7425C">
            <w:pPr>
              <w:rPr>
                <w:lang w:val="es-ES_tradnl"/>
              </w:rPr>
            </w:pPr>
            <w:r w:rsidRPr="00FC3097">
              <w:rPr>
                <w:lang w:val="es-ES_tradnl"/>
              </w:rPr>
              <w:t>Ginebra, 21 y 22 de octubre de</w:t>
            </w:r>
            <w:r w:rsidR="00A004B4" w:rsidRPr="00FC3097">
              <w:rPr>
                <w:lang w:val="es-ES_tradnl"/>
              </w:rPr>
              <w:t> </w:t>
            </w:r>
            <w:r w:rsidRPr="00FC3097">
              <w:rPr>
                <w:lang w:val="es-ES_tradnl"/>
              </w:rPr>
              <w:t>2024</w:t>
            </w:r>
          </w:p>
          <w:p w14:paraId="495B80B9" w14:textId="77777777" w:rsidR="00B22ED6" w:rsidRPr="00FC3097" w:rsidRDefault="00B22ED6" w:rsidP="00D7425C">
            <w:pPr>
              <w:rPr>
                <w:lang w:val="es-ES_tradnl"/>
              </w:rPr>
            </w:pPr>
          </w:p>
          <w:p w14:paraId="56661E49" w14:textId="77777777" w:rsidR="00B22ED6" w:rsidRPr="00FC3097" w:rsidRDefault="00B22ED6" w:rsidP="00D7425C">
            <w:pPr>
              <w:pStyle w:val="Sessiontwp"/>
              <w:rPr>
                <w:lang w:val="es-ES_tradnl"/>
              </w:rPr>
            </w:pPr>
            <w:r w:rsidRPr="00FC3097">
              <w:rPr>
                <w:lang w:val="es-ES_tradnl"/>
              </w:rPr>
              <w:t>Comité Administrativo y Jurídico</w:t>
            </w:r>
          </w:p>
          <w:p w14:paraId="26A4B1A2" w14:textId="2ABDB6EA" w:rsidR="00B22ED6" w:rsidRPr="00FC3097" w:rsidRDefault="00B22ED6" w:rsidP="00D7425C">
            <w:pPr>
              <w:pStyle w:val="Sessiontwp"/>
              <w:rPr>
                <w:b w:val="0"/>
                <w:lang w:val="es-ES_tradnl"/>
              </w:rPr>
            </w:pPr>
            <w:r w:rsidRPr="00FC3097">
              <w:rPr>
                <w:b w:val="0"/>
                <w:lang w:val="es-ES_tradnl"/>
              </w:rPr>
              <w:t>Octogésima primera</w:t>
            </w:r>
            <w:r w:rsidR="003D5F09">
              <w:rPr>
                <w:b w:val="0"/>
                <w:lang w:val="es-ES_tradnl"/>
              </w:rPr>
              <w:t xml:space="preserve"> sesión</w:t>
            </w:r>
          </w:p>
          <w:p w14:paraId="1EAC1B76" w14:textId="5A3AF9B5" w:rsidR="00B22ED6" w:rsidRPr="00FC3097" w:rsidRDefault="00B22ED6" w:rsidP="00980A6E">
            <w:pPr>
              <w:pStyle w:val="Sessiontwpplacedate"/>
              <w:rPr>
                <w:lang w:val="es-ES_tradnl"/>
              </w:rPr>
            </w:pPr>
            <w:r w:rsidRPr="00FC3097">
              <w:rPr>
                <w:lang w:val="es-ES_tradnl"/>
              </w:rPr>
              <w:t>Ginebra, 23 de octubre de 2024</w:t>
            </w:r>
          </w:p>
        </w:tc>
        <w:tc>
          <w:tcPr>
            <w:tcW w:w="3127" w:type="dxa"/>
          </w:tcPr>
          <w:p w14:paraId="4BA62DBF" w14:textId="670A659A" w:rsidR="00B22ED6" w:rsidRPr="00FC3097" w:rsidRDefault="00B22ED6" w:rsidP="00D7425C">
            <w:pPr>
              <w:pStyle w:val="Doccode"/>
              <w:rPr>
                <w:lang w:val="es-ES_tradnl"/>
              </w:rPr>
            </w:pPr>
            <w:r w:rsidRPr="00FC3097">
              <w:rPr>
                <w:lang w:val="es-ES_tradnl"/>
              </w:rPr>
              <w:t>SESSIONS/2024/3</w:t>
            </w:r>
          </w:p>
          <w:p w14:paraId="4135D4D9" w14:textId="714DB14C" w:rsidR="00B22ED6" w:rsidRPr="00FC3097" w:rsidRDefault="00B22ED6" w:rsidP="00D7425C">
            <w:pPr>
              <w:pStyle w:val="Docoriginal"/>
              <w:rPr>
                <w:lang w:val="es-ES_tradnl"/>
              </w:rPr>
            </w:pPr>
            <w:r w:rsidRPr="00FC3097">
              <w:rPr>
                <w:lang w:val="es-ES_tradnl"/>
              </w:rPr>
              <w:t>Original:</w:t>
            </w:r>
            <w:r w:rsidRPr="00FC3097">
              <w:rPr>
                <w:b w:val="0"/>
                <w:lang w:val="es-ES_tradnl"/>
              </w:rPr>
              <w:t xml:space="preserve"> Inglés</w:t>
            </w:r>
          </w:p>
          <w:p w14:paraId="49336837" w14:textId="2A184684" w:rsidR="00B22ED6" w:rsidRPr="00FC3097" w:rsidRDefault="00B22ED6" w:rsidP="00D7425C">
            <w:pPr>
              <w:pStyle w:val="Docoriginal"/>
              <w:rPr>
                <w:lang w:val="es-ES_tradnl"/>
              </w:rPr>
            </w:pPr>
            <w:r w:rsidRPr="00FC3097">
              <w:rPr>
                <w:lang w:val="es-ES_tradnl"/>
              </w:rPr>
              <w:t>Fecha:</w:t>
            </w:r>
            <w:r w:rsidRPr="00FC3097">
              <w:rPr>
                <w:b w:val="0"/>
                <w:lang w:val="es-ES_tradnl"/>
              </w:rPr>
              <w:t xml:space="preserve"> 1</w:t>
            </w:r>
            <w:r w:rsidR="00A004B4" w:rsidRPr="00FC3097">
              <w:rPr>
                <w:b w:val="0"/>
                <w:lang w:val="es-ES_tradnl"/>
              </w:rPr>
              <w:t> </w:t>
            </w:r>
            <w:r w:rsidRPr="00FC3097">
              <w:rPr>
                <w:b w:val="0"/>
                <w:lang w:val="es-ES_tradnl"/>
              </w:rPr>
              <w:t>de octubre de</w:t>
            </w:r>
            <w:r w:rsidR="00A004B4" w:rsidRPr="00FC3097">
              <w:rPr>
                <w:b w:val="0"/>
                <w:lang w:val="es-ES_tradnl"/>
              </w:rPr>
              <w:t> </w:t>
            </w:r>
            <w:r w:rsidRPr="00FC3097">
              <w:rPr>
                <w:b w:val="0"/>
                <w:lang w:val="es-ES_tradnl"/>
              </w:rPr>
              <w:t>2024</w:t>
            </w:r>
          </w:p>
        </w:tc>
      </w:tr>
    </w:tbl>
    <w:p w14:paraId="19B49DD5" w14:textId="515DEF6A" w:rsidR="007B73A9" w:rsidRPr="00FC3097" w:rsidRDefault="00D173BC" w:rsidP="007B73A9">
      <w:pPr>
        <w:pStyle w:val="Titleofdoc0"/>
        <w:rPr>
          <w:lang w:val="es-ES_tradnl"/>
        </w:rPr>
      </w:pPr>
      <w:r w:rsidRPr="00FC3097">
        <w:rPr>
          <w:lang w:val="es-ES_tradnl"/>
        </w:rPr>
        <w:t>Medidas para reforzar la cooperación en el examen</w:t>
      </w:r>
    </w:p>
    <w:p w14:paraId="4117B7F7" w14:textId="7EF8648D" w:rsidR="001D736D" w:rsidRPr="00FC3097" w:rsidRDefault="001D736D" w:rsidP="001D736D">
      <w:pPr>
        <w:pStyle w:val="preparedby1"/>
        <w:jc w:val="left"/>
        <w:rPr>
          <w:lang w:val="es-ES_tradnl"/>
        </w:rPr>
      </w:pPr>
      <w:r w:rsidRPr="00FC3097">
        <w:rPr>
          <w:lang w:val="es-ES_tradnl"/>
        </w:rPr>
        <w:t>Documento preparado por la</w:t>
      </w:r>
      <w:r w:rsidR="00A004B4" w:rsidRPr="00FC3097">
        <w:rPr>
          <w:lang w:val="es-ES_tradnl"/>
        </w:rPr>
        <w:t> </w:t>
      </w:r>
      <w:r w:rsidRPr="00FC3097">
        <w:rPr>
          <w:lang w:val="es-ES_tradnl"/>
        </w:rPr>
        <w:t>Oficina de la</w:t>
      </w:r>
      <w:r w:rsidR="00A004B4" w:rsidRPr="00FC3097">
        <w:rPr>
          <w:lang w:val="es-ES_tradnl"/>
        </w:rPr>
        <w:t> </w:t>
      </w:r>
      <w:r w:rsidRPr="00FC3097">
        <w:rPr>
          <w:lang w:val="es-ES_tradnl"/>
        </w:rPr>
        <w:t>Unión</w:t>
      </w:r>
    </w:p>
    <w:p w14:paraId="45F9526D" w14:textId="669D0112" w:rsidR="001D736D" w:rsidRPr="00FC3097" w:rsidRDefault="001D736D" w:rsidP="001D736D">
      <w:pPr>
        <w:pStyle w:val="Disclaimer"/>
        <w:rPr>
          <w:lang w:val="es-ES_tradnl"/>
        </w:rPr>
      </w:pPr>
      <w:r w:rsidRPr="00FC3097">
        <w:rPr>
          <w:lang w:val="es-ES_tradnl"/>
        </w:rPr>
        <w:t>Descargo de responsabilidad: el presente documento no constituye un documento de política u orientación de la</w:t>
      </w:r>
      <w:r w:rsidR="00A004B4" w:rsidRPr="00FC3097">
        <w:rPr>
          <w:lang w:val="es-ES_tradnl"/>
        </w:rPr>
        <w:t> </w:t>
      </w:r>
      <w:r w:rsidRPr="00FC3097">
        <w:rPr>
          <w:lang w:val="es-ES_tradnl"/>
        </w:rPr>
        <w:t>UPOV</w:t>
      </w:r>
    </w:p>
    <w:p w14:paraId="0487F8DA" w14:textId="5C13F4AE" w:rsidR="00257D8D" w:rsidRPr="00FC3097" w:rsidRDefault="00257D8D" w:rsidP="00465CBD">
      <w:pPr>
        <w:pStyle w:val="Heading1"/>
        <w:rPr>
          <w:lang w:val="es-ES_tradnl"/>
        </w:rPr>
      </w:pPr>
      <w:bookmarkStart w:id="0" w:name="_Toc179822788"/>
      <w:r w:rsidRPr="00FC3097">
        <w:rPr>
          <w:lang w:val="es-ES_tradnl"/>
        </w:rPr>
        <w:t>RESUMEN</w:t>
      </w:r>
      <w:bookmarkEnd w:id="0"/>
    </w:p>
    <w:p w14:paraId="6F6272FF" w14:textId="77777777" w:rsidR="00257D8D" w:rsidRPr="00FC3097" w:rsidRDefault="00257D8D" w:rsidP="00257D8D">
      <w:pPr>
        <w:rPr>
          <w:color w:val="000000"/>
          <w:lang w:val="es-ES_tradnl"/>
        </w:rPr>
      </w:pPr>
    </w:p>
    <w:p w14:paraId="6C3F3FE0" w14:textId="7FA8B86F" w:rsidR="00257D8D" w:rsidRPr="00FC3097" w:rsidRDefault="00257D8D" w:rsidP="00257D8D">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 xml:space="preserve">El presente documento tiene por objeto invitar a examinar las posibles medidas para </w:t>
      </w:r>
      <w:r w:rsidR="00481FC3">
        <w:rPr>
          <w:lang w:val="es-ES_tradnl"/>
        </w:rPr>
        <w:t>fomentar</w:t>
      </w:r>
      <w:r w:rsidRPr="00FC3097">
        <w:rPr>
          <w:lang w:val="es-ES_tradnl"/>
        </w:rPr>
        <w:t xml:space="preserve"> las oportunidades de cooperación internacional en el examen de la distinción, la homogeneidad y la estabilidad (DHE), sobre la base de la encuesta realizada a los miembros de la</w:t>
      </w:r>
      <w:r w:rsidR="00A004B4" w:rsidRPr="00FC3097">
        <w:rPr>
          <w:lang w:val="es-ES_tradnl"/>
        </w:rPr>
        <w:t> </w:t>
      </w:r>
      <w:r w:rsidRPr="00FC3097">
        <w:rPr>
          <w:lang w:val="es-ES_tradnl"/>
        </w:rPr>
        <w:t xml:space="preserve">Unión para recabar información sobre las políticas o los obstáculos jurídicos que podrían impedir la cooperación internacional.  </w:t>
      </w:r>
    </w:p>
    <w:p w14:paraId="107514EB" w14:textId="77777777" w:rsidR="00257D8D" w:rsidRPr="00FC3097" w:rsidRDefault="00257D8D">
      <w:pPr>
        <w:jc w:val="left"/>
        <w:rPr>
          <w:lang w:val="es-ES_tradnl"/>
        </w:rPr>
      </w:pPr>
    </w:p>
    <w:p w14:paraId="0E4B2B0B" w14:textId="6DABB905" w:rsidR="00D7181A" w:rsidRPr="00FC3097" w:rsidRDefault="00D7181A" w:rsidP="00A44F87">
      <w:pPr>
        <w:pStyle w:val="DecisionParagraphs"/>
        <w:tabs>
          <w:tab w:val="left" w:pos="567"/>
          <w:tab w:val="left" w:pos="1134"/>
        </w:tabs>
        <w:ind w:left="0"/>
        <w:rPr>
          <w:i w:val="0"/>
          <w:iCs/>
          <w:lang w:val="es-ES_tradnl"/>
        </w:rPr>
      </w:pPr>
      <w:r w:rsidRPr="00FC3097">
        <w:rPr>
          <w:i w:val="0"/>
          <w:iCs/>
          <w:snapToGrid w:val="0"/>
          <w:lang w:val="es-ES_tradnl"/>
        </w:rPr>
        <w:fldChar w:fldCharType="begin"/>
      </w:r>
      <w:r w:rsidRPr="00FC3097">
        <w:rPr>
          <w:i w:val="0"/>
          <w:iCs/>
          <w:snapToGrid w:val="0"/>
          <w:lang w:val="es-ES_tradnl"/>
        </w:rPr>
        <w:instrText xml:space="preserve"> AUTONUM  </w:instrText>
      </w:r>
      <w:r w:rsidRPr="00FC3097">
        <w:rPr>
          <w:i w:val="0"/>
          <w:iCs/>
          <w:snapToGrid w:val="0"/>
          <w:lang w:val="es-ES_tradnl"/>
        </w:rPr>
        <w:fldChar w:fldCharType="end"/>
      </w:r>
      <w:r w:rsidRPr="00FC3097">
        <w:rPr>
          <w:i w:val="0"/>
          <w:iCs/>
          <w:snapToGrid w:val="0"/>
          <w:lang w:val="es-ES_tradnl"/>
        </w:rPr>
        <w:tab/>
        <w:t>Se invita al</w:t>
      </w:r>
      <w:r w:rsidR="00A004B4" w:rsidRPr="00FC3097">
        <w:rPr>
          <w:i w:val="0"/>
          <w:iCs/>
          <w:snapToGrid w:val="0"/>
          <w:lang w:val="es-ES_tradnl"/>
        </w:rPr>
        <w:t> </w:t>
      </w:r>
      <w:r w:rsidRPr="00FC3097">
        <w:rPr>
          <w:i w:val="0"/>
          <w:iCs/>
          <w:snapToGrid w:val="0"/>
          <w:lang w:val="es-ES_tradnl"/>
        </w:rPr>
        <w:t>TC a tomar nota de las novedades expuestas en el presente documento</w:t>
      </w:r>
      <w:r w:rsidRPr="00FC3097">
        <w:rPr>
          <w:i w:val="0"/>
          <w:iCs/>
          <w:lang w:val="es-ES_tradnl"/>
        </w:rPr>
        <w:t>.</w:t>
      </w:r>
    </w:p>
    <w:p w14:paraId="74BF020F" w14:textId="77777777" w:rsidR="00D7181A" w:rsidRPr="00FC3097" w:rsidRDefault="00D7181A" w:rsidP="00A44F87">
      <w:pPr>
        <w:pStyle w:val="DecisionParagraphs"/>
        <w:tabs>
          <w:tab w:val="left" w:pos="567"/>
          <w:tab w:val="left" w:pos="1134"/>
        </w:tabs>
        <w:ind w:left="0"/>
        <w:rPr>
          <w:i w:val="0"/>
          <w:iCs/>
          <w:snapToGrid w:val="0"/>
          <w:lang w:val="es-ES_tradnl"/>
        </w:rPr>
      </w:pPr>
    </w:p>
    <w:p w14:paraId="5EBEFB13" w14:textId="6012FF4F" w:rsidR="00D7181A" w:rsidRPr="00FC3097" w:rsidRDefault="00D7181A" w:rsidP="00A44F87">
      <w:pPr>
        <w:pStyle w:val="DecisionParagraphs"/>
        <w:tabs>
          <w:tab w:val="left" w:pos="567"/>
          <w:tab w:val="left" w:pos="1134"/>
        </w:tabs>
        <w:ind w:left="0"/>
        <w:rPr>
          <w:i w:val="0"/>
          <w:iCs/>
          <w:snapToGrid w:val="0"/>
          <w:lang w:val="es-ES_tradnl"/>
        </w:rPr>
      </w:pPr>
      <w:r w:rsidRPr="00FC3097">
        <w:rPr>
          <w:i w:val="0"/>
          <w:iCs/>
          <w:snapToGrid w:val="0"/>
          <w:lang w:val="es-ES_tradnl"/>
        </w:rPr>
        <w:fldChar w:fldCharType="begin"/>
      </w:r>
      <w:r w:rsidRPr="00FC3097">
        <w:rPr>
          <w:i w:val="0"/>
          <w:iCs/>
          <w:snapToGrid w:val="0"/>
          <w:lang w:val="es-ES_tradnl"/>
        </w:rPr>
        <w:instrText xml:space="preserve"> AUTONUM  </w:instrText>
      </w:r>
      <w:r w:rsidRPr="00FC3097">
        <w:rPr>
          <w:i w:val="0"/>
          <w:iCs/>
          <w:snapToGrid w:val="0"/>
          <w:lang w:val="es-ES_tradnl"/>
        </w:rPr>
        <w:fldChar w:fldCharType="end"/>
      </w:r>
      <w:r w:rsidRPr="00FC3097">
        <w:rPr>
          <w:i w:val="0"/>
          <w:iCs/>
          <w:snapToGrid w:val="0"/>
          <w:lang w:val="es-ES_tradnl"/>
        </w:rPr>
        <w:tab/>
        <w:t>Se invita al</w:t>
      </w:r>
      <w:r w:rsidR="00A004B4" w:rsidRPr="00FC3097">
        <w:rPr>
          <w:i w:val="0"/>
          <w:iCs/>
          <w:snapToGrid w:val="0"/>
          <w:lang w:val="es-ES_tradnl"/>
        </w:rPr>
        <w:t> </w:t>
      </w:r>
      <w:r w:rsidRPr="00FC3097">
        <w:rPr>
          <w:i w:val="0"/>
          <w:iCs/>
          <w:snapToGrid w:val="0"/>
          <w:lang w:val="es-ES_tradnl"/>
        </w:rPr>
        <w:t>CAJ a:</w:t>
      </w:r>
    </w:p>
    <w:p w14:paraId="5FB2EB08" w14:textId="77777777" w:rsidR="00D7181A" w:rsidRPr="00FC3097" w:rsidRDefault="00D7181A" w:rsidP="00A44F87">
      <w:pPr>
        <w:pStyle w:val="DecisionParagraphs"/>
        <w:tabs>
          <w:tab w:val="left" w:pos="567"/>
          <w:tab w:val="left" w:pos="1134"/>
        </w:tabs>
        <w:ind w:left="0"/>
        <w:rPr>
          <w:i w:val="0"/>
          <w:iCs/>
          <w:snapToGrid w:val="0"/>
          <w:lang w:val="es-ES_tradnl"/>
        </w:rPr>
      </w:pPr>
    </w:p>
    <w:p w14:paraId="6DEF77A8" w14:textId="3731A925" w:rsidR="00D7181A" w:rsidRPr="00FC3097" w:rsidRDefault="00D7181A" w:rsidP="00A44F87">
      <w:pPr>
        <w:pStyle w:val="DecisionParagraphs"/>
        <w:tabs>
          <w:tab w:val="left" w:pos="567"/>
          <w:tab w:val="left" w:pos="1134"/>
        </w:tabs>
        <w:ind w:left="0"/>
        <w:rPr>
          <w:i w:val="0"/>
          <w:iCs/>
          <w:snapToGrid w:val="0"/>
          <w:lang w:val="es-ES_tradnl"/>
        </w:rPr>
      </w:pPr>
      <w:r w:rsidRPr="00FC3097">
        <w:rPr>
          <w:i w:val="0"/>
          <w:iCs/>
          <w:snapToGrid w:val="0"/>
          <w:lang w:val="es-ES_tradnl"/>
        </w:rPr>
        <w:tab/>
        <w:t>a)</w:t>
      </w:r>
      <w:r w:rsidRPr="00FC3097">
        <w:rPr>
          <w:i w:val="0"/>
          <w:iCs/>
          <w:snapToGrid w:val="0"/>
          <w:lang w:val="es-ES_tradnl"/>
        </w:rPr>
        <w:tab/>
        <w:t xml:space="preserve">examinar las posibles medidas </w:t>
      </w:r>
      <w:r w:rsidRPr="00FC3097">
        <w:rPr>
          <w:i w:val="0"/>
          <w:iCs/>
          <w:lang w:val="es-ES_tradnl"/>
        </w:rPr>
        <w:t xml:space="preserve">para </w:t>
      </w:r>
      <w:r w:rsidR="00481FC3">
        <w:rPr>
          <w:i w:val="0"/>
          <w:iCs/>
          <w:lang w:val="es-ES_tradnl"/>
        </w:rPr>
        <w:t>fomentar</w:t>
      </w:r>
      <w:r w:rsidRPr="00FC3097">
        <w:rPr>
          <w:i w:val="0"/>
          <w:iCs/>
          <w:lang w:val="es-ES_tradnl"/>
        </w:rPr>
        <w:t xml:space="preserve"> las oportunidades de cooperación internacional</w:t>
      </w:r>
      <w:r w:rsidRPr="00FC3097">
        <w:rPr>
          <w:i w:val="0"/>
          <w:iCs/>
          <w:snapToGrid w:val="0"/>
          <w:lang w:val="es-ES_tradnl"/>
        </w:rPr>
        <w:t xml:space="preserve"> que figuran en los párrafos</w:t>
      </w:r>
      <w:r w:rsidR="00A004B4" w:rsidRPr="00FC3097">
        <w:rPr>
          <w:i w:val="0"/>
          <w:iCs/>
          <w:snapToGrid w:val="0"/>
          <w:lang w:val="es-ES_tradnl"/>
        </w:rPr>
        <w:t> </w:t>
      </w:r>
      <w:r w:rsidRPr="00FC3097">
        <w:rPr>
          <w:i w:val="0"/>
          <w:iCs/>
          <w:snapToGrid w:val="0"/>
          <w:lang w:val="es-ES_tradnl"/>
        </w:rPr>
        <w:t>14 a</w:t>
      </w:r>
      <w:r w:rsidR="00A004B4" w:rsidRPr="00FC3097">
        <w:rPr>
          <w:i w:val="0"/>
          <w:iCs/>
          <w:snapToGrid w:val="0"/>
          <w:lang w:val="es-ES_tradnl"/>
        </w:rPr>
        <w:t> </w:t>
      </w:r>
      <w:r w:rsidRPr="00FC3097">
        <w:rPr>
          <w:i w:val="0"/>
          <w:iCs/>
          <w:snapToGrid w:val="0"/>
          <w:lang w:val="es-ES_tradnl"/>
        </w:rPr>
        <w:t>20 del presente documento.</w:t>
      </w:r>
    </w:p>
    <w:p w14:paraId="16CE5B80" w14:textId="77777777" w:rsidR="00D7181A" w:rsidRPr="00FC3097" w:rsidRDefault="00D7181A" w:rsidP="00A44F87">
      <w:pPr>
        <w:pStyle w:val="DecisionParagraphs"/>
        <w:tabs>
          <w:tab w:val="left" w:pos="567"/>
          <w:tab w:val="left" w:pos="1134"/>
        </w:tabs>
        <w:ind w:left="0"/>
        <w:rPr>
          <w:i w:val="0"/>
          <w:iCs/>
          <w:snapToGrid w:val="0"/>
          <w:lang w:val="es-ES_tradnl"/>
        </w:rPr>
      </w:pPr>
    </w:p>
    <w:p w14:paraId="0598ED88" w14:textId="2F332659" w:rsidR="00D7181A" w:rsidRPr="00FC3097" w:rsidRDefault="00D7181A" w:rsidP="00A44F87">
      <w:pPr>
        <w:pStyle w:val="DecisionParagraphs"/>
        <w:tabs>
          <w:tab w:val="left" w:pos="567"/>
          <w:tab w:val="left" w:pos="1134"/>
        </w:tabs>
        <w:ind w:left="0"/>
        <w:rPr>
          <w:i w:val="0"/>
          <w:iCs/>
          <w:snapToGrid w:val="0"/>
          <w:lang w:val="es-ES_tradnl"/>
        </w:rPr>
      </w:pPr>
      <w:r w:rsidRPr="00FC3097">
        <w:rPr>
          <w:i w:val="0"/>
          <w:iCs/>
          <w:snapToGrid w:val="0"/>
          <w:lang w:val="es-ES_tradnl"/>
        </w:rPr>
        <w:tab/>
        <w:t>b)</w:t>
      </w:r>
      <w:r w:rsidRPr="00FC3097">
        <w:rPr>
          <w:i w:val="0"/>
          <w:iCs/>
          <w:snapToGrid w:val="0"/>
          <w:lang w:val="es-ES_tradnl"/>
        </w:rPr>
        <w:tab/>
        <w:t>considerar la posibilidad de organizar un seminario para sensibilizar acerca de la cooperación con los obtentores en el examen</w:t>
      </w:r>
      <w:r w:rsidR="00A004B4" w:rsidRPr="00FC3097">
        <w:rPr>
          <w:i w:val="0"/>
          <w:iCs/>
          <w:snapToGrid w:val="0"/>
          <w:lang w:val="es-ES_tradnl"/>
        </w:rPr>
        <w:t> </w:t>
      </w:r>
      <w:r w:rsidRPr="00FC3097">
        <w:rPr>
          <w:i w:val="0"/>
          <w:iCs/>
          <w:snapToGrid w:val="0"/>
          <w:lang w:val="es-ES_tradnl"/>
        </w:rPr>
        <w:t>DHE, según se expone en el</w:t>
      </w:r>
      <w:r w:rsidR="00A004B4" w:rsidRPr="00FC3097">
        <w:rPr>
          <w:i w:val="0"/>
          <w:iCs/>
          <w:snapToGrid w:val="0"/>
          <w:lang w:val="es-ES_tradnl"/>
        </w:rPr>
        <w:t> </w:t>
      </w:r>
      <w:r w:rsidRPr="00FC3097">
        <w:rPr>
          <w:i w:val="0"/>
          <w:iCs/>
          <w:snapToGrid w:val="0"/>
          <w:lang w:val="es-ES_tradnl"/>
        </w:rPr>
        <w:t>Anexo del presente documento.</w:t>
      </w:r>
    </w:p>
    <w:p w14:paraId="396F5CC8" w14:textId="77777777" w:rsidR="00257D8D" w:rsidRPr="00FC3097" w:rsidRDefault="00257D8D" w:rsidP="00257D8D">
      <w:pPr>
        <w:rPr>
          <w:snapToGrid w:val="0"/>
          <w:lang w:val="es-ES_tradnl"/>
        </w:rPr>
      </w:pPr>
    </w:p>
    <w:p w14:paraId="44030DDA" w14:textId="77777777" w:rsidR="003123C9" w:rsidRDefault="003123C9" w:rsidP="00A44F87">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El presente documento se estructura del siguiente modo:</w:t>
      </w:r>
    </w:p>
    <w:p w14:paraId="40843D6F" w14:textId="77777777" w:rsidR="000B5325" w:rsidRDefault="000B5325" w:rsidP="00A44F87">
      <w:pPr>
        <w:rPr>
          <w:lang w:val="es-ES_tradnl"/>
        </w:rPr>
      </w:pPr>
    </w:p>
    <w:p w14:paraId="57ACF618" w14:textId="13B98586" w:rsidR="000B5325" w:rsidRDefault="000B5325">
      <w:pPr>
        <w:pStyle w:val="TOC1"/>
        <w:rPr>
          <w:rFonts w:asciiTheme="minorHAnsi" w:eastAsiaTheme="minorEastAsia" w:hAnsiTheme="minorHAnsi" w:cstheme="minorBidi"/>
          <w:caps w:val="0"/>
          <w:noProof/>
          <w:kern w:val="2"/>
          <w:sz w:val="24"/>
          <w:szCs w:val="24"/>
          <w:lang w:val="en-GB" w:eastAsia="en-GB"/>
          <w14:ligatures w14:val="standardContextual"/>
        </w:rPr>
      </w:pPr>
      <w:r w:rsidRPr="00980A6E">
        <w:rPr>
          <w:rFonts w:cs="Arial"/>
          <w:bCs/>
          <w:szCs w:val="18"/>
        </w:rPr>
        <w:fldChar w:fldCharType="begin"/>
      </w:r>
      <w:r w:rsidRPr="00980A6E">
        <w:rPr>
          <w:rFonts w:cs="Arial"/>
          <w:bCs/>
          <w:szCs w:val="18"/>
        </w:rPr>
        <w:instrText xml:space="preserve"> TOC \t "Heading 1,1,Heading 2,2,Heading 3,3" </w:instrText>
      </w:r>
      <w:r w:rsidRPr="00980A6E">
        <w:rPr>
          <w:rFonts w:cs="Arial"/>
          <w:bCs/>
          <w:szCs w:val="18"/>
        </w:rPr>
        <w:fldChar w:fldCharType="separate"/>
      </w:r>
      <w:r w:rsidRPr="00315707">
        <w:rPr>
          <w:noProof/>
          <w:lang w:val="es-ES_tradnl"/>
        </w:rPr>
        <w:t>RESUMEN</w:t>
      </w:r>
      <w:r>
        <w:rPr>
          <w:noProof/>
        </w:rPr>
        <w:tab/>
      </w:r>
      <w:r>
        <w:rPr>
          <w:noProof/>
        </w:rPr>
        <w:fldChar w:fldCharType="begin"/>
      </w:r>
      <w:r>
        <w:rPr>
          <w:noProof/>
        </w:rPr>
        <w:instrText xml:space="preserve"> PAGEREF _Toc179822788 \h </w:instrText>
      </w:r>
      <w:r>
        <w:rPr>
          <w:noProof/>
        </w:rPr>
      </w:r>
      <w:r>
        <w:rPr>
          <w:noProof/>
        </w:rPr>
        <w:fldChar w:fldCharType="separate"/>
      </w:r>
      <w:r>
        <w:rPr>
          <w:noProof/>
        </w:rPr>
        <w:t>1</w:t>
      </w:r>
      <w:r>
        <w:rPr>
          <w:noProof/>
        </w:rPr>
        <w:fldChar w:fldCharType="end"/>
      </w:r>
    </w:p>
    <w:p w14:paraId="2169CE2A" w14:textId="37C84BE3" w:rsidR="000B5325" w:rsidRDefault="000B5325">
      <w:pPr>
        <w:pStyle w:val="TOC1"/>
        <w:rPr>
          <w:rFonts w:asciiTheme="minorHAnsi" w:eastAsiaTheme="minorEastAsia" w:hAnsiTheme="minorHAnsi" w:cstheme="minorBidi"/>
          <w:caps w:val="0"/>
          <w:noProof/>
          <w:kern w:val="2"/>
          <w:sz w:val="24"/>
          <w:szCs w:val="24"/>
          <w:lang w:val="en-GB" w:eastAsia="en-GB"/>
          <w14:ligatures w14:val="standardContextual"/>
        </w:rPr>
      </w:pPr>
      <w:r w:rsidRPr="00315707">
        <w:rPr>
          <w:noProof/>
          <w:lang w:val="es-ES_tradnl"/>
        </w:rPr>
        <w:t>ANTECEDENTES</w:t>
      </w:r>
      <w:r>
        <w:rPr>
          <w:noProof/>
        </w:rPr>
        <w:tab/>
      </w:r>
      <w:r>
        <w:rPr>
          <w:noProof/>
        </w:rPr>
        <w:fldChar w:fldCharType="begin"/>
      </w:r>
      <w:r>
        <w:rPr>
          <w:noProof/>
        </w:rPr>
        <w:instrText xml:space="preserve"> PAGEREF _Toc179822789 \h </w:instrText>
      </w:r>
      <w:r>
        <w:rPr>
          <w:noProof/>
        </w:rPr>
      </w:r>
      <w:r>
        <w:rPr>
          <w:noProof/>
        </w:rPr>
        <w:fldChar w:fldCharType="separate"/>
      </w:r>
      <w:r>
        <w:rPr>
          <w:noProof/>
        </w:rPr>
        <w:t>2</w:t>
      </w:r>
      <w:r>
        <w:rPr>
          <w:noProof/>
        </w:rPr>
        <w:fldChar w:fldCharType="end"/>
      </w:r>
    </w:p>
    <w:p w14:paraId="7316D3C2" w14:textId="3BAE010A" w:rsidR="000B5325" w:rsidRDefault="000B5325">
      <w:pPr>
        <w:pStyle w:val="TOC2"/>
        <w:rPr>
          <w:rFonts w:asciiTheme="minorHAnsi" w:eastAsiaTheme="minorEastAsia" w:hAnsiTheme="minorHAnsi" w:cstheme="minorBidi"/>
          <w:noProof/>
          <w:kern w:val="2"/>
          <w:sz w:val="24"/>
          <w:szCs w:val="24"/>
          <w:lang w:val="en-GB" w:eastAsia="en-GB"/>
          <w14:ligatures w14:val="standardContextual"/>
        </w:rPr>
      </w:pPr>
      <w:r w:rsidRPr="00315707">
        <w:rPr>
          <w:noProof/>
          <w:lang w:val="es-ES_tradnl"/>
        </w:rPr>
        <w:t>Posibles medidas para fomentar las oportunidades de cooperación internacional</w:t>
      </w:r>
      <w:r>
        <w:rPr>
          <w:noProof/>
        </w:rPr>
        <w:tab/>
      </w:r>
      <w:r>
        <w:rPr>
          <w:noProof/>
        </w:rPr>
        <w:fldChar w:fldCharType="begin"/>
      </w:r>
      <w:r>
        <w:rPr>
          <w:noProof/>
        </w:rPr>
        <w:instrText xml:space="preserve"> PAGEREF _Toc179822790 \h </w:instrText>
      </w:r>
      <w:r>
        <w:rPr>
          <w:noProof/>
        </w:rPr>
      </w:r>
      <w:r>
        <w:rPr>
          <w:noProof/>
        </w:rPr>
        <w:fldChar w:fldCharType="separate"/>
      </w:r>
      <w:r>
        <w:rPr>
          <w:noProof/>
        </w:rPr>
        <w:t>2</w:t>
      </w:r>
      <w:r>
        <w:rPr>
          <w:noProof/>
        </w:rPr>
        <w:fldChar w:fldCharType="end"/>
      </w:r>
    </w:p>
    <w:p w14:paraId="4DC6A3A6" w14:textId="601B5570" w:rsidR="000B5325" w:rsidRDefault="000B5325">
      <w:pPr>
        <w:pStyle w:val="TOC1"/>
        <w:rPr>
          <w:rFonts w:asciiTheme="minorHAnsi" w:eastAsiaTheme="minorEastAsia" w:hAnsiTheme="minorHAnsi" w:cstheme="minorBidi"/>
          <w:caps w:val="0"/>
          <w:noProof/>
          <w:kern w:val="2"/>
          <w:sz w:val="24"/>
          <w:szCs w:val="24"/>
          <w:lang w:val="en-GB" w:eastAsia="en-GB"/>
          <w14:ligatures w14:val="standardContextual"/>
        </w:rPr>
      </w:pPr>
      <w:r w:rsidRPr="00315707">
        <w:rPr>
          <w:noProof/>
          <w:lang w:val="es-ES_tradnl"/>
        </w:rPr>
        <w:t>FOMENTO de las oportunidades de cooperación internacional</w:t>
      </w:r>
      <w:r>
        <w:rPr>
          <w:noProof/>
        </w:rPr>
        <w:tab/>
      </w:r>
      <w:r>
        <w:rPr>
          <w:noProof/>
        </w:rPr>
        <w:fldChar w:fldCharType="begin"/>
      </w:r>
      <w:r>
        <w:rPr>
          <w:noProof/>
        </w:rPr>
        <w:instrText xml:space="preserve"> PAGEREF _Toc179822791 \h </w:instrText>
      </w:r>
      <w:r>
        <w:rPr>
          <w:noProof/>
        </w:rPr>
      </w:r>
      <w:r>
        <w:rPr>
          <w:noProof/>
        </w:rPr>
        <w:fldChar w:fldCharType="separate"/>
      </w:r>
      <w:r>
        <w:rPr>
          <w:noProof/>
        </w:rPr>
        <w:t>3</w:t>
      </w:r>
      <w:r>
        <w:rPr>
          <w:noProof/>
        </w:rPr>
        <w:fldChar w:fldCharType="end"/>
      </w:r>
    </w:p>
    <w:p w14:paraId="5880FFFA" w14:textId="3E6E10A3" w:rsidR="000B5325" w:rsidRDefault="000B5325">
      <w:pPr>
        <w:pStyle w:val="TOC2"/>
        <w:rPr>
          <w:rFonts w:asciiTheme="minorHAnsi" w:eastAsiaTheme="minorEastAsia" w:hAnsiTheme="minorHAnsi" w:cstheme="minorBidi"/>
          <w:noProof/>
          <w:kern w:val="2"/>
          <w:sz w:val="24"/>
          <w:szCs w:val="24"/>
          <w:lang w:val="en-GB" w:eastAsia="en-GB"/>
          <w14:ligatures w14:val="standardContextual"/>
        </w:rPr>
      </w:pPr>
      <w:r w:rsidRPr="00315707">
        <w:rPr>
          <w:noProof/>
          <w:lang w:val="es-ES_tradnl"/>
        </w:rPr>
        <w:t>a)</w:t>
      </w:r>
      <w:r>
        <w:rPr>
          <w:rFonts w:asciiTheme="minorHAnsi" w:eastAsiaTheme="minorEastAsia" w:hAnsiTheme="minorHAnsi" w:cstheme="minorBidi"/>
          <w:noProof/>
          <w:kern w:val="2"/>
          <w:sz w:val="24"/>
          <w:szCs w:val="24"/>
          <w:lang w:val="en-GB" w:eastAsia="en-GB"/>
          <w14:ligatures w14:val="standardContextual"/>
        </w:rPr>
        <w:tab/>
      </w:r>
      <w:r w:rsidRPr="00315707">
        <w:rPr>
          <w:noProof/>
          <w:lang w:val="es-ES_tradnl"/>
        </w:rPr>
        <w:t>“Efecto del medio ambiente en la expresión de los caracteres”</w:t>
      </w:r>
      <w:r>
        <w:rPr>
          <w:noProof/>
        </w:rPr>
        <w:tab/>
      </w:r>
      <w:r>
        <w:rPr>
          <w:noProof/>
        </w:rPr>
        <w:fldChar w:fldCharType="begin"/>
      </w:r>
      <w:r>
        <w:rPr>
          <w:noProof/>
        </w:rPr>
        <w:instrText xml:space="preserve"> PAGEREF _Toc179822792 \h </w:instrText>
      </w:r>
      <w:r>
        <w:rPr>
          <w:noProof/>
        </w:rPr>
      </w:r>
      <w:r>
        <w:rPr>
          <w:noProof/>
        </w:rPr>
        <w:fldChar w:fldCharType="separate"/>
      </w:r>
      <w:r>
        <w:rPr>
          <w:noProof/>
        </w:rPr>
        <w:t>3</w:t>
      </w:r>
      <w:r>
        <w:rPr>
          <w:noProof/>
        </w:rPr>
        <w:fldChar w:fldCharType="end"/>
      </w:r>
    </w:p>
    <w:p w14:paraId="67E91081" w14:textId="5968C2A7" w:rsidR="000B5325" w:rsidRDefault="000B5325">
      <w:pPr>
        <w:pStyle w:val="TOC2"/>
        <w:rPr>
          <w:rFonts w:asciiTheme="minorHAnsi" w:eastAsiaTheme="minorEastAsia" w:hAnsiTheme="minorHAnsi" w:cstheme="minorBidi"/>
          <w:noProof/>
          <w:kern w:val="2"/>
          <w:sz w:val="24"/>
          <w:szCs w:val="24"/>
          <w:lang w:val="en-GB" w:eastAsia="en-GB"/>
          <w14:ligatures w14:val="standardContextual"/>
        </w:rPr>
      </w:pPr>
      <w:r w:rsidRPr="00315707">
        <w:rPr>
          <w:noProof/>
          <w:lang w:val="es-ES_tradnl"/>
        </w:rPr>
        <w:t>b)</w:t>
      </w:r>
      <w:r>
        <w:rPr>
          <w:rFonts w:asciiTheme="minorHAnsi" w:eastAsiaTheme="minorEastAsia" w:hAnsiTheme="minorHAnsi" w:cstheme="minorBidi"/>
          <w:noProof/>
          <w:kern w:val="2"/>
          <w:sz w:val="24"/>
          <w:szCs w:val="24"/>
          <w:lang w:val="en-GB" w:eastAsia="en-GB"/>
          <w14:ligatures w14:val="standardContextual"/>
        </w:rPr>
        <w:tab/>
      </w:r>
      <w:r w:rsidRPr="00315707">
        <w:rPr>
          <w:noProof/>
          <w:lang w:val="es-ES_tradnl"/>
        </w:rPr>
        <w:t>“La integridad y pertinencia de las colecciones de variedades”</w:t>
      </w:r>
      <w:r>
        <w:rPr>
          <w:noProof/>
        </w:rPr>
        <w:tab/>
      </w:r>
      <w:r>
        <w:rPr>
          <w:noProof/>
        </w:rPr>
        <w:fldChar w:fldCharType="begin"/>
      </w:r>
      <w:r>
        <w:rPr>
          <w:noProof/>
        </w:rPr>
        <w:instrText xml:space="preserve"> PAGEREF _Toc179822793 \h </w:instrText>
      </w:r>
      <w:r>
        <w:rPr>
          <w:noProof/>
        </w:rPr>
      </w:r>
      <w:r>
        <w:rPr>
          <w:noProof/>
        </w:rPr>
        <w:fldChar w:fldCharType="separate"/>
      </w:r>
      <w:r>
        <w:rPr>
          <w:noProof/>
        </w:rPr>
        <w:t>3</w:t>
      </w:r>
      <w:r>
        <w:rPr>
          <w:noProof/>
        </w:rPr>
        <w:fldChar w:fldCharType="end"/>
      </w:r>
    </w:p>
    <w:p w14:paraId="732B1A46" w14:textId="523E8ECD" w:rsidR="000B5325" w:rsidRDefault="000B5325">
      <w:pPr>
        <w:pStyle w:val="TOC2"/>
        <w:rPr>
          <w:rFonts w:asciiTheme="minorHAnsi" w:eastAsiaTheme="minorEastAsia" w:hAnsiTheme="minorHAnsi" w:cstheme="minorBidi"/>
          <w:noProof/>
          <w:kern w:val="2"/>
          <w:sz w:val="24"/>
          <w:szCs w:val="24"/>
          <w:lang w:val="en-GB" w:eastAsia="en-GB"/>
          <w14:ligatures w14:val="standardContextual"/>
        </w:rPr>
      </w:pPr>
      <w:r w:rsidRPr="00315707">
        <w:rPr>
          <w:noProof/>
          <w:lang w:val="es-ES_tradnl"/>
        </w:rPr>
        <w:t>c)</w:t>
      </w:r>
      <w:r>
        <w:rPr>
          <w:rFonts w:asciiTheme="minorHAnsi" w:eastAsiaTheme="minorEastAsia" w:hAnsiTheme="minorHAnsi" w:cstheme="minorBidi"/>
          <w:noProof/>
          <w:kern w:val="2"/>
          <w:sz w:val="24"/>
          <w:szCs w:val="24"/>
          <w:lang w:val="en-GB" w:eastAsia="en-GB"/>
          <w14:ligatures w14:val="standardContextual"/>
        </w:rPr>
        <w:tab/>
      </w:r>
      <w:r w:rsidRPr="00315707">
        <w:rPr>
          <w:noProof/>
          <w:lang w:val="es-ES_tradnl"/>
        </w:rPr>
        <w:t>“Revisar la sección 6 del documento TGP/5 para brindar información sobre los elementos que los miembros de la UPOV requieran para usar informes de los exámenes de otros miembros de la UPOV”</w:t>
      </w:r>
      <w:r>
        <w:rPr>
          <w:noProof/>
        </w:rPr>
        <w:tab/>
      </w:r>
      <w:r>
        <w:rPr>
          <w:noProof/>
        </w:rPr>
        <w:fldChar w:fldCharType="begin"/>
      </w:r>
      <w:r>
        <w:rPr>
          <w:noProof/>
        </w:rPr>
        <w:instrText xml:space="preserve"> PAGEREF _Toc179822794 \h </w:instrText>
      </w:r>
      <w:r>
        <w:rPr>
          <w:noProof/>
        </w:rPr>
      </w:r>
      <w:r>
        <w:rPr>
          <w:noProof/>
        </w:rPr>
        <w:fldChar w:fldCharType="separate"/>
      </w:r>
      <w:r>
        <w:rPr>
          <w:noProof/>
        </w:rPr>
        <w:t>4</w:t>
      </w:r>
      <w:r>
        <w:rPr>
          <w:noProof/>
        </w:rPr>
        <w:fldChar w:fldCharType="end"/>
      </w:r>
    </w:p>
    <w:p w14:paraId="579BE178" w14:textId="3EB8C5F2" w:rsidR="000B5325" w:rsidRDefault="000B5325">
      <w:pPr>
        <w:pStyle w:val="TOC2"/>
        <w:rPr>
          <w:rFonts w:asciiTheme="minorHAnsi" w:eastAsiaTheme="minorEastAsia" w:hAnsiTheme="minorHAnsi" w:cstheme="minorBidi"/>
          <w:noProof/>
          <w:kern w:val="2"/>
          <w:sz w:val="24"/>
          <w:szCs w:val="24"/>
          <w:lang w:val="en-GB" w:eastAsia="en-GB"/>
          <w14:ligatures w14:val="standardContextual"/>
        </w:rPr>
      </w:pPr>
      <w:r w:rsidRPr="00315707">
        <w:rPr>
          <w:noProof/>
          <w:lang w:val="es-ES_tradnl"/>
        </w:rPr>
        <w:t>d)</w:t>
      </w:r>
      <w:r>
        <w:rPr>
          <w:rFonts w:asciiTheme="minorHAnsi" w:eastAsiaTheme="minorEastAsia" w:hAnsiTheme="minorHAnsi" w:cstheme="minorBidi"/>
          <w:noProof/>
          <w:kern w:val="2"/>
          <w:sz w:val="24"/>
          <w:szCs w:val="24"/>
          <w:lang w:val="en-GB" w:eastAsia="en-GB"/>
          <w14:ligatures w14:val="standardContextual"/>
        </w:rPr>
        <w:tab/>
      </w:r>
      <w:r w:rsidRPr="00315707">
        <w:rPr>
          <w:noProof/>
          <w:lang w:val="es-ES_tradnl"/>
        </w:rPr>
        <w:t>“Motivos fitosanitarios que impidan o retrasen la presentación de material vegetal”</w:t>
      </w:r>
      <w:r>
        <w:rPr>
          <w:noProof/>
        </w:rPr>
        <w:tab/>
      </w:r>
      <w:r>
        <w:rPr>
          <w:noProof/>
        </w:rPr>
        <w:fldChar w:fldCharType="begin"/>
      </w:r>
      <w:r>
        <w:rPr>
          <w:noProof/>
        </w:rPr>
        <w:instrText xml:space="preserve"> PAGEREF _Toc179822795 \h </w:instrText>
      </w:r>
      <w:r>
        <w:rPr>
          <w:noProof/>
        </w:rPr>
      </w:r>
      <w:r>
        <w:rPr>
          <w:noProof/>
        </w:rPr>
        <w:fldChar w:fldCharType="separate"/>
      </w:r>
      <w:r>
        <w:rPr>
          <w:noProof/>
        </w:rPr>
        <w:t>4</w:t>
      </w:r>
      <w:r>
        <w:rPr>
          <w:noProof/>
        </w:rPr>
        <w:fldChar w:fldCharType="end"/>
      </w:r>
    </w:p>
    <w:p w14:paraId="1225A41E" w14:textId="54A81D9E" w:rsidR="000B5325" w:rsidRDefault="000B5325">
      <w:pPr>
        <w:pStyle w:val="TOC2"/>
        <w:rPr>
          <w:rFonts w:asciiTheme="minorHAnsi" w:eastAsiaTheme="minorEastAsia" w:hAnsiTheme="minorHAnsi" w:cstheme="minorBidi"/>
          <w:noProof/>
          <w:kern w:val="2"/>
          <w:sz w:val="24"/>
          <w:szCs w:val="24"/>
          <w:lang w:val="en-GB" w:eastAsia="en-GB"/>
          <w14:ligatures w14:val="standardContextual"/>
        </w:rPr>
      </w:pPr>
      <w:r w:rsidRPr="00315707">
        <w:rPr>
          <w:noProof/>
          <w:lang w:val="es-ES_tradnl"/>
        </w:rPr>
        <w:t>e)</w:t>
      </w:r>
      <w:r>
        <w:rPr>
          <w:rFonts w:asciiTheme="minorHAnsi" w:eastAsiaTheme="minorEastAsia" w:hAnsiTheme="minorHAnsi" w:cstheme="minorBidi"/>
          <w:noProof/>
          <w:kern w:val="2"/>
          <w:sz w:val="24"/>
          <w:szCs w:val="24"/>
          <w:lang w:val="en-GB" w:eastAsia="en-GB"/>
          <w14:ligatures w14:val="standardContextual"/>
        </w:rPr>
        <w:tab/>
      </w:r>
      <w:r w:rsidRPr="00315707">
        <w:rPr>
          <w:noProof/>
          <w:lang w:val="es-ES_tradnl"/>
        </w:rPr>
        <w:t>“Poner a disposición más información sobre los preparativos para los exámenes en las instalaciones de los obtentores”</w:t>
      </w:r>
      <w:r>
        <w:rPr>
          <w:noProof/>
        </w:rPr>
        <w:tab/>
      </w:r>
      <w:r>
        <w:rPr>
          <w:noProof/>
        </w:rPr>
        <w:fldChar w:fldCharType="begin"/>
      </w:r>
      <w:r>
        <w:rPr>
          <w:noProof/>
        </w:rPr>
        <w:instrText xml:space="preserve"> PAGEREF _Toc179822796 \h </w:instrText>
      </w:r>
      <w:r>
        <w:rPr>
          <w:noProof/>
        </w:rPr>
      </w:r>
      <w:r>
        <w:rPr>
          <w:noProof/>
        </w:rPr>
        <w:fldChar w:fldCharType="separate"/>
      </w:r>
      <w:r>
        <w:rPr>
          <w:noProof/>
        </w:rPr>
        <w:t>4</w:t>
      </w:r>
      <w:r>
        <w:rPr>
          <w:noProof/>
        </w:rPr>
        <w:fldChar w:fldCharType="end"/>
      </w:r>
    </w:p>
    <w:p w14:paraId="0AAD8CEC" w14:textId="717463AA" w:rsidR="003123C9" w:rsidRPr="000B5325" w:rsidRDefault="000B5325" w:rsidP="000B5325">
      <w:r w:rsidRPr="00980A6E">
        <w:rPr>
          <w:rFonts w:cs="Arial"/>
          <w:bCs/>
          <w:sz w:val="18"/>
          <w:szCs w:val="18"/>
        </w:rPr>
        <w:fldChar w:fldCharType="end"/>
      </w:r>
      <w:bookmarkStart w:id="1" w:name="_Toc179281085"/>
      <w:r w:rsidRPr="000B5325">
        <w:t>ANEXO</w:t>
      </w:r>
      <w:r w:rsidR="003123C9" w:rsidRPr="000B5325">
        <w:t>:</w:t>
      </w:r>
      <w:r w:rsidR="003123C9" w:rsidRPr="000B5325">
        <w:tab/>
      </w:r>
      <w:r w:rsidR="008B5CA7" w:rsidRPr="000B5325">
        <w:t>Proyecto de propuesta de seminario sobre cooperación con los obtentores en el examen DHE</w:t>
      </w:r>
      <w:bookmarkEnd w:id="1"/>
    </w:p>
    <w:p w14:paraId="24053608" w14:textId="77777777" w:rsidR="0086346C" w:rsidRPr="00FC3097" w:rsidRDefault="0086346C">
      <w:pPr>
        <w:jc w:val="left"/>
        <w:rPr>
          <w:caps/>
          <w:lang w:val="es-ES_tradnl"/>
        </w:rPr>
      </w:pPr>
      <w:r w:rsidRPr="00FC3097">
        <w:rPr>
          <w:lang w:val="es-ES_tradnl"/>
        </w:rPr>
        <w:br w:type="page"/>
      </w:r>
    </w:p>
    <w:p w14:paraId="45478094" w14:textId="3C22F45C" w:rsidR="00DD05E3" w:rsidRPr="00FC3097" w:rsidRDefault="006B387D" w:rsidP="00465CBD">
      <w:pPr>
        <w:pStyle w:val="Heading1"/>
        <w:rPr>
          <w:lang w:val="es-ES_tradnl"/>
        </w:rPr>
      </w:pPr>
      <w:bookmarkStart w:id="2" w:name="_Toc179822789"/>
      <w:r w:rsidRPr="00FC3097">
        <w:rPr>
          <w:lang w:val="es-ES_tradnl"/>
        </w:rPr>
        <w:lastRenderedPageBreak/>
        <w:t>ANTECEDENTES</w:t>
      </w:r>
      <w:bookmarkEnd w:id="2"/>
    </w:p>
    <w:p w14:paraId="39FB8B57" w14:textId="77777777" w:rsidR="000C48DA" w:rsidRPr="00FC3097" w:rsidRDefault="000C48DA" w:rsidP="00A44F87">
      <w:pPr>
        <w:keepNext/>
        <w:keepLines/>
        <w:jc w:val="left"/>
        <w:rPr>
          <w:lang w:val="es-ES_tradnl"/>
        </w:rPr>
      </w:pPr>
    </w:p>
    <w:p w14:paraId="0BE6E74E" w14:textId="6E314E48" w:rsidR="00602ECB" w:rsidRPr="00FC3097" w:rsidRDefault="00257D8D" w:rsidP="00A44F87">
      <w:pPr>
        <w:keepNext/>
        <w:keepLines/>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Los antecedentes completos de esta cuestión figuran en el documento</w:t>
      </w:r>
      <w:r w:rsidR="00A004B4" w:rsidRPr="00FC3097">
        <w:rPr>
          <w:lang w:val="es-ES_tradnl"/>
        </w:rPr>
        <w:t> </w:t>
      </w:r>
      <w:r w:rsidRPr="00FC3097">
        <w:rPr>
          <w:lang w:val="es-ES_tradnl"/>
        </w:rPr>
        <w:t>SESSIONS/2023/4, incluida la encuesta a los miembros de la Unión para obtener información sobre sus obstáculos de política o jurídicos que podrían impedir la cooperación internacional en materia de examen</w:t>
      </w:r>
      <w:r w:rsidR="00A004B4" w:rsidRPr="00FC3097">
        <w:rPr>
          <w:lang w:val="es-ES_tradnl"/>
        </w:rPr>
        <w:t> </w:t>
      </w:r>
      <w:r w:rsidRPr="00FC3097">
        <w:rPr>
          <w:lang w:val="es-ES_tradnl"/>
        </w:rPr>
        <w:t xml:space="preserve">DHE. </w:t>
      </w:r>
    </w:p>
    <w:p w14:paraId="23A9A8DB" w14:textId="77777777" w:rsidR="005D4A31" w:rsidRPr="00FC3097" w:rsidRDefault="005D4A31" w:rsidP="00A44F87">
      <w:pPr>
        <w:tabs>
          <w:tab w:val="left" w:pos="567"/>
        </w:tabs>
        <w:rPr>
          <w:lang w:val="es-ES_tradnl"/>
        </w:rPr>
      </w:pPr>
    </w:p>
    <w:p w14:paraId="3D2E409D" w14:textId="587A3B79" w:rsidR="00602ECB" w:rsidRPr="00FC3097" w:rsidDel="000759D0" w:rsidRDefault="00257D8D" w:rsidP="00980A6E">
      <w:pPr>
        <w:rPr>
          <w:spacing w:val="-4"/>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En su septuagésima séptima sesión</w:t>
      </w:r>
      <w:r w:rsidR="00C9252B">
        <w:rPr>
          <w:lang w:val="es-ES_tradnl"/>
        </w:rPr>
        <w:t>,</w:t>
      </w:r>
      <w:r w:rsidR="00602ECB" w:rsidRPr="00FC3097">
        <w:rPr>
          <w:rStyle w:val="FootnoteReference"/>
          <w:lang w:val="es-ES_tradnl"/>
        </w:rPr>
        <w:footnoteReference w:id="2"/>
      </w:r>
      <w:r w:rsidRPr="00FC3097">
        <w:rPr>
          <w:lang w:val="es-ES_tradnl"/>
        </w:rPr>
        <w:t xml:space="preserve"> el</w:t>
      </w:r>
      <w:r w:rsidR="00A004B4" w:rsidRPr="00FC3097">
        <w:rPr>
          <w:lang w:val="es-ES_tradnl"/>
        </w:rPr>
        <w:t> </w:t>
      </w:r>
      <w:r w:rsidRPr="00FC3097">
        <w:rPr>
          <w:lang w:val="es-ES_tradnl"/>
        </w:rPr>
        <w:t>CAJ pidió a la</w:t>
      </w:r>
      <w:r w:rsidR="00A004B4" w:rsidRPr="00FC3097">
        <w:rPr>
          <w:lang w:val="es-ES_tradnl"/>
        </w:rPr>
        <w:t> </w:t>
      </w:r>
      <w:r w:rsidRPr="00FC3097">
        <w:rPr>
          <w:lang w:val="es-ES_tradnl"/>
        </w:rPr>
        <w:t>Oficina de la</w:t>
      </w:r>
      <w:r w:rsidR="00A004B4" w:rsidRPr="00FC3097">
        <w:rPr>
          <w:lang w:val="es-ES_tradnl"/>
        </w:rPr>
        <w:t> </w:t>
      </w:r>
      <w:r w:rsidRPr="00FC3097">
        <w:rPr>
          <w:lang w:val="es-ES_tradnl"/>
        </w:rPr>
        <w:t>Unión que elaborase un documento, que se examinaría en su septuagésima octava sesión, sobre los siguientes obstáculos de política o jurídicos que el TC ha señalado como impedimentos para la cooperación internacional en el examen</w:t>
      </w:r>
      <w:r w:rsidR="00A004B4" w:rsidRPr="00FC3097">
        <w:rPr>
          <w:lang w:val="es-ES_tradnl"/>
        </w:rPr>
        <w:t> </w:t>
      </w:r>
      <w:r w:rsidRPr="00FC3097">
        <w:rPr>
          <w:lang w:val="es-ES_tradnl"/>
        </w:rPr>
        <w:t>DHE y las posibles medidas para abordar estos obstáculos (véase el párrafo 14 del documento</w:t>
      </w:r>
      <w:r w:rsidR="00A004B4" w:rsidRPr="00FC3097">
        <w:rPr>
          <w:lang w:val="es-ES_tradnl"/>
        </w:rPr>
        <w:t> </w:t>
      </w:r>
      <w:r w:rsidRPr="00FC3097">
        <w:rPr>
          <w:lang w:val="es-ES_tradnl"/>
        </w:rPr>
        <w:t xml:space="preserve">CAJ/77/10 “Informe”): </w:t>
      </w:r>
    </w:p>
    <w:p w14:paraId="32718E71" w14:textId="77777777" w:rsidR="00602ECB" w:rsidRPr="00FC3097" w:rsidDel="000759D0" w:rsidRDefault="00602ECB" w:rsidP="00602ECB">
      <w:pPr>
        <w:rPr>
          <w:lang w:val="es-ES_tradnl"/>
        </w:rPr>
      </w:pPr>
    </w:p>
    <w:p w14:paraId="497262DC" w14:textId="77777777" w:rsidR="00602ECB" w:rsidRPr="00FC3097" w:rsidDel="000759D0" w:rsidRDefault="00602ECB" w:rsidP="00602ECB">
      <w:pPr>
        <w:tabs>
          <w:tab w:val="left" w:pos="1134"/>
        </w:tabs>
        <w:ind w:left="567"/>
        <w:rPr>
          <w:spacing w:val="-4"/>
          <w:lang w:val="es-ES_tradnl"/>
        </w:rPr>
      </w:pPr>
      <w:r w:rsidRPr="00FC3097">
        <w:rPr>
          <w:lang w:val="es-ES_tradnl"/>
        </w:rPr>
        <w:t xml:space="preserve">i) </w:t>
      </w:r>
      <w:r w:rsidRPr="00FC3097">
        <w:rPr>
          <w:lang w:val="es-ES_tradnl"/>
        </w:rPr>
        <w:tab/>
        <w:t>Obligación de suscribir un acuerdo formal de cooperación</w:t>
      </w:r>
    </w:p>
    <w:p w14:paraId="44477BA5" w14:textId="79A9AD02" w:rsidR="00602ECB" w:rsidRPr="00FC3097" w:rsidDel="000759D0" w:rsidRDefault="00602ECB" w:rsidP="00602ECB">
      <w:pPr>
        <w:tabs>
          <w:tab w:val="left" w:pos="1134"/>
        </w:tabs>
        <w:ind w:left="567"/>
        <w:rPr>
          <w:spacing w:val="-4"/>
          <w:lang w:val="es-ES_tradnl"/>
        </w:rPr>
      </w:pPr>
      <w:r w:rsidRPr="00FC3097">
        <w:rPr>
          <w:lang w:val="es-ES_tradnl"/>
        </w:rPr>
        <w:t>ii)</w:t>
      </w:r>
      <w:r w:rsidRPr="00FC3097">
        <w:rPr>
          <w:lang w:val="es-ES_tradnl"/>
        </w:rPr>
        <w:tab/>
        <w:t>Obligación de que el examen</w:t>
      </w:r>
      <w:r w:rsidR="00A004B4" w:rsidRPr="00FC3097">
        <w:rPr>
          <w:lang w:val="es-ES_tradnl"/>
        </w:rPr>
        <w:t> </w:t>
      </w:r>
      <w:r w:rsidRPr="00FC3097">
        <w:rPr>
          <w:lang w:val="es-ES_tradnl"/>
        </w:rPr>
        <w:t>DHE sea efectuado por la autoridad que concede los títulos</w:t>
      </w:r>
    </w:p>
    <w:p w14:paraId="055F4E19" w14:textId="4430E4CD" w:rsidR="00602ECB" w:rsidRPr="00FC3097" w:rsidDel="000759D0" w:rsidRDefault="00602ECB" w:rsidP="00602ECB">
      <w:pPr>
        <w:tabs>
          <w:tab w:val="left" w:pos="1134"/>
        </w:tabs>
        <w:ind w:left="567"/>
        <w:rPr>
          <w:spacing w:val="-4"/>
          <w:lang w:val="es-ES_tradnl"/>
        </w:rPr>
      </w:pPr>
      <w:r w:rsidRPr="00FC3097">
        <w:rPr>
          <w:lang w:val="es-ES_tradnl"/>
        </w:rPr>
        <w:t xml:space="preserve">iii) </w:t>
      </w:r>
      <w:r w:rsidRPr="00FC3097">
        <w:rPr>
          <w:lang w:val="es-ES_tradnl"/>
        </w:rPr>
        <w:tab/>
        <w:t>No se admiten los informes de los exámenes</w:t>
      </w:r>
      <w:r w:rsidR="00A004B4" w:rsidRPr="00FC3097">
        <w:rPr>
          <w:lang w:val="es-ES_tradnl"/>
        </w:rPr>
        <w:t> </w:t>
      </w:r>
      <w:r w:rsidRPr="00FC3097">
        <w:rPr>
          <w:lang w:val="es-ES_tradnl"/>
        </w:rPr>
        <w:t>DHE realizados por obtentores</w:t>
      </w:r>
    </w:p>
    <w:p w14:paraId="3443D0CD" w14:textId="2E4A7404" w:rsidR="00602ECB" w:rsidRPr="00FC3097" w:rsidRDefault="00602ECB" w:rsidP="00602ECB">
      <w:pPr>
        <w:tabs>
          <w:tab w:val="left" w:pos="1134"/>
        </w:tabs>
        <w:ind w:left="567"/>
        <w:rPr>
          <w:spacing w:val="-4"/>
          <w:lang w:val="es-ES_tradnl"/>
        </w:rPr>
      </w:pPr>
      <w:r w:rsidRPr="00FC3097">
        <w:rPr>
          <w:lang w:val="es-ES_tradnl"/>
        </w:rPr>
        <w:t>iv)</w:t>
      </w:r>
      <w:r w:rsidRPr="00FC3097">
        <w:rPr>
          <w:lang w:val="es-ES_tradnl"/>
        </w:rPr>
        <w:tab/>
        <w:t>Deseo de los obtentores de utilizar (o no) los informes</w:t>
      </w:r>
      <w:r w:rsidR="00A004B4" w:rsidRPr="00FC3097">
        <w:rPr>
          <w:lang w:val="es-ES_tradnl"/>
        </w:rPr>
        <w:t> </w:t>
      </w:r>
      <w:r w:rsidRPr="00FC3097">
        <w:rPr>
          <w:lang w:val="es-ES_tradnl"/>
        </w:rPr>
        <w:t>DHE existentes</w:t>
      </w:r>
    </w:p>
    <w:p w14:paraId="28AE1966" w14:textId="77777777" w:rsidR="00602ECB" w:rsidRPr="00FC3097" w:rsidDel="000759D0" w:rsidRDefault="00602ECB" w:rsidP="00602ECB">
      <w:pPr>
        <w:tabs>
          <w:tab w:val="left" w:pos="1134"/>
        </w:tabs>
        <w:ind w:left="567"/>
        <w:rPr>
          <w:spacing w:val="-4"/>
          <w:lang w:val="es-ES_tradnl"/>
        </w:rPr>
      </w:pPr>
    </w:p>
    <w:p w14:paraId="3A111820" w14:textId="490A2F22" w:rsidR="00602ECB" w:rsidRPr="00FC3097" w:rsidRDefault="00602ECB" w:rsidP="00602ECB">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En su septuagésima octava sesión</w:t>
      </w:r>
      <w:r w:rsidR="00C9252B">
        <w:rPr>
          <w:lang w:val="es-ES_tradnl"/>
        </w:rPr>
        <w:t>,</w:t>
      </w:r>
      <w:r w:rsidR="00F30FF3" w:rsidRPr="00FC3097">
        <w:rPr>
          <w:rStyle w:val="FootnoteReference"/>
          <w:lang w:val="es-ES_tradnl"/>
        </w:rPr>
        <w:footnoteReference w:id="3"/>
      </w:r>
      <w:r w:rsidRPr="00FC3097">
        <w:rPr>
          <w:lang w:val="es-ES_tradnl"/>
        </w:rPr>
        <w:t xml:space="preserve"> el</w:t>
      </w:r>
      <w:r w:rsidR="00A004B4" w:rsidRPr="00FC3097">
        <w:rPr>
          <w:lang w:val="es-ES_tradnl"/>
        </w:rPr>
        <w:t> </w:t>
      </w:r>
      <w:r w:rsidRPr="00FC3097">
        <w:rPr>
          <w:lang w:val="es-ES_tradnl"/>
        </w:rPr>
        <w:t>CAJ acordó realizar una encuesta a los miembros de la Unión para obtener información sobre sus obstáculos de política o jurídicos que podrían impedir la cooperación internacional en materia de examen</w:t>
      </w:r>
      <w:r w:rsidR="00A004B4" w:rsidRPr="00FC3097">
        <w:rPr>
          <w:lang w:val="es-ES_tradnl"/>
        </w:rPr>
        <w:t> </w:t>
      </w:r>
      <w:r w:rsidRPr="00FC3097">
        <w:rPr>
          <w:lang w:val="es-ES_tradnl"/>
        </w:rPr>
        <w:t>DHE. En su septuagésima novena sesión</w:t>
      </w:r>
      <w:r w:rsidR="00C9252B">
        <w:rPr>
          <w:lang w:val="es-ES_tradnl"/>
        </w:rPr>
        <w:t>,</w:t>
      </w:r>
      <w:r w:rsidRPr="00FC3097">
        <w:rPr>
          <w:rStyle w:val="FootnoteReference"/>
          <w:lang w:val="es-ES_tradnl"/>
        </w:rPr>
        <w:footnoteReference w:id="4"/>
      </w:r>
      <w:r w:rsidRPr="00FC3097">
        <w:rPr>
          <w:lang w:val="es-ES_tradnl"/>
        </w:rPr>
        <w:t xml:space="preserve"> el</w:t>
      </w:r>
      <w:r w:rsidR="00A004B4" w:rsidRPr="00FC3097">
        <w:rPr>
          <w:lang w:val="es-ES_tradnl"/>
        </w:rPr>
        <w:t> </w:t>
      </w:r>
      <w:r w:rsidRPr="00FC3097">
        <w:rPr>
          <w:lang w:val="es-ES_tradnl"/>
        </w:rPr>
        <w:t>CAJ aprobó las preguntas propuestas para la encuesta a los miembros de la Unión a fin de obtener información sobre sus obstáculos de política o jurídicos que podrían impedir la cooperación internacional en materia de examen</w:t>
      </w:r>
      <w:r w:rsidR="00A004B4" w:rsidRPr="00FC3097">
        <w:rPr>
          <w:lang w:val="es-ES_tradnl"/>
        </w:rPr>
        <w:t> </w:t>
      </w:r>
      <w:r w:rsidRPr="00FC3097">
        <w:rPr>
          <w:lang w:val="es-ES_tradnl"/>
        </w:rPr>
        <w:t>DHE, con la siguiente pregunta adicional al final: “¿Se ha producido alguna novedad que pueda aumentar la aceptación de los informes</w:t>
      </w:r>
      <w:r w:rsidR="00A004B4" w:rsidRPr="00FC3097">
        <w:rPr>
          <w:lang w:val="es-ES_tradnl"/>
        </w:rPr>
        <w:t> </w:t>
      </w:r>
      <w:r w:rsidRPr="00FC3097">
        <w:rPr>
          <w:lang w:val="es-ES_tradnl"/>
        </w:rPr>
        <w:t>DHE en el futuro?” (véase el párrafo</w:t>
      </w:r>
      <w:r w:rsidR="00A004B4" w:rsidRPr="00FC3097">
        <w:rPr>
          <w:lang w:val="es-ES_tradnl"/>
        </w:rPr>
        <w:t> </w:t>
      </w:r>
      <w:r w:rsidRPr="00FC3097">
        <w:rPr>
          <w:lang w:val="es-ES_tradnl"/>
        </w:rPr>
        <w:t>58 del documento</w:t>
      </w:r>
      <w:r w:rsidR="00A004B4" w:rsidRPr="00FC3097">
        <w:rPr>
          <w:lang w:val="es-ES_tradnl"/>
        </w:rPr>
        <w:t> </w:t>
      </w:r>
      <w:r w:rsidRPr="00FC3097">
        <w:rPr>
          <w:lang w:val="es-ES_tradnl"/>
        </w:rPr>
        <w:t>CAJ/79/11 “Informe”).</w:t>
      </w:r>
    </w:p>
    <w:p w14:paraId="40389BC9" w14:textId="77777777" w:rsidR="000C48DA" w:rsidRPr="00FC3097" w:rsidRDefault="000C48DA" w:rsidP="000C48DA">
      <w:pPr>
        <w:jc w:val="left"/>
        <w:rPr>
          <w:lang w:val="es-ES_tradnl"/>
        </w:rPr>
      </w:pPr>
    </w:p>
    <w:p w14:paraId="455EA5FB" w14:textId="77777777" w:rsidR="00D36DC7" w:rsidRPr="00FC3097" w:rsidRDefault="00D36DC7" w:rsidP="000C48DA">
      <w:pPr>
        <w:jc w:val="left"/>
        <w:rPr>
          <w:lang w:val="es-ES_tradnl"/>
        </w:rPr>
      </w:pPr>
    </w:p>
    <w:p w14:paraId="0007F9C8" w14:textId="6A2EA3E8" w:rsidR="00D36DC7" w:rsidRPr="00FC3097" w:rsidRDefault="00D36DC7" w:rsidP="00980A6E">
      <w:pPr>
        <w:pStyle w:val="Heading2"/>
        <w:rPr>
          <w:lang w:val="es-ES_tradnl"/>
        </w:rPr>
      </w:pPr>
      <w:bookmarkStart w:id="3" w:name="_Toc179822790"/>
      <w:r w:rsidRPr="00FC3097">
        <w:rPr>
          <w:lang w:val="es-ES_tradnl"/>
        </w:rPr>
        <w:t xml:space="preserve">Posibles medidas para </w:t>
      </w:r>
      <w:r w:rsidR="00481FC3">
        <w:rPr>
          <w:lang w:val="es-ES_tradnl"/>
        </w:rPr>
        <w:t>fomentar</w:t>
      </w:r>
      <w:r w:rsidRPr="00FC3097">
        <w:rPr>
          <w:lang w:val="es-ES_tradnl"/>
        </w:rPr>
        <w:t xml:space="preserve"> las oportunidades de cooperación internacional</w:t>
      </w:r>
      <w:bookmarkEnd w:id="3"/>
    </w:p>
    <w:p w14:paraId="267655A8" w14:textId="77777777" w:rsidR="00D36DC7" w:rsidRPr="00FC3097" w:rsidRDefault="00D36DC7" w:rsidP="000C48DA">
      <w:pPr>
        <w:jc w:val="left"/>
        <w:rPr>
          <w:lang w:val="es-ES_tradnl"/>
        </w:rPr>
      </w:pPr>
    </w:p>
    <w:p w14:paraId="56BD4FA6" w14:textId="3418E4C2" w:rsidR="000C48DA" w:rsidRPr="00FC3097" w:rsidRDefault="000C48DA" w:rsidP="00A44F87">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En sus sesiones de</w:t>
      </w:r>
      <w:r w:rsidR="00A004B4" w:rsidRPr="00FC3097">
        <w:rPr>
          <w:lang w:val="es-ES_tradnl"/>
        </w:rPr>
        <w:t> </w:t>
      </w:r>
      <w:r w:rsidRPr="00FC3097">
        <w:rPr>
          <w:lang w:val="es-ES_tradnl"/>
        </w:rPr>
        <w:t>2023, el</w:t>
      </w:r>
      <w:r w:rsidR="00A004B4" w:rsidRPr="00FC3097">
        <w:rPr>
          <w:lang w:val="es-ES_tradnl"/>
        </w:rPr>
        <w:t> </w:t>
      </w:r>
      <w:r w:rsidRPr="00FC3097">
        <w:rPr>
          <w:lang w:val="es-ES_tradnl"/>
        </w:rPr>
        <w:t>TC</w:t>
      </w:r>
      <w:r w:rsidR="00200402" w:rsidRPr="00FC3097">
        <w:rPr>
          <w:rStyle w:val="FootnoteReference"/>
          <w:lang w:val="es-ES_tradnl"/>
        </w:rPr>
        <w:footnoteReference w:id="5"/>
      </w:r>
      <w:r w:rsidRPr="00FC3097">
        <w:rPr>
          <w:lang w:val="es-ES_tradnl"/>
        </w:rPr>
        <w:t xml:space="preserve"> y el</w:t>
      </w:r>
      <w:r w:rsidR="00A004B4" w:rsidRPr="00FC3097">
        <w:rPr>
          <w:lang w:val="es-ES_tradnl"/>
        </w:rPr>
        <w:t> </w:t>
      </w:r>
      <w:r w:rsidRPr="00FC3097">
        <w:rPr>
          <w:lang w:val="es-ES_tradnl"/>
        </w:rPr>
        <w:t>CAJ</w:t>
      </w:r>
      <w:r w:rsidR="00200402" w:rsidRPr="00FC3097">
        <w:rPr>
          <w:rStyle w:val="FootnoteReference"/>
          <w:lang w:val="es-ES_tradnl"/>
        </w:rPr>
        <w:footnoteReference w:id="6"/>
      </w:r>
      <w:r w:rsidRPr="00FC3097">
        <w:rPr>
          <w:lang w:val="es-ES_tradnl"/>
        </w:rPr>
        <w:t xml:space="preserve"> examinaron el documento SESSIONS/2023/4 “Medidas para reforzar la cooperación en el examen”, incluidas las respuestas a la encuesta realizada a los miembros de la Unión para recabar información sobre las políticas o los obstáculos jurídicos que podrían impedir la cooperación internacional en el examen</w:t>
      </w:r>
      <w:r w:rsidR="00A004B4" w:rsidRPr="00FC3097">
        <w:rPr>
          <w:lang w:val="es-ES_tradnl"/>
        </w:rPr>
        <w:t> </w:t>
      </w:r>
      <w:r w:rsidRPr="00FC3097">
        <w:rPr>
          <w:lang w:val="es-ES_tradnl"/>
        </w:rPr>
        <w:t>DHE. Conforme a los resultados de la encuesta, el</w:t>
      </w:r>
      <w:r w:rsidR="00A004B4" w:rsidRPr="00FC3097">
        <w:rPr>
          <w:lang w:val="es-ES_tradnl"/>
        </w:rPr>
        <w:t> </w:t>
      </w:r>
      <w:r w:rsidRPr="00FC3097">
        <w:rPr>
          <w:lang w:val="es-ES_tradnl"/>
        </w:rPr>
        <w:t>TC y el</w:t>
      </w:r>
      <w:r w:rsidR="00A004B4" w:rsidRPr="00FC3097">
        <w:rPr>
          <w:lang w:val="es-ES_tradnl"/>
        </w:rPr>
        <w:t> </w:t>
      </w:r>
      <w:r w:rsidRPr="00FC3097">
        <w:rPr>
          <w:lang w:val="es-ES_tradnl"/>
        </w:rPr>
        <w:t xml:space="preserve">CAJ examinaron las siguientes posibles medidas propuestas para </w:t>
      </w:r>
      <w:r w:rsidR="00481FC3">
        <w:rPr>
          <w:lang w:val="es-ES_tradnl"/>
        </w:rPr>
        <w:t>fomentar</w:t>
      </w:r>
      <w:r w:rsidRPr="00FC3097">
        <w:rPr>
          <w:lang w:val="es-ES_tradnl"/>
        </w:rPr>
        <w:t xml:space="preserve"> las oportunidades de cooperación internacional:</w:t>
      </w:r>
    </w:p>
    <w:p w14:paraId="2D43284B" w14:textId="77777777" w:rsidR="003E014A" w:rsidRPr="00FC3097" w:rsidRDefault="003E014A" w:rsidP="003E014A">
      <w:pPr>
        <w:jc w:val="left"/>
        <w:rPr>
          <w:lang w:val="es-ES_tradnl"/>
        </w:rPr>
      </w:pPr>
    </w:p>
    <w:p w14:paraId="04492CF9" w14:textId="2E7880F4" w:rsidR="00200402" w:rsidRPr="00FC3097" w:rsidRDefault="00200402" w:rsidP="00A44F87">
      <w:pPr>
        <w:pStyle w:val="ListParagraph"/>
        <w:numPr>
          <w:ilvl w:val="0"/>
          <w:numId w:val="1"/>
        </w:numPr>
        <w:tabs>
          <w:tab w:val="left" w:pos="1701"/>
        </w:tabs>
        <w:spacing w:after="0"/>
        <w:ind w:left="567" w:right="567" w:firstLine="567"/>
        <w:jc w:val="both"/>
        <w:rPr>
          <w:sz w:val="18"/>
          <w:szCs w:val="20"/>
          <w:lang w:val="es-ES_tradnl"/>
        </w:rPr>
      </w:pPr>
      <w:r w:rsidRPr="00FC3097">
        <w:rPr>
          <w:sz w:val="18"/>
          <w:szCs w:val="20"/>
          <w:lang w:val="es-ES_tradnl"/>
        </w:rPr>
        <w:t>“Efecto del medio ambiente en la expresión de los caracteres: organizar actividades para explicar la manera en que el examen</w:t>
      </w:r>
      <w:r w:rsidR="00A004B4" w:rsidRPr="00FC3097">
        <w:rPr>
          <w:sz w:val="18"/>
          <w:szCs w:val="20"/>
          <w:lang w:val="es-ES_tradnl"/>
        </w:rPr>
        <w:t> </w:t>
      </w:r>
      <w:r w:rsidRPr="00FC3097">
        <w:rPr>
          <w:sz w:val="18"/>
          <w:szCs w:val="20"/>
          <w:lang w:val="es-ES_tradnl"/>
        </w:rPr>
        <w:t>DHE contempla el efecto del medio ambiente en la expresión de los caracteres y el motivo por el que no es necesario llevar a cabo exámenes</w:t>
      </w:r>
      <w:r w:rsidR="00A004B4" w:rsidRPr="00FC3097">
        <w:rPr>
          <w:sz w:val="18"/>
          <w:szCs w:val="20"/>
          <w:lang w:val="es-ES_tradnl"/>
        </w:rPr>
        <w:t> </w:t>
      </w:r>
      <w:r w:rsidRPr="00FC3097">
        <w:rPr>
          <w:sz w:val="18"/>
          <w:szCs w:val="20"/>
          <w:lang w:val="es-ES_tradnl"/>
        </w:rPr>
        <w:t>DHE en cada miembro de la</w:t>
      </w:r>
      <w:r w:rsidR="00A004B4" w:rsidRPr="00FC3097">
        <w:rPr>
          <w:sz w:val="18"/>
          <w:szCs w:val="20"/>
          <w:lang w:val="es-ES_tradnl"/>
        </w:rPr>
        <w:t> </w:t>
      </w:r>
      <w:r w:rsidRPr="00FC3097">
        <w:rPr>
          <w:sz w:val="18"/>
          <w:szCs w:val="20"/>
          <w:lang w:val="es-ES_tradnl"/>
        </w:rPr>
        <w:t>UPOV;</w:t>
      </w:r>
    </w:p>
    <w:p w14:paraId="064F0B7A" w14:textId="77777777" w:rsidR="00200402" w:rsidRPr="00FC3097" w:rsidRDefault="00200402" w:rsidP="00A44F87">
      <w:pPr>
        <w:pStyle w:val="ListParagraph"/>
        <w:tabs>
          <w:tab w:val="left" w:pos="1701"/>
        </w:tabs>
        <w:ind w:left="567" w:right="567" w:firstLine="567"/>
        <w:rPr>
          <w:sz w:val="18"/>
          <w:szCs w:val="20"/>
          <w:lang w:val="es-ES_tradnl"/>
        </w:rPr>
      </w:pPr>
    </w:p>
    <w:p w14:paraId="2177F195" w14:textId="22596E0C" w:rsidR="00200402" w:rsidRPr="00FC3097" w:rsidRDefault="00200402" w:rsidP="00A44F87">
      <w:pPr>
        <w:pStyle w:val="ListParagraph"/>
        <w:numPr>
          <w:ilvl w:val="0"/>
          <w:numId w:val="1"/>
        </w:numPr>
        <w:tabs>
          <w:tab w:val="left" w:pos="1701"/>
        </w:tabs>
        <w:spacing w:after="0"/>
        <w:ind w:left="567" w:right="567" w:firstLine="567"/>
        <w:jc w:val="both"/>
        <w:rPr>
          <w:sz w:val="18"/>
          <w:szCs w:val="20"/>
          <w:lang w:val="es-ES_tradnl"/>
        </w:rPr>
      </w:pPr>
      <w:r w:rsidRPr="00FC3097">
        <w:rPr>
          <w:sz w:val="18"/>
          <w:szCs w:val="20"/>
          <w:lang w:val="es-ES_tradnl"/>
        </w:rPr>
        <w:t>La integridad y pertinencia de las colecciones de variedades: organizar actividades para demostrar la manera en que los miembros de la</w:t>
      </w:r>
      <w:r w:rsidR="00A004B4" w:rsidRPr="00FC3097">
        <w:rPr>
          <w:sz w:val="18"/>
          <w:szCs w:val="20"/>
          <w:lang w:val="es-ES_tradnl"/>
        </w:rPr>
        <w:t> </w:t>
      </w:r>
      <w:r w:rsidRPr="00FC3097">
        <w:rPr>
          <w:sz w:val="18"/>
          <w:szCs w:val="20"/>
          <w:lang w:val="es-ES_tradnl"/>
        </w:rPr>
        <w:t>UPOV tratan los riesgos asociados a las colecciones incompletas de variedades notoriamente conocidas (documento</w:t>
      </w:r>
      <w:r w:rsidR="00A004B4" w:rsidRPr="00FC3097">
        <w:rPr>
          <w:sz w:val="18"/>
          <w:szCs w:val="20"/>
          <w:lang w:val="es-ES_tradnl"/>
        </w:rPr>
        <w:t> </w:t>
      </w:r>
      <w:r w:rsidRPr="00FC3097">
        <w:rPr>
          <w:sz w:val="18"/>
          <w:szCs w:val="20"/>
          <w:lang w:val="es-ES_tradnl"/>
        </w:rPr>
        <w:t>TGP/4 “Constitución y mantenimiento de las colecciones de variedades”);</w:t>
      </w:r>
    </w:p>
    <w:p w14:paraId="4F90327E" w14:textId="77777777" w:rsidR="00200402" w:rsidRPr="00FC3097" w:rsidRDefault="00200402" w:rsidP="00A44F87">
      <w:pPr>
        <w:tabs>
          <w:tab w:val="left" w:pos="1701"/>
        </w:tabs>
        <w:ind w:left="567" w:right="567"/>
        <w:rPr>
          <w:sz w:val="18"/>
          <w:szCs w:val="18"/>
          <w:lang w:val="es-ES_tradnl"/>
        </w:rPr>
      </w:pPr>
    </w:p>
    <w:p w14:paraId="69EDF8A4" w14:textId="70811040" w:rsidR="00200402" w:rsidRPr="00FC3097" w:rsidRDefault="00200402" w:rsidP="00A44F87">
      <w:pPr>
        <w:pStyle w:val="ListParagraph"/>
        <w:numPr>
          <w:ilvl w:val="0"/>
          <w:numId w:val="1"/>
        </w:numPr>
        <w:tabs>
          <w:tab w:val="left" w:pos="567"/>
          <w:tab w:val="left" w:pos="1701"/>
        </w:tabs>
        <w:spacing w:after="0"/>
        <w:ind w:left="567" w:right="567" w:firstLine="567"/>
        <w:jc w:val="both"/>
        <w:rPr>
          <w:rFonts w:eastAsia="Times New Roman" w:cs="Times New Roman"/>
          <w:spacing w:val="-4"/>
          <w:sz w:val="18"/>
          <w:szCs w:val="18"/>
          <w:lang w:val="es-ES_tradnl"/>
        </w:rPr>
      </w:pPr>
      <w:r w:rsidRPr="00FC3097">
        <w:rPr>
          <w:sz w:val="18"/>
          <w:szCs w:val="18"/>
          <w:lang w:val="es-ES_tradnl"/>
        </w:rPr>
        <w:t>Revisar la sección</w:t>
      </w:r>
      <w:r w:rsidR="00A004B4" w:rsidRPr="00FC3097">
        <w:rPr>
          <w:sz w:val="18"/>
          <w:szCs w:val="18"/>
          <w:lang w:val="es-ES_tradnl"/>
        </w:rPr>
        <w:t> </w:t>
      </w:r>
      <w:r w:rsidRPr="00FC3097">
        <w:rPr>
          <w:sz w:val="18"/>
          <w:szCs w:val="18"/>
          <w:lang w:val="es-ES_tradnl"/>
        </w:rPr>
        <w:t>6 “Informe de la</w:t>
      </w:r>
      <w:r w:rsidR="00A004B4" w:rsidRPr="00FC3097">
        <w:rPr>
          <w:sz w:val="18"/>
          <w:szCs w:val="18"/>
          <w:lang w:val="es-ES_tradnl"/>
        </w:rPr>
        <w:t> </w:t>
      </w:r>
      <w:r w:rsidRPr="00FC3097">
        <w:rPr>
          <w:sz w:val="18"/>
          <w:szCs w:val="18"/>
          <w:lang w:val="es-ES_tradnl"/>
        </w:rPr>
        <w:t>UPOV sobre el examen técnico y Formulario</w:t>
      </w:r>
      <w:r w:rsidR="00A004B4" w:rsidRPr="00FC3097">
        <w:rPr>
          <w:sz w:val="18"/>
          <w:szCs w:val="18"/>
          <w:lang w:val="es-ES_tradnl"/>
        </w:rPr>
        <w:t> </w:t>
      </w:r>
      <w:r w:rsidRPr="00FC3097">
        <w:rPr>
          <w:sz w:val="18"/>
          <w:szCs w:val="18"/>
          <w:lang w:val="es-ES_tradnl"/>
        </w:rPr>
        <w:t>UPOV para la descripción de variedades” del documento</w:t>
      </w:r>
      <w:r w:rsidR="00A004B4" w:rsidRPr="00FC3097">
        <w:rPr>
          <w:sz w:val="18"/>
          <w:szCs w:val="18"/>
          <w:lang w:val="es-ES_tradnl"/>
        </w:rPr>
        <w:t> </w:t>
      </w:r>
      <w:r w:rsidRPr="00FC3097">
        <w:rPr>
          <w:sz w:val="18"/>
          <w:szCs w:val="18"/>
          <w:lang w:val="es-ES_tradnl"/>
        </w:rPr>
        <w:t>TGP/5 para brindar información sobre: variedades notoriamente conocidas cultivadas en el mismo ensayo o consideradas de otra naturaleza en el examen</w:t>
      </w:r>
      <w:r w:rsidR="00A004B4" w:rsidRPr="00FC3097">
        <w:rPr>
          <w:sz w:val="18"/>
          <w:szCs w:val="18"/>
          <w:lang w:val="es-ES_tradnl"/>
        </w:rPr>
        <w:t> </w:t>
      </w:r>
      <w:r w:rsidRPr="00FC3097">
        <w:rPr>
          <w:sz w:val="18"/>
          <w:szCs w:val="18"/>
          <w:lang w:val="es-ES_tradnl"/>
        </w:rPr>
        <w:t xml:space="preserve">DHE; u otros </w:t>
      </w:r>
      <w:bookmarkStart w:id="4" w:name="_Hlk178543137"/>
      <w:r w:rsidRPr="00FC3097">
        <w:rPr>
          <w:sz w:val="18"/>
          <w:szCs w:val="18"/>
          <w:lang w:val="es-ES_tradnl"/>
        </w:rPr>
        <w:t>elementos que los miembros de la UPOV requieran para usar informes de los exámenes de otros miembros de la</w:t>
      </w:r>
      <w:r w:rsidR="00A004B4" w:rsidRPr="00FC3097">
        <w:rPr>
          <w:sz w:val="18"/>
          <w:szCs w:val="18"/>
          <w:lang w:val="es-ES_tradnl"/>
        </w:rPr>
        <w:t> </w:t>
      </w:r>
      <w:r w:rsidRPr="00FC3097">
        <w:rPr>
          <w:sz w:val="18"/>
          <w:szCs w:val="18"/>
          <w:lang w:val="es-ES_tradnl"/>
        </w:rPr>
        <w:t>UPOV</w:t>
      </w:r>
      <w:bookmarkEnd w:id="4"/>
      <w:r w:rsidRPr="00FC3097">
        <w:rPr>
          <w:sz w:val="18"/>
          <w:szCs w:val="18"/>
          <w:lang w:val="es-ES_tradnl"/>
        </w:rPr>
        <w:t xml:space="preserve">; </w:t>
      </w:r>
      <w:r w:rsidRPr="00FC3097">
        <w:rPr>
          <w:sz w:val="18"/>
          <w:szCs w:val="20"/>
          <w:lang w:val="es-ES_tradnl"/>
        </w:rPr>
        <w:t xml:space="preserve"> </w:t>
      </w:r>
    </w:p>
    <w:p w14:paraId="6968A8DB" w14:textId="77777777" w:rsidR="00200402" w:rsidRPr="00FC3097" w:rsidRDefault="00200402" w:rsidP="00A44F87">
      <w:pPr>
        <w:tabs>
          <w:tab w:val="left" w:pos="1701"/>
        </w:tabs>
        <w:ind w:left="567" w:right="567"/>
        <w:rPr>
          <w:spacing w:val="-4"/>
          <w:sz w:val="18"/>
          <w:szCs w:val="18"/>
          <w:lang w:val="es-ES_tradnl"/>
        </w:rPr>
      </w:pPr>
    </w:p>
    <w:p w14:paraId="6F22CE5F" w14:textId="5BA1FD58" w:rsidR="00200402" w:rsidRPr="00FC3097" w:rsidRDefault="00200402" w:rsidP="00A44F87">
      <w:pPr>
        <w:pStyle w:val="ListParagraph"/>
        <w:numPr>
          <w:ilvl w:val="0"/>
          <w:numId w:val="1"/>
        </w:numPr>
        <w:tabs>
          <w:tab w:val="left" w:pos="567"/>
          <w:tab w:val="left" w:pos="1701"/>
        </w:tabs>
        <w:spacing w:after="0"/>
        <w:ind w:left="567" w:right="567" w:firstLine="567"/>
        <w:jc w:val="both"/>
        <w:rPr>
          <w:rFonts w:eastAsia="Times New Roman" w:cs="Times New Roman"/>
          <w:spacing w:val="-4"/>
          <w:sz w:val="18"/>
          <w:szCs w:val="18"/>
          <w:lang w:val="es-ES_tradnl"/>
        </w:rPr>
      </w:pPr>
      <w:bookmarkStart w:id="5" w:name="_Hlk178544719"/>
      <w:r w:rsidRPr="00C9252B">
        <w:rPr>
          <w:sz w:val="18"/>
          <w:szCs w:val="18"/>
          <w:lang w:val="es-ES_tradnl"/>
        </w:rPr>
        <w:t>Motivos fitosanitarios que impidan o retrasen la presentación de material vegetal</w:t>
      </w:r>
      <w:bookmarkEnd w:id="5"/>
      <w:r w:rsidRPr="00C9252B">
        <w:rPr>
          <w:sz w:val="18"/>
          <w:szCs w:val="18"/>
          <w:lang w:val="es-ES_tradnl"/>
        </w:rPr>
        <w:t>: añadir información en el documento</w:t>
      </w:r>
      <w:r w:rsidR="00A004B4" w:rsidRPr="00FC3097">
        <w:rPr>
          <w:sz w:val="18"/>
          <w:szCs w:val="18"/>
          <w:lang w:val="es-ES_tradnl"/>
        </w:rPr>
        <w:t> </w:t>
      </w:r>
      <w:r w:rsidRPr="00FC3097">
        <w:rPr>
          <w:sz w:val="18"/>
          <w:szCs w:val="18"/>
          <w:lang w:val="es-ES_tradnl"/>
        </w:rPr>
        <w:t>UPOV/INF/15 “Orientación para los miembros de la</w:t>
      </w:r>
      <w:r w:rsidR="00A004B4" w:rsidRPr="00FC3097">
        <w:rPr>
          <w:sz w:val="18"/>
          <w:szCs w:val="18"/>
          <w:lang w:val="es-ES_tradnl"/>
        </w:rPr>
        <w:t> </w:t>
      </w:r>
      <w:r w:rsidRPr="00FC3097">
        <w:rPr>
          <w:sz w:val="18"/>
          <w:szCs w:val="18"/>
          <w:lang w:val="es-ES_tradnl"/>
        </w:rPr>
        <w:t>UPOV” a fin de proponer que se considere el uso de informes de examen</w:t>
      </w:r>
      <w:r w:rsidR="00A004B4" w:rsidRPr="00FC3097">
        <w:rPr>
          <w:sz w:val="18"/>
          <w:szCs w:val="18"/>
          <w:lang w:val="es-ES_tradnl"/>
        </w:rPr>
        <w:t> </w:t>
      </w:r>
      <w:r w:rsidRPr="00FC3097">
        <w:rPr>
          <w:sz w:val="18"/>
          <w:szCs w:val="18"/>
          <w:lang w:val="es-ES_tradnl"/>
        </w:rPr>
        <w:t>DHE de otros miembros de la</w:t>
      </w:r>
      <w:r w:rsidR="00A004B4" w:rsidRPr="00FC3097">
        <w:rPr>
          <w:sz w:val="18"/>
          <w:szCs w:val="18"/>
          <w:lang w:val="es-ES_tradnl"/>
        </w:rPr>
        <w:t> </w:t>
      </w:r>
      <w:r w:rsidRPr="00FC3097">
        <w:rPr>
          <w:sz w:val="18"/>
          <w:szCs w:val="18"/>
          <w:lang w:val="es-ES_tradnl"/>
        </w:rPr>
        <w:t>UPOV cuando haya motivos fitosanitarios que impidan o retrasen la presentación de material vegetal; y</w:t>
      </w:r>
    </w:p>
    <w:p w14:paraId="2553F32C" w14:textId="77777777" w:rsidR="00200402" w:rsidRPr="00FC3097" w:rsidRDefault="00200402" w:rsidP="00A44F87">
      <w:pPr>
        <w:pStyle w:val="ListParagraph"/>
        <w:tabs>
          <w:tab w:val="left" w:pos="1701"/>
        </w:tabs>
        <w:spacing w:after="0"/>
        <w:ind w:left="567" w:right="567" w:firstLine="567"/>
        <w:jc w:val="both"/>
        <w:rPr>
          <w:sz w:val="18"/>
          <w:szCs w:val="20"/>
          <w:lang w:val="es-ES_tradnl"/>
        </w:rPr>
      </w:pPr>
    </w:p>
    <w:p w14:paraId="20A49EC0" w14:textId="0A00CC15" w:rsidR="00200402" w:rsidRPr="00FC3097" w:rsidRDefault="00200402" w:rsidP="00A44F87">
      <w:pPr>
        <w:pStyle w:val="ListParagraph"/>
        <w:numPr>
          <w:ilvl w:val="0"/>
          <w:numId w:val="1"/>
        </w:numPr>
        <w:tabs>
          <w:tab w:val="left" w:pos="1701"/>
        </w:tabs>
        <w:spacing w:after="0"/>
        <w:ind w:left="567" w:right="567" w:firstLine="567"/>
        <w:jc w:val="both"/>
        <w:rPr>
          <w:sz w:val="18"/>
          <w:szCs w:val="20"/>
          <w:lang w:val="es-ES_tradnl"/>
        </w:rPr>
      </w:pPr>
      <w:r w:rsidRPr="00FC3097">
        <w:rPr>
          <w:sz w:val="18"/>
          <w:szCs w:val="20"/>
          <w:lang w:val="es-ES_tradnl"/>
        </w:rPr>
        <w:lastRenderedPageBreak/>
        <w:t xml:space="preserve">Poner a disposición más información sobre los preparativos para los exámenes en las instalaciones de los obtentores: </w:t>
      </w:r>
    </w:p>
    <w:p w14:paraId="5AFA36AB" w14:textId="77777777" w:rsidR="00200402" w:rsidRPr="00FC3097" w:rsidRDefault="00200402" w:rsidP="00A44F87">
      <w:pPr>
        <w:pStyle w:val="ListParagraph"/>
        <w:tabs>
          <w:tab w:val="left" w:pos="1418"/>
        </w:tabs>
        <w:spacing w:after="0"/>
        <w:ind w:left="851" w:right="567"/>
        <w:jc w:val="both"/>
        <w:rPr>
          <w:sz w:val="18"/>
          <w:szCs w:val="20"/>
          <w:lang w:val="es-ES_tradnl"/>
        </w:rPr>
      </w:pPr>
    </w:p>
    <w:p w14:paraId="666AF554" w14:textId="760A704D" w:rsidR="00200402" w:rsidRPr="00FC3097" w:rsidRDefault="00200402" w:rsidP="00980A6E">
      <w:pPr>
        <w:pStyle w:val="ListParagraph"/>
        <w:numPr>
          <w:ilvl w:val="1"/>
          <w:numId w:val="2"/>
        </w:numPr>
        <w:tabs>
          <w:tab w:val="left" w:pos="1701"/>
        </w:tabs>
        <w:ind w:left="1134" w:right="567" w:firstLine="567"/>
        <w:jc w:val="both"/>
        <w:rPr>
          <w:sz w:val="18"/>
          <w:szCs w:val="20"/>
          <w:lang w:val="es-ES_tradnl"/>
        </w:rPr>
      </w:pPr>
      <w:r w:rsidRPr="00FC3097">
        <w:rPr>
          <w:sz w:val="18"/>
          <w:szCs w:val="20"/>
          <w:lang w:val="es-ES_tradnl"/>
        </w:rPr>
        <w:t>La autoridad encargada de conceder derechos de obtentor es siempre la que especifica los preparativos y toma las decisiones sobre</w:t>
      </w:r>
      <w:r w:rsidR="00A004B4" w:rsidRPr="00FC3097">
        <w:rPr>
          <w:sz w:val="18"/>
          <w:szCs w:val="20"/>
          <w:lang w:val="es-ES_tradnl"/>
        </w:rPr>
        <w:t> </w:t>
      </w:r>
      <w:r w:rsidRPr="00FC3097">
        <w:rPr>
          <w:sz w:val="18"/>
          <w:szCs w:val="20"/>
          <w:lang w:val="es-ES_tradnl"/>
        </w:rPr>
        <w:t>DHE;</w:t>
      </w:r>
    </w:p>
    <w:p w14:paraId="30527F98" w14:textId="77777777" w:rsidR="00200402" w:rsidRPr="00FC3097" w:rsidRDefault="00200402" w:rsidP="00980A6E">
      <w:pPr>
        <w:pStyle w:val="ListParagraph"/>
        <w:tabs>
          <w:tab w:val="left" w:pos="1418"/>
        </w:tabs>
        <w:ind w:left="1134" w:right="567" w:firstLine="567"/>
        <w:jc w:val="both"/>
        <w:rPr>
          <w:sz w:val="18"/>
          <w:szCs w:val="20"/>
          <w:lang w:val="es-ES_tradnl"/>
        </w:rPr>
      </w:pPr>
    </w:p>
    <w:p w14:paraId="67F5A928" w14:textId="09833EF9" w:rsidR="00200402" w:rsidRPr="00FC3097" w:rsidRDefault="00200402" w:rsidP="00980A6E">
      <w:pPr>
        <w:pStyle w:val="ListParagraph"/>
        <w:numPr>
          <w:ilvl w:val="1"/>
          <w:numId w:val="2"/>
        </w:numPr>
        <w:tabs>
          <w:tab w:val="left" w:pos="1418"/>
        </w:tabs>
        <w:spacing w:after="0"/>
        <w:ind w:left="1134" w:right="567" w:firstLine="567"/>
        <w:jc w:val="both"/>
        <w:rPr>
          <w:sz w:val="18"/>
          <w:szCs w:val="20"/>
          <w:lang w:val="es-ES_tradnl"/>
        </w:rPr>
      </w:pPr>
      <w:r w:rsidRPr="00FC3097">
        <w:rPr>
          <w:sz w:val="18"/>
          <w:szCs w:val="20"/>
          <w:lang w:val="es-ES_tradnl"/>
        </w:rPr>
        <w:t>Mantener la independencia del examen</w:t>
      </w:r>
      <w:r w:rsidR="00A004B4" w:rsidRPr="00FC3097">
        <w:rPr>
          <w:sz w:val="18"/>
          <w:szCs w:val="20"/>
          <w:lang w:val="es-ES_tradnl"/>
        </w:rPr>
        <w:t> </w:t>
      </w:r>
      <w:r w:rsidRPr="00FC3097">
        <w:rPr>
          <w:sz w:val="18"/>
          <w:szCs w:val="20"/>
          <w:lang w:val="es-ES_tradnl"/>
        </w:rPr>
        <w:t>DHE y evitar el conflicto de intereses;</w:t>
      </w:r>
    </w:p>
    <w:p w14:paraId="5667538C" w14:textId="77777777" w:rsidR="00200402" w:rsidRPr="00FC3097" w:rsidRDefault="00200402" w:rsidP="00980A6E">
      <w:pPr>
        <w:pStyle w:val="ListParagraph"/>
        <w:tabs>
          <w:tab w:val="left" w:pos="1418"/>
        </w:tabs>
        <w:spacing w:after="0"/>
        <w:ind w:left="1134" w:right="567" w:firstLine="567"/>
        <w:jc w:val="both"/>
        <w:rPr>
          <w:sz w:val="18"/>
          <w:szCs w:val="20"/>
          <w:lang w:val="es-ES_tradnl"/>
        </w:rPr>
      </w:pPr>
    </w:p>
    <w:p w14:paraId="54FD10E7" w14:textId="0B1399D2" w:rsidR="00200402" w:rsidRPr="00FC3097" w:rsidRDefault="00200402" w:rsidP="00980A6E">
      <w:pPr>
        <w:pStyle w:val="ListParagraph"/>
        <w:numPr>
          <w:ilvl w:val="1"/>
          <w:numId w:val="2"/>
        </w:numPr>
        <w:tabs>
          <w:tab w:val="left" w:pos="1418"/>
        </w:tabs>
        <w:spacing w:after="0"/>
        <w:ind w:left="1134" w:right="567" w:firstLine="567"/>
        <w:jc w:val="both"/>
        <w:rPr>
          <w:sz w:val="18"/>
          <w:szCs w:val="20"/>
          <w:lang w:val="es-ES_tradnl"/>
        </w:rPr>
      </w:pPr>
      <w:r w:rsidRPr="00FC3097">
        <w:rPr>
          <w:sz w:val="18"/>
          <w:szCs w:val="20"/>
          <w:lang w:val="es-ES_tradnl"/>
        </w:rPr>
        <w:t>Invitar a los encargados de formular políticas de los miembros de la</w:t>
      </w:r>
      <w:r w:rsidR="00A004B4" w:rsidRPr="00FC3097">
        <w:rPr>
          <w:sz w:val="18"/>
          <w:szCs w:val="20"/>
          <w:lang w:val="es-ES_tradnl"/>
        </w:rPr>
        <w:t> </w:t>
      </w:r>
      <w:r w:rsidRPr="00FC3097">
        <w:rPr>
          <w:sz w:val="18"/>
          <w:szCs w:val="20"/>
          <w:lang w:val="es-ES_tradnl"/>
        </w:rPr>
        <w:t>UPOV y a los observadores a participar en reuniones o seminarios en los miembros de la</w:t>
      </w:r>
      <w:r w:rsidR="00A004B4" w:rsidRPr="00FC3097">
        <w:rPr>
          <w:sz w:val="18"/>
          <w:szCs w:val="20"/>
          <w:lang w:val="es-ES_tradnl"/>
        </w:rPr>
        <w:t> </w:t>
      </w:r>
      <w:r w:rsidRPr="00FC3097">
        <w:rPr>
          <w:sz w:val="18"/>
          <w:szCs w:val="20"/>
          <w:lang w:val="es-ES_tradnl"/>
        </w:rPr>
        <w:t>UPOV que llevan a cabo exámenes</w:t>
      </w:r>
      <w:r w:rsidR="00A004B4" w:rsidRPr="00FC3097">
        <w:rPr>
          <w:sz w:val="18"/>
          <w:szCs w:val="20"/>
          <w:lang w:val="es-ES_tradnl"/>
        </w:rPr>
        <w:t> </w:t>
      </w:r>
      <w:r w:rsidRPr="00FC3097">
        <w:rPr>
          <w:sz w:val="18"/>
          <w:szCs w:val="20"/>
          <w:lang w:val="es-ES_tradnl"/>
        </w:rPr>
        <w:t>DHE en las instalaciones de los obtentores para facilitar el intercambio de información y brindar la oportunidad de visitar sus centros experimentales”.</w:t>
      </w:r>
    </w:p>
    <w:p w14:paraId="0B7E4F1A" w14:textId="77777777" w:rsidR="00200402" w:rsidRPr="00FC3097" w:rsidRDefault="00200402" w:rsidP="00200402">
      <w:pPr>
        <w:rPr>
          <w:lang w:val="es-ES_tradnl"/>
        </w:rPr>
      </w:pPr>
    </w:p>
    <w:p w14:paraId="046D919A" w14:textId="4BF72E35" w:rsidR="003E014A" w:rsidRPr="00FC3097" w:rsidRDefault="003E014A" w:rsidP="003E014A">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El</w:t>
      </w:r>
      <w:r w:rsidR="00A004B4" w:rsidRPr="00FC3097">
        <w:rPr>
          <w:lang w:val="es-ES_tradnl"/>
        </w:rPr>
        <w:t> </w:t>
      </w:r>
      <w:r w:rsidRPr="00FC3097">
        <w:rPr>
          <w:lang w:val="es-ES_tradnl"/>
        </w:rPr>
        <w:t>TC tomó nota de las novedades expuestas en el documento</w:t>
      </w:r>
      <w:r w:rsidR="00A004B4" w:rsidRPr="00FC3097">
        <w:rPr>
          <w:lang w:val="es-ES_tradnl"/>
        </w:rPr>
        <w:t> </w:t>
      </w:r>
      <w:r w:rsidRPr="00FC3097">
        <w:rPr>
          <w:lang w:val="es-ES_tradnl"/>
        </w:rPr>
        <w:t>SESSIONS/2023/4, incluida la encuesta a los miembros de la</w:t>
      </w:r>
      <w:r w:rsidR="00A004B4" w:rsidRPr="00FC3097">
        <w:rPr>
          <w:lang w:val="es-ES_tradnl"/>
        </w:rPr>
        <w:t> </w:t>
      </w:r>
      <w:r w:rsidRPr="00FC3097">
        <w:rPr>
          <w:lang w:val="es-ES_tradnl"/>
        </w:rPr>
        <w:t>Unión para obtener información sobre sus obstáculos de política o jurídicos que podrían impedir la cooperación internacional en materia de examen</w:t>
      </w:r>
      <w:r w:rsidR="00A004B4" w:rsidRPr="00FC3097">
        <w:rPr>
          <w:lang w:val="es-ES_tradnl"/>
        </w:rPr>
        <w:t> </w:t>
      </w:r>
      <w:r w:rsidRPr="00FC3097">
        <w:rPr>
          <w:lang w:val="es-ES_tradnl"/>
        </w:rPr>
        <w:t>DHE. En su octogésima sesión, el</w:t>
      </w:r>
      <w:r w:rsidR="00A004B4" w:rsidRPr="00FC3097">
        <w:rPr>
          <w:lang w:val="es-ES_tradnl"/>
        </w:rPr>
        <w:t> </w:t>
      </w:r>
      <w:r w:rsidRPr="00FC3097">
        <w:rPr>
          <w:lang w:val="es-ES_tradnl"/>
        </w:rPr>
        <w:t>TC tomó nota de que se invitaría al</w:t>
      </w:r>
      <w:r w:rsidR="00A004B4" w:rsidRPr="00FC3097">
        <w:rPr>
          <w:lang w:val="es-ES_tradnl"/>
        </w:rPr>
        <w:t> </w:t>
      </w:r>
      <w:r w:rsidRPr="00FC3097">
        <w:rPr>
          <w:lang w:val="es-ES_tradnl"/>
        </w:rPr>
        <w:t xml:space="preserve">CAJ a examinar el documento y las posibles medidas para </w:t>
      </w:r>
      <w:r w:rsidR="00481FC3">
        <w:rPr>
          <w:lang w:val="es-ES_tradnl"/>
        </w:rPr>
        <w:t>fomentar</w:t>
      </w:r>
      <w:r w:rsidRPr="00FC3097">
        <w:rPr>
          <w:lang w:val="es-ES_tradnl"/>
        </w:rPr>
        <w:t xml:space="preserve"> las oportunidades de cooperación internacional en el examen</w:t>
      </w:r>
      <w:r w:rsidR="00A004B4" w:rsidRPr="00FC3097">
        <w:rPr>
          <w:lang w:val="es-ES_tradnl"/>
        </w:rPr>
        <w:t> </w:t>
      </w:r>
      <w:r w:rsidRPr="00FC3097">
        <w:rPr>
          <w:lang w:val="es-ES_tradnl"/>
        </w:rPr>
        <w:t xml:space="preserve">DHE. </w:t>
      </w:r>
    </w:p>
    <w:p w14:paraId="005B7D10" w14:textId="77777777" w:rsidR="00200402" w:rsidRPr="00FC3097" w:rsidRDefault="00200402" w:rsidP="00980A6E">
      <w:pPr>
        <w:rPr>
          <w:lang w:val="es-ES_tradnl"/>
        </w:rPr>
      </w:pPr>
    </w:p>
    <w:p w14:paraId="50D97626" w14:textId="371ED422" w:rsidR="00200402" w:rsidRPr="00FC3097" w:rsidRDefault="00200402" w:rsidP="00200402">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El</w:t>
      </w:r>
      <w:r w:rsidR="00A004B4" w:rsidRPr="00FC3097">
        <w:rPr>
          <w:lang w:val="es-ES_tradnl"/>
        </w:rPr>
        <w:t> </w:t>
      </w:r>
      <w:r w:rsidRPr="00FC3097">
        <w:rPr>
          <w:lang w:val="es-ES_tradnl"/>
        </w:rPr>
        <w:t>TC acordó respaldar el intercambio de información de los miembros de la</w:t>
      </w:r>
      <w:r w:rsidR="00A004B4" w:rsidRPr="00FC3097">
        <w:rPr>
          <w:lang w:val="es-ES_tradnl"/>
        </w:rPr>
        <w:t> </w:t>
      </w:r>
      <w:r w:rsidRPr="00FC3097">
        <w:rPr>
          <w:lang w:val="es-ES_tradnl"/>
        </w:rPr>
        <w:t>UPOV sobre prácticas en el examen</w:t>
      </w:r>
      <w:r w:rsidR="00A004B4" w:rsidRPr="00FC3097">
        <w:rPr>
          <w:lang w:val="es-ES_tradnl"/>
        </w:rPr>
        <w:t> </w:t>
      </w:r>
      <w:r w:rsidRPr="00FC3097">
        <w:rPr>
          <w:lang w:val="es-ES_tradnl"/>
        </w:rPr>
        <w:t xml:space="preserve">DHE, con actividades para debatir acerca del efecto del medio ambiente en la expresión de caracteres y las colecciones de variedades. </w:t>
      </w:r>
    </w:p>
    <w:p w14:paraId="4B44455E" w14:textId="77777777" w:rsidR="00200402" w:rsidRPr="00FC3097" w:rsidRDefault="00200402" w:rsidP="00200402">
      <w:pPr>
        <w:rPr>
          <w:lang w:val="es-ES_tradnl"/>
        </w:rPr>
      </w:pPr>
    </w:p>
    <w:p w14:paraId="152600FE" w14:textId="5117FDA5" w:rsidR="00200402" w:rsidRPr="00FC3097" w:rsidRDefault="00200402" w:rsidP="00200402">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En su quincuagésima novena sesión, el</w:t>
      </w:r>
      <w:r w:rsidR="00A004B4" w:rsidRPr="00FC3097">
        <w:rPr>
          <w:lang w:val="es-ES_tradnl"/>
        </w:rPr>
        <w:t> </w:t>
      </w:r>
      <w:r w:rsidRPr="00FC3097">
        <w:rPr>
          <w:lang w:val="es-ES_tradnl"/>
        </w:rPr>
        <w:t>TC acordó que existía la oportunidad de incrementar el intercambio de información, incluida la posibilidad de organizar actividades para discutir los preparativos para las exámenes en las instalaciones de los obtentores, los criterios de independencia y la forma de evitar conflictos de intereses.</w:t>
      </w:r>
    </w:p>
    <w:p w14:paraId="6E209F21" w14:textId="77777777" w:rsidR="000C48DA" w:rsidRPr="00FC3097" w:rsidRDefault="000C48DA" w:rsidP="005D4A31">
      <w:pPr>
        <w:jc w:val="left"/>
        <w:rPr>
          <w:lang w:val="es-ES_tradnl"/>
        </w:rPr>
      </w:pPr>
    </w:p>
    <w:p w14:paraId="108C9D1F" w14:textId="410E60A4" w:rsidR="0024049F" w:rsidRPr="00FC3097" w:rsidRDefault="005D4A31" w:rsidP="005D4A31">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En su octogésima sesión, el</w:t>
      </w:r>
      <w:r w:rsidR="00A004B4" w:rsidRPr="00FC3097">
        <w:rPr>
          <w:lang w:val="es-ES_tradnl"/>
        </w:rPr>
        <w:t> </w:t>
      </w:r>
      <w:r w:rsidRPr="00FC3097">
        <w:rPr>
          <w:lang w:val="es-ES_tradnl"/>
        </w:rPr>
        <w:t>CAJ tomó nota de las respuestas a la encuesta de los miembros de la</w:t>
      </w:r>
      <w:r w:rsidR="00A004B4" w:rsidRPr="00FC3097">
        <w:rPr>
          <w:lang w:val="es-ES_tradnl"/>
        </w:rPr>
        <w:t> </w:t>
      </w:r>
      <w:r w:rsidRPr="00FC3097">
        <w:rPr>
          <w:lang w:val="es-ES_tradnl"/>
        </w:rPr>
        <w:t>Unión sobre las políticas o los obstáculos jurídicos que podrían impedir la cooperación internacional en el examen</w:t>
      </w:r>
      <w:r w:rsidR="00A004B4" w:rsidRPr="00FC3097">
        <w:rPr>
          <w:lang w:val="es-ES_tradnl"/>
        </w:rPr>
        <w:t> </w:t>
      </w:r>
      <w:r w:rsidRPr="00FC3097">
        <w:rPr>
          <w:lang w:val="es-ES_tradnl"/>
        </w:rPr>
        <w:t>DHE, tal como se presentan en el</w:t>
      </w:r>
      <w:r w:rsidR="00A004B4" w:rsidRPr="00FC3097">
        <w:rPr>
          <w:lang w:val="es-ES_tradnl"/>
        </w:rPr>
        <w:t> </w:t>
      </w:r>
      <w:r w:rsidRPr="00FC3097">
        <w:rPr>
          <w:lang w:val="es-ES_tradnl"/>
        </w:rPr>
        <w:t>Anexo</w:t>
      </w:r>
      <w:r w:rsidR="00A004B4" w:rsidRPr="00FC3097">
        <w:rPr>
          <w:lang w:val="es-ES_tradnl"/>
        </w:rPr>
        <w:t> </w:t>
      </w:r>
      <w:r w:rsidRPr="00FC3097">
        <w:rPr>
          <w:lang w:val="es-ES_tradnl"/>
        </w:rPr>
        <w:t>II del documento</w:t>
      </w:r>
      <w:r w:rsidR="00A004B4" w:rsidRPr="00FC3097">
        <w:rPr>
          <w:lang w:val="es-ES_tradnl"/>
        </w:rPr>
        <w:t> </w:t>
      </w:r>
      <w:r w:rsidRPr="00FC3097">
        <w:rPr>
          <w:lang w:val="es-ES_tradnl"/>
        </w:rPr>
        <w:t>SESSIONS/2023/4. El</w:t>
      </w:r>
      <w:r w:rsidR="00A004B4" w:rsidRPr="00FC3097">
        <w:rPr>
          <w:lang w:val="es-ES_tradnl"/>
        </w:rPr>
        <w:t> </w:t>
      </w:r>
      <w:r w:rsidRPr="00FC3097">
        <w:rPr>
          <w:lang w:val="es-ES_tradnl"/>
        </w:rPr>
        <w:t>CAJ también acordó invitar a la</w:t>
      </w:r>
      <w:r w:rsidR="00A004B4" w:rsidRPr="00FC3097">
        <w:rPr>
          <w:lang w:val="es-ES_tradnl"/>
        </w:rPr>
        <w:t> </w:t>
      </w:r>
      <w:r w:rsidRPr="00FC3097">
        <w:rPr>
          <w:lang w:val="es-ES_tradnl"/>
        </w:rPr>
        <w:t>Oficina de la</w:t>
      </w:r>
      <w:r w:rsidR="00A004B4" w:rsidRPr="00FC3097">
        <w:rPr>
          <w:lang w:val="es-ES_tradnl"/>
        </w:rPr>
        <w:t> </w:t>
      </w:r>
      <w:r w:rsidRPr="00FC3097">
        <w:rPr>
          <w:lang w:val="es-ES_tradnl"/>
        </w:rPr>
        <w:t xml:space="preserve">Unión a preparar un documento para su octogésima primera sesión a fin de proseguir los debates sobre posibles medidas para </w:t>
      </w:r>
      <w:r w:rsidR="00481FC3">
        <w:rPr>
          <w:lang w:val="es-ES_tradnl"/>
        </w:rPr>
        <w:t>foment</w:t>
      </w:r>
      <w:r w:rsidRPr="00FC3097">
        <w:rPr>
          <w:lang w:val="es-ES_tradnl"/>
        </w:rPr>
        <w:t>ar las oportunidades de cooperación internacional en el examen</w:t>
      </w:r>
      <w:r w:rsidR="00A004B4" w:rsidRPr="00FC3097">
        <w:rPr>
          <w:lang w:val="es-ES_tradnl"/>
        </w:rPr>
        <w:t> </w:t>
      </w:r>
      <w:r w:rsidRPr="00FC3097">
        <w:rPr>
          <w:lang w:val="es-ES_tradnl"/>
        </w:rPr>
        <w:t>DHE.</w:t>
      </w:r>
    </w:p>
    <w:p w14:paraId="14BCE243" w14:textId="77777777" w:rsidR="0024049F" w:rsidRPr="00FC3097" w:rsidRDefault="0024049F" w:rsidP="005D4A31">
      <w:pPr>
        <w:rPr>
          <w:lang w:val="es-ES_tradnl"/>
        </w:rPr>
      </w:pPr>
    </w:p>
    <w:p w14:paraId="4069C7EA" w14:textId="682475D6" w:rsidR="005D4A31" w:rsidRPr="00FC3097" w:rsidRDefault="0024049F" w:rsidP="005D4A31">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El</w:t>
      </w:r>
      <w:r w:rsidR="00A004B4" w:rsidRPr="00FC3097">
        <w:rPr>
          <w:lang w:val="es-ES_tradnl"/>
        </w:rPr>
        <w:t> </w:t>
      </w:r>
      <w:r w:rsidRPr="00FC3097">
        <w:rPr>
          <w:lang w:val="es-ES_tradnl"/>
        </w:rPr>
        <w:t>CAJ acordó que el documento mencionado también contendría el acuerdo de organizar un seminario sobre cooperación con los obtentores en el examen</w:t>
      </w:r>
      <w:r w:rsidR="00A004B4" w:rsidRPr="00FC3097">
        <w:rPr>
          <w:lang w:val="es-ES_tradnl"/>
        </w:rPr>
        <w:t> </w:t>
      </w:r>
      <w:r w:rsidRPr="00FC3097">
        <w:rPr>
          <w:lang w:val="es-ES_tradnl"/>
        </w:rPr>
        <w:t>DHE. Asimismo, se acordó que en el documento se incluirían propuestas sobre el contenido y la organización del seminario. El</w:t>
      </w:r>
      <w:r w:rsidR="00A004B4" w:rsidRPr="00FC3097">
        <w:rPr>
          <w:lang w:val="es-ES_tradnl"/>
        </w:rPr>
        <w:t> </w:t>
      </w:r>
      <w:r w:rsidRPr="00FC3097">
        <w:rPr>
          <w:lang w:val="es-ES_tradnl"/>
        </w:rPr>
        <w:t>CAJ acordó además que la</w:t>
      </w:r>
      <w:r w:rsidR="00A004B4" w:rsidRPr="00FC3097">
        <w:rPr>
          <w:lang w:val="es-ES_tradnl"/>
        </w:rPr>
        <w:t> </w:t>
      </w:r>
      <w:r w:rsidRPr="00FC3097">
        <w:rPr>
          <w:lang w:val="es-ES_tradnl"/>
        </w:rPr>
        <w:t>Oficina de la</w:t>
      </w:r>
      <w:r w:rsidR="00A004B4" w:rsidRPr="00FC3097">
        <w:rPr>
          <w:lang w:val="es-ES_tradnl"/>
        </w:rPr>
        <w:t> </w:t>
      </w:r>
      <w:r w:rsidRPr="00FC3097">
        <w:rPr>
          <w:lang w:val="es-ES_tradnl"/>
        </w:rPr>
        <w:t>Unión prepararía las propuestas para el seminario en consulta con Australia, Brasil, Canadá, la</w:t>
      </w:r>
      <w:r w:rsidR="00A004B4" w:rsidRPr="00FC3097">
        <w:rPr>
          <w:lang w:val="es-ES_tradnl"/>
        </w:rPr>
        <w:t> </w:t>
      </w:r>
      <w:r w:rsidRPr="00FC3097">
        <w:rPr>
          <w:lang w:val="es-ES_tradnl"/>
        </w:rPr>
        <w:t>Unión</w:t>
      </w:r>
      <w:r w:rsidR="00A004B4" w:rsidRPr="00FC3097">
        <w:rPr>
          <w:lang w:val="es-ES_tradnl"/>
        </w:rPr>
        <w:t> </w:t>
      </w:r>
      <w:r w:rsidRPr="00FC3097">
        <w:rPr>
          <w:lang w:val="es-ES_tradnl"/>
        </w:rPr>
        <w:t>Europea, Japón, Nueva</w:t>
      </w:r>
      <w:r w:rsidR="00A004B4" w:rsidRPr="00FC3097">
        <w:rPr>
          <w:lang w:val="es-ES_tradnl"/>
        </w:rPr>
        <w:t> </w:t>
      </w:r>
      <w:r w:rsidRPr="00FC3097">
        <w:rPr>
          <w:lang w:val="es-ES_tradnl"/>
        </w:rPr>
        <w:t>Zelandia y los Estados</w:t>
      </w:r>
      <w:r w:rsidR="00A004B4" w:rsidRPr="00FC3097">
        <w:rPr>
          <w:lang w:val="es-ES_tradnl"/>
        </w:rPr>
        <w:t> </w:t>
      </w:r>
      <w:r w:rsidRPr="00FC3097">
        <w:rPr>
          <w:lang w:val="es-ES_tradnl"/>
        </w:rPr>
        <w:t>Unidos de</w:t>
      </w:r>
      <w:r w:rsidR="00A004B4" w:rsidRPr="00FC3097">
        <w:rPr>
          <w:lang w:val="es-ES_tradnl"/>
        </w:rPr>
        <w:t> </w:t>
      </w:r>
      <w:r w:rsidRPr="00FC3097">
        <w:rPr>
          <w:lang w:val="es-ES_tradnl"/>
        </w:rPr>
        <w:t>América, para su examen en su octogésima primera sesión.</w:t>
      </w:r>
    </w:p>
    <w:p w14:paraId="55814DC4" w14:textId="77777777" w:rsidR="0015111E" w:rsidRPr="00FC3097" w:rsidRDefault="0015111E" w:rsidP="003601A4">
      <w:pPr>
        <w:rPr>
          <w:lang w:val="es-ES_tradnl"/>
        </w:rPr>
      </w:pPr>
    </w:p>
    <w:p w14:paraId="49286272" w14:textId="77777777" w:rsidR="0015111E" w:rsidRPr="00FC3097" w:rsidRDefault="0015111E" w:rsidP="003601A4">
      <w:pPr>
        <w:rPr>
          <w:lang w:val="es-ES_tradnl"/>
        </w:rPr>
      </w:pPr>
    </w:p>
    <w:p w14:paraId="503A228E" w14:textId="23F210DB" w:rsidR="0015111E" w:rsidRPr="00FC3097" w:rsidRDefault="00481FC3" w:rsidP="00465CBD">
      <w:pPr>
        <w:pStyle w:val="Heading1"/>
        <w:rPr>
          <w:lang w:val="es-ES_tradnl"/>
        </w:rPr>
      </w:pPr>
      <w:bookmarkStart w:id="6" w:name="_Toc179822791"/>
      <w:r>
        <w:rPr>
          <w:lang w:val="es-ES_tradnl"/>
        </w:rPr>
        <w:t>FOMENTO</w:t>
      </w:r>
      <w:r w:rsidR="0046181C" w:rsidRPr="00FC3097">
        <w:rPr>
          <w:lang w:val="es-ES_tradnl"/>
        </w:rPr>
        <w:t xml:space="preserve"> de las oportunidades de cooperación internacional</w:t>
      </w:r>
      <w:bookmarkEnd w:id="6"/>
    </w:p>
    <w:p w14:paraId="29062D5B" w14:textId="77777777" w:rsidR="002B4F47" w:rsidRPr="00FC3097" w:rsidRDefault="002B4F47" w:rsidP="003601A4">
      <w:pPr>
        <w:rPr>
          <w:lang w:val="es-ES_tradnl"/>
        </w:rPr>
      </w:pPr>
    </w:p>
    <w:p w14:paraId="47D6B51B" w14:textId="24F76D76" w:rsidR="008C066D" w:rsidRPr="00FC3097" w:rsidRDefault="00844877" w:rsidP="008C066D">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 xml:space="preserve">Las medidas para </w:t>
      </w:r>
      <w:r w:rsidR="00481FC3">
        <w:rPr>
          <w:lang w:val="es-ES_tradnl"/>
        </w:rPr>
        <w:t>fomentar</w:t>
      </w:r>
      <w:r w:rsidRPr="00FC3097">
        <w:rPr>
          <w:lang w:val="es-ES_tradnl"/>
        </w:rPr>
        <w:t xml:space="preserve"> las oportunidades de cooperación internacional examinadas por el</w:t>
      </w:r>
      <w:r w:rsidR="00A004B4" w:rsidRPr="00FC3097">
        <w:rPr>
          <w:lang w:val="es-ES_tradnl"/>
        </w:rPr>
        <w:t> </w:t>
      </w:r>
      <w:r w:rsidRPr="00FC3097">
        <w:rPr>
          <w:lang w:val="es-ES_tradnl"/>
        </w:rPr>
        <w:t>TC y el</w:t>
      </w:r>
      <w:r w:rsidR="00A004B4" w:rsidRPr="00FC3097">
        <w:rPr>
          <w:lang w:val="es-ES_tradnl"/>
        </w:rPr>
        <w:t> </w:t>
      </w:r>
      <w:r w:rsidRPr="00FC3097">
        <w:rPr>
          <w:lang w:val="es-ES_tradnl"/>
        </w:rPr>
        <w:t>CAJ en sus sesiones de</w:t>
      </w:r>
      <w:r w:rsidR="00A004B4" w:rsidRPr="00FC3097">
        <w:rPr>
          <w:lang w:val="es-ES_tradnl"/>
        </w:rPr>
        <w:t> </w:t>
      </w:r>
      <w:r w:rsidRPr="00FC3097">
        <w:rPr>
          <w:lang w:val="es-ES_tradnl"/>
        </w:rPr>
        <w:t xml:space="preserve">2023 eran más bien de carácter general. Podrían organizarse distintas formas de seguimiento para ayudar a los miembros a tomar decisiones políticas sobre las condiciones en las que están dispuestos a </w:t>
      </w:r>
      <w:r w:rsidR="00481FC3">
        <w:rPr>
          <w:lang w:val="es-ES_tradnl"/>
        </w:rPr>
        <w:t>foment</w:t>
      </w:r>
      <w:r w:rsidRPr="00FC3097">
        <w:rPr>
          <w:lang w:val="es-ES_tradnl"/>
        </w:rPr>
        <w:t xml:space="preserve">ar la cooperación. Por ejemplo, podrían celebrarse debates en seminarios web para promover la cooperación y abordar los posibles obstáculos. </w:t>
      </w:r>
    </w:p>
    <w:p w14:paraId="02B0B8FB" w14:textId="77777777" w:rsidR="00AB3B06" w:rsidRPr="00FC3097" w:rsidRDefault="00AB3B06" w:rsidP="002B4F47">
      <w:pPr>
        <w:rPr>
          <w:lang w:val="es-ES_tradnl"/>
        </w:rPr>
      </w:pPr>
    </w:p>
    <w:p w14:paraId="39EAEBAA" w14:textId="77777777" w:rsidR="00980A6E" w:rsidRPr="00FC3097" w:rsidRDefault="00642F76" w:rsidP="00980A6E">
      <w:pPr>
        <w:pStyle w:val="Heading2"/>
        <w:rPr>
          <w:lang w:val="es-ES_tradnl"/>
        </w:rPr>
      </w:pPr>
      <w:bookmarkStart w:id="7" w:name="_Toc179822792"/>
      <w:r w:rsidRPr="00FC3097">
        <w:rPr>
          <w:lang w:val="es-ES_tradnl"/>
        </w:rPr>
        <w:t>a)</w:t>
      </w:r>
      <w:r w:rsidRPr="00FC3097">
        <w:rPr>
          <w:lang w:val="es-ES_tradnl"/>
        </w:rPr>
        <w:tab/>
        <w:t>“Efecto del medio ambiente en la expresión de los caracteres”</w:t>
      </w:r>
      <w:bookmarkEnd w:id="7"/>
    </w:p>
    <w:p w14:paraId="4C53C6DF" w14:textId="61AD1669" w:rsidR="00642F76" w:rsidRPr="00FC3097" w:rsidRDefault="00642F76" w:rsidP="00980A6E">
      <w:pPr>
        <w:pStyle w:val="Heading2"/>
        <w:rPr>
          <w:lang w:val="es-ES_tradnl"/>
        </w:rPr>
      </w:pPr>
      <w:bookmarkStart w:id="8" w:name="_Toc179822793"/>
      <w:r w:rsidRPr="00FC3097">
        <w:rPr>
          <w:lang w:val="es-ES_tradnl"/>
        </w:rPr>
        <w:t>b)</w:t>
      </w:r>
      <w:r w:rsidRPr="00FC3097">
        <w:rPr>
          <w:lang w:val="es-ES_tradnl"/>
        </w:rPr>
        <w:tab/>
        <w:t>“La integridad y pertinencia de las colecciones de variedades”</w:t>
      </w:r>
      <w:bookmarkEnd w:id="8"/>
    </w:p>
    <w:p w14:paraId="54AE0A37" w14:textId="77777777" w:rsidR="00642F76" w:rsidRPr="00FC3097" w:rsidRDefault="00642F76" w:rsidP="002B4F47">
      <w:pPr>
        <w:rPr>
          <w:lang w:val="es-ES_tradnl"/>
        </w:rPr>
      </w:pPr>
    </w:p>
    <w:p w14:paraId="36CB3222" w14:textId="655B3659" w:rsidR="006838D6" w:rsidRPr="00FC3097" w:rsidRDefault="00844877" w:rsidP="007D0F14">
      <w:pPr>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La</w:t>
      </w:r>
      <w:r w:rsidR="00A004B4" w:rsidRPr="00FC3097">
        <w:rPr>
          <w:lang w:val="es-ES_tradnl"/>
        </w:rPr>
        <w:t> </w:t>
      </w:r>
      <w:r w:rsidRPr="00FC3097">
        <w:rPr>
          <w:lang w:val="es-ES_tradnl"/>
        </w:rPr>
        <w:t>Oficina de la</w:t>
      </w:r>
      <w:r w:rsidR="00A004B4" w:rsidRPr="00FC3097">
        <w:rPr>
          <w:lang w:val="es-ES_tradnl"/>
        </w:rPr>
        <w:t> </w:t>
      </w:r>
      <w:r w:rsidRPr="00FC3097">
        <w:rPr>
          <w:lang w:val="es-ES_tradnl"/>
        </w:rPr>
        <w:t>Unión podría organizar seminarios web o actividades para que los miembros y observadores del</w:t>
      </w:r>
      <w:r w:rsidR="00A004B4" w:rsidRPr="00FC3097">
        <w:rPr>
          <w:lang w:val="es-ES_tradnl"/>
        </w:rPr>
        <w:t> </w:t>
      </w:r>
      <w:r w:rsidRPr="00FC3097">
        <w:rPr>
          <w:lang w:val="es-ES_tradnl"/>
        </w:rPr>
        <w:t>TC, el</w:t>
      </w:r>
      <w:r w:rsidR="00A004B4" w:rsidRPr="00FC3097">
        <w:rPr>
          <w:lang w:val="es-ES_tradnl"/>
        </w:rPr>
        <w:t> </w:t>
      </w:r>
      <w:r w:rsidRPr="00FC3097">
        <w:rPr>
          <w:lang w:val="es-ES_tradnl"/>
        </w:rPr>
        <w:t>CAJ y el</w:t>
      </w:r>
      <w:r w:rsidR="00A004B4" w:rsidRPr="00FC3097">
        <w:rPr>
          <w:lang w:val="es-ES_tradnl"/>
        </w:rPr>
        <w:t> </w:t>
      </w:r>
      <w:r w:rsidRPr="00FC3097">
        <w:rPr>
          <w:lang w:val="es-ES_tradnl"/>
        </w:rPr>
        <w:t>Consejo analizasen la manera en que el examen</w:t>
      </w:r>
      <w:r w:rsidR="00A004B4" w:rsidRPr="00FC3097">
        <w:rPr>
          <w:lang w:val="es-ES_tradnl"/>
        </w:rPr>
        <w:t> </w:t>
      </w:r>
      <w:r w:rsidRPr="00FC3097">
        <w:rPr>
          <w:lang w:val="es-ES_tradnl"/>
        </w:rPr>
        <w:t>DHE tiene en cuenta el efecto del medio ambiente en la expresión de los caracteres y la razón por la que no es necesario realizar exámenes</w:t>
      </w:r>
      <w:r w:rsidR="00A004B4" w:rsidRPr="00FC3097">
        <w:rPr>
          <w:lang w:val="es-ES_tradnl"/>
        </w:rPr>
        <w:t> </w:t>
      </w:r>
      <w:r w:rsidRPr="00FC3097">
        <w:rPr>
          <w:lang w:val="es-ES_tradnl"/>
        </w:rPr>
        <w:t>DHE en todos los miembros de la</w:t>
      </w:r>
      <w:r w:rsidR="00A004B4" w:rsidRPr="00FC3097">
        <w:rPr>
          <w:lang w:val="es-ES_tradnl"/>
        </w:rPr>
        <w:t> </w:t>
      </w:r>
      <w:r w:rsidRPr="00FC3097">
        <w:rPr>
          <w:lang w:val="es-ES_tradnl"/>
        </w:rPr>
        <w:t>UPOV. Podrían organizarse seminarios web o actividades similares para que los miembros de la</w:t>
      </w:r>
      <w:r w:rsidR="00A004B4" w:rsidRPr="00FC3097">
        <w:rPr>
          <w:lang w:val="es-ES_tradnl"/>
        </w:rPr>
        <w:t> </w:t>
      </w:r>
      <w:r w:rsidRPr="00FC3097">
        <w:rPr>
          <w:lang w:val="es-ES_tradnl"/>
        </w:rPr>
        <w:t>UPOV demostrasen la manera en que tratan los riesgos asociados a las colecciones incompletas de variedades notoriamente conocidas (documento</w:t>
      </w:r>
      <w:r w:rsidR="00A004B4" w:rsidRPr="00FC3097">
        <w:rPr>
          <w:lang w:val="es-ES_tradnl"/>
        </w:rPr>
        <w:t> </w:t>
      </w:r>
      <w:r w:rsidRPr="00FC3097">
        <w:rPr>
          <w:lang w:val="es-ES_tradnl"/>
        </w:rPr>
        <w:t>TGP/4 “Constitución y mantenimiento de las colecciones de variedades”).</w:t>
      </w:r>
    </w:p>
    <w:p w14:paraId="7CA94FE3" w14:textId="77777777" w:rsidR="00AB3B06" w:rsidRPr="00FC3097" w:rsidRDefault="00AB3B06" w:rsidP="003601A4">
      <w:pPr>
        <w:rPr>
          <w:lang w:val="es-ES_tradnl"/>
        </w:rPr>
      </w:pPr>
    </w:p>
    <w:p w14:paraId="541A6AE5" w14:textId="6EEE8FC5" w:rsidR="00FE15A8" w:rsidRPr="00FC3097" w:rsidRDefault="00BD44F0" w:rsidP="00C47BF3">
      <w:pPr>
        <w:pStyle w:val="Heading2"/>
        <w:rPr>
          <w:lang w:val="es-ES_tradnl"/>
        </w:rPr>
      </w:pPr>
      <w:bookmarkStart w:id="9" w:name="_Toc179822794"/>
      <w:r w:rsidRPr="00FC3097">
        <w:rPr>
          <w:lang w:val="es-ES_tradnl"/>
        </w:rPr>
        <w:lastRenderedPageBreak/>
        <w:t>c)</w:t>
      </w:r>
      <w:r w:rsidRPr="00FC3097">
        <w:rPr>
          <w:lang w:val="es-ES_tradnl"/>
        </w:rPr>
        <w:tab/>
        <w:t>“Revisar la sección</w:t>
      </w:r>
      <w:r w:rsidR="00A004B4" w:rsidRPr="00FC3097">
        <w:rPr>
          <w:lang w:val="es-ES_tradnl"/>
        </w:rPr>
        <w:t> </w:t>
      </w:r>
      <w:r w:rsidRPr="00FC3097">
        <w:rPr>
          <w:lang w:val="es-ES_tradnl"/>
        </w:rPr>
        <w:t>6 del documento</w:t>
      </w:r>
      <w:r w:rsidR="00A004B4" w:rsidRPr="00FC3097">
        <w:rPr>
          <w:lang w:val="es-ES_tradnl"/>
        </w:rPr>
        <w:t> </w:t>
      </w:r>
      <w:r w:rsidRPr="00FC3097">
        <w:rPr>
          <w:lang w:val="es-ES_tradnl"/>
        </w:rPr>
        <w:t>TGP/5 para brindar información sobre los elementos que los miembros de la</w:t>
      </w:r>
      <w:r w:rsidR="00A004B4" w:rsidRPr="00FC3097">
        <w:rPr>
          <w:lang w:val="es-ES_tradnl"/>
        </w:rPr>
        <w:t> </w:t>
      </w:r>
      <w:r w:rsidRPr="00FC3097">
        <w:rPr>
          <w:lang w:val="es-ES_tradnl"/>
        </w:rPr>
        <w:t>UPOV requieran para usar informes de los exámenes de otros miembros de la</w:t>
      </w:r>
      <w:r w:rsidR="00A004B4" w:rsidRPr="00FC3097">
        <w:rPr>
          <w:lang w:val="es-ES_tradnl"/>
        </w:rPr>
        <w:t> </w:t>
      </w:r>
      <w:r w:rsidRPr="00FC3097">
        <w:rPr>
          <w:lang w:val="es-ES_tradnl"/>
        </w:rPr>
        <w:t>UPOV”</w:t>
      </w:r>
      <w:bookmarkEnd w:id="9"/>
    </w:p>
    <w:p w14:paraId="77C8234C" w14:textId="77777777" w:rsidR="00FE15A8" w:rsidRPr="00FC3097" w:rsidRDefault="00FE15A8" w:rsidP="00C47BF3">
      <w:pPr>
        <w:keepNext/>
        <w:rPr>
          <w:lang w:val="es-ES_tradnl"/>
        </w:rPr>
      </w:pPr>
    </w:p>
    <w:p w14:paraId="72CA372E" w14:textId="0EF1B9E2" w:rsidR="006838D6" w:rsidRPr="00FC3097" w:rsidRDefault="00AA01B8" w:rsidP="00785FAD">
      <w:pPr>
        <w:tabs>
          <w:tab w:val="left" w:pos="567"/>
        </w:tabs>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En el documento</w:t>
      </w:r>
      <w:r w:rsidR="00A004B4" w:rsidRPr="00FC3097">
        <w:rPr>
          <w:lang w:val="es-ES_tradnl"/>
        </w:rPr>
        <w:t> </w:t>
      </w:r>
      <w:r w:rsidRPr="00FC3097">
        <w:rPr>
          <w:lang w:val="es-ES_tradnl"/>
        </w:rPr>
        <w:t>SESSIONS/2024/2 se presenta una propuesta de revisión de la sección</w:t>
      </w:r>
      <w:r w:rsidR="00A004B4" w:rsidRPr="00FC3097">
        <w:rPr>
          <w:lang w:val="es-ES_tradnl"/>
        </w:rPr>
        <w:t> </w:t>
      </w:r>
      <w:r w:rsidRPr="00FC3097">
        <w:rPr>
          <w:lang w:val="es-ES_tradnl"/>
        </w:rPr>
        <w:t>6 del documento</w:t>
      </w:r>
      <w:r w:rsidR="00A004B4" w:rsidRPr="00FC3097">
        <w:rPr>
          <w:lang w:val="es-ES_tradnl"/>
        </w:rPr>
        <w:t> </w:t>
      </w:r>
      <w:r w:rsidRPr="00FC3097">
        <w:rPr>
          <w:lang w:val="es-ES_tradnl"/>
        </w:rPr>
        <w:t>TGP/5 para brindar información sobre los elementos que los miembros de la</w:t>
      </w:r>
      <w:r w:rsidR="00A004B4" w:rsidRPr="00FC3097">
        <w:rPr>
          <w:lang w:val="es-ES_tradnl"/>
        </w:rPr>
        <w:t> </w:t>
      </w:r>
      <w:r w:rsidRPr="00FC3097">
        <w:rPr>
          <w:lang w:val="es-ES_tradnl"/>
        </w:rPr>
        <w:t>UPOV requieran para usar informes de los exámenes de otros miembros de la</w:t>
      </w:r>
      <w:r w:rsidR="00A004B4" w:rsidRPr="00FC3097">
        <w:rPr>
          <w:lang w:val="es-ES_tradnl"/>
        </w:rPr>
        <w:t> </w:t>
      </w:r>
      <w:r w:rsidRPr="00FC3097">
        <w:rPr>
          <w:lang w:val="es-ES_tradnl"/>
        </w:rPr>
        <w:t>UPOV.</w:t>
      </w:r>
    </w:p>
    <w:p w14:paraId="785574CC" w14:textId="77777777" w:rsidR="003601A4" w:rsidRPr="00FC3097" w:rsidRDefault="003601A4" w:rsidP="003601A4">
      <w:pPr>
        <w:rPr>
          <w:lang w:val="es-ES_tradnl"/>
        </w:rPr>
      </w:pPr>
    </w:p>
    <w:p w14:paraId="489947D9" w14:textId="4737765E" w:rsidR="00C435AD" w:rsidRPr="00FC3097" w:rsidRDefault="00C435AD" w:rsidP="00980A6E">
      <w:pPr>
        <w:pStyle w:val="Heading2"/>
        <w:rPr>
          <w:lang w:val="es-ES_tradnl"/>
        </w:rPr>
      </w:pPr>
      <w:bookmarkStart w:id="10" w:name="_Toc179822795"/>
      <w:r w:rsidRPr="00FC3097">
        <w:rPr>
          <w:lang w:val="es-ES_tradnl"/>
        </w:rPr>
        <w:t>d)</w:t>
      </w:r>
      <w:r w:rsidRPr="00FC3097">
        <w:rPr>
          <w:lang w:val="es-ES_tradnl"/>
        </w:rPr>
        <w:tab/>
        <w:t>“Motivos fitosanitarios que impidan o retrasen la presentación de material vegetal”</w:t>
      </w:r>
      <w:bookmarkEnd w:id="10"/>
    </w:p>
    <w:p w14:paraId="6DB55115" w14:textId="77777777" w:rsidR="00C435AD" w:rsidRPr="00FC3097" w:rsidRDefault="00C435AD" w:rsidP="003601A4">
      <w:pPr>
        <w:rPr>
          <w:lang w:val="es-ES_tradnl"/>
        </w:rPr>
      </w:pPr>
    </w:p>
    <w:p w14:paraId="20B06FFA" w14:textId="4A21501C" w:rsidR="003601A4" w:rsidRPr="00FC3097" w:rsidRDefault="00AA01B8" w:rsidP="007D0F14">
      <w:pPr>
        <w:tabs>
          <w:tab w:val="left" w:pos="567"/>
        </w:tabs>
        <w:rPr>
          <w:spacing w:val="-4"/>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En relación al punto d) sobre los motivos fitosanitarios que impidan o retrasen la presentación de material vegetal, una medida posible sería añadir información sobre este asunto en el documento</w:t>
      </w:r>
      <w:r w:rsidR="00982FCB" w:rsidRPr="00FC3097">
        <w:rPr>
          <w:lang w:val="es-ES_tradnl"/>
        </w:rPr>
        <w:t> </w:t>
      </w:r>
      <w:r w:rsidRPr="00FC3097">
        <w:rPr>
          <w:lang w:val="es-ES_tradnl"/>
        </w:rPr>
        <w:t>UPOV/INF/15 “Orientación para los miembros de la UPOV”. En muchos miembros de la</w:t>
      </w:r>
      <w:r w:rsidR="00982FCB" w:rsidRPr="00FC3097">
        <w:rPr>
          <w:lang w:val="es-ES_tradnl"/>
        </w:rPr>
        <w:t> </w:t>
      </w:r>
      <w:r w:rsidRPr="00FC3097">
        <w:rPr>
          <w:lang w:val="es-ES_tradnl"/>
        </w:rPr>
        <w:t>UPOV, no es la</w:t>
      </w:r>
      <w:r w:rsidR="00982FCB" w:rsidRPr="00FC3097">
        <w:rPr>
          <w:lang w:val="es-ES_tradnl"/>
        </w:rPr>
        <w:t> </w:t>
      </w:r>
      <w:r w:rsidRPr="00FC3097">
        <w:rPr>
          <w:lang w:val="es-ES_tradnl"/>
        </w:rPr>
        <w:t>Oficina de protección de las obtenciones vegetales la que se ocupa de las cuestiones fitosanitarias. Es importante que las autoridades con competencia en cuestiones fitosanitarias y las oficinas de protección de las obtenciones vegetales colaboren para respaldar la aplicación de sus correspondientes objetivos. Un primer paso podría ser la organización de un seminario web en el que los miembros interesados puedan abordar estos asuntos y proponer posibles modificaciones del documento</w:t>
      </w:r>
      <w:r w:rsidR="00982FCB" w:rsidRPr="00FC3097">
        <w:rPr>
          <w:lang w:val="es-ES_tradnl"/>
        </w:rPr>
        <w:t> </w:t>
      </w:r>
      <w:r w:rsidRPr="00FC3097">
        <w:rPr>
          <w:lang w:val="es-ES_tradnl"/>
        </w:rPr>
        <w:t>UPOV/INF/15. Podría debatirse sobre las condiciones en las que se puede usar un informe de examen</w:t>
      </w:r>
      <w:r w:rsidR="00982FCB" w:rsidRPr="00FC3097">
        <w:rPr>
          <w:lang w:val="es-ES_tradnl"/>
        </w:rPr>
        <w:t> </w:t>
      </w:r>
      <w:r w:rsidRPr="00FC3097">
        <w:rPr>
          <w:lang w:val="es-ES_tradnl"/>
        </w:rPr>
        <w:t>DHE de otro miembro de la</w:t>
      </w:r>
      <w:r w:rsidR="00982FCB" w:rsidRPr="00FC3097">
        <w:rPr>
          <w:lang w:val="es-ES_tradnl"/>
        </w:rPr>
        <w:t> </w:t>
      </w:r>
      <w:r w:rsidRPr="00FC3097">
        <w:rPr>
          <w:lang w:val="es-ES_tradnl"/>
        </w:rPr>
        <w:t>UPOV bajo estas circunstancias.</w:t>
      </w:r>
    </w:p>
    <w:p w14:paraId="0F468D89" w14:textId="77777777" w:rsidR="003601A4" w:rsidRPr="00FC3097" w:rsidRDefault="003601A4" w:rsidP="003601A4">
      <w:pPr>
        <w:rPr>
          <w:b/>
          <w:bCs/>
          <w:lang w:val="es-ES_tradnl"/>
        </w:rPr>
      </w:pPr>
    </w:p>
    <w:p w14:paraId="354F497F" w14:textId="77777777" w:rsidR="00AB3B06" w:rsidRPr="00FC3097" w:rsidRDefault="00AB3B06" w:rsidP="003601A4">
      <w:pPr>
        <w:rPr>
          <w:b/>
          <w:bCs/>
          <w:lang w:val="es-ES_tradnl"/>
        </w:rPr>
      </w:pPr>
    </w:p>
    <w:p w14:paraId="2B456ED7" w14:textId="57F77A8E" w:rsidR="00AB3B06" w:rsidRPr="00FC3097" w:rsidRDefault="00AB3B06" w:rsidP="007830F4">
      <w:pPr>
        <w:pStyle w:val="Heading2"/>
        <w:rPr>
          <w:lang w:val="es-ES_tradnl"/>
        </w:rPr>
      </w:pPr>
      <w:bookmarkStart w:id="11" w:name="_Toc179822796"/>
      <w:r w:rsidRPr="00FC3097">
        <w:rPr>
          <w:lang w:val="es-ES_tradnl"/>
        </w:rPr>
        <w:t>e)</w:t>
      </w:r>
      <w:r w:rsidRPr="00FC3097">
        <w:rPr>
          <w:lang w:val="es-ES_tradnl"/>
        </w:rPr>
        <w:tab/>
        <w:t>“Poner a disposición más información sobre los preparativos para los exámenes en las instalaciones de los obtentores”</w:t>
      </w:r>
      <w:bookmarkEnd w:id="11"/>
    </w:p>
    <w:p w14:paraId="0E9C9937" w14:textId="77777777" w:rsidR="00AB3B06" w:rsidRPr="00FC3097" w:rsidRDefault="00AB3B06" w:rsidP="00A44F87">
      <w:pPr>
        <w:keepNext/>
        <w:rPr>
          <w:b/>
          <w:bCs/>
          <w:lang w:val="es-ES_tradnl"/>
        </w:rPr>
      </w:pPr>
    </w:p>
    <w:p w14:paraId="269733B2" w14:textId="3DB7B9DC" w:rsidR="00F0734A" w:rsidRPr="00FC3097" w:rsidRDefault="00AA01B8" w:rsidP="00A44F87">
      <w:pPr>
        <w:keepNext/>
        <w:rPr>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En cuanto a disponer de más información sobre los preparativos para los exámenes en las instalaciones de los obtentores, la</w:t>
      </w:r>
      <w:r w:rsidR="00982FCB" w:rsidRPr="00FC3097">
        <w:rPr>
          <w:lang w:val="es-ES_tradnl"/>
        </w:rPr>
        <w:t> </w:t>
      </w:r>
      <w:r w:rsidRPr="00FC3097">
        <w:rPr>
          <w:lang w:val="es-ES_tradnl"/>
        </w:rPr>
        <w:t>Oficina de la</w:t>
      </w:r>
      <w:r w:rsidR="00982FCB" w:rsidRPr="00FC3097">
        <w:rPr>
          <w:lang w:val="es-ES_tradnl"/>
        </w:rPr>
        <w:t> </w:t>
      </w:r>
      <w:r w:rsidRPr="00FC3097">
        <w:rPr>
          <w:lang w:val="es-ES_tradnl"/>
        </w:rPr>
        <w:t>Unión, en consulta con los miembros mencionados en el párrafo</w:t>
      </w:r>
      <w:r w:rsidR="00982FCB" w:rsidRPr="00FC3097">
        <w:rPr>
          <w:lang w:val="es-ES_tradnl"/>
        </w:rPr>
        <w:t> </w:t>
      </w:r>
      <w:r w:rsidRPr="00FC3097">
        <w:rPr>
          <w:lang w:val="es-ES_tradnl"/>
        </w:rPr>
        <w:t>13, ha preparado una propuesta de seminario, que figura en el</w:t>
      </w:r>
      <w:r w:rsidR="00982FCB" w:rsidRPr="00FC3097">
        <w:rPr>
          <w:lang w:val="es-ES_tradnl"/>
        </w:rPr>
        <w:t> </w:t>
      </w:r>
      <w:r w:rsidRPr="00FC3097">
        <w:rPr>
          <w:lang w:val="es-ES_tradnl"/>
        </w:rPr>
        <w:t>Anexo del presente documento.</w:t>
      </w:r>
    </w:p>
    <w:p w14:paraId="765876DB" w14:textId="77777777" w:rsidR="001421EC" w:rsidRPr="00FC3097" w:rsidRDefault="001421EC" w:rsidP="00F0734A">
      <w:pPr>
        <w:rPr>
          <w:lang w:val="es-ES_tradnl"/>
        </w:rPr>
      </w:pPr>
    </w:p>
    <w:p w14:paraId="475397C0" w14:textId="481D7EA0" w:rsidR="00FE62A3" w:rsidRPr="00FC3097" w:rsidRDefault="00AA01B8" w:rsidP="00FE62A3">
      <w:pPr>
        <w:rPr>
          <w:rFonts w:cs="Arial"/>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t>El seminario tiene la finalidad de mejorar la sensibilización y la comprensión de la forma en que algunos miembros de la</w:t>
      </w:r>
      <w:r w:rsidR="00982FCB" w:rsidRPr="00FC3097">
        <w:rPr>
          <w:lang w:val="es-ES_tradnl"/>
        </w:rPr>
        <w:t> </w:t>
      </w:r>
      <w:r w:rsidRPr="00FC3097">
        <w:rPr>
          <w:lang w:val="es-ES_tradnl"/>
        </w:rPr>
        <w:t>UPOV realizan los exámenes</w:t>
      </w:r>
      <w:r w:rsidR="00982FCB" w:rsidRPr="00FC3097">
        <w:rPr>
          <w:lang w:val="es-ES_tradnl"/>
        </w:rPr>
        <w:t> </w:t>
      </w:r>
      <w:r w:rsidRPr="00FC3097">
        <w:rPr>
          <w:lang w:val="es-ES_tradnl"/>
        </w:rPr>
        <w:t>DHE en colaboración con los obtentores</w:t>
      </w:r>
      <w:r w:rsidRPr="00FC3097">
        <w:rPr>
          <w:color w:val="000000"/>
          <w:lang w:val="es-ES_tradnl"/>
        </w:rPr>
        <w:t xml:space="preserve">. </w:t>
      </w:r>
      <w:r w:rsidRPr="00FC3097">
        <w:rPr>
          <w:lang w:val="es-ES_tradnl"/>
        </w:rPr>
        <w:t>Se presentaría un breve resumen del papel de los obtentores en el examen</w:t>
      </w:r>
      <w:r w:rsidR="00982FCB" w:rsidRPr="00FC3097">
        <w:rPr>
          <w:lang w:val="es-ES_tradnl"/>
        </w:rPr>
        <w:t> </w:t>
      </w:r>
      <w:r w:rsidRPr="00FC3097">
        <w:rPr>
          <w:lang w:val="es-ES_tradnl"/>
        </w:rPr>
        <w:t>DHE en distintos miembros de la</w:t>
      </w:r>
      <w:r w:rsidR="00982FCB" w:rsidRPr="00FC3097">
        <w:rPr>
          <w:lang w:val="es-ES_tradnl"/>
        </w:rPr>
        <w:t> </w:t>
      </w:r>
      <w:r w:rsidRPr="00FC3097">
        <w:rPr>
          <w:lang w:val="es-ES_tradnl"/>
        </w:rPr>
        <w:t xml:space="preserve">UPOV, así como las ventajas, las oportunidades y los retos que plantea una mayor cooperación. </w:t>
      </w:r>
    </w:p>
    <w:p w14:paraId="6449D667" w14:textId="77777777" w:rsidR="00FE62A3" w:rsidRPr="00FC3097" w:rsidRDefault="00FE62A3" w:rsidP="001421EC">
      <w:pPr>
        <w:rPr>
          <w:rFonts w:cs="Arial"/>
          <w:color w:val="000000"/>
          <w:lang w:val="es-ES_tradnl"/>
        </w:rPr>
      </w:pPr>
    </w:p>
    <w:p w14:paraId="5ACDD78B" w14:textId="67BAEE6E" w:rsidR="003601A4" w:rsidRPr="00FC3097" w:rsidRDefault="00AA01B8" w:rsidP="001421EC">
      <w:pPr>
        <w:rPr>
          <w:rFonts w:cs="Arial"/>
          <w:color w:val="000000"/>
          <w:lang w:val="es-ES_tradnl"/>
        </w:rPr>
      </w:pPr>
      <w:r w:rsidRPr="00FC3097">
        <w:rPr>
          <w:lang w:val="es-ES_tradnl"/>
        </w:rPr>
        <w:fldChar w:fldCharType="begin"/>
      </w:r>
      <w:r w:rsidRPr="00FC3097">
        <w:rPr>
          <w:lang w:val="es-ES_tradnl"/>
        </w:rPr>
        <w:instrText xml:space="preserve"> AUTONUM  </w:instrText>
      </w:r>
      <w:r w:rsidRPr="00FC3097">
        <w:rPr>
          <w:lang w:val="es-ES_tradnl"/>
        </w:rPr>
        <w:fldChar w:fldCharType="end"/>
      </w:r>
      <w:r w:rsidRPr="00FC3097">
        <w:rPr>
          <w:lang w:val="es-ES_tradnl"/>
        </w:rPr>
        <w:tab/>
      </w:r>
      <w:r w:rsidRPr="00FC3097">
        <w:rPr>
          <w:color w:val="000000"/>
          <w:lang w:val="es-ES_tradnl"/>
        </w:rPr>
        <w:t>El</w:t>
      </w:r>
      <w:r w:rsidR="00982FCB" w:rsidRPr="00FC3097">
        <w:rPr>
          <w:color w:val="000000"/>
          <w:lang w:val="es-ES_tradnl"/>
        </w:rPr>
        <w:t> </w:t>
      </w:r>
      <w:r w:rsidRPr="00FC3097">
        <w:rPr>
          <w:color w:val="000000"/>
          <w:lang w:val="es-ES_tradnl"/>
        </w:rPr>
        <w:t>Convenio de la</w:t>
      </w:r>
      <w:r w:rsidR="00982FCB" w:rsidRPr="00FC3097">
        <w:rPr>
          <w:color w:val="000000"/>
          <w:lang w:val="es-ES_tradnl"/>
        </w:rPr>
        <w:t> </w:t>
      </w:r>
      <w:r w:rsidRPr="00FC3097">
        <w:rPr>
          <w:color w:val="000000"/>
          <w:lang w:val="es-ES_tradnl"/>
        </w:rPr>
        <w:t>UPOV concede a los miembros de la</w:t>
      </w:r>
      <w:r w:rsidR="00982FCB" w:rsidRPr="00FC3097">
        <w:rPr>
          <w:color w:val="000000"/>
          <w:lang w:val="es-ES_tradnl"/>
        </w:rPr>
        <w:t> </w:t>
      </w:r>
      <w:r w:rsidRPr="00FC3097">
        <w:rPr>
          <w:color w:val="000000"/>
          <w:lang w:val="es-ES_tradnl"/>
        </w:rPr>
        <w:t>UPOV la flexibilidad para decidir cómo preparar los exámenes</w:t>
      </w:r>
      <w:r w:rsidR="00982FCB" w:rsidRPr="00FC3097">
        <w:rPr>
          <w:color w:val="000000"/>
          <w:lang w:val="es-ES_tradnl"/>
        </w:rPr>
        <w:t> </w:t>
      </w:r>
      <w:r w:rsidRPr="00FC3097">
        <w:rPr>
          <w:color w:val="000000"/>
          <w:lang w:val="es-ES_tradnl"/>
        </w:rPr>
        <w:t>DHE de la forma más rentable según sus circunstancias. De modo que el seminario no tiene la intención de armonizar procedimientos, sino de dar a conocer las opciones que contempla el</w:t>
      </w:r>
      <w:r w:rsidR="00982FCB" w:rsidRPr="00FC3097">
        <w:rPr>
          <w:color w:val="000000"/>
          <w:lang w:val="es-ES_tradnl"/>
        </w:rPr>
        <w:t> </w:t>
      </w:r>
      <w:r w:rsidRPr="00FC3097">
        <w:rPr>
          <w:color w:val="000000"/>
          <w:lang w:val="es-ES_tradnl"/>
        </w:rPr>
        <w:t>Convenio de la</w:t>
      </w:r>
      <w:r w:rsidR="00982FCB" w:rsidRPr="00FC3097">
        <w:rPr>
          <w:color w:val="000000"/>
          <w:lang w:val="es-ES_tradnl"/>
        </w:rPr>
        <w:t> </w:t>
      </w:r>
      <w:r w:rsidRPr="00FC3097">
        <w:rPr>
          <w:color w:val="000000"/>
          <w:lang w:val="es-ES_tradnl"/>
        </w:rPr>
        <w:t xml:space="preserve">UPOV. </w:t>
      </w:r>
    </w:p>
    <w:p w14:paraId="29AA24B5" w14:textId="77777777" w:rsidR="00423318" w:rsidRPr="00FC3097" w:rsidRDefault="00423318" w:rsidP="001421EC">
      <w:pPr>
        <w:rPr>
          <w:rFonts w:cs="Arial"/>
          <w:color w:val="000000"/>
          <w:lang w:val="es-ES_tradnl"/>
        </w:rPr>
      </w:pPr>
    </w:p>
    <w:p w14:paraId="345D210A" w14:textId="55CC7F0E" w:rsidR="003601A4" w:rsidRPr="00FC3097" w:rsidRDefault="003601A4" w:rsidP="003601A4">
      <w:pPr>
        <w:pStyle w:val="DecisionParagraphs"/>
        <w:rPr>
          <w:lang w:val="es-ES_tradnl"/>
        </w:rPr>
      </w:pPr>
      <w:r w:rsidRPr="00FC3097">
        <w:rPr>
          <w:snapToGrid w:val="0"/>
          <w:lang w:val="es-ES_tradnl"/>
        </w:rPr>
        <w:fldChar w:fldCharType="begin"/>
      </w:r>
      <w:r w:rsidRPr="00FC3097">
        <w:rPr>
          <w:snapToGrid w:val="0"/>
          <w:lang w:val="es-ES_tradnl"/>
        </w:rPr>
        <w:instrText xml:space="preserve"> AUTONUM  </w:instrText>
      </w:r>
      <w:r w:rsidRPr="00FC3097">
        <w:rPr>
          <w:snapToGrid w:val="0"/>
          <w:lang w:val="es-ES_tradnl"/>
        </w:rPr>
        <w:fldChar w:fldCharType="end"/>
      </w:r>
      <w:r w:rsidRPr="00FC3097">
        <w:rPr>
          <w:snapToGrid w:val="0"/>
          <w:lang w:val="es-ES_tradnl"/>
        </w:rPr>
        <w:tab/>
        <w:t>Se invita al</w:t>
      </w:r>
      <w:r w:rsidR="00982FCB" w:rsidRPr="00FC3097">
        <w:rPr>
          <w:snapToGrid w:val="0"/>
          <w:lang w:val="es-ES_tradnl"/>
        </w:rPr>
        <w:t> </w:t>
      </w:r>
      <w:r w:rsidRPr="00FC3097">
        <w:rPr>
          <w:snapToGrid w:val="0"/>
          <w:lang w:val="es-ES_tradnl"/>
        </w:rPr>
        <w:t>TC a tomar nota de las novedades expuestas en el presente documento</w:t>
      </w:r>
      <w:r w:rsidRPr="00FC3097">
        <w:rPr>
          <w:lang w:val="es-ES_tradnl"/>
        </w:rPr>
        <w:t>.</w:t>
      </w:r>
    </w:p>
    <w:p w14:paraId="3D78755A" w14:textId="77777777" w:rsidR="003601A4" w:rsidRPr="00FC3097" w:rsidRDefault="003601A4" w:rsidP="003601A4">
      <w:pPr>
        <w:pStyle w:val="DecisionParagraphs"/>
        <w:rPr>
          <w:snapToGrid w:val="0"/>
          <w:lang w:val="es-ES_tradnl"/>
        </w:rPr>
      </w:pPr>
    </w:p>
    <w:p w14:paraId="513ACB2C" w14:textId="435DCE6C" w:rsidR="003601A4" w:rsidRPr="00FC3097" w:rsidRDefault="003601A4" w:rsidP="003601A4">
      <w:pPr>
        <w:pStyle w:val="DecisionParagraphs"/>
        <w:rPr>
          <w:snapToGrid w:val="0"/>
          <w:lang w:val="es-ES_tradnl"/>
        </w:rPr>
      </w:pPr>
      <w:r w:rsidRPr="00FC3097">
        <w:rPr>
          <w:snapToGrid w:val="0"/>
          <w:lang w:val="es-ES_tradnl"/>
        </w:rPr>
        <w:fldChar w:fldCharType="begin"/>
      </w:r>
      <w:r w:rsidRPr="00FC3097">
        <w:rPr>
          <w:snapToGrid w:val="0"/>
          <w:lang w:val="es-ES_tradnl"/>
        </w:rPr>
        <w:instrText xml:space="preserve"> AUTONUM  </w:instrText>
      </w:r>
      <w:r w:rsidRPr="00FC3097">
        <w:rPr>
          <w:snapToGrid w:val="0"/>
          <w:lang w:val="es-ES_tradnl"/>
        </w:rPr>
        <w:fldChar w:fldCharType="end"/>
      </w:r>
      <w:r w:rsidRPr="00FC3097">
        <w:rPr>
          <w:snapToGrid w:val="0"/>
          <w:lang w:val="es-ES_tradnl"/>
        </w:rPr>
        <w:tab/>
        <w:t>Se invita al</w:t>
      </w:r>
      <w:r w:rsidR="00982FCB" w:rsidRPr="00FC3097">
        <w:rPr>
          <w:snapToGrid w:val="0"/>
          <w:lang w:val="es-ES_tradnl"/>
        </w:rPr>
        <w:t> </w:t>
      </w:r>
      <w:r w:rsidRPr="00FC3097">
        <w:rPr>
          <w:snapToGrid w:val="0"/>
          <w:lang w:val="es-ES_tradnl"/>
        </w:rPr>
        <w:t>CAJ a:</w:t>
      </w:r>
    </w:p>
    <w:p w14:paraId="579129C7" w14:textId="77777777" w:rsidR="003601A4" w:rsidRPr="00FC3097" w:rsidRDefault="003601A4" w:rsidP="003601A4">
      <w:pPr>
        <w:pStyle w:val="DecisionParagraphs"/>
        <w:rPr>
          <w:snapToGrid w:val="0"/>
          <w:lang w:val="es-ES_tradnl"/>
        </w:rPr>
      </w:pPr>
    </w:p>
    <w:p w14:paraId="76FCAC7A" w14:textId="7B964CA9" w:rsidR="003601A4" w:rsidRPr="00FC3097" w:rsidRDefault="003601A4" w:rsidP="003601A4">
      <w:pPr>
        <w:pStyle w:val="DecisionParagraphs"/>
        <w:rPr>
          <w:snapToGrid w:val="0"/>
          <w:lang w:val="es-ES_tradnl"/>
        </w:rPr>
      </w:pPr>
      <w:r w:rsidRPr="00FC3097">
        <w:rPr>
          <w:snapToGrid w:val="0"/>
          <w:lang w:val="es-ES_tradnl"/>
        </w:rPr>
        <w:tab/>
        <w:t>a)</w:t>
      </w:r>
      <w:r w:rsidRPr="00FC3097">
        <w:rPr>
          <w:snapToGrid w:val="0"/>
          <w:lang w:val="es-ES_tradnl"/>
        </w:rPr>
        <w:tab/>
        <w:t xml:space="preserve">examinar las posibles medidas </w:t>
      </w:r>
      <w:r w:rsidRPr="00FC3097">
        <w:rPr>
          <w:lang w:val="es-ES_tradnl"/>
        </w:rPr>
        <w:t xml:space="preserve">para </w:t>
      </w:r>
      <w:r w:rsidR="00481FC3">
        <w:rPr>
          <w:lang w:val="es-ES_tradnl"/>
        </w:rPr>
        <w:t>foment</w:t>
      </w:r>
      <w:r w:rsidRPr="00FC3097">
        <w:rPr>
          <w:lang w:val="es-ES_tradnl"/>
        </w:rPr>
        <w:t>ar las oportunidades de cooperación internacional</w:t>
      </w:r>
      <w:r w:rsidRPr="00FC3097">
        <w:rPr>
          <w:snapToGrid w:val="0"/>
          <w:lang w:val="es-ES_tradnl"/>
        </w:rPr>
        <w:t xml:space="preserve"> que figuran en los párrafos</w:t>
      </w:r>
      <w:r w:rsidR="00982FCB" w:rsidRPr="00FC3097">
        <w:rPr>
          <w:snapToGrid w:val="0"/>
          <w:lang w:val="es-ES_tradnl"/>
        </w:rPr>
        <w:t> </w:t>
      </w:r>
      <w:r w:rsidRPr="00FC3097">
        <w:rPr>
          <w:snapToGrid w:val="0"/>
          <w:lang w:val="es-ES_tradnl"/>
        </w:rPr>
        <w:t>14 a</w:t>
      </w:r>
      <w:r w:rsidR="00982FCB" w:rsidRPr="00FC3097">
        <w:rPr>
          <w:snapToGrid w:val="0"/>
          <w:lang w:val="es-ES_tradnl"/>
        </w:rPr>
        <w:t> </w:t>
      </w:r>
      <w:r w:rsidRPr="00FC3097">
        <w:rPr>
          <w:snapToGrid w:val="0"/>
          <w:lang w:val="es-ES_tradnl"/>
        </w:rPr>
        <w:t>20 del presente documento; y</w:t>
      </w:r>
    </w:p>
    <w:p w14:paraId="5671C7D2" w14:textId="77777777" w:rsidR="003601A4" w:rsidRPr="00FC3097" w:rsidRDefault="003601A4" w:rsidP="003601A4">
      <w:pPr>
        <w:pStyle w:val="DecisionParagraphs"/>
        <w:rPr>
          <w:snapToGrid w:val="0"/>
          <w:lang w:val="es-ES_tradnl"/>
        </w:rPr>
      </w:pPr>
    </w:p>
    <w:p w14:paraId="660B94BC" w14:textId="5CB6EB23" w:rsidR="003601A4" w:rsidRPr="00FC3097" w:rsidRDefault="003601A4" w:rsidP="003601A4">
      <w:pPr>
        <w:pStyle w:val="DecisionParagraphs"/>
        <w:rPr>
          <w:snapToGrid w:val="0"/>
          <w:lang w:val="es-ES_tradnl"/>
        </w:rPr>
      </w:pPr>
      <w:r w:rsidRPr="00FC3097">
        <w:rPr>
          <w:snapToGrid w:val="0"/>
          <w:lang w:val="es-ES_tradnl"/>
        </w:rPr>
        <w:tab/>
        <w:t>b)</w:t>
      </w:r>
      <w:r w:rsidRPr="00FC3097">
        <w:rPr>
          <w:snapToGrid w:val="0"/>
          <w:lang w:val="es-ES_tradnl"/>
        </w:rPr>
        <w:tab/>
        <w:t>considerar la posibilidad de organizar un seminario para sensibilizar acerca de la cooperación con los obtentores en el examen</w:t>
      </w:r>
      <w:r w:rsidR="00982FCB" w:rsidRPr="00FC3097">
        <w:rPr>
          <w:snapToGrid w:val="0"/>
          <w:lang w:val="es-ES_tradnl"/>
        </w:rPr>
        <w:t> </w:t>
      </w:r>
      <w:r w:rsidRPr="00FC3097">
        <w:rPr>
          <w:snapToGrid w:val="0"/>
          <w:lang w:val="es-ES_tradnl"/>
        </w:rPr>
        <w:t>DHE, según se expone en el Anexo del presente documento.</w:t>
      </w:r>
    </w:p>
    <w:p w14:paraId="7CAF92E6" w14:textId="77777777" w:rsidR="003601A4" w:rsidRPr="00FC3097" w:rsidRDefault="003601A4" w:rsidP="003601A4">
      <w:pPr>
        <w:pStyle w:val="DecisionParagraphs"/>
        <w:rPr>
          <w:snapToGrid w:val="0"/>
          <w:lang w:val="es-ES_tradnl"/>
        </w:rPr>
      </w:pPr>
    </w:p>
    <w:p w14:paraId="0DBD694D" w14:textId="5178ACD5" w:rsidR="006B387D" w:rsidRPr="00FC3097" w:rsidRDefault="006B387D" w:rsidP="00050E16">
      <w:pPr>
        <w:rPr>
          <w:lang w:val="es-ES_tradnl"/>
        </w:rPr>
      </w:pPr>
    </w:p>
    <w:p w14:paraId="6F22CC07" w14:textId="77777777" w:rsidR="00890289" w:rsidRPr="00FC3097" w:rsidRDefault="00890289" w:rsidP="00050E16">
      <w:pPr>
        <w:rPr>
          <w:lang w:val="es-ES_tradnl"/>
        </w:rPr>
      </w:pPr>
    </w:p>
    <w:p w14:paraId="7B858920" w14:textId="285273C3" w:rsidR="00890289" w:rsidRPr="00FC3097" w:rsidRDefault="00A45601" w:rsidP="00A45601">
      <w:pPr>
        <w:jc w:val="right"/>
        <w:rPr>
          <w:lang w:val="es-ES_tradnl"/>
        </w:rPr>
      </w:pPr>
      <w:r w:rsidRPr="00FC3097">
        <w:rPr>
          <w:lang w:val="es-ES_tradnl"/>
        </w:rPr>
        <w:t>[Sigue el Anexo]</w:t>
      </w:r>
    </w:p>
    <w:p w14:paraId="7698195B" w14:textId="77777777" w:rsidR="00A45601" w:rsidRPr="00FC3097" w:rsidRDefault="00A45601" w:rsidP="00A45601">
      <w:pPr>
        <w:jc w:val="right"/>
        <w:rPr>
          <w:lang w:val="es-ES_tradnl"/>
        </w:rPr>
        <w:sectPr w:rsidR="00A45601" w:rsidRPr="00FC3097" w:rsidSect="00C47BF3">
          <w:headerReference w:type="default" r:id="rId9"/>
          <w:footerReference w:type="even" r:id="rId10"/>
          <w:pgSz w:w="11907" w:h="16840" w:code="9"/>
          <w:pgMar w:top="510" w:right="1134" w:bottom="426" w:left="1134" w:header="510" w:footer="680" w:gutter="0"/>
          <w:pgNumType w:start="1"/>
          <w:cols w:space="720"/>
          <w:titlePg/>
        </w:sectPr>
      </w:pPr>
    </w:p>
    <w:p w14:paraId="4E4E30D2" w14:textId="16357B25" w:rsidR="00DB43B0" w:rsidRPr="000B5325" w:rsidRDefault="00DB43B0" w:rsidP="000B5325">
      <w:bookmarkStart w:id="12" w:name="_Toc179281094"/>
      <w:r w:rsidRPr="000B5325">
        <w:lastRenderedPageBreak/>
        <w:t>PROYECTO DE PROPUESTA DE SEMINARIO SOBRE COOPERACIÓN CON LOS OBTENTORES EN EL EXAMEN DHE</w:t>
      </w:r>
      <w:bookmarkEnd w:id="12"/>
      <w:r w:rsidRPr="000B5325">
        <w:t xml:space="preserve"> </w:t>
      </w:r>
    </w:p>
    <w:p w14:paraId="1150F301" w14:textId="77777777" w:rsidR="00DB43B0" w:rsidRPr="00FC3097" w:rsidRDefault="00DB43B0" w:rsidP="00DB43B0">
      <w:pPr>
        <w:autoSpaceDE w:val="0"/>
        <w:autoSpaceDN w:val="0"/>
        <w:adjustRightInd w:val="0"/>
        <w:rPr>
          <w:rFonts w:eastAsia="Calibri" w:cs="Arial"/>
          <w:bCs/>
          <w:color w:val="000000"/>
          <w:lang w:val="es-ES_tradnl"/>
        </w:rPr>
      </w:pPr>
    </w:p>
    <w:p w14:paraId="698715D3" w14:textId="77777777" w:rsidR="00DB43B0" w:rsidRPr="00FC3097" w:rsidRDefault="00DB43B0" w:rsidP="00DB43B0">
      <w:pPr>
        <w:rPr>
          <w:rFonts w:eastAsia="Calibri" w:cs="Arial"/>
          <w:bCs/>
          <w:i/>
          <w:iCs/>
          <w:lang w:val="es-ES_tradnl"/>
          <w14:ligatures w14:val="standardContextual"/>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14"/>
      </w:tblGrid>
      <w:tr w:rsidR="00DB43B0" w:rsidRPr="00FC3097" w14:paraId="1EFAD489" w14:textId="77777777" w:rsidTr="000114CB">
        <w:tc>
          <w:tcPr>
            <w:tcW w:w="9314" w:type="dxa"/>
          </w:tcPr>
          <w:p w14:paraId="7E5D1CC9" w14:textId="4CAFF0C4" w:rsidR="00DB43B0" w:rsidRPr="000B5325" w:rsidRDefault="00DB43B0" w:rsidP="000B5325">
            <w:pPr>
              <w:rPr>
                <w:b/>
                <w:bCs/>
                <w:sz w:val="20"/>
                <w:szCs w:val="20"/>
                <w:u w:val="single"/>
              </w:rPr>
            </w:pPr>
            <w:bookmarkStart w:id="13" w:name="_Toc179281095"/>
            <w:r w:rsidRPr="000B5325">
              <w:rPr>
                <w:b/>
                <w:bCs/>
                <w:sz w:val="20"/>
                <w:szCs w:val="20"/>
                <w:u w:val="single"/>
              </w:rPr>
              <w:t>Información pertinente extraída del informe de la octogésima sesión del Comité Administrativo y Jurídico (documento</w:t>
            </w:r>
            <w:r w:rsidR="00982FCB" w:rsidRPr="000B5325">
              <w:rPr>
                <w:b/>
                <w:bCs/>
                <w:sz w:val="20"/>
                <w:szCs w:val="20"/>
                <w:u w:val="single"/>
              </w:rPr>
              <w:t> </w:t>
            </w:r>
            <w:r w:rsidRPr="000B5325">
              <w:rPr>
                <w:b/>
                <w:bCs/>
                <w:sz w:val="20"/>
                <w:szCs w:val="20"/>
                <w:u w:val="single"/>
              </w:rPr>
              <w:t>CAJ/80/6)</w:t>
            </w:r>
            <w:bookmarkEnd w:id="13"/>
          </w:p>
          <w:p w14:paraId="552642C1" w14:textId="77777777" w:rsidR="00DB43B0" w:rsidRPr="00FC3097" w:rsidRDefault="00DB43B0" w:rsidP="00DB43B0">
            <w:pPr>
              <w:keepNext/>
              <w:outlineLvl w:val="1"/>
              <w:rPr>
                <w:rFonts w:cs="Arial"/>
                <w:b/>
                <w:sz w:val="20"/>
                <w:szCs w:val="20"/>
                <w:u w:val="single"/>
                <w:lang w:val="es-ES_tradnl"/>
              </w:rPr>
            </w:pPr>
          </w:p>
          <w:p w14:paraId="37DBCA25" w14:textId="68B2D6B7" w:rsidR="00DB43B0" w:rsidRPr="000B5325" w:rsidRDefault="009E6E22" w:rsidP="000B5325">
            <w:pPr>
              <w:ind w:left="158"/>
              <w:rPr>
                <w:b/>
                <w:bCs/>
                <w:sz w:val="20"/>
                <w:szCs w:val="20"/>
                <w:u w:val="single"/>
              </w:rPr>
            </w:pPr>
            <w:bookmarkStart w:id="14" w:name="_Toc179281096"/>
            <w:r w:rsidRPr="000B5325">
              <w:rPr>
                <w:b/>
                <w:bCs/>
                <w:sz w:val="20"/>
                <w:szCs w:val="20"/>
                <w:u w:val="single"/>
              </w:rPr>
              <w:t>“Medidas para reforzar la cooperación en el examen (documento</w:t>
            </w:r>
            <w:r w:rsidR="00982FCB" w:rsidRPr="000B5325">
              <w:rPr>
                <w:b/>
                <w:bCs/>
                <w:sz w:val="20"/>
                <w:szCs w:val="20"/>
                <w:u w:val="single"/>
              </w:rPr>
              <w:t> </w:t>
            </w:r>
            <w:r w:rsidRPr="000B5325">
              <w:rPr>
                <w:b/>
                <w:bCs/>
                <w:sz w:val="20"/>
                <w:szCs w:val="20"/>
                <w:u w:val="single"/>
              </w:rPr>
              <w:t>SESSIONS/2023/4)</w:t>
            </w:r>
            <w:bookmarkEnd w:id="14"/>
          </w:p>
          <w:p w14:paraId="05E6B3BA" w14:textId="77777777" w:rsidR="00DB43B0" w:rsidRPr="00FC3097" w:rsidRDefault="00DB43B0" w:rsidP="009E6E22">
            <w:pPr>
              <w:ind w:left="154" w:right="299"/>
              <w:rPr>
                <w:rFonts w:cs="Arial"/>
                <w:sz w:val="20"/>
                <w:szCs w:val="20"/>
                <w:lang w:val="es-ES_tradnl"/>
                <w14:ligatures w14:val="standardContextual"/>
              </w:rPr>
            </w:pPr>
          </w:p>
          <w:p w14:paraId="7E89A894" w14:textId="5BDF9381" w:rsidR="00DB43B0" w:rsidRPr="00FC3097" w:rsidRDefault="009E6E22" w:rsidP="009E6E22">
            <w:pPr>
              <w:ind w:left="154" w:right="299"/>
              <w:rPr>
                <w:rFonts w:cs="Arial"/>
                <w:sz w:val="20"/>
                <w:szCs w:val="20"/>
                <w:lang w:val="es-ES_tradnl"/>
                <w14:ligatures w14:val="standardContextual"/>
              </w:rPr>
            </w:pPr>
            <w:r w:rsidRPr="00FC3097">
              <w:rPr>
                <w:sz w:val="20"/>
                <w:szCs w:val="20"/>
                <w:lang w:val="es-ES_tradnl"/>
              </w:rPr>
              <w:t>37.</w:t>
            </w:r>
            <w:r w:rsidRPr="00FC3097">
              <w:rPr>
                <w:sz w:val="20"/>
                <w:szCs w:val="20"/>
                <w:lang w:val="es-ES_tradnl"/>
              </w:rPr>
              <w:tab/>
              <w:t>El</w:t>
            </w:r>
            <w:r w:rsidR="00982FCB" w:rsidRPr="00FC3097">
              <w:rPr>
                <w:sz w:val="20"/>
                <w:szCs w:val="20"/>
                <w:lang w:val="es-ES_tradnl"/>
              </w:rPr>
              <w:t> </w:t>
            </w:r>
            <w:r w:rsidRPr="00FC3097">
              <w:rPr>
                <w:sz w:val="20"/>
                <w:szCs w:val="20"/>
                <w:lang w:val="es-ES_tradnl"/>
              </w:rPr>
              <w:t>CAJ examinó el documento SESSIONS/2023/4.</w:t>
            </w:r>
          </w:p>
          <w:p w14:paraId="021536F2" w14:textId="77777777" w:rsidR="00DB43B0" w:rsidRPr="00FC3097" w:rsidRDefault="00DB43B0" w:rsidP="009E6E22">
            <w:pPr>
              <w:ind w:left="154" w:right="299"/>
              <w:rPr>
                <w:rFonts w:cs="Arial"/>
                <w:sz w:val="20"/>
                <w:szCs w:val="20"/>
                <w:lang w:val="es-ES_tradnl"/>
                <w14:ligatures w14:val="standardContextual"/>
              </w:rPr>
            </w:pPr>
          </w:p>
          <w:p w14:paraId="02E99B17" w14:textId="2B2AB134" w:rsidR="00DB43B0" w:rsidRPr="00FC3097" w:rsidRDefault="009E6E22" w:rsidP="009E6E22">
            <w:pPr>
              <w:ind w:left="154" w:right="299"/>
              <w:rPr>
                <w:rFonts w:cs="Arial"/>
                <w:sz w:val="20"/>
                <w:szCs w:val="20"/>
                <w:lang w:val="es-ES_tradnl"/>
                <w14:ligatures w14:val="standardContextual"/>
              </w:rPr>
            </w:pPr>
            <w:r w:rsidRPr="00FC3097">
              <w:rPr>
                <w:sz w:val="20"/>
                <w:szCs w:val="20"/>
                <w:lang w:val="es-ES_tradnl"/>
              </w:rPr>
              <w:t>38.</w:t>
            </w:r>
            <w:r w:rsidRPr="00FC3097">
              <w:rPr>
                <w:sz w:val="20"/>
                <w:szCs w:val="20"/>
                <w:lang w:val="es-ES_tradnl"/>
              </w:rPr>
              <w:tab/>
              <w:t>El</w:t>
            </w:r>
            <w:r w:rsidR="00982FCB" w:rsidRPr="00FC3097">
              <w:rPr>
                <w:sz w:val="20"/>
                <w:szCs w:val="20"/>
                <w:lang w:val="es-ES_tradnl"/>
              </w:rPr>
              <w:t> </w:t>
            </w:r>
            <w:r w:rsidRPr="00FC3097">
              <w:rPr>
                <w:sz w:val="20"/>
                <w:szCs w:val="20"/>
                <w:lang w:val="es-ES_tradnl"/>
              </w:rPr>
              <w:t>CAJ tomó nota de las respuestas a la encuesta de los miembros de la</w:t>
            </w:r>
            <w:r w:rsidR="00982FCB" w:rsidRPr="00FC3097">
              <w:rPr>
                <w:sz w:val="20"/>
                <w:szCs w:val="20"/>
                <w:lang w:val="es-ES_tradnl"/>
              </w:rPr>
              <w:t> </w:t>
            </w:r>
            <w:r w:rsidRPr="00FC3097">
              <w:rPr>
                <w:sz w:val="20"/>
                <w:szCs w:val="20"/>
                <w:lang w:val="es-ES_tradnl"/>
              </w:rPr>
              <w:t>Unión sobre las políticas o los obstáculos jurídicos que podrían impedir la cooperación internacional en el examen</w:t>
            </w:r>
            <w:r w:rsidR="00982FCB" w:rsidRPr="00FC3097">
              <w:rPr>
                <w:sz w:val="20"/>
                <w:szCs w:val="20"/>
                <w:lang w:val="es-ES_tradnl"/>
              </w:rPr>
              <w:t> </w:t>
            </w:r>
            <w:r w:rsidRPr="00FC3097">
              <w:rPr>
                <w:sz w:val="20"/>
                <w:szCs w:val="20"/>
                <w:lang w:val="es-ES_tradnl"/>
              </w:rPr>
              <w:t>DHE, tal como se presenta en el Anexo</w:t>
            </w:r>
            <w:r w:rsidR="00982FCB" w:rsidRPr="00FC3097">
              <w:rPr>
                <w:sz w:val="20"/>
                <w:szCs w:val="20"/>
                <w:lang w:val="es-ES_tradnl"/>
              </w:rPr>
              <w:t> </w:t>
            </w:r>
            <w:r w:rsidRPr="00FC3097">
              <w:rPr>
                <w:sz w:val="20"/>
                <w:szCs w:val="20"/>
                <w:lang w:val="es-ES_tradnl"/>
              </w:rPr>
              <w:t>II del documento</w:t>
            </w:r>
            <w:r w:rsidR="00982FCB" w:rsidRPr="00FC3097">
              <w:rPr>
                <w:sz w:val="20"/>
                <w:szCs w:val="20"/>
                <w:lang w:val="es-ES_tradnl"/>
              </w:rPr>
              <w:t> </w:t>
            </w:r>
            <w:r w:rsidRPr="00FC3097">
              <w:rPr>
                <w:sz w:val="20"/>
                <w:szCs w:val="20"/>
                <w:lang w:val="es-ES_tradnl"/>
              </w:rPr>
              <w:t xml:space="preserve">SESSIONS/2023/4. </w:t>
            </w:r>
          </w:p>
          <w:p w14:paraId="56EF652C" w14:textId="77777777" w:rsidR="00DB43B0" w:rsidRPr="00FC3097" w:rsidRDefault="00DB43B0" w:rsidP="009E6E22">
            <w:pPr>
              <w:ind w:left="154" w:right="299"/>
              <w:rPr>
                <w:rFonts w:cs="Arial"/>
                <w:sz w:val="20"/>
                <w:szCs w:val="20"/>
                <w:lang w:val="es-ES_tradnl"/>
                <w14:ligatures w14:val="standardContextual"/>
              </w:rPr>
            </w:pPr>
          </w:p>
          <w:p w14:paraId="39093314" w14:textId="1FDCDC9A" w:rsidR="00DB43B0" w:rsidRPr="00FC3097" w:rsidRDefault="009E6E22" w:rsidP="009E6E22">
            <w:pPr>
              <w:ind w:left="154" w:right="299"/>
              <w:rPr>
                <w:rFonts w:cs="Arial"/>
                <w:sz w:val="20"/>
                <w:szCs w:val="20"/>
                <w:lang w:val="es-ES_tradnl"/>
                <w14:ligatures w14:val="standardContextual"/>
              </w:rPr>
            </w:pPr>
            <w:r w:rsidRPr="00FC3097">
              <w:rPr>
                <w:sz w:val="20"/>
                <w:szCs w:val="20"/>
                <w:lang w:val="es-ES_tradnl"/>
              </w:rPr>
              <w:t>39.</w:t>
            </w:r>
            <w:r w:rsidRPr="00FC3097">
              <w:rPr>
                <w:sz w:val="20"/>
                <w:szCs w:val="20"/>
                <w:lang w:val="es-ES_tradnl"/>
              </w:rPr>
              <w:tab/>
            </w:r>
            <w:r w:rsidRPr="00C9252B">
              <w:rPr>
                <w:sz w:val="20"/>
                <w:szCs w:val="20"/>
                <w:lang w:val="es-ES_tradnl"/>
              </w:rPr>
              <w:t>El</w:t>
            </w:r>
            <w:r w:rsidR="00982FCB" w:rsidRPr="00C9252B">
              <w:rPr>
                <w:sz w:val="20"/>
                <w:szCs w:val="20"/>
                <w:lang w:val="es-ES_tradnl"/>
              </w:rPr>
              <w:t> </w:t>
            </w:r>
            <w:r w:rsidRPr="00C9252B">
              <w:rPr>
                <w:sz w:val="20"/>
                <w:szCs w:val="20"/>
                <w:lang w:val="es-ES_tradnl"/>
              </w:rPr>
              <w:t>CAJ acordó invitar a la</w:t>
            </w:r>
            <w:r w:rsidR="00982FCB" w:rsidRPr="00C9252B">
              <w:rPr>
                <w:sz w:val="20"/>
                <w:szCs w:val="20"/>
                <w:lang w:val="es-ES_tradnl"/>
              </w:rPr>
              <w:t> </w:t>
            </w:r>
            <w:r w:rsidRPr="00C9252B">
              <w:rPr>
                <w:sz w:val="20"/>
                <w:szCs w:val="20"/>
                <w:lang w:val="es-ES_tradnl"/>
              </w:rPr>
              <w:t>Oficina de la</w:t>
            </w:r>
            <w:r w:rsidR="00982FCB" w:rsidRPr="00C9252B">
              <w:rPr>
                <w:sz w:val="20"/>
                <w:szCs w:val="20"/>
                <w:lang w:val="es-ES_tradnl"/>
              </w:rPr>
              <w:t> </w:t>
            </w:r>
            <w:r w:rsidRPr="00C9252B">
              <w:rPr>
                <w:sz w:val="20"/>
                <w:szCs w:val="20"/>
                <w:lang w:val="es-ES_tradnl"/>
              </w:rPr>
              <w:t xml:space="preserve">Unión a preparar un documento para </w:t>
            </w:r>
            <w:bookmarkStart w:id="15" w:name="_Hlk149133256"/>
            <w:r w:rsidRPr="00C9252B">
              <w:rPr>
                <w:sz w:val="20"/>
                <w:szCs w:val="20"/>
                <w:lang w:val="es-ES_tradnl"/>
              </w:rPr>
              <w:t xml:space="preserve">su </w:t>
            </w:r>
            <w:bookmarkStart w:id="16" w:name="_Hlk149133392"/>
            <w:r w:rsidRPr="00C9252B">
              <w:rPr>
                <w:sz w:val="20"/>
                <w:szCs w:val="20"/>
                <w:lang w:val="es-ES_tradnl"/>
              </w:rPr>
              <w:t xml:space="preserve">octogésima primera sesión </w:t>
            </w:r>
            <w:bookmarkEnd w:id="15"/>
            <w:bookmarkEnd w:id="16"/>
            <w:r w:rsidRPr="00C9252B">
              <w:rPr>
                <w:sz w:val="20"/>
                <w:szCs w:val="20"/>
                <w:lang w:val="es-ES_tradnl"/>
              </w:rPr>
              <w:t>a fin de proseguir los debates sobre posibles medidas para aumentar las oportunidades de cooperación internacional en el examen</w:t>
            </w:r>
            <w:r w:rsidR="00982FCB" w:rsidRPr="00C9252B">
              <w:rPr>
                <w:sz w:val="20"/>
                <w:szCs w:val="20"/>
                <w:lang w:val="es-ES_tradnl"/>
              </w:rPr>
              <w:t> </w:t>
            </w:r>
            <w:r w:rsidRPr="00C9252B">
              <w:rPr>
                <w:sz w:val="20"/>
                <w:szCs w:val="20"/>
                <w:lang w:val="es-ES_tradnl"/>
              </w:rPr>
              <w:t>DHE.</w:t>
            </w:r>
          </w:p>
          <w:p w14:paraId="30F96041" w14:textId="77777777" w:rsidR="00DB43B0" w:rsidRPr="00FC3097" w:rsidRDefault="00DB43B0" w:rsidP="009E6E22">
            <w:pPr>
              <w:ind w:left="154" w:right="299"/>
              <w:rPr>
                <w:rFonts w:cs="Arial"/>
                <w:sz w:val="20"/>
                <w:szCs w:val="20"/>
                <w:lang w:val="es-ES_tradnl"/>
                <w14:ligatures w14:val="standardContextual"/>
              </w:rPr>
            </w:pPr>
          </w:p>
          <w:p w14:paraId="69EE7D38" w14:textId="7707C913" w:rsidR="00DB43B0" w:rsidRPr="00FC3097" w:rsidRDefault="009E6E22" w:rsidP="009E6E22">
            <w:pPr>
              <w:ind w:left="154" w:right="299"/>
              <w:rPr>
                <w:rFonts w:cs="Arial"/>
                <w:sz w:val="20"/>
                <w:szCs w:val="20"/>
                <w:lang w:val="es-ES_tradnl"/>
                <w14:ligatures w14:val="standardContextual"/>
              </w:rPr>
            </w:pPr>
            <w:r w:rsidRPr="00FC3097">
              <w:rPr>
                <w:sz w:val="20"/>
                <w:szCs w:val="20"/>
                <w:lang w:val="es-ES_tradnl"/>
              </w:rPr>
              <w:t>40.</w:t>
            </w:r>
            <w:r w:rsidRPr="00FC3097">
              <w:rPr>
                <w:sz w:val="20"/>
                <w:szCs w:val="20"/>
                <w:lang w:val="es-ES_tradnl"/>
              </w:rPr>
              <w:tab/>
            </w:r>
            <w:r w:rsidRPr="00C9252B">
              <w:rPr>
                <w:sz w:val="20"/>
                <w:szCs w:val="20"/>
                <w:lang w:val="es-ES_tradnl"/>
              </w:rPr>
              <w:t>El</w:t>
            </w:r>
            <w:bookmarkStart w:id="17" w:name="_Hlk149133237"/>
            <w:r w:rsidR="00982FCB" w:rsidRPr="00C9252B">
              <w:rPr>
                <w:sz w:val="20"/>
                <w:szCs w:val="20"/>
                <w:lang w:val="es-ES_tradnl"/>
              </w:rPr>
              <w:t> </w:t>
            </w:r>
            <w:r w:rsidRPr="00C9252B">
              <w:rPr>
                <w:sz w:val="20"/>
                <w:szCs w:val="20"/>
                <w:lang w:val="es-ES_tradnl"/>
              </w:rPr>
              <w:t>CAJ a</w:t>
            </w:r>
            <w:bookmarkEnd w:id="17"/>
            <w:r w:rsidRPr="00C9252B">
              <w:rPr>
                <w:sz w:val="20"/>
                <w:szCs w:val="20"/>
                <w:lang w:val="es-ES_tradnl"/>
              </w:rPr>
              <w:t>cordó que el documento mencionado también contendría el acuerdo de organizar un seminario sobre la cooperación con los obtentores en el examen</w:t>
            </w:r>
            <w:r w:rsidR="00982FCB" w:rsidRPr="00C9252B">
              <w:rPr>
                <w:sz w:val="20"/>
                <w:szCs w:val="20"/>
                <w:lang w:val="es-ES_tradnl"/>
              </w:rPr>
              <w:t> </w:t>
            </w:r>
            <w:r w:rsidRPr="00C9252B">
              <w:rPr>
                <w:sz w:val="20"/>
                <w:szCs w:val="20"/>
                <w:lang w:val="es-ES_tradnl"/>
              </w:rPr>
              <w:t>DHE. Asimismo, se acordó que en el documento se incluirían propuestas sobre el contenido y la organización del seminario.</w:t>
            </w:r>
            <w:r w:rsidRPr="00FC3097">
              <w:rPr>
                <w:sz w:val="20"/>
                <w:szCs w:val="20"/>
                <w:lang w:val="es-ES_tradnl"/>
              </w:rPr>
              <w:t xml:space="preserve"> El</w:t>
            </w:r>
            <w:r w:rsidR="00982FCB" w:rsidRPr="00FC3097">
              <w:rPr>
                <w:sz w:val="20"/>
                <w:szCs w:val="20"/>
                <w:lang w:val="es-ES_tradnl"/>
              </w:rPr>
              <w:t> </w:t>
            </w:r>
            <w:r w:rsidRPr="00FC3097">
              <w:rPr>
                <w:sz w:val="20"/>
                <w:szCs w:val="20"/>
                <w:lang w:val="es-ES_tradnl"/>
              </w:rPr>
              <w:t>CAJ acordó además que la</w:t>
            </w:r>
            <w:r w:rsidR="00982FCB" w:rsidRPr="00FC3097">
              <w:rPr>
                <w:sz w:val="20"/>
                <w:szCs w:val="20"/>
                <w:lang w:val="es-ES_tradnl"/>
              </w:rPr>
              <w:t> </w:t>
            </w:r>
            <w:r w:rsidRPr="00FC3097">
              <w:rPr>
                <w:sz w:val="20"/>
                <w:szCs w:val="20"/>
                <w:lang w:val="es-ES_tradnl"/>
              </w:rPr>
              <w:t>Oficina de la</w:t>
            </w:r>
            <w:r w:rsidR="00982FCB" w:rsidRPr="00FC3097">
              <w:rPr>
                <w:sz w:val="20"/>
                <w:szCs w:val="20"/>
                <w:lang w:val="es-ES_tradnl"/>
              </w:rPr>
              <w:t> </w:t>
            </w:r>
            <w:r w:rsidRPr="00FC3097">
              <w:rPr>
                <w:sz w:val="20"/>
                <w:szCs w:val="20"/>
                <w:lang w:val="es-ES_tradnl"/>
              </w:rPr>
              <w:t>Unión prepararía las propuestas para el seminario en consulta con Australia, Brasil, Canadá, la</w:t>
            </w:r>
            <w:r w:rsidR="00982FCB" w:rsidRPr="00FC3097">
              <w:rPr>
                <w:sz w:val="20"/>
                <w:szCs w:val="20"/>
                <w:lang w:val="es-ES_tradnl"/>
              </w:rPr>
              <w:t> </w:t>
            </w:r>
            <w:r w:rsidRPr="00FC3097">
              <w:rPr>
                <w:sz w:val="20"/>
                <w:szCs w:val="20"/>
                <w:lang w:val="es-ES_tradnl"/>
              </w:rPr>
              <w:t>Unión</w:t>
            </w:r>
            <w:r w:rsidR="00982FCB" w:rsidRPr="00FC3097">
              <w:rPr>
                <w:sz w:val="20"/>
                <w:szCs w:val="20"/>
                <w:lang w:val="es-ES_tradnl"/>
              </w:rPr>
              <w:t> </w:t>
            </w:r>
            <w:r w:rsidRPr="00FC3097">
              <w:rPr>
                <w:sz w:val="20"/>
                <w:szCs w:val="20"/>
                <w:lang w:val="es-ES_tradnl"/>
              </w:rPr>
              <w:t>Europea, Japón, Nueva</w:t>
            </w:r>
            <w:r w:rsidR="00982FCB" w:rsidRPr="00FC3097">
              <w:rPr>
                <w:sz w:val="20"/>
                <w:szCs w:val="20"/>
                <w:lang w:val="es-ES_tradnl"/>
              </w:rPr>
              <w:t> </w:t>
            </w:r>
            <w:r w:rsidRPr="00FC3097">
              <w:rPr>
                <w:sz w:val="20"/>
                <w:szCs w:val="20"/>
                <w:lang w:val="es-ES_tradnl"/>
              </w:rPr>
              <w:t>Zelandia y los Estados</w:t>
            </w:r>
            <w:r w:rsidR="00982FCB" w:rsidRPr="00FC3097">
              <w:rPr>
                <w:sz w:val="20"/>
                <w:szCs w:val="20"/>
                <w:lang w:val="es-ES_tradnl"/>
              </w:rPr>
              <w:t> </w:t>
            </w:r>
            <w:r w:rsidRPr="00FC3097">
              <w:rPr>
                <w:sz w:val="20"/>
                <w:szCs w:val="20"/>
                <w:lang w:val="es-ES_tradnl"/>
              </w:rPr>
              <w:t>Unidos de</w:t>
            </w:r>
            <w:r w:rsidR="00982FCB" w:rsidRPr="00FC3097">
              <w:rPr>
                <w:sz w:val="20"/>
                <w:szCs w:val="20"/>
                <w:lang w:val="es-ES_tradnl"/>
              </w:rPr>
              <w:t> </w:t>
            </w:r>
            <w:r w:rsidRPr="00FC3097">
              <w:rPr>
                <w:sz w:val="20"/>
                <w:szCs w:val="20"/>
                <w:lang w:val="es-ES_tradnl"/>
              </w:rPr>
              <w:t>América, para su examen en su octogésima primera sesión”.</w:t>
            </w:r>
          </w:p>
          <w:p w14:paraId="7D46C4DA" w14:textId="77777777" w:rsidR="00DB43B0" w:rsidRPr="00FC3097" w:rsidRDefault="00DB43B0" w:rsidP="00DB43B0">
            <w:pPr>
              <w:rPr>
                <w:rFonts w:cs="Arial"/>
                <w:sz w:val="20"/>
                <w:szCs w:val="20"/>
                <w:lang w:val="es-ES_tradnl"/>
                <w14:ligatures w14:val="standardContextual"/>
              </w:rPr>
            </w:pPr>
            <w:r w:rsidRPr="00FC3097">
              <w:rPr>
                <w:lang w:val="es-ES_tradnl"/>
              </w:rPr>
              <w:br w:type="page"/>
            </w:r>
          </w:p>
        </w:tc>
      </w:tr>
    </w:tbl>
    <w:p w14:paraId="14FA078F" w14:textId="77777777" w:rsidR="00DB43B0" w:rsidRPr="00FC3097" w:rsidRDefault="00DB43B0" w:rsidP="00DB43B0">
      <w:pPr>
        <w:autoSpaceDE w:val="0"/>
        <w:autoSpaceDN w:val="0"/>
        <w:adjustRightInd w:val="0"/>
        <w:rPr>
          <w:rFonts w:eastAsia="Calibri" w:cs="Arial"/>
          <w:color w:val="000000"/>
          <w:lang w:val="es-ES_tradnl"/>
        </w:rPr>
      </w:pPr>
    </w:p>
    <w:p w14:paraId="5700AEF9" w14:textId="77777777" w:rsidR="00DB43B0" w:rsidRPr="00FC3097" w:rsidRDefault="00DB43B0" w:rsidP="00DB43B0">
      <w:pPr>
        <w:autoSpaceDE w:val="0"/>
        <w:autoSpaceDN w:val="0"/>
        <w:adjustRightInd w:val="0"/>
        <w:rPr>
          <w:rFonts w:eastAsia="Calibri" w:cs="Arial"/>
          <w:color w:val="000000"/>
          <w:lang w:val="es-ES_tradnl"/>
        </w:rPr>
      </w:pPr>
    </w:p>
    <w:p w14:paraId="50455EDF"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INTRODUCCIÓN: </w:t>
      </w:r>
    </w:p>
    <w:p w14:paraId="105577BE" w14:textId="77777777" w:rsidR="00DB43B0" w:rsidRPr="00FC3097" w:rsidRDefault="00DB43B0" w:rsidP="00DB43B0">
      <w:pPr>
        <w:autoSpaceDE w:val="0"/>
        <w:autoSpaceDN w:val="0"/>
        <w:adjustRightInd w:val="0"/>
        <w:rPr>
          <w:rFonts w:eastAsia="Calibri" w:cs="Arial"/>
          <w:color w:val="000000"/>
          <w:lang w:val="es-ES_tradnl"/>
        </w:rPr>
      </w:pPr>
    </w:p>
    <w:p w14:paraId="39DF68A0" w14:textId="3DAC1880"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El objetivo es organizar un seminario para exponer los planteamientos y prácticas de los miembros de la</w:t>
      </w:r>
      <w:r w:rsidR="00982FCB" w:rsidRPr="00FC3097">
        <w:rPr>
          <w:color w:val="000000"/>
          <w:lang w:val="es-ES_tradnl"/>
        </w:rPr>
        <w:t> </w:t>
      </w:r>
      <w:r w:rsidRPr="00FC3097">
        <w:rPr>
          <w:color w:val="000000"/>
          <w:lang w:val="es-ES_tradnl"/>
        </w:rPr>
        <w:t>UPOV en lo que respecta a la cooperación de los obtentores en el examen</w:t>
      </w:r>
      <w:r w:rsidR="00982FCB" w:rsidRPr="00FC3097">
        <w:rPr>
          <w:color w:val="000000"/>
          <w:lang w:val="es-ES_tradnl"/>
        </w:rPr>
        <w:t> </w:t>
      </w:r>
      <w:r w:rsidRPr="00FC3097">
        <w:rPr>
          <w:color w:val="000000"/>
          <w:lang w:val="es-ES_tradnl"/>
        </w:rPr>
        <w:t xml:space="preserve">DHE.  </w:t>
      </w:r>
    </w:p>
    <w:p w14:paraId="4ABD893B" w14:textId="77777777" w:rsidR="00DB43B0" w:rsidRPr="00FC3097" w:rsidRDefault="00DB43B0" w:rsidP="00DB43B0">
      <w:pPr>
        <w:spacing w:before="240"/>
        <w:rPr>
          <w:rFonts w:eastAsia="Calibri" w:cs="Arial"/>
          <w:color w:val="000000"/>
          <w:lang w:val="es-ES_tradnl"/>
          <w14:ligatures w14:val="standardContextual"/>
        </w:rPr>
      </w:pPr>
      <w:r w:rsidRPr="00FC3097">
        <w:rPr>
          <w:color w:val="000000"/>
          <w:lang w:val="es-ES_tradnl"/>
        </w:rPr>
        <w:t>Las presentaciones y los documentos elaborados para el seminario deben:</w:t>
      </w:r>
    </w:p>
    <w:p w14:paraId="644684BB" w14:textId="172E4D84" w:rsidR="00DB43B0" w:rsidRPr="00FC3097" w:rsidRDefault="00DB43B0" w:rsidP="009E6E22">
      <w:pPr>
        <w:spacing w:before="240"/>
        <w:ind w:left="567" w:hanging="567"/>
        <w:rPr>
          <w:rFonts w:eastAsia="Calibri" w:cs="Arial"/>
          <w:color w:val="000000"/>
          <w:lang w:val="es-ES_tradnl"/>
          <w14:ligatures w14:val="standardContextual"/>
        </w:rPr>
      </w:pPr>
      <w:bookmarkStart w:id="18" w:name="_Hlk176363298"/>
      <w:r w:rsidRPr="00FC3097">
        <w:rPr>
          <w:color w:val="000000"/>
          <w:lang w:val="es-ES_tradnl"/>
        </w:rPr>
        <w:t>1)</w:t>
      </w:r>
      <w:r w:rsidRPr="00FC3097">
        <w:rPr>
          <w:color w:val="000000"/>
          <w:lang w:val="es-ES_tradnl"/>
        </w:rPr>
        <w:tab/>
        <w:t>sensibilizar y propiciar debates abiertos y constructivos entre los miembros de la</w:t>
      </w:r>
      <w:r w:rsidR="00982FCB" w:rsidRPr="00FC3097">
        <w:rPr>
          <w:color w:val="000000"/>
          <w:lang w:val="es-ES_tradnl"/>
        </w:rPr>
        <w:t> </w:t>
      </w:r>
      <w:r w:rsidRPr="00FC3097">
        <w:rPr>
          <w:color w:val="000000"/>
          <w:lang w:val="es-ES_tradnl"/>
        </w:rPr>
        <w:t xml:space="preserve">UPOV, </w:t>
      </w:r>
    </w:p>
    <w:p w14:paraId="005EF425" w14:textId="46355B4B" w:rsidR="00DB43B0" w:rsidRPr="00FC3097" w:rsidRDefault="00DB43B0" w:rsidP="009E6E22">
      <w:pPr>
        <w:spacing w:before="240"/>
        <w:ind w:left="567" w:hanging="567"/>
        <w:rPr>
          <w:rFonts w:eastAsia="Calibri" w:cs="Arial"/>
          <w:color w:val="000000"/>
          <w:lang w:val="es-ES_tradnl"/>
          <w14:ligatures w14:val="standardContextual"/>
        </w:rPr>
      </w:pPr>
      <w:r w:rsidRPr="00FC3097">
        <w:rPr>
          <w:color w:val="000000"/>
          <w:lang w:val="es-ES_tradnl"/>
        </w:rPr>
        <w:t>2)</w:t>
      </w:r>
      <w:r w:rsidRPr="00FC3097">
        <w:rPr>
          <w:color w:val="000000"/>
          <w:lang w:val="es-ES_tradnl"/>
        </w:rPr>
        <w:tab/>
        <w:t>informar y mejorar la comprensión de la forma en que se realizan los exámenes de la distinción, la homogeneidad y la estabilidad (“DHE”) en colaboración con los obtentores</w:t>
      </w:r>
      <w:r w:rsidRPr="00FC3097">
        <w:rPr>
          <w:lang w:val="es-ES_tradnl"/>
        </w:rPr>
        <w:t>,</w:t>
      </w:r>
    </w:p>
    <w:p w14:paraId="55C8ECBB" w14:textId="1E25C8B6" w:rsidR="00DB43B0" w:rsidRPr="00FC3097" w:rsidRDefault="00DB43B0" w:rsidP="009E6E22">
      <w:pPr>
        <w:spacing w:before="240"/>
        <w:ind w:left="567" w:hanging="567"/>
        <w:rPr>
          <w:rFonts w:cs="Arial"/>
          <w:lang w:val="es-ES_tradnl"/>
          <w14:ligatures w14:val="standardContextual"/>
        </w:rPr>
      </w:pPr>
      <w:r w:rsidRPr="00FC3097">
        <w:rPr>
          <w:lang w:val="es-ES_tradnl"/>
        </w:rPr>
        <w:t>3)</w:t>
      </w:r>
      <w:r w:rsidRPr="00FC3097">
        <w:rPr>
          <w:lang w:val="es-ES_tradnl"/>
        </w:rPr>
        <w:tab/>
        <w:t>proporcionar contenido, información y prácticas que puedan, si procede, usarse para preparar un módulo de formación sobre “El papel de los obtentores en el examen</w:t>
      </w:r>
      <w:r w:rsidR="00982FCB" w:rsidRPr="00FC3097">
        <w:rPr>
          <w:lang w:val="es-ES_tradnl"/>
        </w:rPr>
        <w:t> </w:t>
      </w:r>
      <w:r w:rsidRPr="00FC3097">
        <w:rPr>
          <w:lang w:val="es-ES_tradnl"/>
        </w:rPr>
        <w:t>DHE” (por ejemplo, presentaciones de Power Point grabadas y o un seminario web; series de videos cortos; orientaciones, procedimientos u otro tipo de texto).</w:t>
      </w:r>
    </w:p>
    <w:bookmarkEnd w:id="18"/>
    <w:p w14:paraId="182EB21B" w14:textId="77777777" w:rsidR="00DB43B0" w:rsidRPr="00FC3097" w:rsidRDefault="00DB43B0" w:rsidP="00DB43B0">
      <w:pPr>
        <w:autoSpaceDE w:val="0"/>
        <w:autoSpaceDN w:val="0"/>
        <w:adjustRightInd w:val="0"/>
        <w:rPr>
          <w:rFonts w:eastAsia="Calibri" w:cs="Arial"/>
          <w:color w:val="000000"/>
          <w:lang w:val="es-ES_tradnl"/>
        </w:rPr>
      </w:pPr>
    </w:p>
    <w:p w14:paraId="056D873D" w14:textId="77777777" w:rsidR="009E6E22" w:rsidRPr="00FC3097" w:rsidRDefault="009E6E22" w:rsidP="00DB43B0">
      <w:pPr>
        <w:autoSpaceDE w:val="0"/>
        <w:autoSpaceDN w:val="0"/>
        <w:adjustRightInd w:val="0"/>
        <w:rPr>
          <w:rFonts w:eastAsia="Calibri" w:cs="Arial"/>
          <w:color w:val="000000"/>
          <w:lang w:val="es-ES_tradnl"/>
        </w:rPr>
      </w:pPr>
    </w:p>
    <w:p w14:paraId="52737473"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ORIENTACIONES Y DEBATE:</w:t>
      </w:r>
    </w:p>
    <w:p w14:paraId="324733EC" w14:textId="76902518" w:rsidR="00DB43B0" w:rsidRPr="00FC3097" w:rsidRDefault="00DB43B0" w:rsidP="00DB43B0">
      <w:pPr>
        <w:autoSpaceDE w:val="0"/>
        <w:autoSpaceDN w:val="0"/>
        <w:adjustRightInd w:val="0"/>
        <w:rPr>
          <w:rFonts w:eastAsia="Calibri" w:cs="Arial"/>
          <w:color w:val="000000"/>
          <w:lang w:val="es-ES_tradnl"/>
        </w:rPr>
      </w:pPr>
    </w:p>
    <w:p w14:paraId="709FBDE5" w14:textId="0E7C8F63"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El</w:t>
      </w:r>
      <w:r w:rsidR="00982FCB" w:rsidRPr="00FC3097">
        <w:rPr>
          <w:color w:val="000000"/>
          <w:lang w:val="es-ES_tradnl"/>
        </w:rPr>
        <w:t> </w:t>
      </w:r>
      <w:r w:rsidRPr="00FC3097">
        <w:rPr>
          <w:color w:val="000000"/>
          <w:lang w:val="es-ES_tradnl"/>
        </w:rPr>
        <w:t>Convenio de la</w:t>
      </w:r>
      <w:r w:rsidR="00982FCB" w:rsidRPr="00FC3097">
        <w:rPr>
          <w:color w:val="000000"/>
          <w:lang w:val="es-ES_tradnl"/>
        </w:rPr>
        <w:t> </w:t>
      </w:r>
      <w:r w:rsidRPr="00FC3097">
        <w:rPr>
          <w:color w:val="000000"/>
          <w:lang w:val="es-ES_tradnl"/>
        </w:rPr>
        <w:t xml:space="preserve">UPOV (Artículo 7.1) de las Actas de 1961/1972 y 1978 y Artículo 12 del Acta de 1991) exige que una variedad sea examinada para ver si cumple los criterios relativos a la distinción, la homogeneidad y la estabilidad. Las autoridades pueden, por ejemplo, optar por una o más de las siguientes posibilidades: </w:t>
      </w:r>
    </w:p>
    <w:p w14:paraId="3B45003D" w14:textId="77777777" w:rsidR="00DB43B0" w:rsidRPr="00FC3097" w:rsidRDefault="00DB43B0" w:rsidP="00DB43B0">
      <w:pPr>
        <w:autoSpaceDE w:val="0"/>
        <w:autoSpaceDN w:val="0"/>
        <w:adjustRightInd w:val="0"/>
        <w:rPr>
          <w:rFonts w:eastAsia="Calibri" w:cs="Arial"/>
          <w:color w:val="000000"/>
          <w:lang w:val="es-ES_tradnl"/>
        </w:rPr>
      </w:pPr>
    </w:p>
    <w:p w14:paraId="6126FC59" w14:textId="58088FB1" w:rsidR="00DB43B0" w:rsidRPr="00FC3097" w:rsidRDefault="00DB43B0" w:rsidP="009E6E22">
      <w:pPr>
        <w:autoSpaceDE w:val="0"/>
        <w:autoSpaceDN w:val="0"/>
        <w:adjustRightInd w:val="0"/>
        <w:ind w:left="567" w:hanging="567"/>
        <w:rPr>
          <w:rFonts w:eastAsia="Calibri" w:cs="Arial"/>
          <w:i/>
          <w:iCs/>
          <w:color w:val="000000"/>
          <w:lang w:val="es-ES_tradnl"/>
        </w:rPr>
      </w:pPr>
      <w:r w:rsidRPr="00FC3097">
        <w:rPr>
          <w:i/>
          <w:iCs/>
          <w:color w:val="000000"/>
          <w:lang w:val="es-ES_tradnl"/>
        </w:rPr>
        <w:t>a)</w:t>
      </w:r>
      <w:r w:rsidRPr="00FC3097">
        <w:rPr>
          <w:i/>
          <w:iCs/>
          <w:color w:val="000000"/>
          <w:lang w:val="es-ES_tradnl"/>
        </w:rPr>
        <w:tab/>
        <w:t>la propia autoridad efectúa los ensayos en cultivo, u otros ensayos;</w:t>
      </w:r>
    </w:p>
    <w:p w14:paraId="2FABDA85" w14:textId="70D76A2A" w:rsidR="00DB43B0" w:rsidRPr="00FC3097" w:rsidRDefault="00DB43B0" w:rsidP="009E6E22">
      <w:pPr>
        <w:autoSpaceDE w:val="0"/>
        <w:autoSpaceDN w:val="0"/>
        <w:adjustRightInd w:val="0"/>
        <w:ind w:left="567" w:hanging="567"/>
        <w:rPr>
          <w:rFonts w:eastAsia="Calibri" w:cs="Arial"/>
          <w:i/>
          <w:iCs/>
          <w:color w:val="000000"/>
          <w:lang w:val="es-ES_tradnl"/>
        </w:rPr>
      </w:pPr>
      <w:r w:rsidRPr="00FC3097">
        <w:rPr>
          <w:i/>
          <w:iCs/>
          <w:color w:val="000000"/>
          <w:lang w:val="es-ES_tradnl"/>
        </w:rPr>
        <w:t>b)</w:t>
      </w:r>
      <w:r w:rsidRPr="00FC3097">
        <w:rPr>
          <w:i/>
          <w:iCs/>
          <w:color w:val="000000"/>
          <w:lang w:val="es-ES_tradnl"/>
        </w:rPr>
        <w:tab/>
        <w:t>la autoridad encarga a uno o más terceros que efectúen los ensayos en cultivo, u otros ensayos;</w:t>
      </w:r>
    </w:p>
    <w:p w14:paraId="6EEAE147" w14:textId="5C599B08" w:rsidR="00DB43B0" w:rsidRPr="00FC3097" w:rsidRDefault="00DB43B0" w:rsidP="009E6E22">
      <w:pPr>
        <w:autoSpaceDE w:val="0"/>
        <w:autoSpaceDN w:val="0"/>
        <w:adjustRightInd w:val="0"/>
        <w:ind w:left="567" w:hanging="567"/>
        <w:rPr>
          <w:rFonts w:eastAsia="Calibri" w:cs="Arial"/>
          <w:i/>
          <w:iCs/>
          <w:color w:val="000000"/>
          <w:lang w:val="es-ES_tradnl"/>
        </w:rPr>
      </w:pPr>
      <w:r w:rsidRPr="00FC3097">
        <w:rPr>
          <w:i/>
          <w:iCs/>
          <w:color w:val="000000"/>
          <w:lang w:val="es-ES_tradnl"/>
        </w:rPr>
        <w:t>c)</w:t>
      </w:r>
      <w:r w:rsidRPr="00FC3097">
        <w:rPr>
          <w:i/>
          <w:iCs/>
          <w:color w:val="000000"/>
          <w:lang w:val="es-ES_tradnl"/>
        </w:rPr>
        <w:tab/>
        <w:t>la autoridad tiene en cuenta los resultados de los ensayos en cultivo, u otros ensayos, que ya se han efectuado.</w:t>
      </w:r>
    </w:p>
    <w:p w14:paraId="43D14D24" w14:textId="77777777" w:rsidR="00DB43B0" w:rsidRPr="00FC3097" w:rsidRDefault="00DB43B0" w:rsidP="00DB43B0">
      <w:pPr>
        <w:autoSpaceDE w:val="0"/>
        <w:autoSpaceDN w:val="0"/>
        <w:adjustRightInd w:val="0"/>
        <w:rPr>
          <w:rFonts w:eastAsia="Calibri" w:cs="Arial"/>
          <w:color w:val="000000"/>
          <w:lang w:val="es-ES_tradnl"/>
        </w:rPr>
      </w:pPr>
    </w:p>
    <w:p w14:paraId="4F892ABB" w14:textId="3CFD1C4A"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A partir de estas opciones, los miembros de la</w:t>
      </w:r>
      <w:r w:rsidR="00982FCB" w:rsidRPr="00FC3097">
        <w:rPr>
          <w:color w:val="000000"/>
          <w:lang w:val="es-ES_tradnl"/>
        </w:rPr>
        <w:t> </w:t>
      </w:r>
      <w:r w:rsidRPr="00FC3097">
        <w:rPr>
          <w:color w:val="000000"/>
          <w:lang w:val="es-ES_tradnl"/>
        </w:rPr>
        <w:t>UPOV han adoptado diferentes planteamientos y prácticas para evaluar nuevas variedades de plantas mediante los que cada autoridad es responsable de conceder o denegar derechos de obtentor en función del examen. Las orientaciones y los principios generales de la</w:t>
      </w:r>
      <w:r w:rsidR="00982FCB" w:rsidRPr="00FC3097">
        <w:rPr>
          <w:color w:val="000000"/>
          <w:lang w:val="es-ES_tradnl"/>
        </w:rPr>
        <w:t> </w:t>
      </w:r>
      <w:r w:rsidRPr="00FC3097">
        <w:rPr>
          <w:color w:val="000000"/>
          <w:lang w:val="es-ES_tradnl"/>
        </w:rPr>
        <w:t>UPOV para el examen</w:t>
      </w:r>
      <w:r w:rsidR="00982FCB" w:rsidRPr="00FC3097">
        <w:rPr>
          <w:color w:val="000000"/>
          <w:lang w:val="es-ES_tradnl"/>
        </w:rPr>
        <w:t> </w:t>
      </w:r>
      <w:r w:rsidRPr="00FC3097">
        <w:rPr>
          <w:color w:val="000000"/>
          <w:lang w:val="es-ES_tradnl"/>
        </w:rPr>
        <w:t xml:space="preserve">DHE y las correspondientes directrices de examen de cada cultivo han permitido alcanzar un elevado grado de armonización en el examen de nuevas variedades.  </w:t>
      </w:r>
    </w:p>
    <w:p w14:paraId="5C391ACE" w14:textId="77777777" w:rsidR="00DB43B0" w:rsidRPr="00FC3097" w:rsidRDefault="00DB43B0" w:rsidP="00DB43B0">
      <w:pPr>
        <w:autoSpaceDE w:val="0"/>
        <w:autoSpaceDN w:val="0"/>
        <w:adjustRightInd w:val="0"/>
        <w:rPr>
          <w:rFonts w:eastAsia="Calibri" w:cs="Arial"/>
          <w:color w:val="000000"/>
          <w:lang w:val="es-ES_tradnl"/>
        </w:rPr>
      </w:pPr>
    </w:p>
    <w:p w14:paraId="15C626A2" w14:textId="283647C8"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Algunos ejemplos de cooperación entre los miembros de la</w:t>
      </w:r>
      <w:r w:rsidR="00982FCB" w:rsidRPr="00FC3097">
        <w:rPr>
          <w:color w:val="000000"/>
          <w:lang w:val="es-ES_tradnl"/>
        </w:rPr>
        <w:t> </w:t>
      </w:r>
      <w:r w:rsidRPr="00FC3097">
        <w:rPr>
          <w:color w:val="000000"/>
          <w:lang w:val="es-ES_tradnl"/>
        </w:rPr>
        <w:t>UPOV son la adquisición, el intercambio y el reconocimiento mutuo de informes de examen</w:t>
      </w:r>
      <w:r w:rsidR="00982FCB" w:rsidRPr="00FC3097">
        <w:rPr>
          <w:color w:val="000000"/>
          <w:lang w:val="es-ES_tradnl"/>
        </w:rPr>
        <w:t> </w:t>
      </w:r>
      <w:r w:rsidRPr="00FC3097">
        <w:rPr>
          <w:color w:val="000000"/>
          <w:lang w:val="es-ES_tradnl"/>
        </w:rPr>
        <w:t>DHE y la realización de exámenes en nombre de otra autoridad a través de acuerdos bilaterales, el examen centralizado o la cooperación entre obtentores en el examen</w:t>
      </w:r>
      <w:r w:rsidR="00982FCB" w:rsidRPr="00FC3097">
        <w:rPr>
          <w:color w:val="000000"/>
          <w:lang w:val="es-ES_tradnl"/>
        </w:rPr>
        <w:t> </w:t>
      </w:r>
      <w:r w:rsidRPr="00FC3097">
        <w:rPr>
          <w:color w:val="000000"/>
          <w:lang w:val="es-ES_tradnl"/>
        </w:rPr>
        <w:t xml:space="preserve">DHE. </w:t>
      </w:r>
    </w:p>
    <w:p w14:paraId="6DC4C780" w14:textId="77777777" w:rsidR="00DB43B0" w:rsidRPr="00FC3097" w:rsidRDefault="00DB43B0" w:rsidP="00DB43B0">
      <w:pPr>
        <w:autoSpaceDE w:val="0"/>
        <w:autoSpaceDN w:val="0"/>
        <w:adjustRightInd w:val="0"/>
        <w:rPr>
          <w:rFonts w:eastAsia="Calibri" w:cs="Arial"/>
          <w:color w:val="000000"/>
          <w:lang w:val="es-ES_tradnl"/>
        </w:rPr>
      </w:pPr>
    </w:p>
    <w:p w14:paraId="3126719C" w14:textId="6EF1F033"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Una mayor cooperación entre los miembros de la</w:t>
      </w:r>
      <w:r w:rsidR="00982FCB" w:rsidRPr="00FC3097">
        <w:rPr>
          <w:color w:val="000000"/>
          <w:lang w:val="es-ES_tradnl"/>
        </w:rPr>
        <w:t> </w:t>
      </w:r>
      <w:r w:rsidRPr="00FC3097">
        <w:rPr>
          <w:color w:val="000000"/>
          <w:lang w:val="es-ES_tradnl"/>
        </w:rPr>
        <w:t xml:space="preserve">UPOV puede suponer un ahorro en tiempo y costos para las oficinas de protección de las obtenciones vegetales. A tal efecto, en el proyecto de propuesta del seminario debe ampliarse el alcance de los tres temas propuestos a continuación:  </w:t>
      </w:r>
    </w:p>
    <w:p w14:paraId="2AE14E1B" w14:textId="77777777" w:rsidR="00DB43B0" w:rsidRPr="00FC3097" w:rsidRDefault="00DB43B0" w:rsidP="00DB43B0">
      <w:pPr>
        <w:autoSpaceDE w:val="0"/>
        <w:autoSpaceDN w:val="0"/>
        <w:adjustRightInd w:val="0"/>
        <w:rPr>
          <w:rFonts w:eastAsia="Calibri" w:cs="Arial"/>
          <w:color w:val="000000"/>
          <w:lang w:val="es-ES_tradnl"/>
        </w:rPr>
      </w:pPr>
    </w:p>
    <w:p w14:paraId="207E32E2"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FECHA Y LUGAR</w:t>
      </w:r>
    </w:p>
    <w:p w14:paraId="2472D01C" w14:textId="77777777" w:rsidR="00DB43B0" w:rsidRPr="00FC3097" w:rsidRDefault="00DB43B0" w:rsidP="00DB43B0">
      <w:pPr>
        <w:autoSpaceDE w:val="0"/>
        <w:autoSpaceDN w:val="0"/>
        <w:adjustRightInd w:val="0"/>
        <w:rPr>
          <w:rFonts w:eastAsia="Calibri" w:cs="Arial"/>
          <w:b/>
          <w:bCs/>
          <w:color w:val="000000"/>
          <w:lang w:val="es-ES_tradnl"/>
        </w:rPr>
      </w:pPr>
    </w:p>
    <w:p w14:paraId="63A68B00" w14:textId="4A3C1F33"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Se propone que el seminario se celebre en formato mixto como acto paralelo a las sesiones de la</w:t>
      </w:r>
      <w:r w:rsidR="00982FCB" w:rsidRPr="00FC3097">
        <w:rPr>
          <w:color w:val="000000"/>
          <w:lang w:val="es-ES_tradnl"/>
        </w:rPr>
        <w:t> </w:t>
      </w:r>
      <w:r w:rsidRPr="00FC3097">
        <w:rPr>
          <w:color w:val="000000"/>
          <w:lang w:val="es-ES_tradnl"/>
        </w:rPr>
        <w:t>UPOV de octubre de</w:t>
      </w:r>
      <w:r w:rsidR="00982FCB" w:rsidRPr="00FC3097">
        <w:rPr>
          <w:color w:val="000000"/>
          <w:lang w:val="es-ES_tradnl"/>
        </w:rPr>
        <w:t> </w:t>
      </w:r>
      <w:r w:rsidRPr="00FC3097">
        <w:rPr>
          <w:color w:val="000000"/>
          <w:lang w:val="es-ES_tradnl"/>
        </w:rPr>
        <w:t xml:space="preserve">2025. </w:t>
      </w:r>
    </w:p>
    <w:p w14:paraId="072F6E1F" w14:textId="77777777" w:rsidR="00DB43B0" w:rsidRPr="00FC3097" w:rsidRDefault="00DB43B0" w:rsidP="00DB43B0">
      <w:pPr>
        <w:autoSpaceDE w:val="0"/>
        <w:autoSpaceDN w:val="0"/>
        <w:adjustRightInd w:val="0"/>
        <w:rPr>
          <w:rFonts w:eastAsia="Calibri" w:cs="Arial"/>
          <w:color w:val="000000"/>
          <w:lang w:val="es-ES_tradnl"/>
        </w:rPr>
      </w:pPr>
    </w:p>
    <w:p w14:paraId="41A05D0D" w14:textId="77777777" w:rsidR="00DB43B0" w:rsidRPr="00FC3097" w:rsidRDefault="00DB43B0" w:rsidP="00DB43B0">
      <w:pPr>
        <w:autoSpaceDE w:val="0"/>
        <w:autoSpaceDN w:val="0"/>
        <w:adjustRightInd w:val="0"/>
        <w:rPr>
          <w:rFonts w:eastAsia="Calibri" w:cs="Arial"/>
          <w:color w:val="000000"/>
          <w:lang w:val="es-ES_tradnl"/>
        </w:rPr>
      </w:pPr>
    </w:p>
    <w:p w14:paraId="401E81A2" w14:textId="4A8FF125" w:rsidR="00DB43B0" w:rsidRPr="00FC3097" w:rsidRDefault="00DB43B0" w:rsidP="00DB43B0">
      <w:pPr>
        <w:autoSpaceDE w:val="0"/>
        <w:autoSpaceDN w:val="0"/>
        <w:adjustRightInd w:val="0"/>
        <w:rPr>
          <w:rFonts w:eastAsia="Calibri" w:cs="Arial"/>
          <w:b/>
          <w:lang w:val="es-ES_tradnl"/>
        </w:rPr>
      </w:pPr>
      <w:r w:rsidRPr="00FC3097">
        <w:rPr>
          <w:b/>
          <w:lang w:val="es-ES_tradnl"/>
        </w:rPr>
        <w:t>TEMA</w:t>
      </w:r>
      <w:r w:rsidR="00982FCB" w:rsidRPr="00FC3097">
        <w:rPr>
          <w:b/>
          <w:lang w:val="es-ES_tradnl"/>
        </w:rPr>
        <w:t> </w:t>
      </w:r>
      <w:r w:rsidRPr="00FC3097">
        <w:rPr>
          <w:b/>
          <w:lang w:val="es-ES_tradnl"/>
        </w:rPr>
        <w:t>I: Breve resumen del papel de los obtentores en el examen</w:t>
      </w:r>
      <w:r w:rsidR="00982FCB" w:rsidRPr="00FC3097">
        <w:rPr>
          <w:b/>
          <w:lang w:val="es-ES_tradnl"/>
        </w:rPr>
        <w:t> </w:t>
      </w:r>
      <w:r w:rsidRPr="00FC3097">
        <w:rPr>
          <w:b/>
          <w:lang w:val="es-ES_tradnl"/>
        </w:rPr>
        <w:t>DHE en distintos miembros de la</w:t>
      </w:r>
      <w:r w:rsidR="00982FCB" w:rsidRPr="00FC3097">
        <w:rPr>
          <w:b/>
          <w:lang w:val="es-ES_tradnl"/>
        </w:rPr>
        <w:t> </w:t>
      </w:r>
      <w:r w:rsidRPr="00FC3097">
        <w:rPr>
          <w:b/>
          <w:lang w:val="es-ES_tradnl"/>
        </w:rPr>
        <w:t xml:space="preserve">UPOV (funciones y responsabilidades de los obtentores y de las oficinas de protección de las obtenciones vegetales en lo que respecta al ensayo de cultivo y al examen) </w:t>
      </w:r>
    </w:p>
    <w:p w14:paraId="6D5FE962" w14:textId="77777777" w:rsidR="00DB43B0" w:rsidRPr="00FC3097" w:rsidRDefault="00DB43B0" w:rsidP="00DB43B0">
      <w:pPr>
        <w:spacing w:after="160" w:line="259" w:lineRule="auto"/>
        <w:contextualSpacing/>
        <w:rPr>
          <w:rFonts w:eastAsia="Calibri" w:cs="Arial"/>
          <w:b/>
          <w:lang w:val="es-ES_tradnl"/>
        </w:rPr>
      </w:pPr>
    </w:p>
    <w:p w14:paraId="13894406" w14:textId="4900A4F3" w:rsidR="00DB43B0" w:rsidRPr="00FC3097" w:rsidRDefault="00DB43B0" w:rsidP="00DB43B0">
      <w:pPr>
        <w:numPr>
          <w:ilvl w:val="0"/>
          <w:numId w:val="4"/>
        </w:numPr>
        <w:spacing w:after="160" w:line="259" w:lineRule="auto"/>
        <w:contextualSpacing/>
        <w:jc w:val="left"/>
        <w:rPr>
          <w:rFonts w:eastAsia="Calibri" w:cs="Arial"/>
          <w:bCs/>
          <w:lang w:val="es-ES_tradnl"/>
        </w:rPr>
      </w:pPr>
      <w:r w:rsidRPr="00FC3097">
        <w:rPr>
          <w:lang w:val="es-ES_tradnl"/>
        </w:rPr>
        <w:t>Descripción general de la participación de los obtentores en el examen</w:t>
      </w:r>
      <w:r w:rsidR="00982FCB" w:rsidRPr="00FC3097">
        <w:rPr>
          <w:lang w:val="es-ES_tradnl"/>
        </w:rPr>
        <w:t> </w:t>
      </w:r>
      <w:r w:rsidRPr="00FC3097">
        <w:rPr>
          <w:lang w:val="es-ES_tradnl"/>
        </w:rPr>
        <w:t xml:space="preserve">DHE. </w:t>
      </w:r>
    </w:p>
    <w:p w14:paraId="1403518E" w14:textId="7341E174" w:rsidR="00DB43B0" w:rsidRPr="00FC3097" w:rsidRDefault="00DB43B0" w:rsidP="00DB43B0">
      <w:pPr>
        <w:numPr>
          <w:ilvl w:val="1"/>
          <w:numId w:val="4"/>
        </w:numPr>
        <w:spacing w:after="160" w:line="259" w:lineRule="auto"/>
        <w:jc w:val="left"/>
        <w:rPr>
          <w:rFonts w:eastAsia="Calibri" w:cs="Arial"/>
          <w:lang w:val="es-ES_tradnl"/>
          <w14:ligatures w14:val="standardContextual"/>
        </w:rPr>
      </w:pPr>
      <w:r w:rsidRPr="00FC3097">
        <w:rPr>
          <w:lang w:val="es-ES_tradnl"/>
        </w:rPr>
        <w:t>¿Cuál es el razonamiento para que los obtentores participen en proceso de protección de las obtenciones vegetales y en el examen</w:t>
      </w:r>
      <w:r w:rsidR="00982FCB" w:rsidRPr="00FC3097">
        <w:rPr>
          <w:lang w:val="es-ES_tradnl"/>
        </w:rPr>
        <w:t> </w:t>
      </w:r>
      <w:r w:rsidRPr="00FC3097">
        <w:rPr>
          <w:lang w:val="es-ES_tradnl"/>
        </w:rPr>
        <w:t xml:space="preserve">DHE y qué ventajas tiene? </w:t>
      </w:r>
    </w:p>
    <w:p w14:paraId="5E5C70FA" w14:textId="78FC1F56" w:rsidR="00DB43B0" w:rsidRPr="00FC3097" w:rsidRDefault="00DB43B0" w:rsidP="00DB43B0">
      <w:pPr>
        <w:numPr>
          <w:ilvl w:val="1"/>
          <w:numId w:val="4"/>
        </w:numPr>
        <w:spacing w:after="160" w:line="259" w:lineRule="auto"/>
        <w:contextualSpacing/>
        <w:jc w:val="left"/>
        <w:rPr>
          <w:rFonts w:eastAsia="Calibri" w:cs="Arial"/>
          <w:bCs/>
          <w:lang w:val="es-ES_tradnl"/>
        </w:rPr>
      </w:pPr>
      <w:r w:rsidRPr="00FC3097">
        <w:rPr>
          <w:lang w:val="es-ES_tradnl"/>
        </w:rPr>
        <w:t>¿Participan los obtentores en el examen de todas las especies o solo de algunas? ¿Qué diferencias hay en los preparativos y en el nivel de participación en cada cultivo? ¿Influye de alguna forma en la decisión de implicar a los obtentores el número estimado de exámenes</w:t>
      </w:r>
      <w:r w:rsidR="00982FCB" w:rsidRPr="00FC3097">
        <w:rPr>
          <w:lang w:val="es-ES_tradnl"/>
        </w:rPr>
        <w:t> </w:t>
      </w:r>
      <w:r w:rsidRPr="00FC3097">
        <w:rPr>
          <w:lang w:val="es-ES_tradnl"/>
        </w:rPr>
        <w:t xml:space="preserve">DHE que se hace de una especie cada año? </w:t>
      </w:r>
    </w:p>
    <w:p w14:paraId="1B671019" w14:textId="77777777" w:rsidR="00DB43B0" w:rsidRPr="00FC3097" w:rsidRDefault="00DB43B0" w:rsidP="00DB43B0">
      <w:pPr>
        <w:spacing w:after="160" w:line="259" w:lineRule="auto"/>
        <w:ind w:left="1440"/>
        <w:contextualSpacing/>
        <w:rPr>
          <w:rFonts w:eastAsia="Calibri" w:cs="Arial"/>
          <w:bCs/>
          <w:lang w:val="es-ES_tradnl"/>
        </w:rPr>
      </w:pPr>
    </w:p>
    <w:p w14:paraId="5BE14A6D" w14:textId="77777777" w:rsidR="00DB43B0" w:rsidRPr="00FC3097" w:rsidRDefault="00DB43B0" w:rsidP="00DB43B0">
      <w:pPr>
        <w:numPr>
          <w:ilvl w:val="1"/>
          <w:numId w:val="4"/>
        </w:numPr>
        <w:spacing w:after="160" w:line="259" w:lineRule="auto"/>
        <w:contextualSpacing/>
        <w:jc w:val="left"/>
        <w:rPr>
          <w:rFonts w:eastAsia="Calibri" w:cs="Arial"/>
          <w:bCs/>
          <w:lang w:val="es-ES_tradnl"/>
        </w:rPr>
      </w:pPr>
      <w:r w:rsidRPr="00FC3097">
        <w:rPr>
          <w:lang w:val="es-ES_tradnl"/>
        </w:rPr>
        <w:t xml:space="preserve">¿Cómo habrá diferentes posibilidades según el tipo y el tamaño del obtentor, por ejemplo, personas físicas, empresas pequeñas, medianas y grandes? </w:t>
      </w:r>
    </w:p>
    <w:p w14:paraId="6CF10C0A" w14:textId="77777777" w:rsidR="00DB43B0" w:rsidRPr="00FC3097" w:rsidRDefault="00DB43B0" w:rsidP="00DB43B0">
      <w:pPr>
        <w:spacing w:after="160" w:line="259" w:lineRule="auto"/>
        <w:ind w:left="720"/>
        <w:contextualSpacing/>
        <w:rPr>
          <w:rFonts w:eastAsia="Calibri" w:cs="Arial"/>
          <w:bCs/>
          <w:lang w:val="es-ES_tradnl"/>
        </w:rPr>
      </w:pPr>
    </w:p>
    <w:p w14:paraId="7667D0AB" w14:textId="0AAA70C9" w:rsidR="00DB43B0" w:rsidRPr="00FC3097" w:rsidRDefault="00DB43B0" w:rsidP="00DB43B0">
      <w:pPr>
        <w:numPr>
          <w:ilvl w:val="1"/>
          <w:numId w:val="4"/>
        </w:numPr>
        <w:spacing w:after="160" w:line="259" w:lineRule="auto"/>
        <w:contextualSpacing/>
        <w:jc w:val="left"/>
        <w:rPr>
          <w:rFonts w:eastAsia="Calibri" w:cs="Arial"/>
          <w:bCs/>
          <w:lang w:val="es-ES_tradnl"/>
        </w:rPr>
      </w:pPr>
      <w:r w:rsidRPr="00FC3097">
        <w:rPr>
          <w:lang w:val="es-ES_tradnl"/>
        </w:rPr>
        <w:t>En los exámenes</w:t>
      </w:r>
      <w:r w:rsidR="00982FCB" w:rsidRPr="00FC3097">
        <w:rPr>
          <w:lang w:val="es-ES_tradnl"/>
        </w:rPr>
        <w:t> </w:t>
      </w:r>
      <w:r w:rsidRPr="00FC3097">
        <w:rPr>
          <w:lang w:val="es-ES_tradnl"/>
        </w:rPr>
        <w:t>DHE ¿qué tareas realizan las oficinas de protección de las obtenciones vegetales y qué tareas realizan los obtentores? (por ejemplo, selección de variedades para el ensayo de cultivo, identificación de variedades similares, facilitación de muestras, facilitación de instalaciones, realización del ensayo y evaluación de los caracteres, entre otras)</w:t>
      </w:r>
    </w:p>
    <w:p w14:paraId="07BD25D6" w14:textId="77777777" w:rsidR="00DB43B0" w:rsidRPr="00FC3097" w:rsidRDefault="00DB43B0" w:rsidP="00DB43B0">
      <w:pPr>
        <w:spacing w:after="160" w:line="259" w:lineRule="auto"/>
        <w:ind w:left="720"/>
        <w:contextualSpacing/>
        <w:rPr>
          <w:rFonts w:eastAsia="Calibri" w:cs="Arial"/>
          <w:bCs/>
          <w:lang w:val="es-ES_tradnl"/>
        </w:rPr>
      </w:pPr>
    </w:p>
    <w:p w14:paraId="7E614400" w14:textId="6D7C6559" w:rsidR="00DB43B0" w:rsidRPr="00FC3097" w:rsidRDefault="00DB43B0" w:rsidP="00DB43B0">
      <w:pPr>
        <w:numPr>
          <w:ilvl w:val="0"/>
          <w:numId w:val="4"/>
        </w:numPr>
        <w:spacing w:after="160" w:line="259" w:lineRule="auto"/>
        <w:contextualSpacing/>
        <w:jc w:val="left"/>
        <w:rPr>
          <w:rFonts w:eastAsia="Calibri" w:cs="Arial"/>
          <w:lang w:val="es-ES_tradnl"/>
        </w:rPr>
      </w:pPr>
      <w:r w:rsidRPr="00FC3097">
        <w:rPr>
          <w:lang w:val="es-ES_tradnl"/>
        </w:rPr>
        <w:t>¿Ha adoptado la oficina de protección de las obtenciones vegetales o el legislador procedimientos que describan las tareas y los métodos que han de aplicar los obtentores que participan en los exámenes</w:t>
      </w:r>
      <w:r w:rsidR="00982FCB" w:rsidRPr="00FC3097">
        <w:rPr>
          <w:lang w:val="es-ES_tradnl"/>
        </w:rPr>
        <w:t> </w:t>
      </w:r>
      <w:r w:rsidRPr="00FC3097">
        <w:rPr>
          <w:lang w:val="es-ES_tradnl"/>
        </w:rPr>
        <w:t>DHE? ¿Existe algún sistema de aprobación o acreditación? ¿Qué criterios deben seguir los obtentores cuando colabor</w:t>
      </w:r>
      <w:r w:rsidR="00982FCB" w:rsidRPr="00FC3097">
        <w:rPr>
          <w:lang w:val="es-ES_tradnl"/>
        </w:rPr>
        <w:t>a</w:t>
      </w:r>
      <w:r w:rsidRPr="00FC3097">
        <w:rPr>
          <w:lang w:val="es-ES_tradnl"/>
        </w:rPr>
        <w:t>n en el examen</w:t>
      </w:r>
      <w:r w:rsidR="00982FCB" w:rsidRPr="00FC3097">
        <w:rPr>
          <w:lang w:val="es-ES_tradnl"/>
        </w:rPr>
        <w:t> </w:t>
      </w:r>
      <w:r w:rsidRPr="00FC3097">
        <w:rPr>
          <w:lang w:val="es-ES_tradnl"/>
        </w:rPr>
        <w:t>DHE?</w:t>
      </w:r>
    </w:p>
    <w:p w14:paraId="747ABC37" w14:textId="77777777" w:rsidR="00DB43B0" w:rsidRPr="00FC3097" w:rsidRDefault="00DB43B0" w:rsidP="00DB43B0">
      <w:pPr>
        <w:spacing w:after="160" w:line="259" w:lineRule="auto"/>
        <w:contextualSpacing/>
        <w:rPr>
          <w:rFonts w:eastAsia="Calibri" w:cs="Arial"/>
          <w:bCs/>
          <w:lang w:val="es-ES_tradnl"/>
        </w:rPr>
      </w:pPr>
    </w:p>
    <w:p w14:paraId="239392E0" w14:textId="04F221AD" w:rsidR="00DB43B0" w:rsidRPr="00FC3097" w:rsidRDefault="00DB43B0" w:rsidP="00DB43B0">
      <w:pPr>
        <w:numPr>
          <w:ilvl w:val="0"/>
          <w:numId w:val="4"/>
        </w:numPr>
        <w:spacing w:after="160" w:line="259" w:lineRule="auto"/>
        <w:contextualSpacing/>
        <w:jc w:val="left"/>
        <w:rPr>
          <w:rFonts w:eastAsia="Calibri" w:cs="Arial"/>
          <w:bCs/>
          <w:lang w:val="es-ES_tradnl"/>
        </w:rPr>
      </w:pPr>
      <w:r w:rsidRPr="00FC3097">
        <w:rPr>
          <w:lang w:val="es-ES_tradnl"/>
        </w:rPr>
        <w:t>En los casos en los que los obtentores participan en los exámenes</w:t>
      </w:r>
      <w:r w:rsidR="00982FCB" w:rsidRPr="00FC3097">
        <w:rPr>
          <w:lang w:val="es-ES_tradnl"/>
        </w:rPr>
        <w:t> </w:t>
      </w:r>
      <w:r w:rsidRPr="00FC3097">
        <w:rPr>
          <w:lang w:val="es-ES_tradnl"/>
        </w:rPr>
        <w:t>DHE ¿en qué medida supervisan las oficinas de protección de las obtenciones vegetales el proceso para garantizar que se respetan los procedimientos y métodos aplicables?</w:t>
      </w:r>
    </w:p>
    <w:p w14:paraId="32E362D1" w14:textId="77777777" w:rsidR="00DB43B0" w:rsidRPr="00FC3097" w:rsidRDefault="00DB43B0" w:rsidP="00DB43B0">
      <w:pPr>
        <w:spacing w:after="160" w:line="259" w:lineRule="auto"/>
        <w:contextualSpacing/>
        <w:rPr>
          <w:rFonts w:eastAsia="Calibri" w:cs="Arial"/>
          <w:bCs/>
          <w:lang w:val="es-ES_tradnl"/>
        </w:rPr>
      </w:pPr>
    </w:p>
    <w:p w14:paraId="5852AC10" w14:textId="77777777" w:rsidR="00DB43B0" w:rsidRPr="00FC3097" w:rsidRDefault="00DB43B0" w:rsidP="00DB43B0">
      <w:pPr>
        <w:spacing w:after="160" w:line="259" w:lineRule="auto"/>
        <w:contextualSpacing/>
        <w:rPr>
          <w:rFonts w:eastAsia="Calibri" w:cs="Arial"/>
          <w:bCs/>
          <w:lang w:val="es-ES_tradnl"/>
        </w:rPr>
      </w:pPr>
    </w:p>
    <w:p w14:paraId="769FCE3B" w14:textId="6209224C" w:rsidR="00DB43B0" w:rsidRPr="00FC3097" w:rsidRDefault="00DB43B0" w:rsidP="00DB43B0">
      <w:pPr>
        <w:spacing w:after="160" w:line="259" w:lineRule="auto"/>
        <w:contextualSpacing/>
        <w:rPr>
          <w:rFonts w:eastAsia="Calibri" w:cs="Arial"/>
          <w:b/>
          <w:lang w:val="es-ES_tradnl"/>
        </w:rPr>
      </w:pPr>
      <w:r w:rsidRPr="00FC3097">
        <w:rPr>
          <w:b/>
          <w:lang w:val="es-ES_tradnl"/>
        </w:rPr>
        <w:t>TEMA</w:t>
      </w:r>
      <w:r w:rsidR="00982FCB" w:rsidRPr="00FC3097">
        <w:rPr>
          <w:b/>
          <w:lang w:val="es-ES_tradnl"/>
        </w:rPr>
        <w:t> </w:t>
      </w:r>
      <w:r w:rsidRPr="00FC3097">
        <w:rPr>
          <w:b/>
          <w:lang w:val="es-ES_tradnl"/>
        </w:rPr>
        <w:t>II: Oportunidades de cooperación con los obtentores en los exámenes</w:t>
      </w:r>
      <w:r w:rsidR="00982FCB" w:rsidRPr="00FC3097">
        <w:rPr>
          <w:b/>
          <w:lang w:val="es-ES_tradnl"/>
        </w:rPr>
        <w:t> </w:t>
      </w:r>
      <w:r w:rsidRPr="00FC3097">
        <w:rPr>
          <w:b/>
          <w:lang w:val="es-ES_tradnl"/>
        </w:rPr>
        <w:t xml:space="preserve">DHE (aspectos relativos a conflictos de intereses, independencia, exámenes </w:t>
      </w:r>
      <w:r w:rsidRPr="00FC3097">
        <w:rPr>
          <w:b/>
          <w:i/>
          <w:lang w:val="es-ES_tradnl"/>
        </w:rPr>
        <w:t>in situ</w:t>
      </w:r>
      <w:r w:rsidRPr="00FC3097">
        <w:rPr>
          <w:b/>
          <w:lang w:val="es-ES_tradnl"/>
        </w:rPr>
        <w:t>, publicación)</w:t>
      </w:r>
    </w:p>
    <w:p w14:paraId="6BB7A744" w14:textId="77777777" w:rsidR="00DB43B0" w:rsidRPr="00FC3097" w:rsidRDefault="00DB43B0" w:rsidP="00DB43B0">
      <w:pPr>
        <w:spacing w:after="160" w:line="259" w:lineRule="auto"/>
        <w:ind w:left="720"/>
        <w:contextualSpacing/>
        <w:jc w:val="left"/>
        <w:rPr>
          <w:rFonts w:eastAsia="Calibri" w:cs="Arial"/>
          <w:bCs/>
          <w:lang w:val="es-ES_tradnl"/>
        </w:rPr>
      </w:pPr>
    </w:p>
    <w:p w14:paraId="7F98C307" w14:textId="21BB82E4" w:rsidR="00DB43B0" w:rsidRPr="00FC3097" w:rsidRDefault="00DB43B0" w:rsidP="00B172CE">
      <w:pPr>
        <w:numPr>
          <w:ilvl w:val="0"/>
          <w:numId w:val="4"/>
        </w:numPr>
        <w:spacing w:after="160" w:line="259" w:lineRule="auto"/>
        <w:jc w:val="left"/>
        <w:rPr>
          <w:rFonts w:eastAsia="Calibri" w:cs="Arial"/>
          <w:bCs/>
          <w:lang w:val="es-ES_tradnl"/>
        </w:rPr>
      </w:pPr>
      <w:r w:rsidRPr="00FC3097">
        <w:rPr>
          <w:lang w:val="es-ES_tradnl"/>
        </w:rPr>
        <w:t>¿Supone la participación de los obtentores en los exámenes</w:t>
      </w:r>
      <w:r w:rsidR="00982FCB" w:rsidRPr="00FC3097">
        <w:rPr>
          <w:lang w:val="es-ES_tradnl"/>
        </w:rPr>
        <w:t> </w:t>
      </w:r>
      <w:r w:rsidRPr="00FC3097">
        <w:rPr>
          <w:lang w:val="es-ES_tradnl"/>
        </w:rPr>
        <w:t xml:space="preserve">DHE algún riesgo específico? ¿Cómo se mitiga? </w:t>
      </w:r>
    </w:p>
    <w:p w14:paraId="75FD0A46" w14:textId="08C8DB73" w:rsidR="00DB43B0" w:rsidRPr="00FC3097" w:rsidRDefault="00DB43B0" w:rsidP="00B172CE">
      <w:pPr>
        <w:numPr>
          <w:ilvl w:val="0"/>
          <w:numId w:val="4"/>
        </w:numPr>
        <w:spacing w:after="160" w:line="259" w:lineRule="auto"/>
        <w:jc w:val="left"/>
        <w:rPr>
          <w:rFonts w:eastAsia="Calibri" w:cs="Arial"/>
          <w:bCs/>
          <w:lang w:val="es-ES_tradnl"/>
        </w:rPr>
      </w:pPr>
      <w:r w:rsidRPr="00C9252B">
        <w:rPr>
          <w:lang w:val="es-ES_tradnl"/>
        </w:rPr>
        <w:t>¿Cómo trabajan con los obtentores las oficinas de protección de las obtenciones vegetales y los miembros de la</w:t>
      </w:r>
      <w:r w:rsidR="00982FCB" w:rsidRPr="00C9252B">
        <w:rPr>
          <w:lang w:val="es-ES_tradnl"/>
        </w:rPr>
        <w:t> </w:t>
      </w:r>
      <w:r w:rsidRPr="00C9252B">
        <w:rPr>
          <w:lang w:val="es-ES_tradnl"/>
        </w:rPr>
        <w:t>UPOV para validar los requisitos del examen</w:t>
      </w:r>
      <w:r w:rsidR="00982FCB" w:rsidRPr="00C9252B">
        <w:rPr>
          <w:lang w:val="es-ES_tradnl"/>
        </w:rPr>
        <w:t> </w:t>
      </w:r>
      <w:r w:rsidRPr="00C9252B">
        <w:rPr>
          <w:lang w:val="es-ES_tradnl"/>
        </w:rPr>
        <w:t>DHE?</w:t>
      </w:r>
      <w:r w:rsidRPr="00FC3097">
        <w:rPr>
          <w:i/>
          <w:iCs/>
          <w:lang w:val="es-ES_tradnl"/>
        </w:rPr>
        <w:t xml:space="preserve"> </w:t>
      </w:r>
      <w:r w:rsidRPr="00FC3097">
        <w:rPr>
          <w:lang w:val="es-ES_tradnl"/>
        </w:rPr>
        <w:t>¿Cuáles son los posibles conflictos de interés y cómo se abordan?</w:t>
      </w:r>
    </w:p>
    <w:p w14:paraId="56959AD7" w14:textId="77777777" w:rsidR="00DB43B0" w:rsidRPr="00FC3097" w:rsidRDefault="00DB43B0" w:rsidP="00B172CE">
      <w:pPr>
        <w:numPr>
          <w:ilvl w:val="0"/>
          <w:numId w:val="4"/>
        </w:numPr>
        <w:spacing w:after="160" w:line="259" w:lineRule="auto"/>
        <w:jc w:val="left"/>
        <w:rPr>
          <w:rFonts w:eastAsia="Calibri" w:cs="Arial"/>
          <w:bCs/>
          <w:lang w:val="es-ES_tradnl"/>
        </w:rPr>
      </w:pPr>
      <w:r w:rsidRPr="00FC3097">
        <w:rPr>
          <w:lang w:val="es-ES_tradnl"/>
        </w:rPr>
        <w:t xml:space="preserve">¿En qué condiciones podría una organización, que también hace fitomejoramiento, realizar el examen de variedades de otros obtentores, o participar en él, si la autoridad encargada de conceder derechos de obtentor se lo encarga o le pide ayuda? </w:t>
      </w:r>
    </w:p>
    <w:p w14:paraId="009FBCAF" w14:textId="7C742288" w:rsidR="00DB43B0" w:rsidRPr="00FC3097" w:rsidRDefault="00DB43B0" w:rsidP="00B172CE">
      <w:pPr>
        <w:numPr>
          <w:ilvl w:val="0"/>
          <w:numId w:val="4"/>
        </w:numPr>
        <w:spacing w:after="160" w:line="259" w:lineRule="auto"/>
        <w:jc w:val="left"/>
        <w:rPr>
          <w:rFonts w:eastAsia="Calibri" w:cs="Arial"/>
          <w:lang w:val="es-ES_tradnl"/>
        </w:rPr>
      </w:pPr>
      <w:r w:rsidRPr="00FC3097">
        <w:rPr>
          <w:lang w:val="es-ES_tradnl"/>
        </w:rPr>
        <w:lastRenderedPageBreak/>
        <w:t>¿Pueden los obtentores acceder a las bases de datos creadas por las oficinas de protección de las obtenciones vegetales para elegir variedades similares (colecciones de variedades, perfiles de ADN) para los exámenes</w:t>
      </w:r>
      <w:r w:rsidR="00982FCB" w:rsidRPr="00FC3097">
        <w:rPr>
          <w:lang w:val="es-ES_tradnl"/>
        </w:rPr>
        <w:t> </w:t>
      </w:r>
      <w:r w:rsidRPr="00FC3097">
        <w:rPr>
          <w:lang w:val="es-ES_tradnl"/>
        </w:rPr>
        <w:t>DHE?</w:t>
      </w:r>
    </w:p>
    <w:p w14:paraId="0B163070" w14:textId="77777777" w:rsidR="00DB43B0" w:rsidRPr="00FC3097" w:rsidRDefault="00DB43B0" w:rsidP="00DB43B0">
      <w:pPr>
        <w:numPr>
          <w:ilvl w:val="0"/>
          <w:numId w:val="5"/>
        </w:numPr>
        <w:spacing w:after="160" w:line="259" w:lineRule="auto"/>
        <w:jc w:val="left"/>
        <w:rPr>
          <w:rFonts w:eastAsia="Calibri" w:cs="Arial"/>
          <w:lang w:val="es-ES_tradnl"/>
          <w14:ligatures w14:val="standardContextual"/>
        </w:rPr>
      </w:pPr>
      <w:r w:rsidRPr="00FC3097">
        <w:rPr>
          <w:lang w:val="es-ES_tradnl"/>
        </w:rPr>
        <w:t>¿Cómo se tratan los datos brutos generados durante los exámenes DHE?</w:t>
      </w:r>
    </w:p>
    <w:p w14:paraId="6D4CE844" w14:textId="45FA4C65" w:rsidR="00DB43B0" w:rsidRPr="00FC3097" w:rsidRDefault="00DB43B0" w:rsidP="00DB43B0">
      <w:pPr>
        <w:numPr>
          <w:ilvl w:val="0"/>
          <w:numId w:val="4"/>
        </w:numPr>
        <w:spacing w:after="160" w:line="259" w:lineRule="auto"/>
        <w:jc w:val="left"/>
        <w:rPr>
          <w:rFonts w:eastAsia="Calibri" w:cs="Arial"/>
          <w:lang w:val="es-ES_tradnl"/>
          <w14:ligatures w14:val="standardContextual"/>
        </w:rPr>
      </w:pPr>
      <w:r w:rsidRPr="00FC3097">
        <w:rPr>
          <w:lang w:val="es-ES_tradnl"/>
        </w:rPr>
        <w:t>¿Cómo pueden incluirse variedades similares de otros obtentores en el examen</w:t>
      </w:r>
      <w:r w:rsidR="00982FCB" w:rsidRPr="00FC3097">
        <w:rPr>
          <w:lang w:val="es-ES_tradnl"/>
        </w:rPr>
        <w:t> </w:t>
      </w:r>
      <w:r w:rsidRPr="00FC3097">
        <w:rPr>
          <w:lang w:val="es-ES_tradnl"/>
        </w:rPr>
        <w:t xml:space="preserve">DHE si aún no están protegidas ni incluidas en una lista pero tienen prioridad (la solicitud se presentó con anterioridad)? </w:t>
      </w:r>
    </w:p>
    <w:p w14:paraId="3A776B28" w14:textId="77777777" w:rsidR="00DB43B0" w:rsidRPr="00FC3097" w:rsidRDefault="00DB43B0" w:rsidP="00DB43B0">
      <w:pPr>
        <w:numPr>
          <w:ilvl w:val="0"/>
          <w:numId w:val="4"/>
        </w:numPr>
        <w:spacing w:after="160" w:line="259" w:lineRule="auto"/>
        <w:jc w:val="left"/>
        <w:rPr>
          <w:rFonts w:eastAsia="Calibri" w:cs="Arial"/>
          <w:lang w:val="es-ES_tradnl"/>
        </w:rPr>
      </w:pPr>
      <w:r w:rsidRPr="00FC3097">
        <w:rPr>
          <w:lang w:val="es-ES_tradnl"/>
        </w:rPr>
        <w:t xml:space="preserve">¿Qué formación, orientación e información se proporciona a los obtentores o a los coordinadores de ensayo que colaboran en los exámenes DHE? </w:t>
      </w:r>
    </w:p>
    <w:p w14:paraId="23864C08" w14:textId="77777777" w:rsidR="00DB43B0" w:rsidRPr="00FC3097" w:rsidRDefault="00DB43B0" w:rsidP="00DB43B0">
      <w:pPr>
        <w:numPr>
          <w:ilvl w:val="0"/>
          <w:numId w:val="4"/>
        </w:numPr>
        <w:spacing w:after="160" w:line="259" w:lineRule="auto"/>
        <w:contextualSpacing/>
        <w:jc w:val="left"/>
        <w:rPr>
          <w:rFonts w:eastAsia="Calibri" w:cs="Arial"/>
          <w:lang w:val="es-ES_tradnl"/>
        </w:rPr>
      </w:pPr>
      <w:r w:rsidRPr="00FC3097">
        <w:rPr>
          <w:lang w:val="es-ES_tradnl"/>
        </w:rPr>
        <w:t>¿Cómo se puede generar confianza en el sistema?</w:t>
      </w:r>
    </w:p>
    <w:p w14:paraId="721F8FDE" w14:textId="77777777" w:rsidR="00DB43B0" w:rsidRPr="00FC3097" w:rsidRDefault="00DB43B0" w:rsidP="00DB43B0">
      <w:pPr>
        <w:spacing w:after="160" w:line="259" w:lineRule="auto"/>
        <w:contextualSpacing/>
        <w:rPr>
          <w:rFonts w:eastAsia="Calibri" w:cs="Arial"/>
          <w:bCs/>
          <w:lang w:val="es-ES_tradnl"/>
        </w:rPr>
      </w:pPr>
    </w:p>
    <w:p w14:paraId="114DC160" w14:textId="77777777" w:rsidR="005F31BE" w:rsidRPr="00FC3097" w:rsidRDefault="005F31BE" w:rsidP="00DB43B0">
      <w:pPr>
        <w:spacing w:after="160" w:line="259" w:lineRule="auto"/>
        <w:contextualSpacing/>
        <w:rPr>
          <w:rFonts w:eastAsia="Calibri" w:cs="Arial"/>
          <w:bCs/>
          <w:lang w:val="es-ES_tradnl"/>
        </w:rPr>
      </w:pPr>
    </w:p>
    <w:p w14:paraId="3FDF23FF" w14:textId="3991E86C" w:rsidR="00DB43B0" w:rsidRPr="00FC3097" w:rsidRDefault="00DB43B0" w:rsidP="00DB43B0">
      <w:pPr>
        <w:spacing w:after="160" w:line="259" w:lineRule="auto"/>
        <w:contextualSpacing/>
        <w:rPr>
          <w:rFonts w:eastAsia="Calibri" w:cs="Arial"/>
          <w:b/>
          <w:lang w:val="es-ES_tradnl"/>
        </w:rPr>
      </w:pPr>
      <w:r w:rsidRPr="00FC3097">
        <w:rPr>
          <w:b/>
          <w:lang w:val="es-ES_tradnl"/>
        </w:rPr>
        <w:t>TEMA</w:t>
      </w:r>
      <w:r w:rsidR="00982FCB" w:rsidRPr="00FC3097">
        <w:rPr>
          <w:b/>
          <w:lang w:val="es-ES_tradnl"/>
        </w:rPr>
        <w:t> </w:t>
      </w:r>
      <w:r w:rsidRPr="00FC3097">
        <w:rPr>
          <w:b/>
          <w:lang w:val="es-ES_tradnl"/>
        </w:rPr>
        <w:t xml:space="preserve">III: Ventajas, retos y necesidades (perspectiva de las oficinas de protección de las obtenciones vegetales y de los obtentores) </w:t>
      </w:r>
    </w:p>
    <w:p w14:paraId="6E74BA49" w14:textId="77777777" w:rsidR="00DB43B0" w:rsidRPr="00FC3097" w:rsidRDefault="00DB43B0" w:rsidP="00DB43B0">
      <w:pPr>
        <w:spacing w:after="160" w:line="259" w:lineRule="auto"/>
        <w:ind w:left="720"/>
        <w:contextualSpacing/>
        <w:rPr>
          <w:rFonts w:eastAsia="Calibri" w:cs="Arial"/>
          <w:lang w:val="es-ES_tradnl"/>
        </w:rPr>
      </w:pPr>
    </w:p>
    <w:p w14:paraId="0F1B7BC2" w14:textId="77777777" w:rsidR="00DB43B0" w:rsidRPr="00FC3097" w:rsidRDefault="00DB43B0" w:rsidP="00DB43B0">
      <w:pPr>
        <w:numPr>
          <w:ilvl w:val="0"/>
          <w:numId w:val="6"/>
        </w:numPr>
        <w:spacing w:after="160" w:line="259" w:lineRule="auto"/>
        <w:contextualSpacing/>
        <w:jc w:val="left"/>
        <w:rPr>
          <w:rFonts w:eastAsia="Calibri" w:cs="Arial"/>
          <w:lang w:val="es-ES_tradnl"/>
        </w:rPr>
      </w:pPr>
      <w:r w:rsidRPr="00FC3097">
        <w:rPr>
          <w:lang w:val="es-ES_tradnl"/>
        </w:rPr>
        <w:t xml:space="preserve">¿Qué costos soportan y qué recursos aportan las oficinas de protección de las obtenciones vegetales y los obtentores o solicitantes? (infraestructura, operaciones, colecciones de variedades, etc.) </w:t>
      </w:r>
    </w:p>
    <w:p w14:paraId="2C67710F" w14:textId="77777777" w:rsidR="00DB43B0" w:rsidRPr="00FC3097" w:rsidRDefault="00DB43B0" w:rsidP="00DB43B0">
      <w:pPr>
        <w:spacing w:after="160" w:line="259" w:lineRule="auto"/>
        <w:ind w:left="720"/>
        <w:contextualSpacing/>
        <w:rPr>
          <w:rFonts w:eastAsia="Calibri" w:cs="Arial"/>
          <w:lang w:val="es-ES_tradnl"/>
        </w:rPr>
      </w:pPr>
    </w:p>
    <w:p w14:paraId="17690D0A" w14:textId="0CF63854" w:rsidR="00DB43B0" w:rsidRPr="00FC3097" w:rsidRDefault="00DB43B0" w:rsidP="00DB43B0">
      <w:pPr>
        <w:numPr>
          <w:ilvl w:val="0"/>
          <w:numId w:val="6"/>
        </w:numPr>
        <w:spacing w:after="160" w:line="259" w:lineRule="auto"/>
        <w:contextualSpacing/>
        <w:jc w:val="left"/>
        <w:rPr>
          <w:rFonts w:eastAsia="Calibri" w:cs="Arial"/>
          <w:lang w:val="es-ES_tradnl"/>
        </w:rPr>
      </w:pPr>
      <w:r w:rsidRPr="00FC3097">
        <w:rPr>
          <w:lang w:val="es-ES_tradnl"/>
        </w:rPr>
        <w:t>Políticas de recuperación de costos y precio que se cobra por el examen</w:t>
      </w:r>
      <w:r w:rsidR="00982FCB" w:rsidRPr="00FC3097">
        <w:rPr>
          <w:lang w:val="es-ES_tradnl"/>
        </w:rPr>
        <w:t> </w:t>
      </w:r>
      <w:r w:rsidRPr="00FC3097">
        <w:rPr>
          <w:lang w:val="es-ES_tradnl"/>
        </w:rPr>
        <w:t>DHE.</w:t>
      </w:r>
    </w:p>
    <w:p w14:paraId="34260223" w14:textId="77777777" w:rsidR="00DB43B0" w:rsidRPr="00FC3097" w:rsidRDefault="00DB43B0" w:rsidP="00DB43B0">
      <w:pPr>
        <w:spacing w:after="160" w:line="259" w:lineRule="auto"/>
        <w:ind w:left="720"/>
        <w:contextualSpacing/>
        <w:rPr>
          <w:rFonts w:eastAsia="Calibri" w:cs="Arial"/>
          <w:lang w:val="es-ES_tradnl"/>
        </w:rPr>
      </w:pPr>
    </w:p>
    <w:p w14:paraId="312CD9D3" w14:textId="77777777" w:rsidR="00DB43B0" w:rsidRPr="00FC3097" w:rsidRDefault="00DB43B0" w:rsidP="00DB43B0">
      <w:pPr>
        <w:numPr>
          <w:ilvl w:val="0"/>
          <w:numId w:val="6"/>
        </w:numPr>
        <w:spacing w:after="160" w:line="259" w:lineRule="auto"/>
        <w:contextualSpacing/>
        <w:jc w:val="left"/>
        <w:rPr>
          <w:rFonts w:eastAsia="Calibri" w:cs="Arial"/>
          <w:lang w:val="es-ES_tradnl"/>
        </w:rPr>
      </w:pPr>
      <w:r w:rsidRPr="00FC3097">
        <w:rPr>
          <w:lang w:val="es-ES_tradnl"/>
        </w:rPr>
        <w:t xml:space="preserve">¿Cómo se evalúa el retorno de la inversión cuándo participan obtentores en los exámenes DHE en aspectos como infraestructura, personal y otros recursos? </w:t>
      </w:r>
    </w:p>
    <w:p w14:paraId="20AD36B7" w14:textId="77777777" w:rsidR="00DB43B0" w:rsidRPr="00FC3097" w:rsidRDefault="00DB43B0" w:rsidP="00DB43B0">
      <w:pPr>
        <w:spacing w:after="160" w:line="259" w:lineRule="auto"/>
        <w:ind w:left="720"/>
        <w:contextualSpacing/>
        <w:rPr>
          <w:rFonts w:eastAsia="Calibri" w:cs="Arial"/>
          <w:lang w:val="es-ES_tradnl"/>
        </w:rPr>
      </w:pPr>
    </w:p>
    <w:p w14:paraId="3018D3C3" w14:textId="77777777" w:rsidR="00DB43B0" w:rsidRPr="00FC3097" w:rsidRDefault="00DB43B0" w:rsidP="00DB43B0">
      <w:pPr>
        <w:numPr>
          <w:ilvl w:val="0"/>
          <w:numId w:val="6"/>
        </w:numPr>
        <w:spacing w:after="160" w:line="259" w:lineRule="auto"/>
        <w:contextualSpacing/>
        <w:jc w:val="left"/>
        <w:rPr>
          <w:rFonts w:eastAsia="Calibri" w:cs="Arial"/>
          <w:lang w:val="es-ES_tradnl"/>
        </w:rPr>
      </w:pPr>
      <w:r w:rsidRPr="00FC3097">
        <w:rPr>
          <w:lang w:val="es-ES_tradnl"/>
        </w:rPr>
        <w:t>¿Cómo se puede aprovechar la experiencia de los obtentores?</w:t>
      </w:r>
    </w:p>
    <w:p w14:paraId="4380AC0B" w14:textId="77777777" w:rsidR="00DB43B0" w:rsidRPr="00FC3097" w:rsidRDefault="00DB43B0" w:rsidP="00DB43B0">
      <w:pPr>
        <w:spacing w:after="160" w:line="259" w:lineRule="auto"/>
        <w:ind w:left="720"/>
        <w:contextualSpacing/>
        <w:rPr>
          <w:rFonts w:eastAsia="Calibri" w:cs="Arial"/>
          <w:lang w:val="es-ES_tradnl"/>
        </w:rPr>
      </w:pPr>
    </w:p>
    <w:p w14:paraId="3A54F16C" w14:textId="77777777" w:rsidR="00DB43B0" w:rsidRPr="00FC3097" w:rsidRDefault="00DB43B0" w:rsidP="00DB43B0">
      <w:pPr>
        <w:numPr>
          <w:ilvl w:val="0"/>
          <w:numId w:val="6"/>
        </w:numPr>
        <w:spacing w:after="160" w:line="259" w:lineRule="auto"/>
        <w:contextualSpacing/>
        <w:jc w:val="left"/>
        <w:rPr>
          <w:rFonts w:eastAsia="Calibri" w:cs="Arial"/>
          <w:lang w:val="es-ES_tradnl"/>
        </w:rPr>
      </w:pPr>
      <w:r w:rsidRPr="00FC3097">
        <w:rPr>
          <w:lang w:val="es-ES_tradnl"/>
        </w:rPr>
        <w:t xml:space="preserve">¿Qué percepción tienen los obtentores que participan en exámenes DHE de su colaboración? ¿Cuáles son los retos y las oportunidades para los obtentores? </w:t>
      </w:r>
    </w:p>
    <w:p w14:paraId="67BE8463" w14:textId="77777777" w:rsidR="00DB43B0" w:rsidRPr="00FC3097" w:rsidRDefault="00DB43B0" w:rsidP="00DB43B0">
      <w:pPr>
        <w:spacing w:after="160" w:line="259" w:lineRule="auto"/>
        <w:ind w:left="720"/>
        <w:contextualSpacing/>
        <w:jc w:val="left"/>
        <w:rPr>
          <w:rFonts w:eastAsia="Calibri" w:cs="Arial"/>
          <w:lang w:val="es-ES_tradnl"/>
        </w:rPr>
      </w:pPr>
    </w:p>
    <w:p w14:paraId="12E9C719" w14:textId="77777777" w:rsidR="00DB43B0" w:rsidRPr="00FC3097" w:rsidRDefault="00DB43B0" w:rsidP="00DB43B0">
      <w:pPr>
        <w:numPr>
          <w:ilvl w:val="0"/>
          <w:numId w:val="6"/>
        </w:numPr>
        <w:spacing w:after="160" w:line="259" w:lineRule="auto"/>
        <w:contextualSpacing/>
        <w:jc w:val="left"/>
        <w:rPr>
          <w:rFonts w:eastAsia="Calibri" w:cs="Arial"/>
          <w:lang w:val="es-ES_tradnl"/>
        </w:rPr>
      </w:pPr>
      <w:r w:rsidRPr="00FC3097">
        <w:rPr>
          <w:lang w:val="es-ES_tradnl"/>
        </w:rPr>
        <w:t>¿Con qué dificultades se encuentra el obtentor que cultiva el ensayo para acceder a material vegetal de variedades de otros obtentores?</w:t>
      </w:r>
    </w:p>
    <w:p w14:paraId="2D87CA99" w14:textId="77777777" w:rsidR="00DB43B0" w:rsidRPr="00FC3097" w:rsidRDefault="00DB43B0" w:rsidP="00DB43B0">
      <w:pPr>
        <w:spacing w:after="160" w:line="259" w:lineRule="auto"/>
        <w:contextualSpacing/>
        <w:rPr>
          <w:rFonts w:eastAsia="Calibri" w:cs="Arial"/>
          <w:lang w:val="es-ES_tradnl"/>
        </w:rPr>
      </w:pPr>
    </w:p>
    <w:p w14:paraId="4D74121E" w14:textId="7340E3A8" w:rsidR="00DB43B0" w:rsidRPr="00FC3097" w:rsidRDefault="00DB43B0" w:rsidP="00DB43B0">
      <w:pPr>
        <w:numPr>
          <w:ilvl w:val="0"/>
          <w:numId w:val="4"/>
        </w:numPr>
        <w:spacing w:after="160" w:line="259" w:lineRule="auto"/>
        <w:contextualSpacing/>
        <w:jc w:val="left"/>
        <w:rPr>
          <w:rFonts w:eastAsia="Calibri" w:cs="Arial"/>
          <w:lang w:val="es-ES_tradnl"/>
        </w:rPr>
      </w:pPr>
      <w:r w:rsidRPr="00FC3097">
        <w:rPr>
          <w:lang w:val="es-ES_tradnl"/>
        </w:rPr>
        <w:t>¿Disponen las oficinas de protección de las obtenciones vegetales de una secuencia de preferencias para organizar los exámenes DHE: por ejemplo, encargo, examen por una oficina de protección de las obtenciones vegetales, examen organizado por una oficina de protección de las obtenciones vegetales en otro miembro de la</w:t>
      </w:r>
      <w:r w:rsidR="00982FCB" w:rsidRPr="00FC3097">
        <w:rPr>
          <w:lang w:val="es-ES_tradnl"/>
        </w:rPr>
        <w:t> </w:t>
      </w:r>
      <w:r w:rsidRPr="00FC3097">
        <w:rPr>
          <w:lang w:val="es-ES_tradnl"/>
        </w:rPr>
        <w:t xml:space="preserve">UPOV, cooperación de un obtentor (en cualquier orden)? </w:t>
      </w:r>
    </w:p>
    <w:p w14:paraId="78E7EE20" w14:textId="77777777" w:rsidR="00DB43B0" w:rsidRPr="00FC3097" w:rsidRDefault="00DB43B0" w:rsidP="00DB43B0">
      <w:pPr>
        <w:spacing w:after="160" w:line="259" w:lineRule="auto"/>
        <w:ind w:left="720"/>
        <w:contextualSpacing/>
        <w:rPr>
          <w:rFonts w:eastAsia="Calibri" w:cs="Arial"/>
          <w:bCs/>
          <w:lang w:val="es-ES_tradnl"/>
        </w:rPr>
      </w:pPr>
    </w:p>
    <w:p w14:paraId="74A72AAC" w14:textId="6145F058" w:rsidR="00DB43B0" w:rsidRPr="00FC3097" w:rsidRDefault="00DB43B0" w:rsidP="00DB43B0">
      <w:pPr>
        <w:numPr>
          <w:ilvl w:val="0"/>
          <w:numId w:val="4"/>
        </w:numPr>
        <w:spacing w:after="160" w:line="259" w:lineRule="auto"/>
        <w:contextualSpacing/>
        <w:jc w:val="left"/>
        <w:rPr>
          <w:rFonts w:eastAsia="Calibri" w:cs="Arial"/>
          <w:bCs/>
          <w:lang w:val="es-ES_tradnl"/>
        </w:rPr>
      </w:pPr>
      <w:r w:rsidRPr="00FC3097">
        <w:rPr>
          <w:lang w:val="es-ES_tradnl"/>
        </w:rPr>
        <w:t>¿Hay algún requisito para los intercambios de informes de examen</w:t>
      </w:r>
      <w:r w:rsidR="00982FCB" w:rsidRPr="00FC3097">
        <w:rPr>
          <w:lang w:val="es-ES_tradnl"/>
        </w:rPr>
        <w:t> </w:t>
      </w:r>
      <w:r w:rsidRPr="00FC3097">
        <w:rPr>
          <w:lang w:val="es-ES_tradnl"/>
        </w:rPr>
        <w:t>DHE entre autoridades? En caso afirmativo, indíquelos.</w:t>
      </w:r>
    </w:p>
    <w:p w14:paraId="4C1CFBCC" w14:textId="77777777" w:rsidR="00DB43B0" w:rsidRPr="00FC3097" w:rsidRDefault="00DB43B0" w:rsidP="00DB43B0">
      <w:pPr>
        <w:spacing w:after="160" w:line="259" w:lineRule="auto"/>
        <w:ind w:left="720"/>
        <w:contextualSpacing/>
        <w:jc w:val="left"/>
        <w:rPr>
          <w:rFonts w:eastAsia="Calibri" w:cs="Arial"/>
          <w:bCs/>
          <w:lang w:val="es-ES_tradnl"/>
        </w:rPr>
      </w:pPr>
    </w:p>
    <w:p w14:paraId="0EF4AFEE" w14:textId="76E2F6B9" w:rsidR="005F31BE" w:rsidRPr="00FC3097" w:rsidRDefault="005F31BE">
      <w:pPr>
        <w:jc w:val="left"/>
        <w:rPr>
          <w:rFonts w:eastAsia="Calibri" w:cs="Arial"/>
          <w:bCs/>
          <w:lang w:val="es-ES_tradnl"/>
          <w14:ligatures w14:val="standardContextual"/>
        </w:rPr>
      </w:pPr>
      <w:r w:rsidRPr="00FC3097">
        <w:rPr>
          <w:rFonts w:eastAsia="Calibri" w:cs="Arial"/>
          <w:bCs/>
          <w:lang w:val="es-ES_tradnl"/>
          <w14:ligatures w14:val="standardContextual"/>
        </w:rPr>
        <w:br w:type="page"/>
      </w:r>
    </w:p>
    <w:p w14:paraId="7C200FEA" w14:textId="77777777" w:rsidR="00DB43B0" w:rsidRPr="00FC3097" w:rsidRDefault="00DB43B0" w:rsidP="00DB43B0">
      <w:pPr>
        <w:rPr>
          <w:rFonts w:eastAsia="Calibri" w:cs="Arial"/>
          <w:bCs/>
          <w:lang w:val="es-ES_tradnl"/>
          <w14:ligatures w14:val="standardContextual"/>
        </w:rPr>
      </w:pPr>
    </w:p>
    <w:p w14:paraId="5C0E09BD" w14:textId="7B43A8DB" w:rsidR="00DB43B0" w:rsidRPr="00FC3097" w:rsidRDefault="00DB43B0" w:rsidP="00DB43B0">
      <w:pPr>
        <w:spacing w:after="160" w:line="259" w:lineRule="auto"/>
        <w:jc w:val="center"/>
        <w:rPr>
          <w:rFonts w:eastAsia="Calibri" w:cs="Arial"/>
          <w:b/>
          <w:lang w:val="es-ES_tradnl"/>
          <w14:ligatures w14:val="standardContextual"/>
        </w:rPr>
      </w:pPr>
      <w:r w:rsidRPr="00FC3097">
        <w:rPr>
          <w:b/>
          <w:lang w:val="es-ES_tradnl"/>
        </w:rPr>
        <w:t xml:space="preserve">Proyecto de programa provisional </w:t>
      </w:r>
    </w:p>
    <w:p w14:paraId="21986E0E" w14:textId="77777777" w:rsidR="00DB43B0" w:rsidRPr="00FC3097" w:rsidRDefault="00DB43B0" w:rsidP="00DB43B0">
      <w:pPr>
        <w:spacing w:after="160" w:line="259" w:lineRule="auto"/>
        <w:contextualSpacing/>
        <w:jc w:val="center"/>
        <w:rPr>
          <w:rFonts w:eastAsia="Calibri" w:cs="Arial"/>
          <w:lang w:val="es-ES_tradnl"/>
        </w:rPr>
      </w:pPr>
      <w:r w:rsidRPr="00FC3097">
        <w:rPr>
          <w:b/>
          <w:lang w:val="es-ES_tradnl"/>
        </w:rPr>
        <w:t>(Por confirmar – número de ponencias y horas de cada sesión)</w:t>
      </w:r>
    </w:p>
    <w:p w14:paraId="202A2368" w14:textId="77777777" w:rsidR="00DB43B0" w:rsidRPr="00FC3097" w:rsidRDefault="00DB43B0" w:rsidP="00DB43B0">
      <w:pPr>
        <w:autoSpaceDE w:val="0"/>
        <w:autoSpaceDN w:val="0"/>
        <w:adjustRightInd w:val="0"/>
        <w:rPr>
          <w:rFonts w:eastAsia="Calibri" w:cs="Arial"/>
          <w:b/>
          <w:bCs/>
          <w:color w:val="000000"/>
          <w:lang w:val="es-ES_tradn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809"/>
        <w:gridCol w:w="7938"/>
      </w:tblGrid>
      <w:tr w:rsidR="00DB43B0" w:rsidRPr="00FC3097" w14:paraId="53F157D6" w14:textId="77777777" w:rsidTr="00B172CE">
        <w:trPr>
          <w:trHeight w:val="267"/>
        </w:trPr>
        <w:tc>
          <w:tcPr>
            <w:tcW w:w="1809" w:type="dxa"/>
          </w:tcPr>
          <w:p w14:paraId="7BBD6CB2" w14:textId="77777777" w:rsidR="00DB43B0" w:rsidRPr="00FC3097" w:rsidRDefault="00DB43B0" w:rsidP="00DB43B0">
            <w:pPr>
              <w:autoSpaceDE w:val="0"/>
              <w:autoSpaceDN w:val="0"/>
              <w:adjustRightInd w:val="0"/>
              <w:rPr>
                <w:rFonts w:eastAsia="Calibri" w:cs="Arial"/>
                <w:i/>
                <w:iCs/>
                <w:color w:val="000000"/>
                <w:lang w:val="es-ES_tradnl"/>
              </w:rPr>
            </w:pPr>
          </w:p>
          <w:p w14:paraId="2CFFE6D8"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9.30 – 9.40 </w:t>
            </w:r>
          </w:p>
        </w:tc>
        <w:tc>
          <w:tcPr>
            <w:tcW w:w="7938" w:type="dxa"/>
          </w:tcPr>
          <w:p w14:paraId="0BE31E22" w14:textId="77777777" w:rsidR="00DB43B0" w:rsidRPr="00FC3097" w:rsidRDefault="00DB43B0" w:rsidP="00DB43B0">
            <w:pPr>
              <w:autoSpaceDE w:val="0"/>
              <w:autoSpaceDN w:val="0"/>
              <w:adjustRightInd w:val="0"/>
              <w:rPr>
                <w:rFonts w:eastAsia="Calibri" w:cs="Arial"/>
                <w:b/>
                <w:bCs/>
                <w:color w:val="000000"/>
                <w:lang w:val="es-ES_tradnl"/>
              </w:rPr>
            </w:pPr>
          </w:p>
          <w:p w14:paraId="2307C29D" w14:textId="77777777" w:rsidR="00DB43B0" w:rsidRPr="00FC3097" w:rsidRDefault="00DB43B0" w:rsidP="00DB43B0">
            <w:pPr>
              <w:autoSpaceDE w:val="0"/>
              <w:autoSpaceDN w:val="0"/>
              <w:adjustRightInd w:val="0"/>
              <w:rPr>
                <w:rFonts w:eastAsia="Calibri" w:cs="Arial"/>
                <w:color w:val="000000"/>
                <w:lang w:val="es-ES_tradnl"/>
              </w:rPr>
            </w:pPr>
            <w:r w:rsidRPr="00FC3097">
              <w:rPr>
                <w:b/>
                <w:bCs/>
                <w:color w:val="000000"/>
                <w:lang w:val="es-ES_tradnl"/>
              </w:rPr>
              <w:t xml:space="preserve">Bienvenida y alocuciones de apertura </w:t>
            </w:r>
          </w:p>
          <w:p w14:paraId="7BC1C6B7" w14:textId="58CED775" w:rsidR="00DB43B0" w:rsidRPr="00FC3097" w:rsidRDefault="00DB43B0" w:rsidP="00DB43B0">
            <w:pPr>
              <w:autoSpaceDE w:val="0"/>
              <w:autoSpaceDN w:val="0"/>
              <w:adjustRightInd w:val="0"/>
              <w:rPr>
                <w:rFonts w:eastAsia="Calibri" w:cs="Arial"/>
                <w:color w:val="000000"/>
                <w:lang w:val="es-ES_tradnl"/>
              </w:rPr>
            </w:pPr>
            <w:r w:rsidRPr="00FC3097">
              <w:rPr>
                <w:i/>
                <w:iCs/>
                <w:color w:val="000000"/>
                <w:lang w:val="es-ES_tradnl"/>
              </w:rPr>
              <w:t>Sra. Yolanda Huerta, secretaria general adjunta</w:t>
            </w:r>
            <w:r w:rsidR="00982FCB" w:rsidRPr="00FC3097">
              <w:rPr>
                <w:i/>
                <w:iCs/>
                <w:color w:val="000000"/>
                <w:lang w:val="es-ES_tradnl"/>
              </w:rPr>
              <w:t xml:space="preserve"> de la </w:t>
            </w:r>
            <w:r w:rsidRPr="00FC3097">
              <w:rPr>
                <w:i/>
                <w:iCs/>
                <w:color w:val="000000"/>
                <w:lang w:val="es-ES_tradnl"/>
              </w:rPr>
              <w:t xml:space="preserve">UPOV </w:t>
            </w:r>
          </w:p>
        </w:tc>
      </w:tr>
      <w:tr w:rsidR="00DB43B0" w:rsidRPr="00FC3097" w14:paraId="60A818C0" w14:textId="77777777" w:rsidTr="00B172CE">
        <w:trPr>
          <w:trHeight w:val="353"/>
        </w:trPr>
        <w:tc>
          <w:tcPr>
            <w:tcW w:w="9747" w:type="dxa"/>
            <w:gridSpan w:val="2"/>
          </w:tcPr>
          <w:p w14:paraId="6CC3823C" w14:textId="77777777" w:rsidR="00DB43B0" w:rsidRPr="00FC3097" w:rsidRDefault="00DB43B0" w:rsidP="00DB43B0">
            <w:pPr>
              <w:autoSpaceDE w:val="0"/>
              <w:autoSpaceDN w:val="0"/>
              <w:adjustRightInd w:val="0"/>
              <w:rPr>
                <w:rFonts w:eastAsia="Calibri" w:cs="Arial"/>
                <w:b/>
                <w:bCs/>
                <w:color w:val="000000"/>
                <w:lang w:val="es-ES_tradnl"/>
              </w:rPr>
            </w:pPr>
          </w:p>
          <w:p w14:paraId="23681B4E" w14:textId="244B79B7" w:rsidR="00DB43B0" w:rsidRPr="00FC3097" w:rsidRDefault="00DB43B0" w:rsidP="00B172CE">
            <w:pPr>
              <w:autoSpaceDE w:val="0"/>
              <w:autoSpaceDN w:val="0"/>
              <w:adjustRightInd w:val="0"/>
              <w:spacing w:after="120"/>
              <w:rPr>
                <w:rFonts w:eastAsia="Calibri" w:cs="Arial"/>
                <w:b/>
                <w:bCs/>
                <w:color w:val="000000"/>
                <w:lang w:val="es-ES_tradnl"/>
              </w:rPr>
            </w:pPr>
            <w:r w:rsidRPr="00FC3097">
              <w:rPr>
                <w:b/>
                <w:bCs/>
                <w:color w:val="000000"/>
                <w:lang w:val="es-ES_tradnl"/>
              </w:rPr>
              <w:t>SESIÓN</w:t>
            </w:r>
            <w:r w:rsidR="00982FCB" w:rsidRPr="00FC3097">
              <w:rPr>
                <w:b/>
                <w:bCs/>
                <w:color w:val="000000"/>
                <w:lang w:val="es-ES_tradnl"/>
              </w:rPr>
              <w:t> </w:t>
            </w:r>
            <w:r w:rsidRPr="00FC3097">
              <w:rPr>
                <w:b/>
                <w:bCs/>
                <w:color w:val="000000"/>
                <w:lang w:val="es-ES_tradnl"/>
              </w:rPr>
              <w:t xml:space="preserve">I: </w:t>
            </w:r>
            <w:r w:rsidRPr="00FC3097">
              <w:rPr>
                <w:b/>
                <w:lang w:val="es-ES_tradnl"/>
              </w:rPr>
              <w:t>BREVE RESUMEN DEL PAPEL DE LOS OBTENTORES EN EL EXAMEN DHE EN DISTINTOS MIEMBROS DE LA</w:t>
            </w:r>
            <w:r w:rsidR="00982FCB" w:rsidRPr="00FC3097">
              <w:rPr>
                <w:b/>
                <w:lang w:val="es-ES_tradnl"/>
              </w:rPr>
              <w:t> </w:t>
            </w:r>
            <w:r w:rsidRPr="00FC3097">
              <w:rPr>
                <w:b/>
                <w:lang w:val="es-ES_tradnl"/>
              </w:rPr>
              <w:t xml:space="preserve">UPOV (FUNCIONES Y RESPONSABILIDADES DE LOS OBTENTORES Y DE LAS OFICINAS DE PROTECCIÓN DE LAS OBTENCIONES VEGETALES EN LO QUE RESPECTA </w:t>
            </w:r>
            <w:r w:rsidRPr="00FC3097">
              <w:rPr>
                <w:b/>
                <w:u w:val="single"/>
                <w:lang w:val="es-ES_tradnl"/>
              </w:rPr>
              <w:t>AL CULTIVO DE ENSAYOS Y AL EXAMEN</w:t>
            </w:r>
            <w:r w:rsidRPr="00FC3097">
              <w:rPr>
                <w:b/>
                <w:lang w:val="es-ES_tradnl"/>
              </w:rPr>
              <w:t>)</w:t>
            </w:r>
            <w:r w:rsidRPr="00FC3097">
              <w:rPr>
                <w:b/>
                <w:color w:val="000000"/>
                <w:lang w:val="es-ES_tradnl"/>
              </w:rPr>
              <w:t xml:space="preserve"> </w:t>
            </w:r>
          </w:p>
          <w:p w14:paraId="6BEC3B34" w14:textId="77777777" w:rsidR="00DB43B0" w:rsidRPr="00FC3097" w:rsidRDefault="00DB43B0" w:rsidP="00DB43B0">
            <w:pPr>
              <w:autoSpaceDE w:val="0"/>
              <w:autoSpaceDN w:val="0"/>
              <w:adjustRightInd w:val="0"/>
              <w:rPr>
                <w:rFonts w:eastAsia="Calibri" w:cs="Arial"/>
                <w:color w:val="000000"/>
                <w:lang w:val="es-ES_tradnl"/>
              </w:rPr>
            </w:pPr>
            <w:r w:rsidRPr="00FC3097">
              <w:rPr>
                <w:i/>
                <w:iCs/>
                <w:color w:val="000000"/>
                <w:lang w:val="es-ES_tradnl"/>
              </w:rPr>
              <w:t xml:space="preserve">Moderador I: Nombre, Cargo </w:t>
            </w:r>
          </w:p>
        </w:tc>
      </w:tr>
      <w:tr w:rsidR="00DB43B0" w:rsidRPr="00FC3097" w14:paraId="37A6B5AB" w14:textId="77777777" w:rsidTr="00B172CE">
        <w:trPr>
          <w:trHeight w:val="352"/>
        </w:trPr>
        <w:tc>
          <w:tcPr>
            <w:tcW w:w="1809" w:type="dxa"/>
          </w:tcPr>
          <w:p w14:paraId="2BCA5618" w14:textId="77777777" w:rsidR="00DB43B0" w:rsidRPr="00FC3097" w:rsidRDefault="00DB43B0" w:rsidP="00DB43B0">
            <w:pPr>
              <w:autoSpaceDE w:val="0"/>
              <w:autoSpaceDN w:val="0"/>
              <w:adjustRightInd w:val="0"/>
              <w:rPr>
                <w:rFonts w:eastAsia="Calibri" w:cs="Arial"/>
                <w:color w:val="000000"/>
                <w:lang w:val="es-ES_tradnl"/>
              </w:rPr>
            </w:pPr>
          </w:p>
          <w:p w14:paraId="0C55901E"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 9.40 – 9.50 </w:t>
            </w:r>
          </w:p>
        </w:tc>
        <w:tc>
          <w:tcPr>
            <w:tcW w:w="7938" w:type="dxa"/>
          </w:tcPr>
          <w:p w14:paraId="4986879E" w14:textId="77777777" w:rsidR="00DB43B0" w:rsidRPr="00FC3097" w:rsidRDefault="00DB43B0" w:rsidP="00B172CE">
            <w:pPr>
              <w:autoSpaceDE w:val="0"/>
              <w:autoSpaceDN w:val="0"/>
              <w:adjustRightInd w:val="0"/>
              <w:jc w:val="left"/>
              <w:rPr>
                <w:rFonts w:eastAsia="Calibri" w:cs="Arial"/>
                <w:b/>
                <w:bCs/>
                <w:color w:val="000000"/>
                <w:lang w:val="es-ES_tradnl"/>
              </w:rPr>
            </w:pPr>
          </w:p>
          <w:p w14:paraId="490DA57E" w14:textId="77777777" w:rsidR="00DB43B0" w:rsidRPr="00FC3097" w:rsidRDefault="00DB43B0" w:rsidP="00B172CE">
            <w:pPr>
              <w:autoSpaceDE w:val="0"/>
              <w:autoSpaceDN w:val="0"/>
              <w:adjustRightInd w:val="0"/>
              <w:jc w:val="left"/>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 xml:space="preserve">Ponente, Cargo, Organización, Lugar, País </w:t>
            </w:r>
          </w:p>
          <w:p w14:paraId="2B92BE99" w14:textId="77777777" w:rsidR="00DB43B0" w:rsidRPr="00FC3097" w:rsidRDefault="00DB43B0" w:rsidP="00B172CE">
            <w:pPr>
              <w:autoSpaceDE w:val="0"/>
              <w:autoSpaceDN w:val="0"/>
              <w:adjustRightInd w:val="0"/>
              <w:jc w:val="left"/>
              <w:rPr>
                <w:rFonts w:eastAsia="Calibri" w:cs="Arial"/>
                <w:color w:val="000000"/>
                <w:lang w:val="es-ES_tradnl"/>
              </w:rPr>
            </w:pPr>
          </w:p>
        </w:tc>
      </w:tr>
      <w:tr w:rsidR="00DB43B0" w:rsidRPr="00FC3097" w14:paraId="07704E70" w14:textId="77777777" w:rsidTr="00B172CE">
        <w:trPr>
          <w:trHeight w:val="611"/>
        </w:trPr>
        <w:tc>
          <w:tcPr>
            <w:tcW w:w="1809" w:type="dxa"/>
          </w:tcPr>
          <w:p w14:paraId="119442E8"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 9.50 – 10.00 </w:t>
            </w:r>
          </w:p>
        </w:tc>
        <w:tc>
          <w:tcPr>
            <w:tcW w:w="7938" w:type="dxa"/>
          </w:tcPr>
          <w:p w14:paraId="7FD77354" w14:textId="77777777" w:rsidR="00DB43B0" w:rsidRPr="00FC3097" w:rsidRDefault="00DB43B0" w:rsidP="00B172CE">
            <w:pPr>
              <w:autoSpaceDE w:val="0"/>
              <w:autoSpaceDN w:val="0"/>
              <w:adjustRightInd w:val="0"/>
              <w:jc w:val="left"/>
              <w:rPr>
                <w:rFonts w:eastAsia="Calibri" w:cs="Arial"/>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tc>
      </w:tr>
      <w:tr w:rsidR="00DB43B0" w:rsidRPr="00FC3097" w14:paraId="70B550DE" w14:textId="77777777" w:rsidTr="00B172CE">
        <w:trPr>
          <w:trHeight w:val="611"/>
        </w:trPr>
        <w:tc>
          <w:tcPr>
            <w:tcW w:w="1809" w:type="dxa"/>
          </w:tcPr>
          <w:p w14:paraId="7A7DC7F8"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10.00 – 10.10 </w:t>
            </w:r>
          </w:p>
        </w:tc>
        <w:tc>
          <w:tcPr>
            <w:tcW w:w="7938" w:type="dxa"/>
          </w:tcPr>
          <w:p w14:paraId="466D7885" w14:textId="77777777" w:rsidR="00DB43B0" w:rsidRPr="00FC3097" w:rsidRDefault="00DB43B0" w:rsidP="00B172CE">
            <w:pPr>
              <w:autoSpaceDE w:val="0"/>
              <w:autoSpaceDN w:val="0"/>
              <w:adjustRightInd w:val="0"/>
              <w:jc w:val="left"/>
              <w:rPr>
                <w:rFonts w:eastAsia="Calibri" w:cs="Arial"/>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tc>
      </w:tr>
      <w:tr w:rsidR="00DB43B0" w:rsidRPr="00FC3097" w14:paraId="0B7BFBBC" w14:textId="77777777" w:rsidTr="00B172CE">
        <w:trPr>
          <w:trHeight w:val="497"/>
        </w:trPr>
        <w:tc>
          <w:tcPr>
            <w:tcW w:w="1809" w:type="dxa"/>
          </w:tcPr>
          <w:p w14:paraId="76EC4A95"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10.10 – 10.20 </w:t>
            </w:r>
          </w:p>
        </w:tc>
        <w:tc>
          <w:tcPr>
            <w:tcW w:w="7938" w:type="dxa"/>
          </w:tcPr>
          <w:p w14:paraId="61F632BC" w14:textId="77777777" w:rsidR="00DB43B0" w:rsidRPr="00FC3097" w:rsidRDefault="00DB43B0" w:rsidP="00B172CE">
            <w:pPr>
              <w:autoSpaceDE w:val="0"/>
              <w:autoSpaceDN w:val="0"/>
              <w:adjustRightInd w:val="0"/>
              <w:jc w:val="left"/>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3D0532D5" w14:textId="77777777" w:rsidR="00DB43B0" w:rsidRPr="00FC3097" w:rsidRDefault="00DB43B0" w:rsidP="00B172CE">
            <w:pPr>
              <w:autoSpaceDE w:val="0"/>
              <w:autoSpaceDN w:val="0"/>
              <w:adjustRightInd w:val="0"/>
              <w:jc w:val="left"/>
              <w:rPr>
                <w:rFonts w:eastAsia="Calibri" w:cs="Arial"/>
                <w:color w:val="000000"/>
                <w:lang w:val="es-ES_tradnl"/>
              </w:rPr>
            </w:pPr>
          </w:p>
        </w:tc>
      </w:tr>
      <w:tr w:rsidR="00DB43B0" w:rsidRPr="00FC3097" w14:paraId="73AEA209" w14:textId="77777777" w:rsidTr="00B172CE">
        <w:trPr>
          <w:trHeight w:val="497"/>
        </w:trPr>
        <w:tc>
          <w:tcPr>
            <w:tcW w:w="1809" w:type="dxa"/>
          </w:tcPr>
          <w:p w14:paraId="2E75136B"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10.20 – 10.30 </w:t>
            </w:r>
          </w:p>
        </w:tc>
        <w:tc>
          <w:tcPr>
            <w:tcW w:w="7938" w:type="dxa"/>
          </w:tcPr>
          <w:p w14:paraId="5C76CB95" w14:textId="77777777" w:rsidR="00DB43B0" w:rsidRPr="00FC3097" w:rsidRDefault="00DB43B0" w:rsidP="00B172CE">
            <w:pPr>
              <w:autoSpaceDE w:val="0"/>
              <w:autoSpaceDN w:val="0"/>
              <w:adjustRightInd w:val="0"/>
              <w:jc w:val="left"/>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546CF98E" w14:textId="77777777" w:rsidR="00DB43B0" w:rsidRPr="00FC3097" w:rsidRDefault="00DB43B0" w:rsidP="00B172CE">
            <w:pPr>
              <w:autoSpaceDE w:val="0"/>
              <w:autoSpaceDN w:val="0"/>
              <w:adjustRightInd w:val="0"/>
              <w:jc w:val="left"/>
              <w:rPr>
                <w:rFonts w:eastAsia="Calibri" w:cs="Arial"/>
                <w:color w:val="000000"/>
                <w:lang w:val="es-ES_tradnl"/>
              </w:rPr>
            </w:pPr>
          </w:p>
        </w:tc>
      </w:tr>
      <w:tr w:rsidR="00DB43B0" w:rsidRPr="00FC3097" w14:paraId="7E2BC8C5" w14:textId="77777777" w:rsidTr="00B172CE">
        <w:trPr>
          <w:trHeight w:val="122"/>
        </w:trPr>
        <w:tc>
          <w:tcPr>
            <w:tcW w:w="1809" w:type="dxa"/>
          </w:tcPr>
          <w:p w14:paraId="0D8B313A"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10.30 – 11.00 </w:t>
            </w:r>
          </w:p>
        </w:tc>
        <w:tc>
          <w:tcPr>
            <w:tcW w:w="7938" w:type="dxa"/>
          </w:tcPr>
          <w:p w14:paraId="2FEC3E96" w14:textId="77777777" w:rsidR="00DB43B0" w:rsidRPr="00FC3097" w:rsidRDefault="00DB43B0" w:rsidP="00B172CE">
            <w:pPr>
              <w:autoSpaceDE w:val="0"/>
              <w:autoSpaceDN w:val="0"/>
              <w:adjustRightInd w:val="0"/>
              <w:jc w:val="left"/>
              <w:rPr>
                <w:rFonts w:eastAsia="Calibri" w:cs="Arial"/>
                <w:b/>
                <w:bCs/>
                <w:color w:val="000000"/>
                <w:lang w:val="es-ES_tradnl"/>
              </w:rPr>
            </w:pPr>
            <w:r w:rsidRPr="00FC3097">
              <w:rPr>
                <w:b/>
                <w:bCs/>
                <w:color w:val="000000"/>
                <w:lang w:val="es-ES_tradnl"/>
              </w:rPr>
              <w:t xml:space="preserve">Debate con los ponentes de la Sesión I </w:t>
            </w:r>
          </w:p>
          <w:p w14:paraId="1529C308" w14:textId="77777777" w:rsidR="00DB43B0" w:rsidRPr="00FC3097" w:rsidRDefault="00DB43B0" w:rsidP="00B172CE">
            <w:pPr>
              <w:autoSpaceDE w:val="0"/>
              <w:autoSpaceDN w:val="0"/>
              <w:adjustRightInd w:val="0"/>
              <w:jc w:val="left"/>
              <w:rPr>
                <w:rFonts w:eastAsia="Calibri" w:cs="Arial"/>
                <w:color w:val="000000"/>
                <w:lang w:val="es-ES_tradnl"/>
              </w:rPr>
            </w:pPr>
          </w:p>
        </w:tc>
      </w:tr>
      <w:tr w:rsidR="00DB43B0" w:rsidRPr="00FC3097" w14:paraId="1E17DD27" w14:textId="77777777" w:rsidTr="00B172CE">
        <w:trPr>
          <w:trHeight w:val="123"/>
        </w:trPr>
        <w:tc>
          <w:tcPr>
            <w:tcW w:w="1809" w:type="dxa"/>
            <w:tcBorders>
              <w:bottom w:val="nil"/>
            </w:tcBorders>
          </w:tcPr>
          <w:p w14:paraId="70C2169D"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11.00 – 11.35 </w:t>
            </w:r>
          </w:p>
        </w:tc>
        <w:tc>
          <w:tcPr>
            <w:tcW w:w="7938" w:type="dxa"/>
            <w:tcBorders>
              <w:bottom w:val="nil"/>
            </w:tcBorders>
          </w:tcPr>
          <w:p w14:paraId="60EA7859" w14:textId="77777777" w:rsidR="00DB43B0" w:rsidRPr="00FC3097" w:rsidRDefault="00DB43B0" w:rsidP="00B172CE">
            <w:pPr>
              <w:autoSpaceDE w:val="0"/>
              <w:autoSpaceDN w:val="0"/>
              <w:adjustRightInd w:val="0"/>
              <w:jc w:val="left"/>
              <w:rPr>
                <w:rFonts w:eastAsia="Calibri" w:cs="Arial"/>
                <w:color w:val="000000"/>
                <w:lang w:val="es-ES_tradnl"/>
              </w:rPr>
            </w:pPr>
            <w:r w:rsidRPr="00FC3097">
              <w:rPr>
                <w:b/>
                <w:bCs/>
                <w:i/>
                <w:iCs/>
                <w:color w:val="000000"/>
                <w:lang w:val="es-ES_tradnl"/>
              </w:rPr>
              <w:t xml:space="preserve">Pausa </w:t>
            </w:r>
          </w:p>
        </w:tc>
      </w:tr>
      <w:tr w:rsidR="00DB43B0" w:rsidRPr="00FC3097" w14:paraId="3EB3FDF0" w14:textId="77777777" w:rsidTr="00B172CE">
        <w:trPr>
          <w:trHeight w:val="353"/>
        </w:trPr>
        <w:tc>
          <w:tcPr>
            <w:tcW w:w="9747" w:type="dxa"/>
            <w:gridSpan w:val="2"/>
            <w:tcBorders>
              <w:top w:val="nil"/>
              <w:left w:val="nil"/>
              <w:bottom w:val="nil"/>
              <w:right w:val="nil"/>
            </w:tcBorders>
          </w:tcPr>
          <w:p w14:paraId="148BED73" w14:textId="77777777" w:rsidR="00DB43B0" w:rsidRPr="00FC3097" w:rsidRDefault="00DB43B0" w:rsidP="00B172CE">
            <w:pPr>
              <w:keepNext/>
              <w:autoSpaceDE w:val="0"/>
              <w:autoSpaceDN w:val="0"/>
              <w:adjustRightInd w:val="0"/>
              <w:rPr>
                <w:rFonts w:eastAsia="Calibri" w:cs="Arial"/>
                <w:b/>
                <w:bCs/>
                <w:color w:val="000000"/>
                <w:lang w:val="es-ES_tradnl"/>
              </w:rPr>
            </w:pPr>
          </w:p>
          <w:p w14:paraId="572104CE" w14:textId="6BE48D73" w:rsidR="00DB43B0" w:rsidRPr="00FC3097" w:rsidRDefault="00DB43B0" w:rsidP="00B172CE">
            <w:pPr>
              <w:keepNext/>
              <w:spacing w:after="120"/>
              <w:rPr>
                <w:rFonts w:eastAsia="Calibri" w:cs="Arial"/>
                <w:lang w:val="es-ES_tradnl"/>
              </w:rPr>
            </w:pPr>
            <w:r w:rsidRPr="00FC3097">
              <w:rPr>
                <w:b/>
                <w:bCs/>
                <w:lang w:val="es-ES_tradnl"/>
              </w:rPr>
              <w:t>SESIÓN</w:t>
            </w:r>
            <w:r w:rsidR="00982FCB" w:rsidRPr="00FC3097">
              <w:rPr>
                <w:b/>
                <w:bCs/>
                <w:lang w:val="es-ES_tradnl"/>
              </w:rPr>
              <w:t> </w:t>
            </w:r>
            <w:r w:rsidRPr="00FC3097">
              <w:rPr>
                <w:b/>
                <w:bCs/>
                <w:lang w:val="es-ES_tradnl"/>
              </w:rPr>
              <w:t xml:space="preserve">II: OPORTUNIDADES DE COOPERACIÓN CON LOS OBTENTORES EN LOS EXÁMENES DHE (ASPECTOS RELATIVOS A CONFLICTOS DE INTERESES, INDEPENDENCIA, EXÁMENES </w:t>
            </w:r>
            <w:r w:rsidRPr="00FC3097">
              <w:rPr>
                <w:b/>
                <w:bCs/>
                <w:i/>
                <w:lang w:val="es-ES_tradnl"/>
              </w:rPr>
              <w:t>IN SITU</w:t>
            </w:r>
            <w:r w:rsidRPr="00FC3097">
              <w:rPr>
                <w:b/>
                <w:bCs/>
                <w:lang w:val="es-ES_tradnl"/>
              </w:rPr>
              <w:t>, PUBLICACIÓN)</w:t>
            </w:r>
          </w:p>
          <w:p w14:paraId="28C23D3C" w14:textId="77777777" w:rsidR="00DB43B0" w:rsidRPr="00FC3097" w:rsidRDefault="00DB43B0" w:rsidP="00B172CE">
            <w:pPr>
              <w:keepNext/>
              <w:autoSpaceDE w:val="0"/>
              <w:autoSpaceDN w:val="0"/>
              <w:adjustRightInd w:val="0"/>
              <w:rPr>
                <w:rFonts w:eastAsia="Calibri" w:cs="Arial"/>
                <w:color w:val="000000"/>
                <w:lang w:val="es-ES_tradnl"/>
              </w:rPr>
            </w:pPr>
            <w:r w:rsidRPr="00FC3097">
              <w:rPr>
                <w:i/>
                <w:iCs/>
                <w:color w:val="000000"/>
                <w:lang w:val="es-ES_tradnl"/>
              </w:rPr>
              <w:t>Moderador II: Nombre, Cargo</w:t>
            </w:r>
          </w:p>
        </w:tc>
      </w:tr>
      <w:tr w:rsidR="00DB43B0" w:rsidRPr="00FC3097" w14:paraId="75AF82C0" w14:textId="77777777" w:rsidTr="00B172CE">
        <w:trPr>
          <w:trHeight w:val="381"/>
        </w:trPr>
        <w:tc>
          <w:tcPr>
            <w:tcW w:w="1809" w:type="dxa"/>
            <w:tcBorders>
              <w:top w:val="nil"/>
              <w:left w:val="nil"/>
              <w:bottom w:val="nil"/>
              <w:right w:val="nil"/>
            </w:tcBorders>
          </w:tcPr>
          <w:p w14:paraId="1A21C38C" w14:textId="77777777" w:rsidR="00DB43B0" w:rsidRPr="00FC3097" w:rsidRDefault="00DB43B0" w:rsidP="00DB43B0">
            <w:pPr>
              <w:autoSpaceDE w:val="0"/>
              <w:autoSpaceDN w:val="0"/>
              <w:adjustRightInd w:val="0"/>
              <w:rPr>
                <w:rFonts w:eastAsia="Calibri" w:cs="Arial"/>
                <w:color w:val="000000"/>
                <w:lang w:val="es-ES_tradnl"/>
              </w:rPr>
            </w:pPr>
          </w:p>
          <w:p w14:paraId="1C577FCB"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11.35 – 11.45 </w:t>
            </w:r>
          </w:p>
        </w:tc>
        <w:tc>
          <w:tcPr>
            <w:tcW w:w="7938" w:type="dxa"/>
            <w:tcBorders>
              <w:top w:val="nil"/>
              <w:left w:val="nil"/>
              <w:bottom w:val="nil"/>
              <w:right w:val="nil"/>
            </w:tcBorders>
          </w:tcPr>
          <w:p w14:paraId="63CE4F7B" w14:textId="77777777" w:rsidR="00DB43B0" w:rsidRPr="00FC3097" w:rsidRDefault="00DB43B0" w:rsidP="00B172CE">
            <w:pPr>
              <w:autoSpaceDE w:val="0"/>
              <w:autoSpaceDN w:val="0"/>
              <w:adjustRightInd w:val="0"/>
              <w:jc w:val="left"/>
              <w:rPr>
                <w:rFonts w:eastAsia="Calibri" w:cs="Arial"/>
                <w:b/>
                <w:bCs/>
                <w:color w:val="000000"/>
                <w:lang w:val="es-ES_tradnl"/>
              </w:rPr>
            </w:pPr>
          </w:p>
          <w:p w14:paraId="7CCC1F7C" w14:textId="77777777" w:rsidR="00DB43B0" w:rsidRPr="00FC3097" w:rsidRDefault="00DB43B0" w:rsidP="00B172CE">
            <w:pPr>
              <w:autoSpaceDE w:val="0"/>
              <w:autoSpaceDN w:val="0"/>
              <w:adjustRightInd w:val="0"/>
              <w:jc w:val="left"/>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3DE0D747" w14:textId="77777777" w:rsidR="00DB43B0" w:rsidRPr="00FC3097" w:rsidRDefault="00DB43B0" w:rsidP="00B172CE">
            <w:pPr>
              <w:autoSpaceDE w:val="0"/>
              <w:autoSpaceDN w:val="0"/>
              <w:adjustRightInd w:val="0"/>
              <w:jc w:val="left"/>
              <w:rPr>
                <w:rFonts w:eastAsia="Calibri" w:cs="Arial"/>
                <w:color w:val="000000"/>
                <w:lang w:val="es-ES_tradnl"/>
              </w:rPr>
            </w:pPr>
          </w:p>
        </w:tc>
      </w:tr>
      <w:tr w:rsidR="00DB43B0" w:rsidRPr="00FC3097" w14:paraId="3D7044FE" w14:textId="77777777" w:rsidTr="00B172CE">
        <w:trPr>
          <w:trHeight w:val="496"/>
        </w:trPr>
        <w:tc>
          <w:tcPr>
            <w:tcW w:w="1809" w:type="dxa"/>
            <w:tcBorders>
              <w:top w:val="nil"/>
              <w:left w:val="nil"/>
              <w:bottom w:val="nil"/>
              <w:right w:val="nil"/>
            </w:tcBorders>
          </w:tcPr>
          <w:p w14:paraId="6937F649"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11.45– 11.55 </w:t>
            </w:r>
          </w:p>
        </w:tc>
        <w:tc>
          <w:tcPr>
            <w:tcW w:w="7938" w:type="dxa"/>
            <w:tcBorders>
              <w:top w:val="nil"/>
              <w:left w:val="nil"/>
              <w:bottom w:val="nil"/>
              <w:right w:val="nil"/>
            </w:tcBorders>
          </w:tcPr>
          <w:p w14:paraId="22F03626" w14:textId="77777777" w:rsidR="00DB43B0" w:rsidRPr="00FC3097" w:rsidRDefault="00DB43B0" w:rsidP="00B172CE">
            <w:pPr>
              <w:autoSpaceDE w:val="0"/>
              <w:autoSpaceDN w:val="0"/>
              <w:adjustRightInd w:val="0"/>
              <w:jc w:val="left"/>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745A0B4B" w14:textId="77777777" w:rsidR="00DB43B0" w:rsidRPr="00FC3097" w:rsidRDefault="00DB43B0" w:rsidP="00B172CE">
            <w:pPr>
              <w:autoSpaceDE w:val="0"/>
              <w:autoSpaceDN w:val="0"/>
              <w:adjustRightInd w:val="0"/>
              <w:jc w:val="left"/>
              <w:rPr>
                <w:rFonts w:eastAsia="Calibri" w:cs="Arial"/>
                <w:color w:val="000000"/>
                <w:lang w:val="es-ES_tradnl"/>
              </w:rPr>
            </w:pPr>
          </w:p>
        </w:tc>
      </w:tr>
      <w:tr w:rsidR="00DB43B0" w:rsidRPr="00FC3097" w14:paraId="781425DA" w14:textId="77777777" w:rsidTr="00B172CE">
        <w:trPr>
          <w:trHeight w:val="497"/>
        </w:trPr>
        <w:tc>
          <w:tcPr>
            <w:tcW w:w="1809" w:type="dxa"/>
            <w:tcBorders>
              <w:top w:val="nil"/>
            </w:tcBorders>
          </w:tcPr>
          <w:p w14:paraId="17138AC9"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11.55 – 12.05 </w:t>
            </w:r>
          </w:p>
        </w:tc>
        <w:tc>
          <w:tcPr>
            <w:tcW w:w="7938" w:type="dxa"/>
            <w:tcBorders>
              <w:top w:val="nil"/>
            </w:tcBorders>
          </w:tcPr>
          <w:p w14:paraId="63BFF192" w14:textId="77777777" w:rsidR="00DB43B0" w:rsidRPr="00FC3097" w:rsidRDefault="00DB43B0" w:rsidP="00B172CE">
            <w:pPr>
              <w:autoSpaceDE w:val="0"/>
              <w:autoSpaceDN w:val="0"/>
              <w:adjustRightInd w:val="0"/>
              <w:jc w:val="left"/>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55A362DA" w14:textId="77777777" w:rsidR="00DB43B0" w:rsidRPr="00FC3097" w:rsidRDefault="00DB43B0" w:rsidP="00B172CE">
            <w:pPr>
              <w:autoSpaceDE w:val="0"/>
              <w:autoSpaceDN w:val="0"/>
              <w:adjustRightInd w:val="0"/>
              <w:jc w:val="left"/>
              <w:rPr>
                <w:rFonts w:eastAsia="Calibri" w:cs="Arial"/>
                <w:color w:val="000000"/>
                <w:lang w:val="es-ES_tradnl"/>
              </w:rPr>
            </w:pPr>
          </w:p>
        </w:tc>
      </w:tr>
      <w:tr w:rsidR="00DB43B0" w:rsidRPr="00FC3097" w14:paraId="48513C84" w14:textId="77777777" w:rsidTr="00B172CE">
        <w:trPr>
          <w:trHeight w:val="122"/>
        </w:trPr>
        <w:tc>
          <w:tcPr>
            <w:tcW w:w="1809" w:type="dxa"/>
          </w:tcPr>
          <w:p w14:paraId="37FD022C"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12.05 – 12.15 </w:t>
            </w:r>
          </w:p>
        </w:tc>
        <w:tc>
          <w:tcPr>
            <w:tcW w:w="7938" w:type="dxa"/>
          </w:tcPr>
          <w:p w14:paraId="00493412" w14:textId="77777777" w:rsidR="00DB43B0" w:rsidRPr="00FC3097" w:rsidRDefault="00DB43B0" w:rsidP="00B172CE">
            <w:pPr>
              <w:autoSpaceDE w:val="0"/>
              <w:autoSpaceDN w:val="0"/>
              <w:adjustRightInd w:val="0"/>
              <w:jc w:val="left"/>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135F411A" w14:textId="77777777" w:rsidR="00DB43B0" w:rsidRPr="00FC3097" w:rsidRDefault="00DB43B0" w:rsidP="00B172CE">
            <w:pPr>
              <w:autoSpaceDE w:val="0"/>
              <w:autoSpaceDN w:val="0"/>
              <w:adjustRightInd w:val="0"/>
              <w:jc w:val="left"/>
              <w:rPr>
                <w:rFonts w:eastAsia="Calibri" w:cs="Arial"/>
                <w:b/>
                <w:bCs/>
                <w:color w:val="000000"/>
                <w:lang w:val="es-ES_tradnl"/>
              </w:rPr>
            </w:pPr>
          </w:p>
        </w:tc>
      </w:tr>
      <w:tr w:rsidR="00DB43B0" w:rsidRPr="00FC3097" w14:paraId="661DBDEF" w14:textId="77777777" w:rsidTr="00B172CE">
        <w:trPr>
          <w:trHeight w:val="122"/>
        </w:trPr>
        <w:tc>
          <w:tcPr>
            <w:tcW w:w="1809" w:type="dxa"/>
          </w:tcPr>
          <w:p w14:paraId="6F8B7364"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12.15 – 12.25 </w:t>
            </w:r>
          </w:p>
        </w:tc>
        <w:tc>
          <w:tcPr>
            <w:tcW w:w="7938" w:type="dxa"/>
          </w:tcPr>
          <w:p w14:paraId="53D6B4C5" w14:textId="77777777" w:rsidR="00DB43B0" w:rsidRPr="00FC3097" w:rsidRDefault="00DB43B0" w:rsidP="00B172CE">
            <w:pPr>
              <w:autoSpaceDE w:val="0"/>
              <w:autoSpaceDN w:val="0"/>
              <w:adjustRightInd w:val="0"/>
              <w:jc w:val="left"/>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6EE1C3B4" w14:textId="77777777" w:rsidR="00DB43B0" w:rsidRPr="00FC3097" w:rsidRDefault="00DB43B0" w:rsidP="00B172CE">
            <w:pPr>
              <w:autoSpaceDE w:val="0"/>
              <w:autoSpaceDN w:val="0"/>
              <w:adjustRightInd w:val="0"/>
              <w:jc w:val="left"/>
              <w:rPr>
                <w:rFonts w:eastAsia="Calibri" w:cs="Arial"/>
                <w:b/>
                <w:bCs/>
                <w:color w:val="000000"/>
                <w:lang w:val="es-ES_tradnl"/>
              </w:rPr>
            </w:pPr>
          </w:p>
        </w:tc>
      </w:tr>
      <w:tr w:rsidR="00DB43B0" w:rsidRPr="00FC3097" w14:paraId="30BFE852" w14:textId="77777777" w:rsidTr="00B172CE">
        <w:trPr>
          <w:trHeight w:val="122"/>
        </w:trPr>
        <w:tc>
          <w:tcPr>
            <w:tcW w:w="1809" w:type="dxa"/>
          </w:tcPr>
          <w:p w14:paraId="1E0C693F"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12.25 – 12.50 </w:t>
            </w:r>
          </w:p>
        </w:tc>
        <w:tc>
          <w:tcPr>
            <w:tcW w:w="7938" w:type="dxa"/>
          </w:tcPr>
          <w:p w14:paraId="5D2E4D2F" w14:textId="77777777" w:rsidR="00DB43B0" w:rsidRPr="00FC3097" w:rsidRDefault="00DB43B0" w:rsidP="00B172CE">
            <w:pPr>
              <w:autoSpaceDE w:val="0"/>
              <w:autoSpaceDN w:val="0"/>
              <w:adjustRightInd w:val="0"/>
              <w:jc w:val="left"/>
              <w:rPr>
                <w:rFonts w:eastAsia="Calibri" w:cs="Arial"/>
                <w:b/>
                <w:bCs/>
                <w:color w:val="000000"/>
                <w:lang w:val="es-ES_tradnl"/>
              </w:rPr>
            </w:pPr>
            <w:r w:rsidRPr="00FC3097">
              <w:rPr>
                <w:b/>
                <w:bCs/>
                <w:color w:val="000000"/>
                <w:lang w:val="es-ES_tradnl"/>
              </w:rPr>
              <w:t xml:space="preserve">Debate con los ponentes de la Sesión II </w:t>
            </w:r>
          </w:p>
          <w:p w14:paraId="5453DFDC" w14:textId="77777777" w:rsidR="00DB43B0" w:rsidRPr="00FC3097" w:rsidRDefault="00DB43B0" w:rsidP="00B172CE">
            <w:pPr>
              <w:autoSpaceDE w:val="0"/>
              <w:autoSpaceDN w:val="0"/>
              <w:adjustRightInd w:val="0"/>
              <w:jc w:val="left"/>
              <w:rPr>
                <w:rFonts w:eastAsia="Calibri" w:cs="Arial"/>
                <w:color w:val="000000"/>
                <w:lang w:val="es-ES_tradnl"/>
              </w:rPr>
            </w:pPr>
          </w:p>
        </w:tc>
      </w:tr>
      <w:tr w:rsidR="00DB43B0" w:rsidRPr="00FC3097" w14:paraId="1F670A35" w14:textId="77777777" w:rsidTr="00B172CE">
        <w:trPr>
          <w:trHeight w:val="123"/>
        </w:trPr>
        <w:tc>
          <w:tcPr>
            <w:tcW w:w="1809" w:type="dxa"/>
          </w:tcPr>
          <w:p w14:paraId="4D404CC2"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12:50 – 14.50 </w:t>
            </w:r>
          </w:p>
        </w:tc>
        <w:tc>
          <w:tcPr>
            <w:tcW w:w="7938" w:type="dxa"/>
          </w:tcPr>
          <w:p w14:paraId="36CD8671" w14:textId="77777777" w:rsidR="00DB43B0" w:rsidRPr="00FC3097" w:rsidRDefault="00DB43B0" w:rsidP="00B172CE">
            <w:pPr>
              <w:autoSpaceDE w:val="0"/>
              <w:autoSpaceDN w:val="0"/>
              <w:adjustRightInd w:val="0"/>
              <w:jc w:val="left"/>
              <w:rPr>
                <w:rFonts w:eastAsia="Calibri" w:cs="Arial"/>
                <w:b/>
                <w:bCs/>
                <w:i/>
                <w:iCs/>
                <w:color w:val="000000"/>
                <w:lang w:val="es-ES_tradnl"/>
              </w:rPr>
            </w:pPr>
            <w:r w:rsidRPr="00FC3097">
              <w:rPr>
                <w:b/>
                <w:bCs/>
                <w:i/>
                <w:iCs/>
                <w:color w:val="000000"/>
                <w:lang w:val="es-ES_tradnl"/>
              </w:rPr>
              <w:t xml:space="preserve">Almuerzo </w:t>
            </w:r>
          </w:p>
          <w:p w14:paraId="05AB8056" w14:textId="77777777" w:rsidR="00DB43B0" w:rsidRPr="00FC3097" w:rsidRDefault="00DB43B0" w:rsidP="00B172CE">
            <w:pPr>
              <w:autoSpaceDE w:val="0"/>
              <w:autoSpaceDN w:val="0"/>
              <w:adjustRightInd w:val="0"/>
              <w:jc w:val="left"/>
              <w:rPr>
                <w:rFonts w:eastAsia="Calibri" w:cs="Arial"/>
                <w:color w:val="000000"/>
                <w:lang w:val="es-ES_tradnl"/>
              </w:rPr>
            </w:pPr>
          </w:p>
        </w:tc>
      </w:tr>
      <w:tr w:rsidR="00DB43B0" w:rsidRPr="00FC3097" w14:paraId="12D577FA" w14:textId="77777777" w:rsidTr="00B172CE">
        <w:trPr>
          <w:trHeight w:val="468"/>
        </w:trPr>
        <w:tc>
          <w:tcPr>
            <w:tcW w:w="9747" w:type="dxa"/>
            <w:gridSpan w:val="2"/>
          </w:tcPr>
          <w:p w14:paraId="4EFF581D" w14:textId="77777777" w:rsidR="00DB43B0" w:rsidRPr="00FC3097" w:rsidRDefault="00DB43B0" w:rsidP="00DB43B0">
            <w:pPr>
              <w:autoSpaceDE w:val="0"/>
              <w:autoSpaceDN w:val="0"/>
              <w:adjustRightInd w:val="0"/>
              <w:rPr>
                <w:rFonts w:eastAsia="Calibri" w:cs="Arial"/>
                <w:b/>
                <w:bCs/>
                <w:color w:val="000000"/>
                <w:lang w:val="es-ES_tradnl"/>
              </w:rPr>
            </w:pPr>
          </w:p>
          <w:p w14:paraId="34E4279A" w14:textId="155F2B3F" w:rsidR="00DB43B0" w:rsidRPr="00FC3097" w:rsidRDefault="00DB43B0" w:rsidP="00DB43B0">
            <w:pPr>
              <w:autoSpaceDE w:val="0"/>
              <w:autoSpaceDN w:val="0"/>
              <w:adjustRightInd w:val="0"/>
              <w:rPr>
                <w:rFonts w:eastAsia="Calibri" w:cs="Arial"/>
                <w:color w:val="000000"/>
                <w:lang w:val="es-ES_tradnl"/>
              </w:rPr>
            </w:pPr>
            <w:r w:rsidRPr="00FC3097">
              <w:rPr>
                <w:b/>
                <w:bCs/>
                <w:color w:val="000000"/>
                <w:lang w:val="es-ES_tradnl"/>
              </w:rPr>
              <w:t>SESIÓN</w:t>
            </w:r>
            <w:r w:rsidR="00982FCB" w:rsidRPr="00FC3097">
              <w:rPr>
                <w:b/>
                <w:bCs/>
                <w:color w:val="000000"/>
                <w:lang w:val="es-ES_tradnl"/>
              </w:rPr>
              <w:t> </w:t>
            </w:r>
            <w:r w:rsidRPr="00FC3097">
              <w:rPr>
                <w:b/>
                <w:bCs/>
                <w:color w:val="000000"/>
                <w:lang w:val="es-ES_tradnl"/>
              </w:rPr>
              <w:t>III: VENTAJAS, RETOS Y NECESIDADES (PERSPECTIVA DE LAS OFICINAS DE PROTECCIÓN DE LAS OBTENCIONES VEGETALES Y DE LOS OBTENTORES)</w:t>
            </w:r>
          </w:p>
          <w:p w14:paraId="2FD01B55" w14:textId="77777777" w:rsidR="00DB43B0" w:rsidRPr="00FC3097" w:rsidRDefault="00DB43B0" w:rsidP="00DB43B0">
            <w:pPr>
              <w:autoSpaceDE w:val="0"/>
              <w:autoSpaceDN w:val="0"/>
              <w:adjustRightInd w:val="0"/>
              <w:rPr>
                <w:rFonts w:eastAsia="Calibri" w:cs="Arial"/>
                <w:i/>
                <w:iCs/>
                <w:color w:val="000000"/>
                <w:lang w:val="es-ES_tradnl"/>
              </w:rPr>
            </w:pPr>
          </w:p>
          <w:p w14:paraId="5DB5644B" w14:textId="77777777" w:rsidR="00DB43B0" w:rsidRPr="00FC3097" w:rsidRDefault="00DB43B0" w:rsidP="00DB43B0">
            <w:pPr>
              <w:autoSpaceDE w:val="0"/>
              <w:autoSpaceDN w:val="0"/>
              <w:adjustRightInd w:val="0"/>
              <w:rPr>
                <w:rFonts w:eastAsia="Calibri" w:cs="Arial"/>
                <w:color w:val="000000"/>
                <w:lang w:val="es-ES_tradnl"/>
              </w:rPr>
            </w:pPr>
            <w:r w:rsidRPr="00FC3097">
              <w:rPr>
                <w:i/>
                <w:iCs/>
                <w:color w:val="000000"/>
                <w:lang w:val="es-ES_tradnl"/>
              </w:rPr>
              <w:t>Moderador III: Nombre, Cargo</w:t>
            </w:r>
          </w:p>
        </w:tc>
      </w:tr>
      <w:tr w:rsidR="00DB43B0" w:rsidRPr="00FC3097" w14:paraId="460E57D5" w14:textId="77777777" w:rsidTr="00B172CE">
        <w:trPr>
          <w:trHeight w:val="381"/>
        </w:trPr>
        <w:tc>
          <w:tcPr>
            <w:tcW w:w="1809" w:type="dxa"/>
          </w:tcPr>
          <w:p w14:paraId="2268666C" w14:textId="77777777" w:rsidR="00DB43B0" w:rsidRPr="00FC3097" w:rsidRDefault="00DB43B0" w:rsidP="00DB43B0">
            <w:pPr>
              <w:autoSpaceDE w:val="0"/>
              <w:autoSpaceDN w:val="0"/>
              <w:adjustRightInd w:val="0"/>
              <w:rPr>
                <w:rFonts w:eastAsia="Calibri" w:cs="Arial"/>
                <w:color w:val="000000"/>
                <w:lang w:val="es-ES_tradnl"/>
              </w:rPr>
            </w:pPr>
          </w:p>
          <w:p w14:paraId="1A2E0458"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14.50 – 15.00 </w:t>
            </w:r>
          </w:p>
        </w:tc>
        <w:tc>
          <w:tcPr>
            <w:tcW w:w="7938" w:type="dxa"/>
          </w:tcPr>
          <w:p w14:paraId="726965E7" w14:textId="77777777" w:rsidR="00DB43B0" w:rsidRPr="00FC3097" w:rsidRDefault="00DB43B0" w:rsidP="00DB43B0">
            <w:pPr>
              <w:autoSpaceDE w:val="0"/>
              <w:autoSpaceDN w:val="0"/>
              <w:adjustRightInd w:val="0"/>
              <w:rPr>
                <w:rFonts w:eastAsia="Calibri" w:cs="Arial"/>
                <w:b/>
                <w:bCs/>
                <w:color w:val="000000"/>
                <w:lang w:val="es-ES_tradnl"/>
              </w:rPr>
            </w:pPr>
          </w:p>
          <w:p w14:paraId="50774920" w14:textId="77777777" w:rsidR="00DB43B0" w:rsidRPr="00FC3097" w:rsidRDefault="00DB43B0" w:rsidP="00DB43B0">
            <w:pPr>
              <w:autoSpaceDE w:val="0"/>
              <w:autoSpaceDN w:val="0"/>
              <w:adjustRightInd w:val="0"/>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0B3D345C" w14:textId="77777777" w:rsidR="00DB43B0" w:rsidRPr="00FC3097" w:rsidRDefault="00DB43B0" w:rsidP="00DB43B0">
            <w:pPr>
              <w:autoSpaceDE w:val="0"/>
              <w:autoSpaceDN w:val="0"/>
              <w:adjustRightInd w:val="0"/>
              <w:rPr>
                <w:rFonts w:eastAsia="Calibri" w:cs="Arial"/>
                <w:color w:val="000000"/>
                <w:lang w:val="es-ES_tradnl"/>
              </w:rPr>
            </w:pPr>
          </w:p>
        </w:tc>
      </w:tr>
      <w:tr w:rsidR="00DB43B0" w:rsidRPr="00FC3097" w14:paraId="06A8E790" w14:textId="77777777" w:rsidTr="00B172CE">
        <w:trPr>
          <w:trHeight w:val="611"/>
        </w:trPr>
        <w:tc>
          <w:tcPr>
            <w:tcW w:w="1809" w:type="dxa"/>
          </w:tcPr>
          <w:p w14:paraId="2F4C58E0"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15.00 – 15.10 </w:t>
            </w:r>
          </w:p>
        </w:tc>
        <w:tc>
          <w:tcPr>
            <w:tcW w:w="7938" w:type="dxa"/>
          </w:tcPr>
          <w:p w14:paraId="1EFA62B1" w14:textId="77777777" w:rsidR="00DB43B0" w:rsidRPr="00FC3097" w:rsidRDefault="00DB43B0" w:rsidP="00DB43B0">
            <w:pPr>
              <w:autoSpaceDE w:val="0"/>
              <w:autoSpaceDN w:val="0"/>
              <w:adjustRightInd w:val="0"/>
              <w:rPr>
                <w:rFonts w:eastAsia="Calibri" w:cs="Arial"/>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tc>
      </w:tr>
      <w:tr w:rsidR="00DB43B0" w:rsidRPr="00FC3097" w14:paraId="579C5E94" w14:textId="77777777" w:rsidTr="00B172CE">
        <w:trPr>
          <w:trHeight w:val="381"/>
        </w:trPr>
        <w:tc>
          <w:tcPr>
            <w:tcW w:w="1809" w:type="dxa"/>
          </w:tcPr>
          <w:p w14:paraId="18C828D3"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15.10 – 15.20 </w:t>
            </w:r>
          </w:p>
        </w:tc>
        <w:tc>
          <w:tcPr>
            <w:tcW w:w="7938" w:type="dxa"/>
          </w:tcPr>
          <w:p w14:paraId="51D2F241" w14:textId="77777777" w:rsidR="00DB43B0" w:rsidRPr="00FC3097" w:rsidRDefault="00DB43B0" w:rsidP="00DB43B0">
            <w:pPr>
              <w:autoSpaceDE w:val="0"/>
              <w:autoSpaceDN w:val="0"/>
              <w:adjustRightInd w:val="0"/>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24A48C05" w14:textId="77777777" w:rsidR="00DB43B0" w:rsidRPr="00FC3097" w:rsidRDefault="00DB43B0" w:rsidP="00DB43B0">
            <w:pPr>
              <w:autoSpaceDE w:val="0"/>
              <w:autoSpaceDN w:val="0"/>
              <w:adjustRightInd w:val="0"/>
              <w:rPr>
                <w:rFonts w:eastAsia="Calibri" w:cs="Arial"/>
                <w:color w:val="000000"/>
                <w:lang w:val="es-ES_tradnl"/>
              </w:rPr>
            </w:pPr>
          </w:p>
        </w:tc>
      </w:tr>
      <w:tr w:rsidR="00DB43B0" w:rsidRPr="00FC3097" w14:paraId="69E3D733" w14:textId="77777777" w:rsidTr="00B172CE">
        <w:trPr>
          <w:trHeight w:val="497"/>
        </w:trPr>
        <w:tc>
          <w:tcPr>
            <w:tcW w:w="1809" w:type="dxa"/>
          </w:tcPr>
          <w:p w14:paraId="24E5278A"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lastRenderedPageBreak/>
              <w:t xml:space="preserve">15.20 – 15.30 </w:t>
            </w:r>
          </w:p>
        </w:tc>
        <w:tc>
          <w:tcPr>
            <w:tcW w:w="7938" w:type="dxa"/>
          </w:tcPr>
          <w:p w14:paraId="062A8F76" w14:textId="77777777" w:rsidR="00DB43B0" w:rsidRPr="00FC3097" w:rsidRDefault="00DB43B0" w:rsidP="00DB43B0">
            <w:pPr>
              <w:autoSpaceDE w:val="0"/>
              <w:autoSpaceDN w:val="0"/>
              <w:adjustRightInd w:val="0"/>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29CE496E" w14:textId="77777777" w:rsidR="00DB43B0" w:rsidRPr="00FC3097" w:rsidRDefault="00DB43B0" w:rsidP="00DB43B0">
            <w:pPr>
              <w:autoSpaceDE w:val="0"/>
              <w:autoSpaceDN w:val="0"/>
              <w:adjustRightInd w:val="0"/>
              <w:rPr>
                <w:rFonts w:eastAsia="Calibri" w:cs="Arial"/>
                <w:color w:val="000000"/>
                <w:lang w:val="es-ES_tradnl"/>
              </w:rPr>
            </w:pPr>
          </w:p>
        </w:tc>
      </w:tr>
      <w:tr w:rsidR="00DB43B0" w:rsidRPr="00FC3097" w14:paraId="7A5A0959" w14:textId="77777777" w:rsidTr="00B172CE">
        <w:trPr>
          <w:trHeight w:val="496"/>
        </w:trPr>
        <w:tc>
          <w:tcPr>
            <w:tcW w:w="1809" w:type="dxa"/>
          </w:tcPr>
          <w:p w14:paraId="64C3C25A"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15.30 – 15.40 </w:t>
            </w:r>
          </w:p>
        </w:tc>
        <w:tc>
          <w:tcPr>
            <w:tcW w:w="7938" w:type="dxa"/>
          </w:tcPr>
          <w:p w14:paraId="4503D614" w14:textId="77777777" w:rsidR="00DB43B0" w:rsidRPr="00FC3097" w:rsidRDefault="00DB43B0" w:rsidP="00DB43B0">
            <w:pPr>
              <w:autoSpaceDE w:val="0"/>
              <w:autoSpaceDN w:val="0"/>
              <w:adjustRightInd w:val="0"/>
              <w:rPr>
                <w:rFonts w:eastAsia="Calibri" w:cs="Arial"/>
                <w:i/>
                <w:iCs/>
                <w:color w:val="000000"/>
                <w:lang w:val="es-ES_tradnl"/>
              </w:rPr>
            </w:pPr>
            <w:r w:rsidRPr="00FC3097">
              <w:rPr>
                <w:b/>
                <w:bCs/>
                <w:color w:val="000000"/>
                <w:lang w:val="es-ES_tradnl"/>
              </w:rPr>
              <w:t xml:space="preserve">Título de la ponencia </w:t>
            </w:r>
            <w:r w:rsidRPr="00FC3097">
              <w:rPr>
                <w:i/>
                <w:iCs/>
                <w:color w:val="000000"/>
                <w:lang w:val="es-ES_tradnl"/>
              </w:rPr>
              <w:t>Ponente, Cargo, Organización, Lugar, País</w:t>
            </w:r>
          </w:p>
          <w:p w14:paraId="3F389FDF" w14:textId="77777777" w:rsidR="00DB43B0" w:rsidRPr="00FC3097" w:rsidRDefault="00DB43B0" w:rsidP="00DB43B0">
            <w:pPr>
              <w:autoSpaceDE w:val="0"/>
              <w:autoSpaceDN w:val="0"/>
              <w:adjustRightInd w:val="0"/>
              <w:rPr>
                <w:rFonts w:eastAsia="Calibri" w:cs="Arial"/>
                <w:color w:val="000000"/>
                <w:lang w:val="es-ES_tradnl"/>
              </w:rPr>
            </w:pPr>
          </w:p>
        </w:tc>
      </w:tr>
      <w:tr w:rsidR="00DB43B0" w:rsidRPr="00FC3097" w14:paraId="765DF4B4" w14:textId="77777777" w:rsidTr="00B172CE">
        <w:trPr>
          <w:trHeight w:val="122"/>
        </w:trPr>
        <w:tc>
          <w:tcPr>
            <w:tcW w:w="1809" w:type="dxa"/>
          </w:tcPr>
          <w:p w14:paraId="6B258547"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 xml:space="preserve">15.40 – 16.05 </w:t>
            </w:r>
          </w:p>
        </w:tc>
        <w:tc>
          <w:tcPr>
            <w:tcW w:w="7938" w:type="dxa"/>
          </w:tcPr>
          <w:p w14:paraId="1976EF01" w14:textId="77777777" w:rsidR="00DB43B0" w:rsidRPr="00FC3097" w:rsidRDefault="00DB43B0" w:rsidP="00DB43B0">
            <w:pPr>
              <w:autoSpaceDE w:val="0"/>
              <w:autoSpaceDN w:val="0"/>
              <w:adjustRightInd w:val="0"/>
              <w:rPr>
                <w:rFonts w:eastAsia="Calibri" w:cs="Arial"/>
                <w:b/>
                <w:bCs/>
                <w:color w:val="000000"/>
                <w:lang w:val="es-ES_tradnl"/>
              </w:rPr>
            </w:pPr>
            <w:r w:rsidRPr="00FC3097">
              <w:rPr>
                <w:b/>
                <w:bCs/>
                <w:color w:val="000000"/>
                <w:lang w:val="es-ES_tradnl"/>
              </w:rPr>
              <w:t>Debate con los ponentes de la Sesión III</w:t>
            </w:r>
          </w:p>
          <w:p w14:paraId="02BBB6BC" w14:textId="77777777" w:rsidR="00DB43B0" w:rsidRPr="00FC3097" w:rsidRDefault="00DB43B0" w:rsidP="00DB43B0">
            <w:pPr>
              <w:autoSpaceDE w:val="0"/>
              <w:autoSpaceDN w:val="0"/>
              <w:adjustRightInd w:val="0"/>
              <w:rPr>
                <w:rFonts w:eastAsia="Calibri" w:cs="Arial"/>
                <w:color w:val="000000"/>
                <w:lang w:val="es-ES_tradnl"/>
              </w:rPr>
            </w:pPr>
            <w:r w:rsidRPr="00FC3097">
              <w:rPr>
                <w:b/>
                <w:bCs/>
                <w:color w:val="000000"/>
                <w:lang w:val="es-ES_tradnl"/>
              </w:rPr>
              <w:t xml:space="preserve"> </w:t>
            </w:r>
          </w:p>
        </w:tc>
      </w:tr>
      <w:tr w:rsidR="00DB43B0" w:rsidRPr="00FC3097" w14:paraId="777FDBF3" w14:textId="77777777" w:rsidTr="00B172CE">
        <w:trPr>
          <w:trHeight w:val="122"/>
        </w:trPr>
        <w:tc>
          <w:tcPr>
            <w:tcW w:w="1809" w:type="dxa"/>
          </w:tcPr>
          <w:p w14:paraId="0D819641" w14:textId="77777777" w:rsidR="00DB43B0" w:rsidRPr="00FC3097" w:rsidRDefault="00DB43B0" w:rsidP="00DB43B0">
            <w:pPr>
              <w:autoSpaceDE w:val="0"/>
              <w:autoSpaceDN w:val="0"/>
              <w:adjustRightInd w:val="0"/>
              <w:rPr>
                <w:rFonts w:eastAsia="Calibri" w:cs="Arial"/>
                <w:color w:val="000000"/>
                <w:lang w:val="es-ES_tradnl"/>
              </w:rPr>
            </w:pPr>
            <w:r w:rsidRPr="00FC3097">
              <w:rPr>
                <w:color w:val="000000"/>
                <w:lang w:val="es-ES_tradnl"/>
              </w:rPr>
              <w:t>16.05 – 16.15</w:t>
            </w:r>
          </w:p>
        </w:tc>
        <w:tc>
          <w:tcPr>
            <w:tcW w:w="7938" w:type="dxa"/>
          </w:tcPr>
          <w:p w14:paraId="3F6E0591" w14:textId="77777777" w:rsidR="00DB43B0" w:rsidRPr="00FC3097" w:rsidRDefault="00DB43B0" w:rsidP="00DB43B0">
            <w:pPr>
              <w:autoSpaceDE w:val="0"/>
              <w:autoSpaceDN w:val="0"/>
              <w:adjustRightInd w:val="0"/>
              <w:rPr>
                <w:rFonts w:eastAsia="Calibri" w:cs="Arial"/>
                <w:color w:val="000000"/>
                <w:lang w:val="es-ES_tradnl"/>
              </w:rPr>
            </w:pPr>
            <w:r w:rsidRPr="00FC3097">
              <w:rPr>
                <w:b/>
                <w:bCs/>
                <w:color w:val="000000"/>
                <w:lang w:val="es-ES_tradnl"/>
              </w:rPr>
              <w:t xml:space="preserve">Alocución de clausura </w:t>
            </w:r>
          </w:p>
          <w:p w14:paraId="7AD8703A" w14:textId="77777777" w:rsidR="00DB43B0" w:rsidRPr="00FC3097" w:rsidRDefault="00DB43B0" w:rsidP="00DB43B0">
            <w:pPr>
              <w:autoSpaceDE w:val="0"/>
              <w:autoSpaceDN w:val="0"/>
              <w:adjustRightInd w:val="0"/>
              <w:rPr>
                <w:rFonts w:eastAsia="Calibri" w:cs="Arial"/>
                <w:i/>
                <w:iCs/>
                <w:color w:val="000000"/>
                <w:lang w:val="es-ES_tradnl"/>
              </w:rPr>
            </w:pPr>
            <w:r w:rsidRPr="00FC3097">
              <w:rPr>
                <w:i/>
                <w:iCs/>
                <w:color w:val="000000"/>
                <w:lang w:val="es-ES_tradnl"/>
              </w:rPr>
              <w:t>Nombre, Cargo</w:t>
            </w:r>
          </w:p>
          <w:p w14:paraId="5C565821" w14:textId="77777777" w:rsidR="00DB43B0" w:rsidRPr="00FC3097" w:rsidRDefault="00DB43B0" w:rsidP="00DB43B0">
            <w:pPr>
              <w:autoSpaceDE w:val="0"/>
              <w:autoSpaceDN w:val="0"/>
              <w:adjustRightInd w:val="0"/>
              <w:rPr>
                <w:rFonts w:eastAsia="Calibri" w:cs="Arial"/>
                <w:b/>
                <w:bCs/>
                <w:color w:val="000000"/>
                <w:lang w:val="es-ES_tradnl"/>
              </w:rPr>
            </w:pPr>
          </w:p>
        </w:tc>
      </w:tr>
    </w:tbl>
    <w:p w14:paraId="323F3F8A" w14:textId="77777777" w:rsidR="00DB43B0" w:rsidRPr="00FC3097" w:rsidRDefault="00DB43B0" w:rsidP="00DB43B0">
      <w:pPr>
        <w:autoSpaceDE w:val="0"/>
        <w:autoSpaceDN w:val="0"/>
        <w:adjustRightInd w:val="0"/>
        <w:rPr>
          <w:rFonts w:eastAsia="Calibri" w:cs="Arial"/>
          <w:color w:val="000000"/>
          <w:lang w:val="es-ES_tradnl"/>
        </w:rPr>
      </w:pPr>
    </w:p>
    <w:p w14:paraId="2F50D6B5" w14:textId="77777777" w:rsidR="00DB43B0" w:rsidRPr="00FC3097" w:rsidRDefault="00DB43B0" w:rsidP="00DB43B0">
      <w:pPr>
        <w:autoSpaceDE w:val="0"/>
        <w:autoSpaceDN w:val="0"/>
        <w:adjustRightInd w:val="0"/>
        <w:rPr>
          <w:rFonts w:eastAsia="Calibri" w:cs="Arial"/>
          <w:color w:val="000000"/>
          <w:lang w:val="es-ES_tradnl"/>
        </w:rPr>
      </w:pPr>
    </w:p>
    <w:p w14:paraId="77F1F08A" w14:textId="77777777" w:rsidR="00DB43B0" w:rsidRPr="00FC3097" w:rsidRDefault="00DB43B0" w:rsidP="00A44F87">
      <w:pPr>
        <w:jc w:val="right"/>
        <w:rPr>
          <w:rFonts w:cs="Arial"/>
          <w:lang w:val="es-ES_tradnl"/>
        </w:rPr>
      </w:pPr>
    </w:p>
    <w:p w14:paraId="3E38EB33" w14:textId="6B66736C" w:rsidR="00050E16" w:rsidRPr="00FC3097" w:rsidRDefault="00050E16" w:rsidP="00A44F87">
      <w:pPr>
        <w:jc w:val="right"/>
        <w:rPr>
          <w:rFonts w:cs="Arial"/>
          <w:lang w:val="es-ES_tradnl"/>
        </w:rPr>
      </w:pPr>
      <w:r w:rsidRPr="00FC3097">
        <w:rPr>
          <w:lang w:val="es-ES_tradnl"/>
        </w:rPr>
        <w:t>[Fin del Anexo y del documento]</w:t>
      </w:r>
    </w:p>
    <w:sectPr w:rsidR="00050E16" w:rsidRPr="00FC3097" w:rsidSect="00B172CE">
      <w:headerReference w:type="default" r:id="rId11"/>
      <w:footerReference w:type="even" r:id="rId12"/>
      <w:footerReference w:type="default" r:id="rId13"/>
      <w:headerReference w:type="first" r:id="rId14"/>
      <w:footerReference w:type="first" r:id="rId15"/>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6D1B1" w14:textId="77777777" w:rsidR="007353B3" w:rsidRDefault="007353B3" w:rsidP="006655D3">
      <w:r>
        <w:separator/>
      </w:r>
    </w:p>
    <w:p w14:paraId="2FB7504A" w14:textId="77777777" w:rsidR="007353B3" w:rsidRDefault="007353B3" w:rsidP="006655D3"/>
    <w:p w14:paraId="268FEA52" w14:textId="77777777" w:rsidR="007353B3" w:rsidRDefault="007353B3" w:rsidP="006655D3"/>
  </w:endnote>
  <w:endnote w:type="continuationSeparator" w:id="0">
    <w:p w14:paraId="483705D2" w14:textId="77777777" w:rsidR="007353B3" w:rsidRDefault="007353B3" w:rsidP="006655D3">
      <w:r>
        <w:separator/>
      </w:r>
    </w:p>
    <w:p w14:paraId="01E71ABD" w14:textId="77777777" w:rsidR="007353B3" w:rsidRPr="00294751" w:rsidRDefault="007353B3">
      <w:pPr>
        <w:pStyle w:val="Footer"/>
        <w:spacing w:after="60"/>
        <w:rPr>
          <w:sz w:val="18"/>
          <w:lang w:val="fr-FR"/>
        </w:rPr>
      </w:pPr>
      <w:r w:rsidRPr="00294751">
        <w:rPr>
          <w:sz w:val="18"/>
          <w:lang w:val="fr-FR"/>
        </w:rPr>
        <w:t>[Suite de la note de la page précédente]</w:t>
      </w:r>
    </w:p>
    <w:p w14:paraId="19F98926" w14:textId="77777777" w:rsidR="007353B3" w:rsidRPr="00294751" w:rsidRDefault="007353B3" w:rsidP="006655D3">
      <w:pPr>
        <w:rPr>
          <w:lang w:val="fr-FR"/>
        </w:rPr>
      </w:pPr>
    </w:p>
    <w:p w14:paraId="150F2B09" w14:textId="77777777" w:rsidR="007353B3" w:rsidRPr="00294751" w:rsidRDefault="007353B3" w:rsidP="006655D3">
      <w:pPr>
        <w:rPr>
          <w:lang w:val="fr-FR"/>
        </w:rPr>
      </w:pPr>
    </w:p>
  </w:endnote>
  <w:endnote w:type="continuationNotice" w:id="1">
    <w:p w14:paraId="56DE829C" w14:textId="77777777" w:rsidR="007353B3" w:rsidRPr="00294751" w:rsidRDefault="007353B3" w:rsidP="006655D3">
      <w:pPr>
        <w:rPr>
          <w:lang w:val="fr-FR"/>
        </w:rPr>
      </w:pPr>
      <w:r w:rsidRPr="00294751">
        <w:rPr>
          <w:lang w:val="fr-FR"/>
        </w:rPr>
        <w:t>[Suite de la note page suivante]</w:t>
      </w:r>
    </w:p>
    <w:p w14:paraId="31456D79" w14:textId="77777777" w:rsidR="007353B3" w:rsidRPr="00294751" w:rsidRDefault="007353B3" w:rsidP="006655D3">
      <w:pPr>
        <w:rPr>
          <w:lang w:val="fr-FR"/>
        </w:rPr>
      </w:pPr>
    </w:p>
    <w:p w14:paraId="4F857A6C" w14:textId="77777777" w:rsidR="007353B3" w:rsidRPr="00294751" w:rsidRDefault="007353B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705F" w14:textId="033E6864" w:rsidR="000879A3" w:rsidRDefault="008515BF">
    <w:pPr>
      <w:pStyle w:val="Footer"/>
    </w:pPr>
    <w:r>
      <w:rPr>
        <w:noProof/>
      </w:rPr>
      <mc:AlternateContent>
        <mc:Choice Requires="wps">
          <w:drawing>
            <wp:anchor distT="0" distB="0" distL="0" distR="0" simplePos="0" relativeHeight="251659264" behindDoc="0" locked="0" layoutInCell="1" allowOverlap="1" wp14:anchorId="0C3773B0" wp14:editId="5AB9D7D5">
              <wp:simplePos x="635" y="635"/>
              <wp:positionH relativeFrom="page">
                <wp:align>center</wp:align>
              </wp:positionH>
              <wp:positionV relativeFrom="page">
                <wp:align>bottom</wp:align>
              </wp:positionV>
              <wp:extent cx="692785" cy="345440"/>
              <wp:effectExtent l="0" t="0" r="12065" b="0"/>
              <wp:wrapNone/>
              <wp:docPr id="1511801528" name="Text Box 2" descr="WIPO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2785" cy="345440"/>
                      </a:xfrm>
                      <a:prstGeom prst="rect">
                        <a:avLst/>
                      </a:prstGeom>
                      <a:noFill/>
                      <a:ln>
                        <a:noFill/>
                      </a:ln>
                    </wps:spPr>
                    <wps:txbx>
                      <w:txbxContent>
                        <w:p w14:paraId="18660AA0" w14:textId="1DB263C2" w:rsidR="008515BF" w:rsidRPr="008515BF" w:rsidRDefault="008515BF" w:rsidP="008515BF">
                          <w:pPr>
                            <w:rPr>
                              <w:rFonts w:ascii="Calibri" w:eastAsia="Calibri" w:hAnsi="Calibri" w:cs="Calibri"/>
                              <w:noProof/>
                              <w:color w:val="000000"/>
                            </w:rPr>
                          </w:pPr>
                          <w:r w:rsidRPr="008515BF">
                            <w:rPr>
                              <w:rFonts w:ascii="Calibri" w:eastAsia="Calibri" w:hAnsi="Calibri" w:cs="Calibri"/>
                              <w:noProof/>
                              <w:color w:val="000000"/>
                            </w:rPr>
                            <w:t xml:space="preserve">WIPO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3773B0" id="_x0000_t202" coordsize="21600,21600" o:spt="202" path="m,l,21600r21600,l21600,xe">
              <v:stroke joinstyle="miter"/>
              <v:path gradientshapeok="t" o:connecttype="rect"/>
            </v:shapetype>
            <v:shape id="Text Box 2" o:spid="_x0000_s1026" type="#_x0000_t202" alt="WIPO PUBLIC " style="position:absolute;left:0;text-align:left;margin-left:0;margin-top:0;width:54.5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" filled="f" stroked="f">
              <v:textbox style="mso-fit-shape-to-text:t" inset="0,0,0,15pt">
                <w:txbxContent>
                  <w:p w14:paraId="18660AA0" w14:textId="1DB263C2" w:rsidR="008515BF" w:rsidRPr="008515BF" w:rsidRDefault="008515BF" w:rsidP="008515BF">
                    <w:pPr>
                      <w:rPr>
                        <w:rFonts w:ascii="Calibri" w:eastAsia="Calibri" w:hAnsi="Calibri" w:cs="Calibri"/>
                        <w:noProof/>
                        <w:color w:val="000000"/>
                      </w:rPr>
                    </w:pPr>
                    <w:r w:rsidRPr="008515BF">
                      <w:rPr>
                        <w:rFonts w:ascii="Calibri" w:eastAsia="Calibri" w:hAnsi="Calibri" w:cs="Calibri"/>
                        <w:noProof/>
                        <w:color w:val="000000"/>
                      </w:rPr>
                      <w:t xml:space="preserve">WIPO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04C0" w14:textId="3FA335E3" w:rsidR="000879A3" w:rsidRDefault="008515BF">
    <w:pPr>
      <w:pStyle w:val="Footer"/>
    </w:pPr>
    <w:r>
      <w:rPr>
        <w:noProof/>
      </w:rPr>
      <mc:AlternateContent>
        <mc:Choice Requires="wps">
          <w:drawing>
            <wp:anchor distT="0" distB="0" distL="0" distR="0" simplePos="0" relativeHeight="251662336" behindDoc="0" locked="0" layoutInCell="1" allowOverlap="1" wp14:anchorId="73571C9B" wp14:editId="716446A5">
              <wp:simplePos x="635" y="635"/>
              <wp:positionH relativeFrom="page">
                <wp:align>center</wp:align>
              </wp:positionH>
              <wp:positionV relativeFrom="page">
                <wp:align>bottom</wp:align>
              </wp:positionV>
              <wp:extent cx="692785" cy="345440"/>
              <wp:effectExtent l="0" t="0" r="12065" b="0"/>
              <wp:wrapNone/>
              <wp:docPr id="1941824677" name="Text Box 5" descr="WIPO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2785" cy="345440"/>
                      </a:xfrm>
                      <a:prstGeom prst="rect">
                        <a:avLst/>
                      </a:prstGeom>
                      <a:noFill/>
                      <a:ln>
                        <a:noFill/>
                      </a:ln>
                    </wps:spPr>
                    <wps:txbx>
                      <w:txbxContent>
                        <w:p w14:paraId="16A3D334" w14:textId="25EA40A4" w:rsidR="008515BF" w:rsidRPr="008515BF" w:rsidRDefault="008515BF" w:rsidP="008515BF">
                          <w:pPr>
                            <w:rPr>
                              <w:rFonts w:ascii="Calibri" w:eastAsia="Calibri" w:hAnsi="Calibri" w:cs="Calibri"/>
                              <w:noProof/>
                              <w:color w:val="000000"/>
                            </w:rPr>
                          </w:pPr>
                          <w:r w:rsidRPr="008515BF">
                            <w:rPr>
                              <w:rFonts w:ascii="Calibri" w:eastAsia="Calibri" w:hAnsi="Calibri" w:cs="Calibri"/>
                              <w:noProof/>
                              <w:color w:val="000000"/>
                            </w:rPr>
                            <w:t xml:space="preserve">WIPO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71C9B" id="_x0000_t202" coordsize="21600,21600" o:spt="202" path="m,l,21600r21600,l21600,xe">
              <v:stroke joinstyle="miter"/>
              <v:path gradientshapeok="t" o:connecttype="rect"/>
            </v:shapetype>
            <v:shape id="Text Box 5" o:spid="_x0000_s1027" type="#_x0000_t202" alt="WIPO PUBLIC " style="position:absolute;left:0;text-align:left;margin-left:0;margin-top:0;width:54.5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" filled="f" stroked="f">
              <v:textbox style="mso-fit-shape-to-text:t" inset="0,0,0,15pt">
                <w:txbxContent>
                  <w:p w14:paraId="16A3D334" w14:textId="25EA40A4" w:rsidR="008515BF" w:rsidRPr="008515BF" w:rsidRDefault="008515BF" w:rsidP="008515BF">
                    <w:pPr>
                      <w:rPr>
                        <w:rFonts w:ascii="Calibri" w:eastAsia="Calibri" w:hAnsi="Calibri" w:cs="Calibri"/>
                        <w:noProof/>
                        <w:color w:val="000000"/>
                      </w:rPr>
                    </w:pPr>
                    <w:r w:rsidRPr="008515BF">
                      <w:rPr>
                        <w:rFonts w:ascii="Calibri" w:eastAsia="Calibri" w:hAnsi="Calibri" w:cs="Calibri"/>
                        <w:noProof/>
                        <w:color w:val="000000"/>
                      </w:rPr>
                      <w:t xml:space="preserve">WIPO PUBLIC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CFCA" w14:textId="41FA7448" w:rsidR="000879A3" w:rsidRPr="00C47BF3" w:rsidRDefault="000879A3" w:rsidP="00C47B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A685" w14:textId="7B4EC446" w:rsidR="000879A3" w:rsidRPr="00C47BF3" w:rsidRDefault="000879A3" w:rsidP="00C47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99EB" w14:textId="77777777" w:rsidR="007353B3" w:rsidRDefault="007353B3" w:rsidP="006655D3">
      <w:r>
        <w:separator/>
      </w:r>
    </w:p>
  </w:footnote>
  <w:footnote w:type="continuationSeparator" w:id="0">
    <w:p w14:paraId="1659E775" w14:textId="77777777" w:rsidR="007353B3" w:rsidRDefault="007353B3" w:rsidP="006655D3">
      <w:r>
        <w:separator/>
      </w:r>
    </w:p>
  </w:footnote>
  <w:footnote w:type="continuationNotice" w:id="1">
    <w:p w14:paraId="3975814F" w14:textId="77777777" w:rsidR="007353B3" w:rsidRPr="00AB530F" w:rsidRDefault="007353B3" w:rsidP="00AB530F">
      <w:pPr>
        <w:pStyle w:val="Footer"/>
      </w:pPr>
    </w:p>
  </w:footnote>
  <w:footnote w:id="2">
    <w:p w14:paraId="3CD754B3" w14:textId="5115E78C" w:rsidR="00602ECB" w:rsidRDefault="00602ECB" w:rsidP="00C47BF3">
      <w:pPr>
        <w:pStyle w:val="FootnoteText"/>
      </w:pPr>
      <w:r>
        <w:rPr>
          <w:rStyle w:val="FootnoteReference"/>
        </w:rPr>
        <w:footnoteRef/>
      </w:r>
      <w:r>
        <w:t xml:space="preserve"> Septuagésima séptima sesión del</w:t>
      </w:r>
      <w:r w:rsidR="00A004B4">
        <w:t> </w:t>
      </w:r>
      <w:r>
        <w:t>CAJ, celebrada por medios electrónicos el 28 de octubre de 2020.</w:t>
      </w:r>
    </w:p>
  </w:footnote>
  <w:footnote w:id="3">
    <w:p w14:paraId="6745399C" w14:textId="1AFAB21F" w:rsidR="00F30FF3" w:rsidRDefault="00F30FF3" w:rsidP="00C47BF3">
      <w:pPr>
        <w:pStyle w:val="FootnoteText"/>
      </w:pPr>
      <w:r>
        <w:rPr>
          <w:rStyle w:val="FootnoteReference"/>
        </w:rPr>
        <w:footnoteRef/>
      </w:r>
      <w:r>
        <w:t xml:space="preserve"> Septuagésima octava sesión del</w:t>
      </w:r>
      <w:r w:rsidR="00A004B4">
        <w:t> </w:t>
      </w:r>
      <w:r>
        <w:t>CAJ, celebrada en Ginebra el</w:t>
      </w:r>
      <w:r w:rsidR="00A004B4">
        <w:t> </w:t>
      </w:r>
      <w:r>
        <w:t>27 de octubre de</w:t>
      </w:r>
      <w:r w:rsidR="00A004B4">
        <w:t> </w:t>
      </w:r>
      <w:r>
        <w:t>2021. Véase el párrafo</w:t>
      </w:r>
      <w:r w:rsidR="00A004B4">
        <w:t> </w:t>
      </w:r>
      <w:r>
        <w:t>43 del documento</w:t>
      </w:r>
      <w:r w:rsidR="00A004B4">
        <w:t> </w:t>
      </w:r>
      <w:r>
        <w:t>CAJ/78/13 “Informe”.</w:t>
      </w:r>
    </w:p>
  </w:footnote>
  <w:footnote w:id="4">
    <w:p w14:paraId="2BD91F09" w14:textId="12C55D73" w:rsidR="00602ECB" w:rsidRPr="008663AE" w:rsidRDefault="00602ECB" w:rsidP="00C47BF3">
      <w:pPr>
        <w:pStyle w:val="FootnoteText"/>
      </w:pPr>
      <w:r>
        <w:rPr>
          <w:rStyle w:val="FootnoteReference"/>
        </w:rPr>
        <w:footnoteRef/>
      </w:r>
      <w:r>
        <w:t xml:space="preserve"> Septuagésima novena sesión del</w:t>
      </w:r>
      <w:r w:rsidR="00A004B4">
        <w:t> </w:t>
      </w:r>
      <w:r>
        <w:t>CAJ, celebrada en Ginebra el</w:t>
      </w:r>
      <w:r w:rsidR="00A004B4">
        <w:t> </w:t>
      </w:r>
      <w:r>
        <w:t>26 de octubre de</w:t>
      </w:r>
      <w:r w:rsidR="00A004B4">
        <w:t> </w:t>
      </w:r>
      <w:r>
        <w:t>2022.</w:t>
      </w:r>
    </w:p>
  </w:footnote>
  <w:footnote w:id="5">
    <w:p w14:paraId="2EED09F1" w14:textId="0048A8D5" w:rsidR="00200402" w:rsidRPr="003123C9" w:rsidRDefault="00200402" w:rsidP="00C47BF3">
      <w:pPr>
        <w:pStyle w:val="FootnoteText"/>
      </w:pPr>
      <w:r>
        <w:rPr>
          <w:rStyle w:val="FootnoteReference"/>
        </w:rPr>
        <w:footnoteRef/>
      </w:r>
      <w:r>
        <w:t xml:space="preserve"> Quincuagésima novena sesión del</w:t>
      </w:r>
      <w:r w:rsidR="00A004B4">
        <w:t> </w:t>
      </w:r>
      <w:r>
        <w:t>TC, celebrada en Ginebra los días</w:t>
      </w:r>
      <w:r w:rsidR="00A004B4">
        <w:t> </w:t>
      </w:r>
      <w:r>
        <w:t>23 y</w:t>
      </w:r>
      <w:r w:rsidR="00A004B4">
        <w:t> </w:t>
      </w:r>
      <w:r>
        <w:t>24 de octubre de</w:t>
      </w:r>
      <w:r w:rsidR="00A004B4">
        <w:t> </w:t>
      </w:r>
      <w:r>
        <w:t>2023. Véanse los párrafos</w:t>
      </w:r>
      <w:r w:rsidR="00A004B4">
        <w:t> </w:t>
      </w:r>
      <w:r>
        <w:t>53 a</w:t>
      </w:r>
      <w:r w:rsidR="00A004B4">
        <w:t> </w:t>
      </w:r>
      <w:r>
        <w:t>55 del documento</w:t>
      </w:r>
      <w:r w:rsidR="00A004B4">
        <w:t> </w:t>
      </w:r>
      <w:r>
        <w:t>TC/59/28 “Informe”.</w:t>
      </w:r>
    </w:p>
  </w:footnote>
  <w:footnote w:id="6">
    <w:p w14:paraId="48ECF17A" w14:textId="735A9B73" w:rsidR="00200402" w:rsidRPr="003123C9" w:rsidRDefault="00200402" w:rsidP="00C47BF3">
      <w:pPr>
        <w:pStyle w:val="FootnoteText"/>
      </w:pPr>
      <w:r>
        <w:rPr>
          <w:rStyle w:val="FootnoteReference"/>
        </w:rPr>
        <w:footnoteRef/>
      </w:r>
      <w:r>
        <w:t xml:space="preserve"> Véanse los párrafos</w:t>
      </w:r>
      <w:r w:rsidR="00A004B4">
        <w:t> </w:t>
      </w:r>
      <w:r>
        <w:t>37 a</w:t>
      </w:r>
      <w:r w:rsidR="00A004B4">
        <w:t> </w:t>
      </w:r>
      <w:r>
        <w:t>40 del documento</w:t>
      </w:r>
      <w:r w:rsidR="00A004B4">
        <w:t> </w:t>
      </w:r>
      <w:r>
        <w:t>CAJ/80/6 “Informe” de 25</w:t>
      </w:r>
      <w:r w:rsidR="00A004B4">
        <w:t> </w:t>
      </w:r>
      <w:r>
        <w:t>de octubre de</w:t>
      </w:r>
      <w:r w:rsidR="00A004B4">
        <w:t> </w:t>
      </w:r>
      <w:r>
        <w:t>2023</w:t>
      </w:r>
      <w:r w:rsidR="00C9252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E0C3" w14:textId="40367C1B" w:rsidR="0004198B" w:rsidRPr="00C5280D" w:rsidRDefault="00C264ED" w:rsidP="00EB048E">
    <w:pPr>
      <w:pStyle w:val="Header"/>
      <w:rPr>
        <w:rStyle w:val="PageNumber"/>
      </w:rPr>
    </w:pPr>
    <w:r>
      <w:rPr>
        <w:rStyle w:val="PageNumber"/>
      </w:rPr>
      <w:t>SESSIONS/2024/3</w:t>
    </w:r>
  </w:p>
  <w:p w14:paraId="757C8FAC" w14:textId="77777777" w:rsidR="0004198B" w:rsidRPr="00C5280D" w:rsidRDefault="0004198B"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F49B5">
      <w:rPr>
        <w:rStyle w:val="PageNumber"/>
      </w:rPr>
      <w:t>2</w:t>
    </w:r>
    <w:r w:rsidRPr="00C5280D">
      <w:rPr>
        <w:rStyle w:val="PageNumber"/>
      </w:rPr>
      <w:fldChar w:fldCharType="end"/>
    </w:r>
  </w:p>
  <w:p w14:paraId="46A0BCF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C6C7" w14:textId="77777777" w:rsidR="00A44F87" w:rsidRPr="00C5280D" w:rsidRDefault="00A44F87" w:rsidP="00EB048E">
    <w:pPr>
      <w:pStyle w:val="Header"/>
      <w:rPr>
        <w:rStyle w:val="PageNumber"/>
      </w:rPr>
    </w:pPr>
    <w:r>
      <w:rPr>
        <w:rStyle w:val="PageNumber"/>
      </w:rPr>
      <w:t>SESSIONS/2024/3</w:t>
    </w:r>
  </w:p>
  <w:p w14:paraId="2A2ACB96" w14:textId="157A55FE" w:rsidR="00A44F87" w:rsidRPr="00C5280D" w:rsidRDefault="00A44F87" w:rsidP="00EB048E">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46D106BE" w14:textId="77777777" w:rsidR="00A44F87" w:rsidRPr="00C5280D" w:rsidRDefault="00A44F87"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10F0" w14:textId="77777777" w:rsidR="00A45601" w:rsidRPr="00C5280D" w:rsidRDefault="00A45601" w:rsidP="00A45601">
    <w:pPr>
      <w:pStyle w:val="Header"/>
      <w:rPr>
        <w:rStyle w:val="PageNumber"/>
      </w:rPr>
    </w:pPr>
    <w:r>
      <w:rPr>
        <w:rStyle w:val="PageNumber"/>
      </w:rPr>
      <w:t>SESSIONS/2024/3</w:t>
    </w:r>
  </w:p>
  <w:p w14:paraId="55379BA9" w14:textId="77777777" w:rsidR="00A45601" w:rsidRDefault="00A45601" w:rsidP="00A45601"/>
  <w:p w14:paraId="555A8CE0" w14:textId="695143D6" w:rsidR="00A45601" w:rsidRPr="00C5280D" w:rsidRDefault="00A45601" w:rsidP="00A44F87">
    <w:pPr>
      <w:jc w:val="center"/>
    </w:pPr>
    <w:r>
      <w:t>ANEXO</w:t>
    </w:r>
  </w:p>
  <w:p w14:paraId="288C8C2E" w14:textId="77777777" w:rsidR="00A45601" w:rsidRPr="0004198B" w:rsidRDefault="00A45601"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538"/>
    <w:multiLevelType w:val="hybridMultilevel"/>
    <w:tmpl w:val="441C3B46"/>
    <w:lvl w:ilvl="0" w:tplc="FFFFFFFF">
      <w:start w:val="1"/>
      <w:numFmt w:val="bullet"/>
      <w:lvlText w:val=""/>
      <w:lvlJc w:val="left"/>
      <w:pPr>
        <w:ind w:left="720" w:hanging="360"/>
      </w:pPr>
      <w:rPr>
        <w:rFonts w:ascii="Symbol" w:hAnsi="Symbol" w:hint="default"/>
      </w:rPr>
    </w:lvl>
    <w:lvl w:ilvl="1" w:tplc="2A1CC70C">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BA3DF4"/>
    <w:multiLevelType w:val="hybridMultilevel"/>
    <w:tmpl w:val="5256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86754"/>
    <w:multiLevelType w:val="hybridMultilevel"/>
    <w:tmpl w:val="C096D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B1BC5"/>
    <w:multiLevelType w:val="hybridMultilevel"/>
    <w:tmpl w:val="F976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B24E6"/>
    <w:multiLevelType w:val="hybridMultilevel"/>
    <w:tmpl w:val="FA16CC00"/>
    <w:lvl w:ilvl="0" w:tplc="D21051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DC1615"/>
    <w:multiLevelType w:val="hybridMultilevel"/>
    <w:tmpl w:val="6E58A718"/>
    <w:lvl w:ilvl="0" w:tplc="0C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8530694">
    <w:abstractNumId w:val="5"/>
  </w:num>
  <w:num w:numId="2" w16cid:durableId="1041978920">
    <w:abstractNumId w:val="0"/>
  </w:num>
  <w:num w:numId="3" w16cid:durableId="1977569136">
    <w:abstractNumId w:val="4"/>
  </w:num>
  <w:num w:numId="4" w16cid:durableId="1816682309">
    <w:abstractNumId w:val="2"/>
  </w:num>
  <w:num w:numId="5" w16cid:durableId="109129254">
    <w:abstractNumId w:val="1"/>
  </w:num>
  <w:num w:numId="6" w16cid:durableId="461506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4657"/>
    <w:rsid w:val="00036028"/>
    <w:rsid w:val="0004198B"/>
    <w:rsid w:val="00043E50"/>
    <w:rsid w:val="00044642"/>
    <w:rsid w:val="000446B9"/>
    <w:rsid w:val="00047E21"/>
    <w:rsid w:val="00050E16"/>
    <w:rsid w:val="00085505"/>
    <w:rsid w:val="000879A3"/>
    <w:rsid w:val="000911AB"/>
    <w:rsid w:val="000B5325"/>
    <w:rsid w:val="000C48DA"/>
    <w:rsid w:val="000C4E25"/>
    <w:rsid w:val="000C7021"/>
    <w:rsid w:val="000D6BBC"/>
    <w:rsid w:val="000D7780"/>
    <w:rsid w:val="000E2E0E"/>
    <w:rsid w:val="000E636A"/>
    <w:rsid w:val="000F2F11"/>
    <w:rsid w:val="00100A5F"/>
    <w:rsid w:val="00105929"/>
    <w:rsid w:val="00110BED"/>
    <w:rsid w:val="00110C36"/>
    <w:rsid w:val="001131D5"/>
    <w:rsid w:val="00114547"/>
    <w:rsid w:val="00120256"/>
    <w:rsid w:val="00122C95"/>
    <w:rsid w:val="00130C3F"/>
    <w:rsid w:val="00141DB8"/>
    <w:rsid w:val="001421EC"/>
    <w:rsid w:val="0015111E"/>
    <w:rsid w:val="00172084"/>
    <w:rsid w:val="0017474A"/>
    <w:rsid w:val="001758C6"/>
    <w:rsid w:val="0017606A"/>
    <w:rsid w:val="00182B99"/>
    <w:rsid w:val="001A1097"/>
    <w:rsid w:val="001B2365"/>
    <w:rsid w:val="001B63DA"/>
    <w:rsid w:val="001C1525"/>
    <w:rsid w:val="001D736D"/>
    <w:rsid w:val="001E7790"/>
    <w:rsid w:val="00200402"/>
    <w:rsid w:val="0021332C"/>
    <w:rsid w:val="00213982"/>
    <w:rsid w:val="0024049F"/>
    <w:rsid w:val="0024416D"/>
    <w:rsid w:val="00257D8D"/>
    <w:rsid w:val="00262A96"/>
    <w:rsid w:val="00271911"/>
    <w:rsid w:val="00273187"/>
    <w:rsid w:val="00275901"/>
    <w:rsid w:val="002800A0"/>
    <w:rsid w:val="002801B3"/>
    <w:rsid w:val="00281060"/>
    <w:rsid w:val="00285BD0"/>
    <w:rsid w:val="00287DE8"/>
    <w:rsid w:val="002940E8"/>
    <w:rsid w:val="00294751"/>
    <w:rsid w:val="002A6E50"/>
    <w:rsid w:val="002B4298"/>
    <w:rsid w:val="002B4F47"/>
    <w:rsid w:val="002B7A36"/>
    <w:rsid w:val="002C256A"/>
    <w:rsid w:val="002C32F0"/>
    <w:rsid w:val="002D5226"/>
    <w:rsid w:val="00305A7F"/>
    <w:rsid w:val="003123C9"/>
    <w:rsid w:val="003152FE"/>
    <w:rsid w:val="00327436"/>
    <w:rsid w:val="00344BD6"/>
    <w:rsid w:val="0035528D"/>
    <w:rsid w:val="003601A4"/>
    <w:rsid w:val="00361821"/>
    <w:rsid w:val="00361E9E"/>
    <w:rsid w:val="00362755"/>
    <w:rsid w:val="003753EE"/>
    <w:rsid w:val="003A0835"/>
    <w:rsid w:val="003A5AAF"/>
    <w:rsid w:val="003B700A"/>
    <w:rsid w:val="003C0285"/>
    <w:rsid w:val="003C7FBE"/>
    <w:rsid w:val="003D227C"/>
    <w:rsid w:val="003D2B4D"/>
    <w:rsid w:val="003D5F09"/>
    <w:rsid w:val="003E014A"/>
    <w:rsid w:val="003F2FFD"/>
    <w:rsid w:val="003F37F5"/>
    <w:rsid w:val="0041598A"/>
    <w:rsid w:val="00423318"/>
    <w:rsid w:val="00430CBD"/>
    <w:rsid w:val="00433993"/>
    <w:rsid w:val="00444A88"/>
    <w:rsid w:val="004550A9"/>
    <w:rsid w:val="0046181C"/>
    <w:rsid w:val="00464637"/>
    <w:rsid w:val="00465CBD"/>
    <w:rsid w:val="00474DA4"/>
    <w:rsid w:val="00476B4D"/>
    <w:rsid w:val="004805FA"/>
    <w:rsid w:val="00481FC3"/>
    <w:rsid w:val="00484586"/>
    <w:rsid w:val="00485C66"/>
    <w:rsid w:val="004935D2"/>
    <w:rsid w:val="004A7E84"/>
    <w:rsid w:val="004B1215"/>
    <w:rsid w:val="004D047D"/>
    <w:rsid w:val="004D46E0"/>
    <w:rsid w:val="004D64A7"/>
    <w:rsid w:val="004F1E9E"/>
    <w:rsid w:val="004F305A"/>
    <w:rsid w:val="00505723"/>
    <w:rsid w:val="00512164"/>
    <w:rsid w:val="00520297"/>
    <w:rsid w:val="005338F9"/>
    <w:rsid w:val="005379A8"/>
    <w:rsid w:val="0054281C"/>
    <w:rsid w:val="00544581"/>
    <w:rsid w:val="0055268D"/>
    <w:rsid w:val="00566958"/>
    <w:rsid w:val="00575DE2"/>
    <w:rsid w:val="00576BE4"/>
    <w:rsid w:val="005779DB"/>
    <w:rsid w:val="005A2F16"/>
    <w:rsid w:val="005A400A"/>
    <w:rsid w:val="005B269D"/>
    <w:rsid w:val="005B34A3"/>
    <w:rsid w:val="005D4A31"/>
    <w:rsid w:val="005F31BE"/>
    <w:rsid w:val="005F7B92"/>
    <w:rsid w:val="00602ECB"/>
    <w:rsid w:val="00605F19"/>
    <w:rsid w:val="00612379"/>
    <w:rsid w:val="006153B6"/>
    <w:rsid w:val="0061555F"/>
    <w:rsid w:val="00616F9E"/>
    <w:rsid w:val="006245ED"/>
    <w:rsid w:val="00636CA6"/>
    <w:rsid w:val="00641200"/>
    <w:rsid w:val="00642F76"/>
    <w:rsid w:val="00645CA8"/>
    <w:rsid w:val="00651B27"/>
    <w:rsid w:val="006655D3"/>
    <w:rsid w:val="00667404"/>
    <w:rsid w:val="00671CD8"/>
    <w:rsid w:val="00676EFE"/>
    <w:rsid w:val="006838D6"/>
    <w:rsid w:val="006868F8"/>
    <w:rsid w:val="00686E75"/>
    <w:rsid w:val="00687EB4"/>
    <w:rsid w:val="00695C56"/>
    <w:rsid w:val="006A5CDE"/>
    <w:rsid w:val="006A644A"/>
    <w:rsid w:val="006B17D2"/>
    <w:rsid w:val="006B387D"/>
    <w:rsid w:val="006C224E"/>
    <w:rsid w:val="006D780A"/>
    <w:rsid w:val="006E5ECC"/>
    <w:rsid w:val="006E6980"/>
    <w:rsid w:val="006F1CA8"/>
    <w:rsid w:val="0071271E"/>
    <w:rsid w:val="007154FD"/>
    <w:rsid w:val="00727634"/>
    <w:rsid w:val="00732DEC"/>
    <w:rsid w:val="007353B3"/>
    <w:rsid w:val="00735BD5"/>
    <w:rsid w:val="007451EC"/>
    <w:rsid w:val="00751613"/>
    <w:rsid w:val="00753EE9"/>
    <w:rsid w:val="007546B2"/>
    <w:rsid w:val="007556F6"/>
    <w:rsid w:val="00760EEF"/>
    <w:rsid w:val="00777EE5"/>
    <w:rsid w:val="007830F4"/>
    <w:rsid w:val="00784836"/>
    <w:rsid w:val="0078582E"/>
    <w:rsid w:val="00785FAD"/>
    <w:rsid w:val="0079023E"/>
    <w:rsid w:val="007A2854"/>
    <w:rsid w:val="007A52B0"/>
    <w:rsid w:val="007B73A9"/>
    <w:rsid w:val="007C01EB"/>
    <w:rsid w:val="007C1D92"/>
    <w:rsid w:val="007C4CB9"/>
    <w:rsid w:val="007D0B9D"/>
    <w:rsid w:val="007D0F14"/>
    <w:rsid w:val="007D19B0"/>
    <w:rsid w:val="007E3439"/>
    <w:rsid w:val="007F498F"/>
    <w:rsid w:val="00801AB9"/>
    <w:rsid w:val="0080679D"/>
    <w:rsid w:val="008108B0"/>
    <w:rsid w:val="00811B20"/>
    <w:rsid w:val="00812609"/>
    <w:rsid w:val="00812C7E"/>
    <w:rsid w:val="008211B5"/>
    <w:rsid w:val="0082296E"/>
    <w:rsid w:val="00824099"/>
    <w:rsid w:val="00844877"/>
    <w:rsid w:val="00846D7C"/>
    <w:rsid w:val="008515BF"/>
    <w:rsid w:val="00854C61"/>
    <w:rsid w:val="00856E5D"/>
    <w:rsid w:val="0086346C"/>
    <w:rsid w:val="00867AC1"/>
    <w:rsid w:val="008751DE"/>
    <w:rsid w:val="00890289"/>
    <w:rsid w:val="00890DF8"/>
    <w:rsid w:val="00893A23"/>
    <w:rsid w:val="008A0ADE"/>
    <w:rsid w:val="008A743F"/>
    <w:rsid w:val="008B5CA7"/>
    <w:rsid w:val="008C066D"/>
    <w:rsid w:val="008C0970"/>
    <w:rsid w:val="008C50B9"/>
    <w:rsid w:val="008D0BC5"/>
    <w:rsid w:val="008D2CF7"/>
    <w:rsid w:val="008E1D93"/>
    <w:rsid w:val="008F14C5"/>
    <w:rsid w:val="008F6492"/>
    <w:rsid w:val="00900C26"/>
    <w:rsid w:val="0090197F"/>
    <w:rsid w:val="00903264"/>
    <w:rsid w:val="00906DDC"/>
    <w:rsid w:val="0093041F"/>
    <w:rsid w:val="00934E09"/>
    <w:rsid w:val="00936253"/>
    <w:rsid w:val="00940D46"/>
    <w:rsid w:val="009413F1"/>
    <w:rsid w:val="00952DD4"/>
    <w:rsid w:val="009561F4"/>
    <w:rsid w:val="00965AE7"/>
    <w:rsid w:val="00966774"/>
    <w:rsid w:val="00970FED"/>
    <w:rsid w:val="00976FB4"/>
    <w:rsid w:val="00980A6E"/>
    <w:rsid w:val="00982FCB"/>
    <w:rsid w:val="00992D82"/>
    <w:rsid w:val="00997029"/>
    <w:rsid w:val="009A7339"/>
    <w:rsid w:val="009B440E"/>
    <w:rsid w:val="009C4FBB"/>
    <w:rsid w:val="009D690D"/>
    <w:rsid w:val="009E65B6"/>
    <w:rsid w:val="009E6E22"/>
    <w:rsid w:val="009F0A51"/>
    <w:rsid w:val="009F77CF"/>
    <w:rsid w:val="00A004B4"/>
    <w:rsid w:val="00A00BD5"/>
    <w:rsid w:val="00A24C10"/>
    <w:rsid w:val="00A37747"/>
    <w:rsid w:val="00A42AC3"/>
    <w:rsid w:val="00A430CF"/>
    <w:rsid w:val="00A44F87"/>
    <w:rsid w:val="00A45601"/>
    <w:rsid w:val="00A54309"/>
    <w:rsid w:val="00A610A9"/>
    <w:rsid w:val="00A80F2A"/>
    <w:rsid w:val="00A83A48"/>
    <w:rsid w:val="00A90C7B"/>
    <w:rsid w:val="00A96C33"/>
    <w:rsid w:val="00AA01B8"/>
    <w:rsid w:val="00AA13A2"/>
    <w:rsid w:val="00AB2B93"/>
    <w:rsid w:val="00AB3B06"/>
    <w:rsid w:val="00AB530F"/>
    <w:rsid w:val="00AB7E5B"/>
    <w:rsid w:val="00AC1915"/>
    <w:rsid w:val="00AC2883"/>
    <w:rsid w:val="00AE0EF1"/>
    <w:rsid w:val="00AE2937"/>
    <w:rsid w:val="00AF3907"/>
    <w:rsid w:val="00B07301"/>
    <w:rsid w:val="00B11F3E"/>
    <w:rsid w:val="00B172CE"/>
    <w:rsid w:val="00B215DC"/>
    <w:rsid w:val="00B224DE"/>
    <w:rsid w:val="00B22ED6"/>
    <w:rsid w:val="00B324D4"/>
    <w:rsid w:val="00B42CC2"/>
    <w:rsid w:val="00B46575"/>
    <w:rsid w:val="00B61777"/>
    <w:rsid w:val="00B622E6"/>
    <w:rsid w:val="00B62E95"/>
    <w:rsid w:val="00B83E82"/>
    <w:rsid w:val="00B84BBD"/>
    <w:rsid w:val="00B91BD8"/>
    <w:rsid w:val="00BA43FB"/>
    <w:rsid w:val="00BC127D"/>
    <w:rsid w:val="00BC1FE6"/>
    <w:rsid w:val="00BD44F0"/>
    <w:rsid w:val="00BE258E"/>
    <w:rsid w:val="00BE6A55"/>
    <w:rsid w:val="00C00497"/>
    <w:rsid w:val="00C047FC"/>
    <w:rsid w:val="00C061B6"/>
    <w:rsid w:val="00C24243"/>
    <w:rsid w:val="00C2446C"/>
    <w:rsid w:val="00C264ED"/>
    <w:rsid w:val="00C32909"/>
    <w:rsid w:val="00C36AE5"/>
    <w:rsid w:val="00C40291"/>
    <w:rsid w:val="00C41F17"/>
    <w:rsid w:val="00C435AD"/>
    <w:rsid w:val="00C47BF3"/>
    <w:rsid w:val="00C521B1"/>
    <w:rsid w:val="00C527FA"/>
    <w:rsid w:val="00C5280D"/>
    <w:rsid w:val="00C52B92"/>
    <w:rsid w:val="00C53EB3"/>
    <w:rsid w:val="00C54500"/>
    <w:rsid w:val="00C5791C"/>
    <w:rsid w:val="00C66290"/>
    <w:rsid w:val="00C72B7A"/>
    <w:rsid w:val="00C924B0"/>
    <w:rsid w:val="00C9252B"/>
    <w:rsid w:val="00C973F2"/>
    <w:rsid w:val="00CA304C"/>
    <w:rsid w:val="00CA774A"/>
    <w:rsid w:val="00CB4921"/>
    <w:rsid w:val="00CC0AF5"/>
    <w:rsid w:val="00CC11B0"/>
    <w:rsid w:val="00CC2841"/>
    <w:rsid w:val="00CF1330"/>
    <w:rsid w:val="00CF7E36"/>
    <w:rsid w:val="00D03B96"/>
    <w:rsid w:val="00D173BC"/>
    <w:rsid w:val="00D36DC7"/>
    <w:rsid w:val="00D3708D"/>
    <w:rsid w:val="00D40426"/>
    <w:rsid w:val="00D40DF7"/>
    <w:rsid w:val="00D52F5C"/>
    <w:rsid w:val="00D57C96"/>
    <w:rsid w:val="00D57D18"/>
    <w:rsid w:val="00D65B8E"/>
    <w:rsid w:val="00D70E65"/>
    <w:rsid w:val="00D71235"/>
    <w:rsid w:val="00D7181A"/>
    <w:rsid w:val="00D87EBD"/>
    <w:rsid w:val="00D91203"/>
    <w:rsid w:val="00D95174"/>
    <w:rsid w:val="00DA4973"/>
    <w:rsid w:val="00DA6F36"/>
    <w:rsid w:val="00DB43B0"/>
    <w:rsid w:val="00DB596E"/>
    <w:rsid w:val="00DB7773"/>
    <w:rsid w:val="00DC00EA"/>
    <w:rsid w:val="00DC3802"/>
    <w:rsid w:val="00DC51B2"/>
    <w:rsid w:val="00DC51CA"/>
    <w:rsid w:val="00DC5AD7"/>
    <w:rsid w:val="00DD05E3"/>
    <w:rsid w:val="00DD6208"/>
    <w:rsid w:val="00DF7E99"/>
    <w:rsid w:val="00E008F0"/>
    <w:rsid w:val="00E0309F"/>
    <w:rsid w:val="00E0530F"/>
    <w:rsid w:val="00E07D87"/>
    <w:rsid w:val="00E17BAE"/>
    <w:rsid w:val="00E249C8"/>
    <w:rsid w:val="00E32F7E"/>
    <w:rsid w:val="00E4433A"/>
    <w:rsid w:val="00E47800"/>
    <w:rsid w:val="00E51122"/>
    <w:rsid w:val="00E5267B"/>
    <w:rsid w:val="00E559F0"/>
    <w:rsid w:val="00E63C0E"/>
    <w:rsid w:val="00E72D49"/>
    <w:rsid w:val="00E7593C"/>
    <w:rsid w:val="00E7678A"/>
    <w:rsid w:val="00E9199F"/>
    <w:rsid w:val="00E935F1"/>
    <w:rsid w:val="00E94A81"/>
    <w:rsid w:val="00EA1C55"/>
    <w:rsid w:val="00EA1FFB"/>
    <w:rsid w:val="00EB048E"/>
    <w:rsid w:val="00EB4E9C"/>
    <w:rsid w:val="00EE34DF"/>
    <w:rsid w:val="00EE622B"/>
    <w:rsid w:val="00EF2F89"/>
    <w:rsid w:val="00EF49B5"/>
    <w:rsid w:val="00EF5193"/>
    <w:rsid w:val="00EF6D30"/>
    <w:rsid w:val="00EF6DA6"/>
    <w:rsid w:val="00F03E98"/>
    <w:rsid w:val="00F0734A"/>
    <w:rsid w:val="00F1203B"/>
    <w:rsid w:val="00F1237A"/>
    <w:rsid w:val="00F22CBD"/>
    <w:rsid w:val="00F272F1"/>
    <w:rsid w:val="00F30FF3"/>
    <w:rsid w:val="00F31412"/>
    <w:rsid w:val="00F3239C"/>
    <w:rsid w:val="00F413EB"/>
    <w:rsid w:val="00F45372"/>
    <w:rsid w:val="00F560F7"/>
    <w:rsid w:val="00F6334D"/>
    <w:rsid w:val="00F63599"/>
    <w:rsid w:val="00F70FB6"/>
    <w:rsid w:val="00F71781"/>
    <w:rsid w:val="00F73D2E"/>
    <w:rsid w:val="00FA49AB"/>
    <w:rsid w:val="00FC3097"/>
    <w:rsid w:val="00FC5FD0"/>
    <w:rsid w:val="00FC6141"/>
    <w:rsid w:val="00FE15A8"/>
    <w:rsid w:val="00FE39C7"/>
    <w:rsid w:val="00FE62A3"/>
    <w:rsid w:val="00FF4D07"/>
    <w:rsid w:val="00FF4D4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325"/>
    <w:pPr>
      <w:jc w:val="both"/>
    </w:pPr>
    <w:rPr>
      <w:rFonts w:ascii="Arial" w:hAnsi="Arial"/>
    </w:rPr>
  </w:style>
  <w:style w:type="paragraph" w:styleId="Heading1">
    <w:name w:val="heading 1"/>
    <w:next w:val="Normal"/>
    <w:link w:val="Heading1Char"/>
    <w:autoRedefine/>
    <w:qFormat/>
    <w:rsid w:val="00465CBD"/>
    <w:pPr>
      <w:keepNext/>
      <w:jc w:val="both"/>
      <w:outlineLvl w:val="0"/>
    </w:pPr>
    <w:rPr>
      <w:rFonts w:ascii="Arial" w:hAnsi="Arial"/>
      <w:caps/>
    </w:rPr>
  </w:style>
  <w:style w:type="paragraph" w:styleId="Heading2">
    <w:name w:val="heading 2"/>
    <w:next w:val="Normal"/>
    <w:autoRedefine/>
    <w:qFormat/>
    <w:rsid w:val="00980A6E"/>
    <w:pPr>
      <w:keepNext/>
      <w:ind w:left="567" w:hanging="567"/>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C47BF3"/>
    <w:pPr>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86346C"/>
    <w:pPr>
      <w:tabs>
        <w:tab w:val="left" w:pos="738"/>
        <w:tab w:val="right" w:leader="dot" w:pos="9639"/>
      </w:tabs>
      <w:spacing w:after="120"/>
      <w:ind w:left="567" w:right="851" w:hanging="397"/>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paragraph" w:styleId="ListParagraph">
    <w:name w:val="List Paragraph"/>
    <w:aliases w:val="auto_list_(i),List Paragraph1"/>
    <w:basedOn w:val="Normal"/>
    <w:link w:val="ListParagraphChar"/>
    <w:uiPriority w:val="34"/>
    <w:qFormat/>
    <w:rsid w:val="006B387D"/>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6B387D"/>
    <w:rPr>
      <w:rFonts w:ascii="Arial" w:eastAsiaTheme="minorEastAsia" w:hAnsi="Arial" w:cstheme="minorBidi"/>
      <w:szCs w:val="22"/>
    </w:rPr>
  </w:style>
  <w:style w:type="character" w:customStyle="1" w:styleId="Heading1Char">
    <w:name w:val="Heading 1 Char"/>
    <w:basedOn w:val="DefaultParagraphFont"/>
    <w:link w:val="Heading1"/>
    <w:rsid w:val="00465CBD"/>
    <w:rPr>
      <w:rFonts w:ascii="Arial" w:hAnsi="Arial"/>
      <w:caps/>
    </w:rPr>
  </w:style>
  <w:style w:type="character" w:customStyle="1" w:styleId="FootnoteTextChar">
    <w:name w:val="Footnote Text Char"/>
    <w:basedOn w:val="DefaultParagraphFont"/>
    <w:link w:val="FootnoteText"/>
    <w:rsid w:val="00C47BF3"/>
    <w:rPr>
      <w:rFonts w:ascii="Arial" w:hAnsi="Arial"/>
      <w:sz w:val="16"/>
    </w:rPr>
  </w:style>
  <w:style w:type="paragraph" w:customStyle="1" w:styleId="Default">
    <w:name w:val="Default"/>
    <w:rsid w:val="00FE62A3"/>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854C61"/>
    <w:rPr>
      <w:rFonts w:ascii="Arial" w:hAnsi="Arial"/>
    </w:rPr>
  </w:style>
  <w:style w:type="character" w:styleId="CommentReference">
    <w:name w:val="annotation reference"/>
    <w:basedOn w:val="DefaultParagraphFont"/>
    <w:semiHidden/>
    <w:unhideWhenUsed/>
    <w:rsid w:val="00854C61"/>
    <w:rPr>
      <w:sz w:val="16"/>
      <w:szCs w:val="16"/>
    </w:rPr>
  </w:style>
  <w:style w:type="paragraph" w:styleId="CommentText">
    <w:name w:val="annotation text"/>
    <w:basedOn w:val="Normal"/>
    <w:link w:val="CommentTextChar"/>
    <w:unhideWhenUsed/>
    <w:rsid w:val="00854C61"/>
  </w:style>
  <w:style w:type="character" w:customStyle="1" w:styleId="CommentTextChar">
    <w:name w:val="Comment Text Char"/>
    <w:basedOn w:val="DefaultParagraphFont"/>
    <w:link w:val="CommentText"/>
    <w:rsid w:val="00854C61"/>
    <w:rPr>
      <w:rFonts w:ascii="Arial" w:hAnsi="Arial"/>
    </w:rPr>
  </w:style>
  <w:style w:type="paragraph" w:styleId="CommentSubject">
    <w:name w:val="annotation subject"/>
    <w:basedOn w:val="CommentText"/>
    <w:next w:val="CommentText"/>
    <w:link w:val="CommentSubjectChar"/>
    <w:semiHidden/>
    <w:unhideWhenUsed/>
    <w:rsid w:val="00854C61"/>
    <w:rPr>
      <w:b/>
      <w:bCs/>
    </w:rPr>
  </w:style>
  <w:style w:type="character" w:customStyle="1" w:styleId="CommentSubjectChar">
    <w:name w:val="Comment Subject Char"/>
    <w:basedOn w:val="CommentTextChar"/>
    <w:link w:val="CommentSubject"/>
    <w:semiHidden/>
    <w:rsid w:val="00854C61"/>
    <w:rPr>
      <w:rFonts w:ascii="Arial" w:hAnsi="Arial"/>
      <w:b/>
      <w:bCs/>
    </w:rPr>
  </w:style>
  <w:style w:type="table" w:styleId="TableGrid">
    <w:name w:val="Table Grid"/>
    <w:basedOn w:val="TableNormal"/>
    <w:uiPriority w:val="39"/>
    <w:rsid w:val="00DB43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B5CA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3837</Words>
  <Characters>21179</Characters>
  <Application>Microsoft Office Word</Application>
  <DocSecurity>0</DocSecurity>
  <Lines>481</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SESSIONS/2024/3</vt:lpstr>
      <vt:lpstr>SESSIONS/2024/3</vt:lpstr>
    </vt:vector>
  </TitlesOfParts>
  <Company>UPOV</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SESSIONS/2024/3</dc:title>
  <dc:creator>SANCHEZ VIZCAINO GOMEZ Rosa Maria</dc:creator>
  <cp:lastModifiedBy>SANCHEZ VIZCAINO GOMEZ Rosa Maria</cp:lastModifiedBy>
  <cp:revision>4</cp:revision>
  <cp:lastPrinted>2024-10-01T15:11:00Z</cp:lastPrinted>
  <dcterms:created xsi:type="dcterms:W3CDTF">2024-10-14T15:21:00Z</dcterms:created>
  <dcterms:modified xsi:type="dcterms:W3CDTF">2024-10-14T16:28:00Z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55246def,5a1c42b8,7b941e1d,51f96551,73bde4a5,37446e4b</vt:lpwstr>
  </property>
  <property fmtid="{D5CDD505-2E9C-101B-9397-08002B2CF9AE}" pid="3" name="ClassificationContentMarkingFooterFontProps">
    <vt:lpwstr>#000000,10,Calibri</vt:lpwstr>
  </property>
  <property fmtid="{D5CDD505-2E9C-101B-9397-08002B2CF9AE}" pid="4" name="ClassificationContentMarkingFooterText">
    <vt:lpwstr>WIPO PUBLIC </vt:lpwstr>
  </property>
  <property fmtid="{D5CDD505-2E9C-101B-9397-08002B2CF9AE}" pid="5" name="MSIP_Label_03b8935f-8a31-4b61-aa94-44b85c2a4df5_Enabled">
    <vt:lpwstr>true</vt:lpwstr>
  </property>
  <property fmtid="{D5CDD505-2E9C-101B-9397-08002B2CF9AE}" pid="6" name="MSIP_Label_03b8935f-8a31-4b61-aa94-44b85c2a4df5_SetDate">
    <vt:lpwstr>2024-10-14T06:24:53Z</vt:lpwstr>
  </property>
  <property fmtid="{D5CDD505-2E9C-101B-9397-08002B2CF9AE}" pid="7" name="MSIP_Label_03b8935f-8a31-4b61-aa94-44b85c2a4df5_Method">
    <vt:lpwstr>Privileged</vt:lpwstr>
  </property>
  <property fmtid="{D5CDD505-2E9C-101B-9397-08002B2CF9AE}" pid="8" name="MSIP_Label_03b8935f-8a31-4b61-aa94-44b85c2a4df5_Name">
    <vt:lpwstr>With Markings</vt:lpwstr>
  </property>
  <property fmtid="{D5CDD505-2E9C-101B-9397-08002B2CF9AE}" pid="9" name="MSIP_Label_03b8935f-8a31-4b61-aa94-44b85c2a4df5_SiteId">
    <vt:lpwstr>faa31b06-8ccc-48c9-867f-f7510dd11c02</vt:lpwstr>
  </property>
  <property fmtid="{D5CDD505-2E9C-101B-9397-08002B2CF9AE}" pid="10" name="MSIP_Label_03b8935f-8a31-4b61-aa94-44b85c2a4df5_ActionId">
    <vt:lpwstr>3582b694-f1e5-480d-80e5-dc7cc0b47d75</vt:lpwstr>
  </property>
  <property fmtid="{D5CDD505-2E9C-101B-9397-08002B2CF9AE}" pid="11" name="MSIP_Label_03b8935f-8a31-4b61-aa94-44b85c2a4df5_ContentBits">
    <vt:lpwstr>2</vt:lpwstr>
  </property>
</Properties>
</file>