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0"/>
        <w:gridCol w:w="3121"/>
        <w:gridCol w:w="8"/>
      </w:tblGrid>
      <w:tr w:rsidR="00EB4E9C" w:rsidRPr="00862178" w:rsidTr="00E02385">
        <w:tc>
          <w:tcPr>
            <w:tcW w:w="6510" w:type="dxa"/>
          </w:tcPr>
          <w:p w:rsidR="00EB4E9C" w:rsidRPr="00862178" w:rsidRDefault="002E5944" w:rsidP="00AC2883">
            <w:pPr>
              <w:pStyle w:val="Sessiontc"/>
              <w:spacing w:line="240" w:lineRule="auto"/>
            </w:pPr>
            <w:r w:rsidRPr="00862178">
              <w:t>Comité Técnico</w:t>
            </w:r>
          </w:p>
          <w:p w:rsidR="00EB4E9C" w:rsidRPr="00862178" w:rsidRDefault="002E5944" w:rsidP="00324098">
            <w:pPr>
              <w:pStyle w:val="Sessiontcplacedate"/>
              <w:rPr>
                <w:sz w:val="22"/>
              </w:rPr>
            </w:pPr>
            <w:r w:rsidRPr="00862178">
              <w:t xml:space="preserve">Quincuagésima </w:t>
            </w:r>
            <w:r w:rsidR="00467B42" w:rsidRPr="00862178">
              <w:t>s</w:t>
            </w:r>
            <w:r w:rsidR="00324098" w:rsidRPr="00862178">
              <w:t>éptima</w:t>
            </w:r>
            <w:r w:rsidRPr="00862178">
              <w:t xml:space="preserve"> sesión</w:t>
            </w:r>
            <w:r w:rsidR="00EB4E9C" w:rsidRPr="00862178">
              <w:br/>
            </w:r>
            <w:r w:rsidRPr="00862178">
              <w:t>Ginebra</w:t>
            </w:r>
            <w:r w:rsidR="00EB4E9C" w:rsidRPr="00862178">
              <w:t xml:space="preserve">, </w:t>
            </w:r>
            <w:r w:rsidR="005A1EC1" w:rsidRPr="00862178">
              <w:t>2</w:t>
            </w:r>
            <w:r w:rsidR="00324098" w:rsidRPr="00862178">
              <w:t>5</w:t>
            </w:r>
            <w:r w:rsidR="005A1EC1" w:rsidRPr="00862178">
              <w:t xml:space="preserve"> y </w:t>
            </w:r>
            <w:r w:rsidR="000B7BB9" w:rsidRPr="00862178">
              <w:t>2</w:t>
            </w:r>
            <w:r w:rsidR="00324098" w:rsidRPr="00862178">
              <w:t>6</w:t>
            </w:r>
            <w:r w:rsidR="005A1EC1" w:rsidRPr="00862178">
              <w:t xml:space="preserve"> de octubre </w:t>
            </w:r>
            <w:r w:rsidRPr="00862178">
              <w:t>de</w:t>
            </w:r>
            <w:r w:rsidR="00A706D3" w:rsidRPr="00862178">
              <w:t xml:space="preserve"> </w:t>
            </w:r>
            <w:r w:rsidR="00467B42" w:rsidRPr="00862178">
              <w:t>202</w:t>
            </w:r>
            <w:r w:rsidR="00324098" w:rsidRPr="00862178">
              <w:t>1</w:t>
            </w:r>
          </w:p>
        </w:tc>
        <w:tc>
          <w:tcPr>
            <w:tcW w:w="3129" w:type="dxa"/>
            <w:gridSpan w:val="2"/>
          </w:tcPr>
          <w:p w:rsidR="00EB4E9C" w:rsidRPr="00862178" w:rsidRDefault="00467B42" w:rsidP="003C7FBE">
            <w:pPr>
              <w:pStyle w:val="Doccode"/>
              <w:rPr>
                <w:lang w:val="es-ES"/>
              </w:rPr>
            </w:pPr>
            <w:r w:rsidRPr="00862178">
              <w:rPr>
                <w:lang w:val="es-ES"/>
              </w:rPr>
              <w:t>TC/5</w:t>
            </w:r>
            <w:r w:rsidR="00324098" w:rsidRPr="00862178">
              <w:rPr>
                <w:lang w:val="es-ES"/>
              </w:rPr>
              <w:t>7</w:t>
            </w:r>
            <w:r w:rsidR="00EB4E9C" w:rsidRPr="00862178">
              <w:rPr>
                <w:lang w:val="es-ES"/>
              </w:rPr>
              <w:t>/</w:t>
            </w:r>
            <w:r w:rsidR="006E0285" w:rsidRPr="00862178">
              <w:rPr>
                <w:lang w:val="es-ES"/>
              </w:rPr>
              <w:t>13</w:t>
            </w:r>
          </w:p>
          <w:p w:rsidR="00EB4E9C" w:rsidRPr="00862178" w:rsidRDefault="00EB4E9C" w:rsidP="003C7FBE">
            <w:pPr>
              <w:pStyle w:val="Docoriginal"/>
            </w:pPr>
            <w:r w:rsidRPr="00862178">
              <w:t>Original:</w:t>
            </w:r>
            <w:r w:rsidRPr="00862178">
              <w:rPr>
                <w:b w:val="0"/>
                <w:spacing w:val="0"/>
              </w:rPr>
              <w:t xml:space="preserve">  </w:t>
            </w:r>
            <w:proofErr w:type="gramStart"/>
            <w:r w:rsidR="002E5944" w:rsidRPr="00862178">
              <w:rPr>
                <w:b w:val="0"/>
                <w:spacing w:val="0"/>
              </w:rPr>
              <w:t>Inglés</w:t>
            </w:r>
            <w:proofErr w:type="gramEnd"/>
          </w:p>
          <w:p w:rsidR="00EE3C81" w:rsidRPr="00862178" w:rsidRDefault="002E5944" w:rsidP="006E0285">
            <w:pPr>
              <w:pStyle w:val="Docoriginal"/>
              <w:rPr>
                <w:b w:val="0"/>
                <w:spacing w:val="0"/>
              </w:rPr>
            </w:pPr>
            <w:r w:rsidRPr="00862178">
              <w:t>Fecha</w:t>
            </w:r>
            <w:r w:rsidR="00EB4E9C" w:rsidRPr="00862178">
              <w:t>:</w:t>
            </w:r>
            <w:r w:rsidR="00EB4E9C" w:rsidRPr="00862178">
              <w:rPr>
                <w:b w:val="0"/>
                <w:spacing w:val="0"/>
              </w:rPr>
              <w:t xml:space="preserve">  </w:t>
            </w:r>
            <w:r w:rsidR="00862178" w:rsidRPr="00862178">
              <w:rPr>
                <w:b w:val="0"/>
                <w:spacing w:val="0"/>
              </w:rPr>
              <w:t>3</w:t>
            </w:r>
            <w:r w:rsidR="006E0285" w:rsidRPr="00862178">
              <w:rPr>
                <w:b w:val="0"/>
                <w:spacing w:val="0"/>
              </w:rPr>
              <w:t xml:space="preserve"> de junio</w:t>
            </w:r>
            <w:r w:rsidR="00EB4E9C" w:rsidRPr="00862178">
              <w:rPr>
                <w:b w:val="0"/>
                <w:spacing w:val="0"/>
              </w:rPr>
              <w:t xml:space="preserve"> </w:t>
            </w:r>
            <w:r w:rsidRPr="00862178">
              <w:rPr>
                <w:b w:val="0"/>
                <w:spacing w:val="0"/>
              </w:rPr>
              <w:t xml:space="preserve">de </w:t>
            </w:r>
            <w:r w:rsidR="00467B42" w:rsidRPr="00862178">
              <w:rPr>
                <w:b w:val="0"/>
                <w:spacing w:val="0"/>
              </w:rPr>
              <w:t>202</w:t>
            </w:r>
            <w:r w:rsidR="00324098" w:rsidRPr="00862178">
              <w:rPr>
                <w:b w:val="0"/>
                <w:spacing w:val="0"/>
              </w:rPr>
              <w:t>1</w:t>
            </w:r>
          </w:p>
        </w:tc>
      </w:tr>
      <w:tr w:rsidR="00E02385" w:rsidRPr="00E02385" w:rsidTr="00E02385">
        <w:trPr>
          <w:gridAfter w:val="1"/>
          <w:wAfter w:w="8" w:type="dxa"/>
        </w:trPr>
        <w:tc>
          <w:tcPr>
            <w:tcW w:w="6510" w:type="dxa"/>
            <w:tcBorders>
              <w:top w:val="single" w:sz="4" w:space="0" w:color="auto"/>
              <w:bottom w:val="single" w:sz="4" w:space="0" w:color="auto"/>
            </w:tcBorders>
          </w:tcPr>
          <w:p w:rsidR="00E02385" w:rsidRPr="00E02385" w:rsidRDefault="00E02385" w:rsidP="00EE346F">
            <w:pPr>
              <w:jc w:val="left"/>
              <w:rPr>
                <w:b/>
                <w:bCs/>
                <w:i/>
                <w:kern w:val="28"/>
                <w:lang w:val="en-US"/>
              </w:rPr>
            </w:pPr>
            <w:r w:rsidRPr="00E02385">
              <w:rPr>
                <w:b/>
                <w:bCs/>
                <w:i/>
                <w:kern w:val="28"/>
              </w:rPr>
              <w:t>para examen por correspondencia</w:t>
            </w:r>
          </w:p>
        </w:tc>
        <w:tc>
          <w:tcPr>
            <w:tcW w:w="3121" w:type="dxa"/>
            <w:tcBorders>
              <w:top w:val="single" w:sz="4" w:space="0" w:color="auto"/>
              <w:bottom w:val="single" w:sz="4" w:space="0" w:color="auto"/>
            </w:tcBorders>
          </w:tcPr>
          <w:p w:rsidR="00E02385" w:rsidRPr="00E02385" w:rsidRDefault="00E02385" w:rsidP="00EE346F">
            <w:pPr>
              <w:jc w:val="left"/>
              <w:rPr>
                <w:b/>
                <w:bCs/>
                <w:spacing w:val="10"/>
                <w:sz w:val="18"/>
                <w:lang w:val="en-US"/>
              </w:rPr>
            </w:pPr>
          </w:p>
        </w:tc>
      </w:tr>
    </w:tbl>
    <w:p w:rsidR="000D7780" w:rsidRPr="006A644A" w:rsidRDefault="006E0285" w:rsidP="006A644A">
      <w:pPr>
        <w:pStyle w:val="Titleofdoc0"/>
      </w:pPr>
      <w:bookmarkStart w:id="0" w:name="_GoBack"/>
      <w:bookmarkEnd w:id="0"/>
      <w:r w:rsidRPr="00862178">
        <w:t>TALLERES PREPARATORIOS</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6E0285" w:rsidRPr="006E0285" w:rsidRDefault="006E0285" w:rsidP="006E0285">
      <w:pPr>
        <w:pStyle w:val="Heading1"/>
        <w:rPr>
          <w:lang w:val="es-ES"/>
        </w:rPr>
      </w:pPr>
      <w:bookmarkStart w:id="1" w:name="_Toc73972445"/>
      <w:r w:rsidRPr="006E0285">
        <w:rPr>
          <w:lang w:val="es-ES"/>
        </w:rPr>
        <w:t>RESUMEN</w:t>
      </w:r>
      <w:bookmarkEnd w:id="1"/>
    </w:p>
    <w:p w:rsidR="006E0285" w:rsidRDefault="006E0285" w:rsidP="006E0285">
      <w:pPr>
        <w:autoSpaceDE w:val="0"/>
        <w:autoSpaceDN w:val="0"/>
        <w:adjustRightInd w:val="0"/>
        <w:rPr>
          <w:rFonts w:cs="Arial"/>
        </w:rPr>
      </w:pPr>
    </w:p>
    <w:p w:rsidR="006E0285" w:rsidRDefault="006E0285" w:rsidP="006E0285">
      <w:pPr>
        <w:rPr>
          <w:rFonts w:cs="Arial"/>
        </w:rPr>
      </w:pPr>
      <w:r w:rsidRPr="003F5E6A">
        <w:rPr>
          <w:rFonts w:cs="Arial"/>
        </w:rPr>
        <w:fldChar w:fldCharType="begin"/>
      </w:r>
      <w:r w:rsidRPr="003F5E6A">
        <w:rPr>
          <w:rFonts w:cs="Arial"/>
        </w:rPr>
        <w:instrText xml:space="preserve"> AUTONUM  </w:instrText>
      </w:r>
      <w:r w:rsidRPr="003F5E6A">
        <w:rPr>
          <w:rFonts w:cs="Arial"/>
        </w:rPr>
        <w:fldChar w:fldCharType="end"/>
      </w:r>
      <w:r w:rsidRPr="003F5E6A">
        <w:rPr>
          <w:rFonts w:cs="Arial"/>
        </w:rPr>
        <w:tab/>
      </w:r>
      <w:r w:rsidRPr="007B2FC3">
        <w:rPr>
          <w:rFonts w:cs="Arial"/>
        </w:rPr>
        <w:t>El presente documento tiene por objeto proporcionar un informe sobre los talleres preparatorios realizados en 2021 y presentar propuestas para 2022.</w:t>
      </w:r>
    </w:p>
    <w:p w:rsidR="006E0285" w:rsidRDefault="006E0285" w:rsidP="006E0285">
      <w:pPr>
        <w:tabs>
          <w:tab w:val="left" w:pos="567"/>
          <w:tab w:val="left" w:pos="1134"/>
        </w:tabs>
        <w:autoSpaceDE w:val="0"/>
        <w:autoSpaceDN w:val="0"/>
        <w:adjustRightInd w:val="0"/>
        <w:rPr>
          <w:rFonts w:cs="Arial"/>
        </w:rPr>
      </w:pPr>
    </w:p>
    <w:p w:rsidR="006E0285" w:rsidRDefault="006E0285" w:rsidP="006E0285">
      <w:pPr>
        <w:pStyle w:val="DecisionParagraphs"/>
        <w:tabs>
          <w:tab w:val="left" w:pos="567"/>
          <w:tab w:val="left" w:pos="1134"/>
        </w:tabs>
        <w:ind w:left="0"/>
        <w:rPr>
          <w:rFonts w:cs="Arial"/>
          <w:i w:val="0"/>
        </w:rPr>
      </w:pPr>
      <w:r w:rsidRPr="00D31BFA">
        <w:rPr>
          <w:rFonts w:cs="Arial"/>
          <w:i w:val="0"/>
        </w:rPr>
        <w:fldChar w:fldCharType="begin"/>
      </w:r>
      <w:r w:rsidRPr="00D31BFA">
        <w:rPr>
          <w:rFonts w:cs="Arial"/>
          <w:i w:val="0"/>
        </w:rPr>
        <w:instrText xml:space="preserve"> AUTONUM  </w:instrText>
      </w:r>
      <w:r w:rsidRPr="00D31BFA">
        <w:rPr>
          <w:rFonts w:cs="Arial"/>
          <w:i w:val="0"/>
        </w:rPr>
        <w:fldChar w:fldCharType="end"/>
      </w:r>
      <w:r w:rsidRPr="00D31BFA">
        <w:rPr>
          <w:rFonts w:cs="Arial"/>
          <w:i w:val="0"/>
        </w:rPr>
        <w:tab/>
      </w:r>
      <w:r w:rsidRPr="007B2FC3">
        <w:rPr>
          <w:rFonts w:cs="Arial"/>
          <w:i w:val="0"/>
        </w:rPr>
        <w:t xml:space="preserve"> Se invita al Comité Técnico (TC) a considerar la posibilidad de organizar talleres preparatorios en forma de una serie de seminarios web en fechas acordes al calendario de reuniones de 2022 de los Grupos de Trabajo Técnico (TWP), conjuntamente con talleres presenciales, cuando así se solicite, conforme a lo expuesto en los párrafos 20 a 21 del presente documento.</w:t>
      </w:r>
    </w:p>
    <w:p w:rsidR="006E0285" w:rsidRDefault="006E0285" w:rsidP="006E0285">
      <w:pPr>
        <w:pStyle w:val="DecisionParagraphs"/>
        <w:tabs>
          <w:tab w:val="left" w:pos="567"/>
          <w:tab w:val="left" w:pos="1134"/>
          <w:tab w:val="num" w:pos="5387"/>
        </w:tabs>
        <w:ind w:left="567"/>
        <w:rPr>
          <w:rFonts w:cs="Arial"/>
          <w:i w:val="0"/>
        </w:rPr>
      </w:pPr>
    </w:p>
    <w:p w:rsidR="006E0285" w:rsidRDefault="006E0285" w:rsidP="006E0285">
      <w:pPr>
        <w:rPr>
          <w:rFonts w:cs="Arial"/>
          <w:color w:val="000000"/>
        </w:rPr>
      </w:pPr>
      <w:r w:rsidRPr="00F63CFA">
        <w:rPr>
          <w:rFonts w:cs="Arial"/>
          <w:color w:val="000000"/>
        </w:rPr>
        <w:fldChar w:fldCharType="begin"/>
      </w:r>
      <w:r w:rsidRPr="00F63CFA">
        <w:rPr>
          <w:rFonts w:cs="Arial"/>
          <w:color w:val="000000"/>
        </w:rPr>
        <w:instrText xml:space="preserve"> AUTONUM  </w:instrText>
      </w:r>
      <w:r w:rsidRPr="00F63CFA">
        <w:rPr>
          <w:rFonts w:cs="Arial"/>
          <w:color w:val="000000"/>
        </w:rPr>
        <w:fldChar w:fldCharType="end"/>
      </w:r>
      <w:r w:rsidRPr="00F63CFA">
        <w:rPr>
          <w:rFonts w:cs="Arial"/>
          <w:color w:val="000000"/>
        </w:rPr>
        <w:tab/>
      </w:r>
      <w:r w:rsidRPr="007B2FC3">
        <w:rPr>
          <w:rFonts w:cs="Arial"/>
          <w:color w:val="000000"/>
        </w:rPr>
        <w:t>En el presente documento se utilizan las abreviaturas siguientes:</w:t>
      </w:r>
    </w:p>
    <w:p w:rsidR="006E0285" w:rsidRDefault="006E0285" w:rsidP="006E0285">
      <w:pPr>
        <w:rPr>
          <w:rFonts w:cs="Arial"/>
          <w:color w:val="000000"/>
        </w:rPr>
      </w:pPr>
    </w:p>
    <w:p w:rsidR="006E0285" w:rsidRPr="006E0285" w:rsidRDefault="006E0285" w:rsidP="006E0285">
      <w:pPr>
        <w:pStyle w:val="BodyTextIndent3"/>
        <w:tabs>
          <w:tab w:val="left" w:pos="567"/>
        </w:tabs>
        <w:ind w:left="1418" w:hanging="851"/>
        <w:rPr>
          <w:rFonts w:ascii="Arial" w:hAnsi="Arial" w:cs="Arial"/>
          <w:sz w:val="20"/>
          <w:szCs w:val="20"/>
          <w:lang w:val="es-ES"/>
        </w:rPr>
      </w:pPr>
      <w:r w:rsidRPr="007B2FC3">
        <w:rPr>
          <w:rFonts w:ascii="Arial" w:hAnsi="Arial" w:cs="Arial"/>
          <w:sz w:val="20"/>
          <w:szCs w:val="20"/>
          <w:lang w:val="es-ES_tradnl"/>
        </w:rPr>
        <w:t>BMT:</w:t>
      </w:r>
      <w:r w:rsidRPr="007B2FC3">
        <w:rPr>
          <w:rFonts w:ascii="Arial" w:hAnsi="Arial" w:cs="Arial"/>
          <w:sz w:val="20"/>
          <w:szCs w:val="20"/>
          <w:lang w:val="es-ES_tradnl"/>
        </w:rPr>
        <w:tab/>
        <w:t>Grupo de Trabajo sobre Técnicas Bioquímicas y Moleculares, y Perfiles de ADN en particular</w:t>
      </w:r>
    </w:p>
    <w:p w:rsidR="006E0285" w:rsidRDefault="006E0285" w:rsidP="006E0285">
      <w:pPr>
        <w:tabs>
          <w:tab w:val="left" w:pos="567"/>
        </w:tabs>
        <w:ind w:left="1418" w:hanging="851"/>
        <w:rPr>
          <w:rFonts w:cs="Arial"/>
          <w:color w:val="000000"/>
        </w:rPr>
      </w:pPr>
      <w:r w:rsidRPr="007B2FC3">
        <w:rPr>
          <w:rFonts w:cs="Arial"/>
          <w:color w:val="000000"/>
        </w:rPr>
        <w:t>TC:</w:t>
      </w:r>
      <w:r w:rsidRPr="007B2FC3">
        <w:rPr>
          <w:rFonts w:cs="Arial"/>
          <w:color w:val="000000"/>
        </w:rPr>
        <w:tab/>
        <w:t>Comité Técnico</w:t>
      </w:r>
    </w:p>
    <w:p w:rsidR="006E0285" w:rsidRDefault="006E0285" w:rsidP="006E0285">
      <w:pPr>
        <w:tabs>
          <w:tab w:val="left" w:pos="567"/>
        </w:tabs>
        <w:ind w:left="1418" w:hanging="851"/>
        <w:rPr>
          <w:rFonts w:cs="Arial"/>
          <w:color w:val="000000"/>
        </w:rPr>
      </w:pPr>
      <w:r w:rsidRPr="007B2FC3">
        <w:rPr>
          <w:rFonts w:cs="Arial"/>
          <w:color w:val="000000"/>
        </w:rPr>
        <w:t>TWA:</w:t>
      </w:r>
      <w:r w:rsidRPr="007B2FC3">
        <w:rPr>
          <w:rFonts w:cs="Arial"/>
          <w:color w:val="000000"/>
        </w:rPr>
        <w:tab/>
        <w:t>Grupo de Trabajo Técnico sobre Plantas Agrícolas</w:t>
      </w:r>
    </w:p>
    <w:p w:rsidR="006E0285" w:rsidRDefault="006E0285" w:rsidP="006E0285">
      <w:pPr>
        <w:ind w:left="1418" w:hanging="851"/>
        <w:rPr>
          <w:rFonts w:cs="Arial"/>
          <w:color w:val="000000"/>
        </w:rPr>
      </w:pPr>
      <w:r w:rsidRPr="007B2FC3">
        <w:rPr>
          <w:rFonts w:cs="Arial"/>
          <w:color w:val="000000"/>
        </w:rPr>
        <w:t>TWC:</w:t>
      </w:r>
      <w:r w:rsidRPr="007B2FC3">
        <w:rPr>
          <w:rFonts w:cs="Arial"/>
          <w:color w:val="000000"/>
        </w:rPr>
        <w:tab/>
        <w:t>Grupo de Trabajo Técnico sobre Automatización y Programas Informáticos</w:t>
      </w:r>
    </w:p>
    <w:p w:rsidR="006E0285" w:rsidRDefault="006E0285" w:rsidP="006E0285">
      <w:pPr>
        <w:ind w:left="1418" w:hanging="851"/>
        <w:rPr>
          <w:rFonts w:cs="Arial"/>
          <w:color w:val="000000"/>
        </w:rPr>
      </w:pPr>
      <w:r w:rsidRPr="007B2FC3">
        <w:rPr>
          <w:rFonts w:cs="Arial"/>
          <w:color w:val="000000"/>
        </w:rPr>
        <w:t>TWF:</w:t>
      </w:r>
      <w:r w:rsidRPr="007B2FC3">
        <w:rPr>
          <w:rFonts w:cs="Arial"/>
          <w:color w:val="000000"/>
        </w:rPr>
        <w:tab/>
        <w:t>Grupo de Trabajo Técnico sobre Plantas Frutales</w:t>
      </w:r>
    </w:p>
    <w:p w:rsidR="006E0285" w:rsidRDefault="006E0285" w:rsidP="006E0285">
      <w:pPr>
        <w:ind w:left="1418" w:hanging="851"/>
        <w:rPr>
          <w:rFonts w:cs="Arial"/>
          <w:color w:val="000000"/>
        </w:rPr>
      </w:pPr>
      <w:r w:rsidRPr="007B2FC3">
        <w:rPr>
          <w:rFonts w:cs="Arial"/>
          <w:color w:val="000000"/>
        </w:rPr>
        <w:t>TWM:</w:t>
      </w:r>
      <w:r w:rsidRPr="007B2FC3">
        <w:rPr>
          <w:rFonts w:cs="Arial"/>
          <w:color w:val="000000"/>
        </w:rPr>
        <w:tab/>
        <w:t>Grupo de Trabajo Técnico sobre Métodos y Técnicas de Examen</w:t>
      </w:r>
    </w:p>
    <w:p w:rsidR="006E0285" w:rsidRDefault="006E0285" w:rsidP="006E0285">
      <w:pPr>
        <w:ind w:left="1418" w:hanging="851"/>
        <w:rPr>
          <w:rFonts w:cs="Arial"/>
          <w:color w:val="000000"/>
        </w:rPr>
      </w:pPr>
      <w:r w:rsidRPr="007B2FC3">
        <w:rPr>
          <w:rFonts w:cs="Arial"/>
          <w:color w:val="000000"/>
        </w:rPr>
        <w:t>TWO:</w:t>
      </w:r>
      <w:r w:rsidRPr="007B2FC3">
        <w:rPr>
          <w:rFonts w:cs="Arial"/>
          <w:color w:val="000000"/>
        </w:rPr>
        <w:tab/>
        <w:t>Grupo de Trabajo Técnico sobre Plantas Ornamentales y Árboles Forestales</w:t>
      </w:r>
    </w:p>
    <w:p w:rsidR="006E0285" w:rsidRPr="006E0285" w:rsidRDefault="006E0285" w:rsidP="006E0285">
      <w:pPr>
        <w:pStyle w:val="BodyTextIndent3"/>
        <w:tabs>
          <w:tab w:val="left" w:pos="567"/>
        </w:tabs>
        <w:ind w:left="1418" w:hanging="851"/>
        <w:rPr>
          <w:rFonts w:ascii="Arial" w:hAnsi="Arial" w:cs="Arial"/>
          <w:sz w:val="20"/>
          <w:szCs w:val="20"/>
          <w:lang w:val="es-ES"/>
        </w:rPr>
      </w:pPr>
      <w:r w:rsidRPr="007B2FC3">
        <w:rPr>
          <w:rFonts w:ascii="Arial" w:hAnsi="Arial" w:cs="Arial"/>
          <w:sz w:val="20"/>
          <w:szCs w:val="20"/>
          <w:lang w:val="es-ES_tradnl"/>
        </w:rPr>
        <w:t>TWP:</w:t>
      </w:r>
      <w:r w:rsidRPr="007B2FC3">
        <w:rPr>
          <w:rFonts w:ascii="Arial" w:hAnsi="Arial" w:cs="Arial"/>
          <w:sz w:val="20"/>
          <w:szCs w:val="20"/>
          <w:lang w:val="es-ES_tradnl"/>
        </w:rPr>
        <w:tab/>
        <w:t>Grupos de Trabajo Técnico</w:t>
      </w:r>
    </w:p>
    <w:p w:rsidR="006E0285" w:rsidRDefault="006E0285" w:rsidP="006E0285">
      <w:pPr>
        <w:ind w:left="1418" w:hanging="851"/>
        <w:rPr>
          <w:rFonts w:cs="Arial"/>
          <w:color w:val="000000"/>
        </w:rPr>
      </w:pPr>
      <w:r w:rsidRPr="007B2FC3">
        <w:rPr>
          <w:rFonts w:cs="Arial"/>
          <w:color w:val="000000"/>
        </w:rPr>
        <w:t>TWV:</w:t>
      </w:r>
      <w:r w:rsidRPr="007B2FC3">
        <w:rPr>
          <w:rFonts w:cs="Arial"/>
          <w:color w:val="000000"/>
        </w:rPr>
        <w:tab/>
        <w:t>Grupo de Trabajo Técnico sobre Hortalizas</w:t>
      </w:r>
    </w:p>
    <w:p w:rsidR="006E0285" w:rsidRDefault="006E0285" w:rsidP="006E0285">
      <w:pPr>
        <w:autoSpaceDE w:val="0"/>
        <w:autoSpaceDN w:val="0"/>
        <w:adjustRightInd w:val="0"/>
        <w:rPr>
          <w:rFonts w:cs="Arial"/>
          <w:snapToGrid w:val="0"/>
        </w:rPr>
      </w:pPr>
    </w:p>
    <w:p w:rsidR="006E0285" w:rsidRDefault="006E0285" w:rsidP="006E0285">
      <w:pPr>
        <w:autoSpaceDE w:val="0"/>
        <w:autoSpaceDN w:val="0"/>
        <w:adjustRightInd w:val="0"/>
        <w:rPr>
          <w:rFonts w:cs="Arial"/>
          <w:snapToGrid w:val="0"/>
          <w:lang w:eastAsia="ja-JP"/>
        </w:rPr>
      </w:pPr>
      <w:r w:rsidRPr="003F5E6A">
        <w:rPr>
          <w:rFonts w:cs="Arial"/>
          <w:snapToGrid w:val="0"/>
        </w:rPr>
        <w:fldChar w:fldCharType="begin"/>
      </w:r>
      <w:r w:rsidRPr="003F5E6A">
        <w:rPr>
          <w:rFonts w:cs="Arial"/>
          <w:snapToGrid w:val="0"/>
        </w:rPr>
        <w:instrText xml:space="preserve"> AUTONUM  </w:instrText>
      </w:r>
      <w:r w:rsidRPr="003F5E6A">
        <w:rPr>
          <w:rFonts w:cs="Arial"/>
          <w:snapToGrid w:val="0"/>
        </w:rPr>
        <w:fldChar w:fldCharType="end"/>
      </w:r>
      <w:r w:rsidRPr="003F5E6A">
        <w:rPr>
          <w:rFonts w:cs="Arial"/>
          <w:snapToGrid w:val="0"/>
        </w:rPr>
        <w:tab/>
      </w:r>
      <w:r w:rsidRPr="007B2FC3">
        <w:rPr>
          <w:rFonts w:cs="Arial"/>
          <w:snapToGrid w:val="0"/>
        </w:rPr>
        <w:t>El presente documento se estructura del modo siguiente:</w:t>
      </w:r>
    </w:p>
    <w:p w:rsidR="006E0285" w:rsidRDefault="006E0285" w:rsidP="006E0285">
      <w:pPr>
        <w:autoSpaceDE w:val="0"/>
        <w:autoSpaceDN w:val="0"/>
        <w:adjustRightInd w:val="0"/>
        <w:rPr>
          <w:rFonts w:cs="Arial"/>
          <w:snapToGrid w:val="0"/>
          <w:lang w:eastAsia="ja-JP"/>
        </w:rPr>
      </w:pPr>
    </w:p>
    <w:p w:rsidR="006E0285" w:rsidRPr="000735C5" w:rsidRDefault="006E0285" w:rsidP="006E0285">
      <w:pPr>
        <w:pStyle w:val="TOC1"/>
        <w:rPr>
          <w:rFonts w:asciiTheme="minorHAnsi" w:eastAsiaTheme="minorEastAsia" w:hAnsiTheme="minorHAnsi" w:cstheme="minorBidi"/>
          <w:caps w:val="0"/>
          <w:noProof/>
          <w:szCs w:val="18"/>
        </w:rPr>
      </w:pPr>
      <w:r w:rsidRPr="000735C5">
        <w:rPr>
          <w:rFonts w:eastAsiaTheme="minorEastAsia"/>
          <w:bCs/>
          <w:noProof/>
          <w:snapToGrid w:val="0"/>
          <w:szCs w:val="18"/>
          <w:lang w:val="en-US" w:eastAsia="ja-JP"/>
        </w:rPr>
        <w:fldChar w:fldCharType="begin"/>
      </w:r>
      <w:r w:rsidRPr="000735C5">
        <w:rPr>
          <w:snapToGrid w:val="0"/>
          <w:szCs w:val="18"/>
        </w:rPr>
        <w:instrText xml:space="preserve"> TOC \o "1-3" \h \z \u </w:instrText>
      </w:r>
      <w:r w:rsidRPr="000735C5">
        <w:rPr>
          <w:rFonts w:eastAsiaTheme="minorEastAsia"/>
          <w:bCs/>
          <w:noProof/>
          <w:snapToGrid w:val="0"/>
          <w:szCs w:val="18"/>
          <w:lang w:val="en-US" w:eastAsia="ja-JP"/>
        </w:rPr>
        <w:fldChar w:fldCharType="separate"/>
      </w:r>
      <w:hyperlink w:anchor="_Toc73972445" w:history="1">
        <w:r w:rsidRPr="000735C5">
          <w:rPr>
            <w:rStyle w:val="Hyperlink"/>
            <w:noProof/>
            <w:szCs w:val="18"/>
          </w:rPr>
          <w:t>RESUMEN</w:t>
        </w:r>
        <w:r w:rsidRPr="000735C5">
          <w:rPr>
            <w:noProof/>
            <w:webHidden/>
            <w:szCs w:val="18"/>
          </w:rPr>
          <w:tab/>
        </w:r>
        <w:r w:rsidRPr="000735C5">
          <w:rPr>
            <w:noProof/>
            <w:webHidden/>
            <w:szCs w:val="18"/>
          </w:rPr>
          <w:fldChar w:fldCharType="begin"/>
        </w:r>
        <w:r w:rsidRPr="000735C5">
          <w:rPr>
            <w:noProof/>
            <w:webHidden/>
            <w:szCs w:val="18"/>
          </w:rPr>
          <w:instrText xml:space="preserve"> PAGEREF _Toc73972445 \h </w:instrText>
        </w:r>
        <w:r w:rsidRPr="000735C5">
          <w:rPr>
            <w:noProof/>
            <w:webHidden/>
            <w:szCs w:val="18"/>
          </w:rPr>
        </w:r>
        <w:r w:rsidRPr="000735C5">
          <w:rPr>
            <w:noProof/>
            <w:webHidden/>
            <w:szCs w:val="18"/>
          </w:rPr>
          <w:fldChar w:fldCharType="separate"/>
        </w:r>
        <w:r w:rsidR="002A7CD9">
          <w:rPr>
            <w:noProof/>
            <w:webHidden/>
            <w:szCs w:val="18"/>
          </w:rPr>
          <w:t>1</w:t>
        </w:r>
        <w:r w:rsidRPr="000735C5">
          <w:rPr>
            <w:noProof/>
            <w:webHidden/>
            <w:szCs w:val="18"/>
          </w:rPr>
          <w:fldChar w:fldCharType="end"/>
        </w:r>
      </w:hyperlink>
    </w:p>
    <w:p w:rsidR="006E0285" w:rsidRPr="000735C5" w:rsidRDefault="00E02385" w:rsidP="006E0285">
      <w:pPr>
        <w:pStyle w:val="TOC1"/>
        <w:rPr>
          <w:rFonts w:asciiTheme="minorHAnsi" w:eastAsiaTheme="minorEastAsia" w:hAnsiTheme="minorHAnsi" w:cstheme="minorBidi"/>
          <w:caps w:val="0"/>
          <w:noProof/>
          <w:szCs w:val="18"/>
        </w:rPr>
      </w:pPr>
      <w:hyperlink w:anchor="_Toc73972446" w:history="1">
        <w:r w:rsidR="006E0285" w:rsidRPr="000735C5">
          <w:rPr>
            <w:rStyle w:val="Hyperlink"/>
            <w:noProof/>
            <w:szCs w:val="18"/>
          </w:rPr>
          <w:t>ANTECEDENTES</w:t>
        </w:r>
        <w:r w:rsidR="006E0285" w:rsidRPr="000735C5">
          <w:rPr>
            <w:noProof/>
            <w:webHidden/>
            <w:szCs w:val="18"/>
          </w:rPr>
          <w:tab/>
        </w:r>
        <w:r w:rsidR="006E0285" w:rsidRPr="000735C5">
          <w:rPr>
            <w:noProof/>
            <w:webHidden/>
            <w:szCs w:val="18"/>
          </w:rPr>
          <w:fldChar w:fldCharType="begin"/>
        </w:r>
        <w:r w:rsidR="006E0285" w:rsidRPr="000735C5">
          <w:rPr>
            <w:noProof/>
            <w:webHidden/>
            <w:szCs w:val="18"/>
          </w:rPr>
          <w:instrText xml:space="preserve"> PAGEREF _Toc73972446 \h </w:instrText>
        </w:r>
        <w:r w:rsidR="006E0285" w:rsidRPr="000735C5">
          <w:rPr>
            <w:noProof/>
            <w:webHidden/>
            <w:szCs w:val="18"/>
          </w:rPr>
        </w:r>
        <w:r w:rsidR="006E0285" w:rsidRPr="000735C5">
          <w:rPr>
            <w:noProof/>
            <w:webHidden/>
            <w:szCs w:val="18"/>
          </w:rPr>
          <w:fldChar w:fldCharType="separate"/>
        </w:r>
        <w:r w:rsidR="002A7CD9">
          <w:rPr>
            <w:noProof/>
            <w:webHidden/>
            <w:szCs w:val="18"/>
          </w:rPr>
          <w:t>2</w:t>
        </w:r>
        <w:r w:rsidR="006E0285" w:rsidRPr="000735C5">
          <w:rPr>
            <w:noProof/>
            <w:webHidden/>
            <w:szCs w:val="18"/>
          </w:rPr>
          <w:fldChar w:fldCharType="end"/>
        </w:r>
      </w:hyperlink>
    </w:p>
    <w:p w:rsidR="006E0285" w:rsidRPr="000735C5" w:rsidRDefault="00E02385" w:rsidP="006E0285">
      <w:pPr>
        <w:pStyle w:val="TOC1"/>
        <w:rPr>
          <w:rFonts w:asciiTheme="minorHAnsi" w:eastAsiaTheme="minorEastAsia" w:hAnsiTheme="minorHAnsi" w:cstheme="minorBidi"/>
          <w:caps w:val="0"/>
          <w:noProof/>
          <w:szCs w:val="18"/>
        </w:rPr>
      </w:pPr>
      <w:hyperlink w:anchor="_Toc73972447" w:history="1">
        <w:r w:rsidR="006E0285" w:rsidRPr="000735C5">
          <w:rPr>
            <w:rStyle w:val="Hyperlink"/>
            <w:noProof/>
            <w:szCs w:val="18"/>
          </w:rPr>
          <w:t>EXAMEN DEL COMITÉ TÉCNICO EN SU QUINCUAGÉSIMA SÉPTIMA SESIÓN</w:t>
        </w:r>
        <w:r w:rsidR="006E0285" w:rsidRPr="000735C5">
          <w:rPr>
            <w:noProof/>
            <w:webHidden/>
            <w:szCs w:val="18"/>
          </w:rPr>
          <w:tab/>
        </w:r>
        <w:r w:rsidR="006E0285" w:rsidRPr="000735C5">
          <w:rPr>
            <w:noProof/>
            <w:webHidden/>
            <w:szCs w:val="18"/>
          </w:rPr>
          <w:fldChar w:fldCharType="begin"/>
        </w:r>
        <w:r w:rsidR="006E0285" w:rsidRPr="000735C5">
          <w:rPr>
            <w:noProof/>
            <w:webHidden/>
            <w:szCs w:val="18"/>
          </w:rPr>
          <w:instrText xml:space="preserve"> PAGEREF _Toc73972447 \h </w:instrText>
        </w:r>
        <w:r w:rsidR="006E0285" w:rsidRPr="000735C5">
          <w:rPr>
            <w:noProof/>
            <w:webHidden/>
            <w:szCs w:val="18"/>
          </w:rPr>
        </w:r>
        <w:r w:rsidR="006E0285" w:rsidRPr="000735C5">
          <w:rPr>
            <w:noProof/>
            <w:webHidden/>
            <w:szCs w:val="18"/>
          </w:rPr>
          <w:fldChar w:fldCharType="separate"/>
        </w:r>
        <w:r w:rsidR="002A7CD9">
          <w:rPr>
            <w:noProof/>
            <w:webHidden/>
            <w:szCs w:val="18"/>
          </w:rPr>
          <w:t>2</w:t>
        </w:r>
        <w:r w:rsidR="006E0285" w:rsidRPr="000735C5">
          <w:rPr>
            <w:noProof/>
            <w:webHidden/>
            <w:szCs w:val="18"/>
          </w:rPr>
          <w:fldChar w:fldCharType="end"/>
        </w:r>
      </w:hyperlink>
    </w:p>
    <w:p w:rsidR="006E0285" w:rsidRPr="000735C5" w:rsidRDefault="00E02385" w:rsidP="006E0285">
      <w:pPr>
        <w:pStyle w:val="TOC1"/>
        <w:rPr>
          <w:rFonts w:asciiTheme="minorHAnsi" w:eastAsiaTheme="minorEastAsia" w:hAnsiTheme="minorHAnsi" w:cstheme="minorBidi"/>
          <w:caps w:val="0"/>
          <w:noProof/>
          <w:szCs w:val="18"/>
        </w:rPr>
      </w:pPr>
      <w:hyperlink w:anchor="_Toc73972448" w:history="1">
        <w:r w:rsidR="006E0285" w:rsidRPr="000735C5">
          <w:rPr>
            <w:rStyle w:val="Hyperlink"/>
            <w:noProof/>
            <w:szCs w:val="18"/>
          </w:rPr>
          <w:t>INFORME SOBRE LOS TALLERES PREPARATORIOS DE 2021</w:t>
        </w:r>
        <w:r w:rsidR="006E0285" w:rsidRPr="000735C5">
          <w:rPr>
            <w:noProof/>
            <w:webHidden/>
            <w:szCs w:val="18"/>
          </w:rPr>
          <w:tab/>
        </w:r>
        <w:r w:rsidR="006E0285" w:rsidRPr="000735C5">
          <w:rPr>
            <w:noProof/>
            <w:webHidden/>
            <w:szCs w:val="18"/>
          </w:rPr>
          <w:fldChar w:fldCharType="begin"/>
        </w:r>
        <w:r w:rsidR="006E0285" w:rsidRPr="000735C5">
          <w:rPr>
            <w:noProof/>
            <w:webHidden/>
            <w:szCs w:val="18"/>
          </w:rPr>
          <w:instrText xml:space="preserve"> PAGEREF _Toc73972448 \h </w:instrText>
        </w:r>
        <w:r w:rsidR="006E0285" w:rsidRPr="000735C5">
          <w:rPr>
            <w:noProof/>
            <w:webHidden/>
            <w:szCs w:val="18"/>
          </w:rPr>
        </w:r>
        <w:r w:rsidR="006E0285" w:rsidRPr="000735C5">
          <w:rPr>
            <w:noProof/>
            <w:webHidden/>
            <w:szCs w:val="18"/>
          </w:rPr>
          <w:fldChar w:fldCharType="separate"/>
        </w:r>
        <w:r w:rsidR="002A7CD9">
          <w:rPr>
            <w:noProof/>
            <w:webHidden/>
            <w:szCs w:val="18"/>
          </w:rPr>
          <w:t>3</w:t>
        </w:r>
        <w:r w:rsidR="006E0285" w:rsidRPr="000735C5">
          <w:rPr>
            <w:noProof/>
            <w:webHidden/>
            <w:szCs w:val="18"/>
          </w:rPr>
          <w:fldChar w:fldCharType="end"/>
        </w:r>
      </w:hyperlink>
    </w:p>
    <w:p w:rsidR="006E0285" w:rsidRPr="000735C5" w:rsidRDefault="00E02385" w:rsidP="00862178">
      <w:pPr>
        <w:pStyle w:val="TOC2"/>
        <w:rPr>
          <w:rFonts w:asciiTheme="minorHAnsi" w:eastAsiaTheme="minorEastAsia" w:hAnsiTheme="minorHAnsi" w:cstheme="minorBidi"/>
        </w:rPr>
      </w:pPr>
      <w:hyperlink w:anchor="_Toc73972449" w:history="1">
        <w:r w:rsidR="006E0285" w:rsidRPr="000735C5">
          <w:rPr>
            <w:rStyle w:val="Hyperlink"/>
          </w:rPr>
          <w:t>Seminarios web preparatorios</w:t>
        </w:r>
        <w:r w:rsidR="006E0285" w:rsidRPr="000735C5">
          <w:rPr>
            <w:webHidden/>
          </w:rPr>
          <w:tab/>
        </w:r>
        <w:r w:rsidR="006E0285" w:rsidRPr="000735C5">
          <w:rPr>
            <w:webHidden/>
          </w:rPr>
          <w:fldChar w:fldCharType="begin"/>
        </w:r>
        <w:r w:rsidR="006E0285" w:rsidRPr="000735C5">
          <w:rPr>
            <w:webHidden/>
          </w:rPr>
          <w:instrText xml:space="preserve"> PAGEREF _Toc73972449 \h </w:instrText>
        </w:r>
        <w:r w:rsidR="006E0285" w:rsidRPr="000735C5">
          <w:rPr>
            <w:webHidden/>
          </w:rPr>
        </w:r>
        <w:r w:rsidR="006E0285" w:rsidRPr="000735C5">
          <w:rPr>
            <w:webHidden/>
          </w:rPr>
          <w:fldChar w:fldCharType="separate"/>
        </w:r>
        <w:r w:rsidR="002A7CD9">
          <w:rPr>
            <w:webHidden/>
          </w:rPr>
          <w:t>3</w:t>
        </w:r>
        <w:r w:rsidR="006E0285" w:rsidRPr="000735C5">
          <w:rPr>
            <w:webHidden/>
          </w:rPr>
          <w:fldChar w:fldCharType="end"/>
        </w:r>
      </w:hyperlink>
    </w:p>
    <w:p w:rsidR="006E0285" w:rsidRPr="000735C5" w:rsidRDefault="00E02385" w:rsidP="006E0285">
      <w:pPr>
        <w:pStyle w:val="TOC1"/>
        <w:rPr>
          <w:rFonts w:asciiTheme="minorHAnsi" w:eastAsiaTheme="minorEastAsia" w:hAnsiTheme="minorHAnsi" w:cstheme="minorBidi"/>
          <w:caps w:val="0"/>
          <w:noProof/>
          <w:szCs w:val="18"/>
        </w:rPr>
      </w:pPr>
      <w:hyperlink w:anchor="_Toc73972450" w:history="1">
        <w:r w:rsidR="006E0285" w:rsidRPr="000735C5">
          <w:rPr>
            <w:rStyle w:val="Hyperlink"/>
            <w:noProof/>
            <w:szCs w:val="18"/>
          </w:rPr>
          <w:t>PROGRAMA Y FORMATO DE LA LABOR PREPARATORIA DE 2022</w:t>
        </w:r>
        <w:r w:rsidR="006E0285" w:rsidRPr="000735C5">
          <w:rPr>
            <w:noProof/>
            <w:webHidden/>
            <w:szCs w:val="18"/>
          </w:rPr>
          <w:tab/>
        </w:r>
        <w:r w:rsidR="006E0285" w:rsidRPr="000735C5">
          <w:rPr>
            <w:noProof/>
            <w:webHidden/>
            <w:szCs w:val="18"/>
          </w:rPr>
          <w:fldChar w:fldCharType="begin"/>
        </w:r>
        <w:r w:rsidR="006E0285" w:rsidRPr="000735C5">
          <w:rPr>
            <w:noProof/>
            <w:webHidden/>
            <w:szCs w:val="18"/>
          </w:rPr>
          <w:instrText xml:space="preserve"> PAGEREF _Toc73972450 \h </w:instrText>
        </w:r>
        <w:r w:rsidR="006E0285" w:rsidRPr="000735C5">
          <w:rPr>
            <w:noProof/>
            <w:webHidden/>
            <w:szCs w:val="18"/>
          </w:rPr>
        </w:r>
        <w:r w:rsidR="006E0285" w:rsidRPr="000735C5">
          <w:rPr>
            <w:noProof/>
            <w:webHidden/>
            <w:szCs w:val="18"/>
          </w:rPr>
          <w:fldChar w:fldCharType="separate"/>
        </w:r>
        <w:r w:rsidR="002A7CD9">
          <w:rPr>
            <w:noProof/>
            <w:webHidden/>
            <w:szCs w:val="18"/>
          </w:rPr>
          <w:t>3</w:t>
        </w:r>
        <w:r w:rsidR="006E0285" w:rsidRPr="000735C5">
          <w:rPr>
            <w:noProof/>
            <w:webHidden/>
            <w:szCs w:val="18"/>
          </w:rPr>
          <w:fldChar w:fldCharType="end"/>
        </w:r>
      </w:hyperlink>
    </w:p>
    <w:p w:rsidR="006E0285" w:rsidRPr="000735C5" w:rsidRDefault="00E02385" w:rsidP="00862178">
      <w:pPr>
        <w:pStyle w:val="TOC2"/>
        <w:rPr>
          <w:rFonts w:asciiTheme="minorHAnsi" w:eastAsiaTheme="minorEastAsia" w:hAnsiTheme="minorHAnsi" w:cstheme="minorBidi"/>
        </w:rPr>
      </w:pPr>
      <w:hyperlink w:anchor="_Toc73972451" w:history="1">
        <w:r w:rsidR="006E0285" w:rsidRPr="000735C5">
          <w:rPr>
            <w:rStyle w:val="Hyperlink"/>
          </w:rPr>
          <w:t>Propuesta:</w:t>
        </w:r>
        <w:r w:rsidR="006E0285" w:rsidRPr="000735C5">
          <w:rPr>
            <w:webHidden/>
          </w:rPr>
          <w:tab/>
        </w:r>
        <w:r w:rsidR="006E0285" w:rsidRPr="000735C5">
          <w:rPr>
            <w:webHidden/>
          </w:rPr>
          <w:fldChar w:fldCharType="begin"/>
        </w:r>
        <w:r w:rsidR="006E0285" w:rsidRPr="000735C5">
          <w:rPr>
            <w:webHidden/>
          </w:rPr>
          <w:instrText xml:space="preserve"> PAGEREF _Toc73972451 \h </w:instrText>
        </w:r>
        <w:r w:rsidR="006E0285" w:rsidRPr="000735C5">
          <w:rPr>
            <w:webHidden/>
          </w:rPr>
        </w:r>
        <w:r w:rsidR="006E0285" w:rsidRPr="000735C5">
          <w:rPr>
            <w:webHidden/>
          </w:rPr>
          <w:fldChar w:fldCharType="separate"/>
        </w:r>
        <w:r w:rsidR="002A7CD9">
          <w:rPr>
            <w:webHidden/>
          </w:rPr>
          <w:t>3</w:t>
        </w:r>
        <w:r w:rsidR="006E0285" w:rsidRPr="000735C5">
          <w:rPr>
            <w:webHidden/>
          </w:rPr>
          <w:fldChar w:fldCharType="end"/>
        </w:r>
      </w:hyperlink>
    </w:p>
    <w:p w:rsidR="006E0285" w:rsidRPr="000735C5" w:rsidRDefault="00E02385" w:rsidP="006E0285">
      <w:pPr>
        <w:pStyle w:val="TOC1"/>
        <w:rPr>
          <w:rFonts w:asciiTheme="minorHAnsi" w:eastAsiaTheme="minorEastAsia" w:hAnsiTheme="minorHAnsi" w:cstheme="minorBidi"/>
          <w:caps w:val="0"/>
          <w:noProof/>
          <w:szCs w:val="18"/>
        </w:rPr>
      </w:pPr>
      <w:hyperlink w:anchor="_Toc73972452" w:history="1">
        <w:r w:rsidR="006E0285" w:rsidRPr="000735C5">
          <w:rPr>
            <w:rStyle w:val="Hyperlink"/>
            <w:rFonts w:cs="Arial"/>
            <w:noProof/>
            <w:szCs w:val="18"/>
          </w:rPr>
          <w:t>PROGRAMA DE LOS SEMINARIOS WEB PREPARATORIOS DE 2021</w:t>
        </w:r>
        <w:r w:rsidR="006E0285" w:rsidRPr="000735C5">
          <w:rPr>
            <w:noProof/>
            <w:webHidden/>
            <w:szCs w:val="18"/>
          </w:rPr>
          <w:tab/>
        </w:r>
        <w:r w:rsidR="006E0285" w:rsidRPr="000735C5">
          <w:rPr>
            <w:noProof/>
            <w:webHidden/>
            <w:szCs w:val="18"/>
          </w:rPr>
          <w:fldChar w:fldCharType="begin"/>
        </w:r>
        <w:r w:rsidR="006E0285" w:rsidRPr="000735C5">
          <w:rPr>
            <w:noProof/>
            <w:webHidden/>
            <w:szCs w:val="18"/>
          </w:rPr>
          <w:instrText xml:space="preserve"> PAGEREF _Toc73972452 \h </w:instrText>
        </w:r>
        <w:r w:rsidR="006E0285" w:rsidRPr="000735C5">
          <w:rPr>
            <w:noProof/>
            <w:webHidden/>
            <w:szCs w:val="18"/>
          </w:rPr>
        </w:r>
        <w:r w:rsidR="006E0285" w:rsidRPr="000735C5">
          <w:rPr>
            <w:noProof/>
            <w:webHidden/>
            <w:szCs w:val="18"/>
          </w:rPr>
          <w:fldChar w:fldCharType="separate"/>
        </w:r>
        <w:r w:rsidR="002A7CD9">
          <w:rPr>
            <w:noProof/>
            <w:webHidden/>
            <w:szCs w:val="18"/>
          </w:rPr>
          <w:t>1</w:t>
        </w:r>
        <w:r w:rsidR="006E0285" w:rsidRPr="000735C5">
          <w:rPr>
            <w:noProof/>
            <w:webHidden/>
            <w:szCs w:val="18"/>
          </w:rPr>
          <w:fldChar w:fldCharType="end"/>
        </w:r>
      </w:hyperlink>
    </w:p>
    <w:p w:rsidR="006E0285" w:rsidRPr="000735C5" w:rsidRDefault="006E0285" w:rsidP="006E0285">
      <w:pPr>
        <w:rPr>
          <w:rFonts w:cs="Arial"/>
          <w:snapToGrid w:val="0"/>
          <w:sz w:val="18"/>
          <w:szCs w:val="18"/>
        </w:rPr>
      </w:pPr>
      <w:r w:rsidRPr="000735C5">
        <w:rPr>
          <w:rFonts w:cs="Arial"/>
          <w:snapToGrid w:val="0"/>
          <w:sz w:val="18"/>
          <w:szCs w:val="18"/>
        </w:rPr>
        <w:fldChar w:fldCharType="end"/>
      </w:r>
    </w:p>
    <w:p w:rsidR="006E0285" w:rsidRDefault="006E0285" w:rsidP="006E0285">
      <w:pPr>
        <w:rPr>
          <w:rFonts w:cs="Arial"/>
          <w:snapToGrid w:val="0"/>
          <w:lang w:val="es-ES"/>
        </w:rPr>
      </w:pPr>
      <w:r w:rsidRPr="007B2FC3">
        <w:rPr>
          <w:rFonts w:cs="Arial"/>
          <w:snapToGrid w:val="0"/>
        </w:rPr>
        <w:t>ANEXO: Programa de los seminarios web preparatorios de 2021</w:t>
      </w:r>
    </w:p>
    <w:p w:rsidR="006E0285" w:rsidRDefault="006E0285" w:rsidP="006E0285">
      <w:pPr>
        <w:rPr>
          <w:rFonts w:cs="Arial"/>
          <w:snapToGrid w:val="0"/>
          <w:lang w:val="es-ES"/>
        </w:rPr>
      </w:pPr>
    </w:p>
    <w:p w:rsidR="006E0285" w:rsidRDefault="006E0285" w:rsidP="006E0285">
      <w:pPr>
        <w:rPr>
          <w:lang w:val="es-ES"/>
        </w:rPr>
      </w:pPr>
      <w:r>
        <w:rPr>
          <w:noProof/>
          <w:lang w:val="en-US"/>
        </w:rPr>
        <mc:AlternateContent>
          <mc:Choice Requires="wps">
            <w:drawing>
              <wp:anchor distT="0" distB="0" distL="114300" distR="114300" simplePos="0" relativeHeight="251659264" behindDoc="0" locked="0" layoutInCell="1" allowOverlap="1" wp14:anchorId="3F915AB0" wp14:editId="4650E662">
                <wp:simplePos x="0" y="0"/>
                <wp:positionH relativeFrom="column">
                  <wp:posOffset>-694690</wp:posOffset>
                </wp:positionH>
                <wp:positionV relativeFrom="paragraph">
                  <wp:posOffset>155575</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6E0285" w:rsidRPr="00D31BFA" w:rsidRDefault="006E0285" w:rsidP="006E0285">
                            <w:pPr>
                              <w:jc w:val="right"/>
                              <w:rPr>
                                <w:rFonts w:cs="Arial"/>
                                <w:color w:val="000000"/>
                              </w:rPr>
                            </w:pPr>
                            <w:r w:rsidRPr="00D31BFA">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F915AB0"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" fillcolor="black" strokeweight=".5pt">
                <v:fill opacity="0"/>
                <v:stroke opacity="0" joinstyle="round"/>
                <v:textbox inset="0,0,0,0">
                  <w:txbxContent>
                    <w:p w:rsidR="006E0285" w:rsidRPr="00D31BFA" w:rsidRDefault="006E0285" w:rsidP="006E0285">
                      <w:pPr>
                        <w:jc w:val="right"/>
                        <w:rPr>
                          <w:rFonts w:cs="Arial"/>
                          <w:color w:val="000000"/>
                        </w:rPr>
                      </w:pPr>
                      <w:r w:rsidRPr="00D31BFA">
                        <w:rPr>
                          <w:rFonts w:cs="Arial"/>
                          <w:color w:val="000000"/>
                        </w:rPr>
                        <w:t xml:space="preserve">./. </w:t>
                      </w:r>
                    </w:p>
                  </w:txbxContent>
                </v:textbox>
              </v:shape>
            </w:pict>
          </mc:Fallback>
        </mc:AlternateContent>
      </w:r>
    </w:p>
    <w:p w:rsidR="006E0285" w:rsidRPr="006E0285" w:rsidRDefault="006E0285" w:rsidP="006E0285">
      <w:pPr>
        <w:pStyle w:val="Heading1"/>
        <w:rPr>
          <w:lang w:val="es-ES"/>
        </w:rPr>
      </w:pPr>
      <w:bookmarkStart w:id="2" w:name="_Toc73972446"/>
      <w:r w:rsidRPr="006E0285">
        <w:rPr>
          <w:lang w:val="es-ES"/>
        </w:rPr>
        <w:lastRenderedPageBreak/>
        <w:t>ANTECEDENTES</w:t>
      </w:r>
      <w:bookmarkEnd w:id="2"/>
    </w:p>
    <w:p w:rsidR="006E0285" w:rsidRDefault="006E0285" w:rsidP="006E0285">
      <w:pPr>
        <w:keepNext/>
        <w:keepLines/>
      </w:pPr>
    </w:p>
    <w:p w:rsidR="006E0285" w:rsidRDefault="006E0285" w:rsidP="006E0285">
      <w:pPr>
        <w:keepLines/>
        <w:autoSpaceDE w:val="0"/>
        <w:autoSpaceDN w:val="0"/>
        <w:adjustRightInd w:val="0"/>
        <w:rPr>
          <w:rFonts w:cs="Arial"/>
          <w:snapToGrid w:val="0"/>
          <w:lang w:val="es-ES"/>
        </w:rPr>
      </w:pPr>
      <w:r w:rsidRPr="003F5E6A">
        <w:rPr>
          <w:rFonts w:cs="Arial"/>
        </w:rPr>
        <w:fldChar w:fldCharType="begin"/>
      </w:r>
      <w:r w:rsidRPr="00A4649A">
        <w:rPr>
          <w:rFonts w:cs="Arial"/>
          <w:lang w:val="es-ES"/>
        </w:rPr>
        <w:instrText xml:space="preserve"> AUTONUM  </w:instrText>
      </w:r>
      <w:r w:rsidRPr="003F5E6A">
        <w:rPr>
          <w:rFonts w:cs="Arial"/>
        </w:rPr>
        <w:fldChar w:fldCharType="end"/>
      </w:r>
      <w:r w:rsidRPr="00A4649A">
        <w:rPr>
          <w:rFonts w:cs="Arial"/>
          <w:lang w:val="es-ES"/>
        </w:rPr>
        <w:tab/>
      </w:r>
      <w:r w:rsidRPr="00A4649A">
        <w:rPr>
          <w:rFonts w:cs="Arial"/>
        </w:rPr>
        <w:t>En su trigésima octava sesión</w:t>
      </w:r>
      <w:r>
        <w:rPr>
          <w:rStyle w:val="FootnoteReference"/>
          <w:rFonts w:cs="Arial"/>
        </w:rPr>
        <w:footnoteReference w:id="2"/>
      </w:r>
      <w:r w:rsidRPr="00A4649A">
        <w:rPr>
          <w:rFonts w:cs="Arial"/>
        </w:rPr>
        <w:t>, sobre la base del documento TC/38/12, el TC decidió que se organi</w:t>
      </w:r>
      <w:r w:rsidR="00F62AB6">
        <w:rPr>
          <w:rFonts w:cs="Arial"/>
        </w:rPr>
        <w:t>zaran</w:t>
      </w:r>
      <w:r w:rsidRPr="00A4649A">
        <w:rPr>
          <w:rFonts w:cs="Arial"/>
        </w:rPr>
        <w:t xml:space="preserve"> talleres preparatorios antes de cada reunión de los TWP a fin de </w:t>
      </w:r>
      <w:r>
        <w:rPr>
          <w:rFonts w:cs="Arial"/>
        </w:rPr>
        <w:t>ayudar</w:t>
      </w:r>
      <w:r w:rsidRPr="00A4649A">
        <w:rPr>
          <w:rFonts w:cs="Arial"/>
        </w:rPr>
        <w:t xml:space="preserve"> a algunos de los delegados </w:t>
      </w:r>
      <w:r>
        <w:rPr>
          <w:rFonts w:cs="Arial"/>
        </w:rPr>
        <w:t>a</w:t>
      </w:r>
      <w:r w:rsidRPr="00A4649A">
        <w:rPr>
          <w:rFonts w:cs="Arial"/>
        </w:rPr>
        <w:t xml:space="preserve"> participa</w:t>
      </w:r>
      <w:r>
        <w:rPr>
          <w:rFonts w:cs="Arial"/>
        </w:rPr>
        <w:t>r de forma</w:t>
      </w:r>
      <w:r w:rsidRPr="00A4649A">
        <w:rPr>
          <w:rFonts w:cs="Arial"/>
        </w:rPr>
        <w:t xml:space="preserve"> más activa en las reuniones (véanse los párrafos 215 a 218 del documento TC/38/16 “Informe”).</w:t>
      </w:r>
    </w:p>
    <w:p w:rsidR="006E0285" w:rsidRPr="00F62AB6" w:rsidRDefault="006E0285" w:rsidP="006E0285"/>
    <w:p w:rsidR="006E0285" w:rsidRDefault="006E0285" w:rsidP="006E0285">
      <w:pPr>
        <w:rPr>
          <w:lang w:val="es-ES"/>
        </w:rPr>
      </w:pPr>
      <w:r w:rsidRPr="003F5E6A">
        <w:fldChar w:fldCharType="begin"/>
      </w:r>
      <w:r w:rsidRPr="00A4649A">
        <w:rPr>
          <w:lang w:val="es-ES"/>
        </w:rPr>
        <w:instrText xml:space="preserve"> AUTONUM  </w:instrText>
      </w:r>
      <w:r w:rsidRPr="003F5E6A">
        <w:fldChar w:fldCharType="end"/>
      </w:r>
      <w:r w:rsidRPr="00A4649A">
        <w:rPr>
          <w:lang w:val="es-ES"/>
        </w:rPr>
        <w:tab/>
      </w:r>
      <w:r w:rsidRPr="00A4649A">
        <w:t>En su quincuagésima quinta sesión</w:t>
      </w:r>
      <w:r>
        <w:rPr>
          <w:rStyle w:val="FootnoteReference"/>
        </w:rPr>
        <w:footnoteReference w:id="3"/>
      </w:r>
      <w:r w:rsidRPr="00A4649A">
        <w:t>, el TC recordó que los ta</w:t>
      </w:r>
      <w:r w:rsidR="00F62AB6">
        <w:t>lleres preparatorios constituían</w:t>
      </w:r>
      <w:r w:rsidRPr="00A4649A">
        <w:t xml:space="preserve"> una oportunidad para la formación de los participantes locales y acordó que</w:t>
      </w:r>
      <w:r w:rsidR="00F62AB6">
        <w:t xml:space="preserve"> los anfitriones de los TWP debía</w:t>
      </w:r>
      <w:r w:rsidRPr="00A4649A">
        <w:t xml:space="preserve">n tener la posibilidad de decidir si organizan o no un taller preparatorio antes de la </w:t>
      </w:r>
      <w:r>
        <w:t>reunión</w:t>
      </w:r>
      <w:r w:rsidRPr="00A4649A">
        <w:t xml:space="preserve"> del TWP en cuestión (véanse los párrafos 226 y 227 del documento TC/55/25 “Informe”).</w:t>
      </w:r>
    </w:p>
    <w:p w:rsidR="006E0285" w:rsidRDefault="006E0285" w:rsidP="006E0285">
      <w:pPr>
        <w:rPr>
          <w:lang w:val="es-ES"/>
        </w:rPr>
      </w:pPr>
    </w:p>
    <w:p w:rsidR="006E0285" w:rsidRPr="00A04AC2" w:rsidRDefault="006E0285" w:rsidP="006E0285">
      <w:pPr>
        <w:rPr>
          <w:lang w:val="es-ES"/>
        </w:rPr>
      </w:pPr>
      <w:r w:rsidRPr="003F5E6A">
        <w:fldChar w:fldCharType="begin"/>
      </w:r>
      <w:r w:rsidRPr="00A04AC2">
        <w:rPr>
          <w:lang w:val="es-ES"/>
        </w:rPr>
        <w:instrText xml:space="preserve"> AUTONUM  </w:instrText>
      </w:r>
      <w:r w:rsidRPr="003F5E6A">
        <w:fldChar w:fldCharType="end"/>
      </w:r>
      <w:r w:rsidRPr="00A04AC2">
        <w:rPr>
          <w:lang w:val="es-ES"/>
        </w:rPr>
        <w:tab/>
      </w:r>
      <w:r w:rsidRPr="00C714F2">
        <w:t>En su quincuagésima quinta sesi</w:t>
      </w:r>
      <w:r w:rsidR="00F62AB6">
        <w:t>ón, el TC convino en que se debía</w:t>
      </w:r>
      <w:r w:rsidRPr="00C714F2">
        <w:t xml:space="preserve"> invitar a los TWP a examinar la posibilidad de </w:t>
      </w:r>
      <w:r>
        <w:t>organizar</w:t>
      </w:r>
      <w:r w:rsidRPr="00C714F2">
        <w:t xml:space="preserve"> talleres preparatorios al estudiar el lugar y la fecha de sus futuras reuniones.</w:t>
      </w:r>
    </w:p>
    <w:p w:rsidR="006E0285" w:rsidRPr="00A04AC2" w:rsidRDefault="006E0285" w:rsidP="006E0285">
      <w:pPr>
        <w:rPr>
          <w:lang w:val="es-ES"/>
        </w:rPr>
      </w:pPr>
    </w:p>
    <w:p w:rsidR="006E0285" w:rsidRPr="00A04AC2" w:rsidRDefault="006E0285" w:rsidP="006E0285">
      <w:pPr>
        <w:rPr>
          <w:lang w:val="es-ES"/>
        </w:rPr>
      </w:pPr>
    </w:p>
    <w:p w:rsidR="006E0285" w:rsidRPr="006E0285" w:rsidRDefault="006E0285" w:rsidP="006E0285">
      <w:pPr>
        <w:pStyle w:val="Heading1"/>
        <w:rPr>
          <w:lang w:val="es-ES"/>
        </w:rPr>
      </w:pPr>
      <w:bookmarkStart w:id="3" w:name="_Toc73972447"/>
      <w:r w:rsidRPr="006E0285">
        <w:rPr>
          <w:lang w:val="es-ES"/>
        </w:rPr>
        <w:t>EXAMEN DEL COMITÉ TÉCNICO EN SU QUINCUAGÉSIMA SÉPTIMA SESIÓN</w:t>
      </w:r>
      <w:bookmarkEnd w:id="3"/>
    </w:p>
    <w:p w:rsidR="006E0285" w:rsidRDefault="006E0285" w:rsidP="006E0285">
      <w:pPr>
        <w:rPr>
          <w:lang w:val="es-ES"/>
        </w:rPr>
      </w:pPr>
    </w:p>
    <w:p w:rsidR="006E0285" w:rsidRDefault="006E0285" w:rsidP="006E0285">
      <w:pPr>
        <w:rPr>
          <w:lang w:val="es-ES"/>
        </w:rPr>
      </w:pPr>
      <w:r w:rsidRPr="00C07812">
        <w:fldChar w:fldCharType="begin"/>
      </w:r>
      <w:r w:rsidRPr="00C714F2">
        <w:rPr>
          <w:lang w:val="es-ES"/>
        </w:rPr>
        <w:instrText xml:space="preserve"> AUTONUM  </w:instrText>
      </w:r>
      <w:r w:rsidRPr="00C07812">
        <w:fldChar w:fldCharType="end"/>
      </w:r>
      <w:r w:rsidRPr="00C714F2">
        <w:rPr>
          <w:lang w:val="es-ES"/>
        </w:rPr>
        <w:tab/>
      </w:r>
      <w:r w:rsidRPr="00C714F2">
        <w:t>En su quincuagésima sexta sesión</w:t>
      </w:r>
      <w:r>
        <w:rPr>
          <w:rStyle w:val="FootnoteReference"/>
        </w:rPr>
        <w:footnoteReference w:id="4"/>
      </w:r>
      <w:r w:rsidRPr="00C714F2">
        <w:t>, el TC examinó el documento TC/56/9 “Talleres preparatorios” (véanse los párrafos 71 y 75 del documento TC/56/23 “Informe”).</w:t>
      </w:r>
    </w:p>
    <w:p w:rsidR="006E0285" w:rsidRDefault="006E0285" w:rsidP="006E0285">
      <w:pPr>
        <w:rPr>
          <w:lang w:val="es-ES"/>
        </w:rPr>
      </w:pPr>
    </w:p>
    <w:p w:rsidR="006E0285" w:rsidRPr="009D051E" w:rsidRDefault="006E0285" w:rsidP="006E0285">
      <w:pPr>
        <w:rPr>
          <w:snapToGrid w:val="0"/>
        </w:rPr>
      </w:pPr>
      <w:r w:rsidRPr="00C07812">
        <w:fldChar w:fldCharType="begin"/>
      </w:r>
      <w:r w:rsidRPr="009D051E">
        <w:rPr>
          <w:lang w:val="es-ES"/>
        </w:rPr>
        <w:instrText xml:space="preserve"> AUTONUM  </w:instrText>
      </w:r>
      <w:r w:rsidRPr="00C07812">
        <w:fldChar w:fldCharType="end"/>
      </w:r>
      <w:r w:rsidRPr="009D051E">
        <w:rPr>
          <w:lang w:val="es-ES"/>
        </w:rPr>
        <w:tab/>
      </w:r>
      <w:r w:rsidRPr="00F34BC0">
        <w:t>El TC acordó organizar los siguientes talleres preparatorios en 2021 en forma de una serie de seminarios web en fechas acordes al calendario de las reuniones de los TWP:</w:t>
      </w:r>
    </w:p>
    <w:p w:rsidR="006E0285" w:rsidRPr="009D051E" w:rsidRDefault="006E0285" w:rsidP="006E0285">
      <w:pPr>
        <w:rPr>
          <w:snapToGrid w:val="0"/>
          <w:lang w:val="es-ES"/>
        </w:rPr>
      </w:pPr>
    </w:p>
    <w:p w:rsidR="006E0285" w:rsidRDefault="006E0285" w:rsidP="006E0285">
      <w:pPr>
        <w:keepNext/>
        <w:rPr>
          <w:rFonts w:cs="Arial"/>
        </w:rPr>
      </w:pPr>
      <w:r w:rsidRPr="00F34BC0">
        <w:rPr>
          <w:rFonts w:cs="Arial"/>
        </w:rPr>
        <w:t>Seminario web 1:</w:t>
      </w:r>
    </w:p>
    <w:p w:rsidR="006E0285" w:rsidRDefault="006E0285" w:rsidP="006E0285">
      <w:pPr>
        <w:keepNext/>
        <w:numPr>
          <w:ilvl w:val="1"/>
          <w:numId w:val="1"/>
        </w:numPr>
        <w:spacing w:line="276" w:lineRule="auto"/>
        <w:ind w:left="1134" w:hanging="567"/>
        <w:contextualSpacing/>
        <w:rPr>
          <w:rFonts w:cs="Arial"/>
          <w:lang w:val="es-ES"/>
        </w:rPr>
      </w:pPr>
      <w:r w:rsidRPr="00F34BC0">
        <w:rPr>
          <w:rFonts w:cs="Arial"/>
        </w:rPr>
        <w:t>Introducción a la UPOV y función de los Grupos de Trabajo Técnico de la UPOV (TWP)</w:t>
      </w:r>
    </w:p>
    <w:p w:rsidR="006E0285" w:rsidRDefault="006E0285" w:rsidP="006E0285">
      <w:pPr>
        <w:keepNext/>
        <w:numPr>
          <w:ilvl w:val="1"/>
          <w:numId w:val="1"/>
        </w:numPr>
        <w:spacing w:line="276" w:lineRule="auto"/>
        <w:ind w:left="1134" w:hanging="567"/>
        <w:contextualSpacing/>
        <w:rPr>
          <w:rFonts w:cs="Arial"/>
          <w:lang w:val="es-ES"/>
        </w:rPr>
      </w:pPr>
      <w:r w:rsidRPr="00F34BC0">
        <w:rPr>
          <w:rFonts w:cs="Arial"/>
        </w:rPr>
        <w:t>Resumen de la Introducción general (documento TG/1/3 y documentos TGP)</w:t>
      </w:r>
    </w:p>
    <w:p w:rsidR="006E0285" w:rsidRDefault="006E0285" w:rsidP="006E0285">
      <w:pPr>
        <w:numPr>
          <w:ilvl w:val="0"/>
          <w:numId w:val="2"/>
        </w:numPr>
        <w:tabs>
          <w:tab w:val="left" w:pos="1134"/>
        </w:tabs>
        <w:spacing w:line="276" w:lineRule="auto"/>
        <w:ind w:left="1134" w:firstLine="0"/>
        <w:rPr>
          <w:rFonts w:cs="Arial"/>
          <w:lang w:val="es-ES"/>
        </w:rPr>
      </w:pPr>
      <w:r w:rsidRPr="00F34BC0">
        <w:rPr>
          <w:rFonts w:cs="Arial"/>
        </w:rPr>
        <w:t>Caracteres: base del examen DHE y selección de caracteres</w:t>
      </w:r>
    </w:p>
    <w:p w:rsidR="006E0285" w:rsidRDefault="006E0285" w:rsidP="006E0285">
      <w:pPr>
        <w:spacing w:line="276" w:lineRule="auto"/>
        <w:rPr>
          <w:rFonts w:cs="Arial"/>
          <w:lang w:val="es-ES"/>
        </w:rPr>
      </w:pPr>
      <w:r w:rsidRPr="00F34BC0">
        <w:rPr>
          <w:rFonts w:cs="Arial"/>
        </w:rPr>
        <w:t>Seminario web 2:</w:t>
      </w:r>
    </w:p>
    <w:p w:rsidR="006E0285" w:rsidRDefault="006E0285" w:rsidP="006E0285">
      <w:pPr>
        <w:spacing w:line="276" w:lineRule="auto"/>
        <w:ind w:left="567"/>
        <w:rPr>
          <w:rFonts w:cs="Arial"/>
          <w:lang w:val="es-ES"/>
        </w:rPr>
      </w:pPr>
      <w:r w:rsidRPr="00F34BC0">
        <w:rPr>
          <w:rFonts w:cs="Arial"/>
        </w:rPr>
        <w:t>Orientaciones para la redacción de directrices de examen: parte I (documento TGP/7)</w:t>
      </w:r>
      <w:r w:rsidRPr="000426C0">
        <w:rPr>
          <w:rFonts w:cs="Arial"/>
          <w:lang w:val="es-ES"/>
        </w:rPr>
        <w:t xml:space="preserve"> </w:t>
      </w:r>
    </w:p>
    <w:p w:rsidR="006E0285" w:rsidRDefault="006E0285" w:rsidP="006E0285">
      <w:pPr>
        <w:numPr>
          <w:ilvl w:val="0"/>
          <w:numId w:val="3"/>
        </w:numPr>
        <w:tabs>
          <w:tab w:val="num" w:pos="1134"/>
        </w:tabs>
        <w:spacing w:line="276" w:lineRule="auto"/>
        <w:ind w:left="567" w:firstLine="0"/>
        <w:rPr>
          <w:rFonts w:cs="Arial"/>
          <w:lang w:val="es-ES"/>
        </w:rPr>
      </w:pPr>
      <w:r w:rsidRPr="00F34BC0">
        <w:rPr>
          <w:rFonts w:cs="Arial"/>
        </w:rPr>
        <w:t>Método de observación (MS, MG, VS, VG)</w:t>
      </w:r>
    </w:p>
    <w:p w:rsidR="006E0285" w:rsidRDefault="006E0285" w:rsidP="006E0285">
      <w:pPr>
        <w:numPr>
          <w:ilvl w:val="0"/>
          <w:numId w:val="3"/>
        </w:numPr>
        <w:tabs>
          <w:tab w:val="left" w:pos="567"/>
          <w:tab w:val="num" w:pos="1134"/>
          <w:tab w:val="left" w:pos="2268"/>
          <w:tab w:val="left" w:pos="2835"/>
          <w:tab w:val="left" w:pos="3402"/>
          <w:tab w:val="left" w:pos="3969"/>
          <w:tab w:val="left" w:pos="4536"/>
          <w:tab w:val="center" w:pos="5386"/>
        </w:tabs>
        <w:spacing w:line="276" w:lineRule="auto"/>
        <w:ind w:left="567" w:firstLine="0"/>
        <w:rPr>
          <w:rFonts w:cs="Arial"/>
          <w:lang w:val="es-ES"/>
        </w:rPr>
      </w:pPr>
      <w:r w:rsidRPr="00F34BC0">
        <w:rPr>
          <w:rFonts w:cs="Arial"/>
        </w:rPr>
        <w:t>Tipos de expresión (QL, QN y PQ), notas y distinción</w:t>
      </w:r>
    </w:p>
    <w:p w:rsidR="006E0285" w:rsidRDefault="006E0285" w:rsidP="006E0285">
      <w:pPr>
        <w:tabs>
          <w:tab w:val="left" w:pos="567"/>
          <w:tab w:val="left" w:pos="1134"/>
          <w:tab w:val="left" w:pos="2268"/>
          <w:tab w:val="left" w:pos="2835"/>
          <w:tab w:val="left" w:pos="3402"/>
          <w:tab w:val="left" w:pos="3969"/>
          <w:tab w:val="left" w:pos="4536"/>
          <w:tab w:val="center" w:pos="5386"/>
        </w:tabs>
        <w:spacing w:line="276" w:lineRule="auto"/>
        <w:rPr>
          <w:rFonts w:cs="Arial"/>
          <w:lang w:val="es-ES"/>
        </w:rPr>
      </w:pPr>
      <w:r w:rsidRPr="00F34BC0">
        <w:rPr>
          <w:rFonts w:cs="Arial"/>
        </w:rPr>
        <w:t>Seminario web 3:</w:t>
      </w:r>
    </w:p>
    <w:p w:rsidR="006E0285" w:rsidRDefault="006E0285" w:rsidP="006E0285">
      <w:pPr>
        <w:spacing w:line="276" w:lineRule="auto"/>
        <w:ind w:left="567"/>
        <w:rPr>
          <w:rFonts w:cs="Arial"/>
          <w:lang w:val="es-ES"/>
        </w:rPr>
      </w:pPr>
      <w:r w:rsidRPr="00F34BC0">
        <w:rPr>
          <w:rFonts w:cs="Arial"/>
        </w:rPr>
        <w:t>Orientaciones para la redacción de directrices de examen: parte II (documento TGP/7)</w:t>
      </w:r>
    </w:p>
    <w:p w:rsidR="006E0285" w:rsidRDefault="006E0285" w:rsidP="006E0285">
      <w:pPr>
        <w:numPr>
          <w:ilvl w:val="0"/>
          <w:numId w:val="4"/>
        </w:numPr>
        <w:tabs>
          <w:tab w:val="left" w:pos="1134"/>
        </w:tabs>
        <w:spacing w:line="276" w:lineRule="auto"/>
        <w:ind w:left="567" w:firstLine="0"/>
        <w:rPr>
          <w:rFonts w:cs="Arial"/>
          <w:lang w:val="es-ES"/>
        </w:rPr>
      </w:pPr>
      <w:r w:rsidRPr="00F34BC0">
        <w:rPr>
          <w:rFonts w:cs="Arial"/>
        </w:rPr>
        <w:t>Objeto de las directrices de examen, materi</w:t>
      </w:r>
      <w:r>
        <w:rPr>
          <w:rFonts w:cs="Arial"/>
        </w:rPr>
        <w:t>al necesario y método de examen</w:t>
      </w:r>
    </w:p>
    <w:p w:rsidR="006E0285" w:rsidRDefault="006E0285" w:rsidP="006E0285">
      <w:pPr>
        <w:numPr>
          <w:ilvl w:val="0"/>
          <w:numId w:val="4"/>
        </w:numPr>
        <w:tabs>
          <w:tab w:val="left" w:pos="1134"/>
        </w:tabs>
        <w:spacing w:line="276" w:lineRule="auto"/>
        <w:ind w:left="567" w:firstLine="0"/>
        <w:rPr>
          <w:rFonts w:cs="Arial"/>
          <w:lang w:val="es-ES"/>
        </w:rPr>
      </w:pPr>
      <w:r w:rsidRPr="00F34BC0">
        <w:rPr>
          <w:rFonts w:cs="Arial"/>
        </w:rPr>
        <w:t>Caracteres relativos a la forma y el color</w:t>
      </w:r>
    </w:p>
    <w:p w:rsidR="006E0285" w:rsidRDefault="006E0285" w:rsidP="006E0285">
      <w:pPr>
        <w:numPr>
          <w:ilvl w:val="0"/>
          <w:numId w:val="4"/>
        </w:numPr>
        <w:tabs>
          <w:tab w:val="left" w:pos="1134"/>
        </w:tabs>
        <w:spacing w:line="276" w:lineRule="auto"/>
        <w:ind w:left="567" w:firstLine="0"/>
        <w:rPr>
          <w:rFonts w:cs="Arial"/>
        </w:rPr>
      </w:pPr>
      <w:r w:rsidRPr="00F34BC0">
        <w:rPr>
          <w:rFonts w:cs="Arial"/>
        </w:rPr>
        <w:t>Variedades ejemplo</w:t>
      </w:r>
    </w:p>
    <w:p w:rsidR="006E0285" w:rsidRDefault="006E0285" w:rsidP="006E0285">
      <w:pPr>
        <w:spacing w:line="276" w:lineRule="auto"/>
        <w:rPr>
          <w:rFonts w:cs="Arial"/>
        </w:rPr>
      </w:pPr>
      <w:r w:rsidRPr="00F34BC0">
        <w:rPr>
          <w:rFonts w:cs="Arial"/>
        </w:rPr>
        <w:t>Seminario web 4:</w:t>
      </w:r>
    </w:p>
    <w:p w:rsidR="006E0285" w:rsidRDefault="006E0285" w:rsidP="006E0285">
      <w:pPr>
        <w:tabs>
          <w:tab w:val="left" w:pos="1134"/>
        </w:tabs>
        <w:spacing w:line="276" w:lineRule="auto"/>
        <w:ind w:left="567"/>
        <w:rPr>
          <w:rFonts w:cs="Arial"/>
          <w:snapToGrid w:val="0"/>
          <w:color w:val="000000"/>
          <w:lang w:val="es-ES"/>
        </w:rPr>
      </w:pPr>
      <w:r w:rsidRPr="00F34BC0">
        <w:rPr>
          <w:rFonts w:cs="Arial"/>
          <w:snapToGrid w:val="0"/>
          <w:color w:val="000000"/>
        </w:rPr>
        <w:t>Proceso de elaboración de directrices de examen de la UPOV:</w:t>
      </w:r>
    </w:p>
    <w:p w:rsidR="006E0285" w:rsidRDefault="006E0285" w:rsidP="006E0285">
      <w:pPr>
        <w:tabs>
          <w:tab w:val="left" w:pos="1134"/>
        </w:tabs>
        <w:spacing w:line="276" w:lineRule="auto"/>
        <w:ind w:left="567"/>
        <w:rPr>
          <w:rFonts w:cs="Arial"/>
        </w:rPr>
      </w:pPr>
      <w:r w:rsidRPr="00F34BC0">
        <w:rPr>
          <w:rFonts w:cs="Arial"/>
        </w:rPr>
        <w:t>a)</w:t>
      </w:r>
      <w:r w:rsidRPr="00F34BC0">
        <w:rPr>
          <w:rFonts w:cs="Arial"/>
        </w:rPr>
        <w:tab/>
        <w:t>Plantilla en Internet de los documentos TG; texto estándar adicional y notas orientativas</w:t>
      </w:r>
    </w:p>
    <w:p w:rsidR="006E0285" w:rsidRDefault="006E0285" w:rsidP="006E0285">
      <w:pPr>
        <w:tabs>
          <w:tab w:val="left" w:pos="1134"/>
        </w:tabs>
        <w:spacing w:line="276" w:lineRule="auto"/>
        <w:ind w:left="567"/>
        <w:rPr>
          <w:rFonts w:cs="Arial"/>
        </w:rPr>
      </w:pPr>
      <w:r w:rsidRPr="00F34BC0">
        <w:rPr>
          <w:rFonts w:cs="Arial"/>
        </w:rPr>
        <w:t>b)</w:t>
      </w:r>
      <w:r w:rsidRPr="00F34BC0">
        <w:rPr>
          <w:rFonts w:cs="Arial"/>
        </w:rPr>
        <w:tab/>
        <w:t>Función del experto principal en la elaboración de las directrices de examen y modo de participar como experto interesado</w:t>
      </w:r>
    </w:p>
    <w:p w:rsidR="006E0285" w:rsidRDefault="006E0285" w:rsidP="006E0285">
      <w:pPr>
        <w:tabs>
          <w:tab w:val="left" w:pos="567"/>
        </w:tabs>
        <w:spacing w:line="276" w:lineRule="auto"/>
        <w:rPr>
          <w:rFonts w:cs="Arial"/>
          <w:lang w:val="es-ES"/>
        </w:rPr>
      </w:pPr>
      <w:r w:rsidRPr="00F34BC0">
        <w:rPr>
          <w:rFonts w:cs="Arial"/>
        </w:rPr>
        <w:t>Seminario web 5:</w:t>
      </w:r>
    </w:p>
    <w:p w:rsidR="006E0285" w:rsidRDefault="006E0285" w:rsidP="006E0285">
      <w:pPr>
        <w:keepNext/>
        <w:keepLines/>
        <w:spacing w:line="276" w:lineRule="auto"/>
        <w:ind w:firstLine="567"/>
        <w:rPr>
          <w:rFonts w:cs="Arial"/>
          <w:lang w:val="es-ES"/>
        </w:rPr>
      </w:pPr>
      <w:r w:rsidRPr="00F34BC0">
        <w:rPr>
          <w:rFonts w:cs="Arial"/>
        </w:rPr>
        <w:t>Recursos de la UPOV en Internet</w:t>
      </w:r>
    </w:p>
    <w:p w:rsidR="006E0285" w:rsidRDefault="006E0285" w:rsidP="006E0285">
      <w:pPr>
        <w:numPr>
          <w:ilvl w:val="2"/>
          <w:numId w:val="5"/>
        </w:numPr>
        <w:spacing w:line="276" w:lineRule="auto"/>
        <w:ind w:left="1134" w:hanging="567"/>
        <w:rPr>
          <w:rFonts w:cs="Arial"/>
          <w:lang w:val="es-ES"/>
        </w:rPr>
      </w:pPr>
      <w:r w:rsidRPr="00F34BC0">
        <w:rPr>
          <w:rFonts w:cs="Arial"/>
        </w:rPr>
        <w:t>Legislación de los miembros de la UPOV: UPOV Lex</w:t>
      </w:r>
    </w:p>
    <w:p w:rsidR="006E0285" w:rsidRDefault="006E0285" w:rsidP="006E0285">
      <w:pPr>
        <w:numPr>
          <w:ilvl w:val="2"/>
          <w:numId w:val="5"/>
        </w:numPr>
        <w:spacing w:line="276" w:lineRule="auto"/>
        <w:ind w:left="1134" w:hanging="567"/>
        <w:rPr>
          <w:rFonts w:cs="Arial"/>
          <w:spacing w:val="-2"/>
          <w:lang w:val="es-ES"/>
        </w:rPr>
      </w:pPr>
      <w:r w:rsidRPr="00F34BC0">
        <w:rPr>
          <w:rFonts w:cs="Arial"/>
          <w:spacing w:val="-2"/>
        </w:rPr>
        <w:t xml:space="preserve">Solicitudes de derechos de obtentor: herramienta de solicitudes </w:t>
      </w:r>
      <w:r w:rsidR="005E6A79">
        <w:rPr>
          <w:rFonts w:cs="Arial"/>
          <w:spacing w:val="-2"/>
        </w:rPr>
        <w:t>de derechos de obtentor</w:t>
      </w:r>
      <w:r w:rsidRPr="00F34BC0">
        <w:rPr>
          <w:rFonts w:cs="Arial"/>
          <w:spacing w:val="-2"/>
        </w:rPr>
        <w:t xml:space="preserve"> UPOV PRISMA</w:t>
      </w:r>
    </w:p>
    <w:p w:rsidR="006E0285" w:rsidRDefault="006E0285" w:rsidP="006E0285">
      <w:pPr>
        <w:numPr>
          <w:ilvl w:val="2"/>
          <w:numId w:val="5"/>
        </w:numPr>
        <w:spacing w:line="276" w:lineRule="auto"/>
        <w:ind w:left="1134" w:hanging="567"/>
        <w:rPr>
          <w:rFonts w:cs="Arial"/>
          <w:spacing w:val="-2"/>
          <w:lang w:val="es-ES"/>
        </w:rPr>
      </w:pPr>
      <w:r w:rsidRPr="00F34BC0">
        <w:rPr>
          <w:rFonts w:cs="Arial"/>
          <w:spacing w:val="-2"/>
        </w:rPr>
        <w:t>Examen DHE: base de datos GENIE, código de la UPOV</w:t>
      </w:r>
    </w:p>
    <w:p w:rsidR="006E0285" w:rsidRDefault="006E0285" w:rsidP="006E0285">
      <w:pPr>
        <w:numPr>
          <w:ilvl w:val="2"/>
          <w:numId w:val="5"/>
        </w:numPr>
        <w:spacing w:line="276" w:lineRule="auto"/>
        <w:ind w:left="1134" w:hanging="567"/>
        <w:rPr>
          <w:rFonts w:cs="Arial"/>
          <w:spacing w:val="-2"/>
          <w:lang w:val="es-ES"/>
        </w:rPr>
      </w:pPr>
      <w:r w:rsidRPr="00F34BC0">
        <w:rPr>
          <w:rFonts w:cs="Arial"/>
          <w:spacing w:val="-2"/>
        </w:rPr>
        <w:t>Denominaciones de variedades y novedad: base de datos PLUTO</w:t>
      </w:r>
    </w:p>
    <w:p w:rsidR="006E0285" w:rsidRDefault="006E0285" w:rsidP="006E0285">
      <w:pPr>
        <w:spacing w:line="276" w:lineRule="auto"/>
        <w:rPr>
          <w:rFonts w:cs="Arial"/>
          <w:spacing w:val="-2"/>
        </w:rPr>
      </w:pPr>
      <w:r w:rsidRPr="00F34BC0">
        <w:rPr>
          <w:rFonts w:cs="Arial"/>
          <w:spacing w:val="-2"/>
        </w:rPr>
        <w:t>Seminario web 6:</w:t>
      </w:r>
    </w:p>
    <w:p w:rsidR="006E0285" w:rsidRDefault="006E0285" w:rsidP="006E0285">
      <w:pPr>
        <w:numPr>
          <w:ilvl w:val="0"/>
          <w:numId w:val="6"/>
        </w:numPr>
        <w:ind w:left="1134" w:hanging="567"/>
        <w:contextualSpacing/>
        <w:rPr>
          <w:lang w:val="es-ES"/>
        </w:rPr>
      </w:pPr>
      <w:r w:rsidRPr="00F34BC0">
        <w:t>Situación en la UPOV en relación con el posible uso de técnicas moleculares en el examen DHE</w:t>
      </w:r>
    </w:p>
    <w:p w:rsidR="006E0285" w:rsidRDefault="006E0285" w:rsidP="006E0285">
      <w:pPr>
        <w:numPr>
          <w:ilvl w:val="0"/>
          <w:numId w:val="6"/>
        </w:numPr>
        <w:ind w:left="1134" w:hanging="567"/>
        <w:contextualSpacing/>
        <w:rPr>
          <w:rFonts w:cs="Arial"/>
          <w:lang w:val="es-ES"/>
        </w:rPr>
      </w:pPr>
      <w:r w:rsidRPr="00F34BC0">
        <w:rPr>
          <w:rFonts w:cs="Arial"/>
        </w:rPr>
        <w:t>El concepto de variedad esencialmente derivada</w:t>
      </w:r>
    </w:p>
    <w:p w:rsidR="006E0285" w:rsidRDefault="006E0285" w:rsidP="006E0285">
      <w:pPr>
        <w:numPr>
          <w:ilvl w:val="0"/>
          <w:numId w:val="6"/>
        </w:numPr>
        <w:ind w:left="1134" w:hanging="567"/>
        <w:contextualSpacing/>
        <w:rPr>
          <w:rFonts w:cs="Arial"/>
          <w:lang w:val="es-ES"/>
        </w:rPr>
      </w:pPr>
      <w:r w:rsidRPr="00F34BC0">
        <w:rPr>
          <w:rFonts w:cs="Arial"/>
        </w:rPr>
        <w:t>Función de la UPOV en la identificación de variedades</w:t>
      </w:r>
    </w:p>
    <w:p w:rsidR="006E0285" w:rsidRDefault="006E0285" w:rsidP="006E0285">
      <w:pPr>
        <w:rPr>
          <w:snapToGrid w:val="0"/>
          <w:lang w:val="es-ES"/>
        </w:rPr>
      </w:pPr>
    </w:p>
    <w:p w:rsidR="006E0285" w:rsidRPr="009D051E" w:rsidRDefault="006E0285" w:rsidP="006E0285">
      <w:pPr>
        <w:rPr>
          <w:snapToGrid w:val="0"/>
          <w:lang w:val="es-ES"/>
        </w:rPr>
      </w:pPr>
      <w:r w:rsidRPr="00C07812">
        <w:rPr>
          <w:snapToGrid w:val="0"/>
        </w:rPr>
        <w:fldChar w:fldCharType="begin"/>
      </w:r>
      <w:r w:rsidRPr="009D051E">
        <w:rPr>
          <w:snapToGrid w:val="0"/>
          <w:lang w:val="es-ES"/>
        </w:rPr>
        <w:instrText xml:space="preserve"> AUTONUM  </w:instrText>
      </w:r>
      <w:r w:rsidRPr="00C07812">
        <w:rPr>
          <w:snapToGrid w:val="0"/>
        </w:rPr>
        <w:fldChar w:fldCharType="end"/>
      </w:r>
      <w:r w:rsidRPr="009D051E">
        <w:rPr>
          <w:snapToGrid w:val="0"/>
          <w:lang w:val="es-ES"/>
        </w:rPr>
        <w:tab/>
      </w:r>
      <w:r w:rsidRPr="00F34BC0">
        <w:rPr>
          <w:snapToGrid w:val="0"/>
        </w:rPr>
        <w:t xml:space="preserve">El TC tomó nota de que las presentaciones </w:t>
      </w:r>
      <w:r>
        <w:rPr>
          <w:snapToGrid w:val="0"/>
        </w:rPr>
        <w:t>de los seminarios web se grabaría</w:t>
      </w:r>
      <w:r w:rsidRPr="00F34BC0">
        <w:rPr>
          <w:snapToGrid w:val="0"/>
        </w:rPr>
        <w:t>n y se publicar</w:t>
      </w:r>
      <w:r>
        <w:rPr>
          <w:snapToGrid w:val="0"/>
        </w:rPr>
        <w:t>ía</w:t>
      </w:r>
      <w:r w:rsidRPr="00F34BC0">
        <w:rPr>
          <w:snapToGrid w:val="0"/>
        </w:rPr>
        <w:t>n en línea, pero no los debates.</w:t>
      </w:r>
      <w:r>
        <w:rPr>
          <w:snapToGrid w:val="0"/>
          <w:lang w:val="es-ES"/>
        </w:rPr>
        <w:t xml:space="preserve"> </w:t>
      </w:r>
      <w:r w:rsidRPr="00F34BC0">
        <w:rPr>
          <w:snapToGrid w:val="0"/>
        </w:rPr>
        <w:t xml:space="preserve">El TC tomó nota de que </w:t>
      </w:r>
      <w:r>
        <w:rPr>
          <w:snapToGrid w:val="0"/>
        </w:rPr>
        <w:t>la Oficina de la Unión propondría</w:t>
      </w:r>
      <w:r w:rsidRPr="00F34BC0">
        <w:rPr>
          <w:snapToGrid w:val="0"/>
        </w:rPr>
        <w:t xml:space="preserve"> contenidos pa</w:t>
      </w:r>
      <w:r>
        <w:rPr>
          <w:snapToGrid w:val="0"/>
        </w:rPr>
        <w:t>ra los seminarios web e invitaría</w:t>
      </w:r>
      <w:r w:rsidRPr="00F34BC0">
        <w:rPr>
          <w:snapToGrid w:val="0"/>
        </w:rPr>
        <w:t xml:space="preserve"> a los expertos de los miembros a servir de panelistas en los debates y a proporcionar ejemplos prácticos.</w:t>
      </w:r>
    </w:p>
    <w:p w:rsidR="006E0285" w:rsidRPr="009D051E" w:rsidRDefault="006E0285" w:rsidP="006E0285">
      <w:pPr>
        <w:rPr>
          <w:snapToGrid w:val="0"/>
          <w:lang w:val="es-ES"/>
        </w:rPr>
      </w:pPr>
    </w:p>
    <w:p w:rsidR="006E0285" w:rsidRPr="009D051E" w:rsidRDefault="006E0285" w:rsidP="006E0285">
      <w:pPr>
        <w:rPr>
          <w:snapToGrid w:val="0"/>
          <w:lang w:val="es-ES"/>
        </w:rPr>
      </w:pPr>
      <w:r w:rsidRPr="00C07812">
        <w:rPr>
          <w:snapToGrid w:val="0"/>
        </w:rPr>
        <w:fldChar w:fldCharType="begin"/>
      </w:r>
      <w:r w:rsidRPr="009D051E">
        <w:rPr>
          <w:snapToGrid w:val="0"/>
          <w:lang w:val="es-ES"/>
        </w:rPr>
        <w:instrText xml:space="preserve"> AUTONUM  </w:instrText>
      </w:r>
      <w:r w:rsidRPr="00C07812">
        <w:rPr>
          <w:snapToGrid w:val="0"/>
        </w:rPr>
        <w:fldChar w:fldCharType="end"/>
      </w:r>
      <w:r w:rsidRPr="009D051E">
        <w:rPr>
          <w:snapToGrid w:val="0"/>
          <w:lang w:val="es-ES"/>
        </w:rPr>
        <w:tab/>
      </w:r>
      <w:r w:rsidRPr="00F34BC0">
        <w:rPr>
          <w:snapToGrid w:val="0"/>
        </w:rPr>
        <w:t>El TC tomó nota de que</w:t>
      </w:r>
      <w:r>
        <w:rPr>
          <w:snapToGrid w:val="0"/>
        </w:rPr>
        <w:t xml:space="preserve"> la Oficina de la Unión ultimaría</w:t>
      </w:r>
      <w:r w:rsidRPr="00F34BC0">
        <w:rPr>
          <w:snapToGrid w:val="0"/>
        </w:rPr>
        <w:t xml:space="preserve"> los detalles relativos a los seminarios web en coordinación con los presidentes del TC y los TWP.</w:t>
      </w:r>
    </w:p>
    <w:p w:rsidR="006E0285" w:rsidRPr="009D051E" w:rsidRDefault="006E0285" w:rsidP="006E0285">
      <w:pPr>
        <w:rPr>
          <w:rFonts w:cs="Arial"/>
          <w:lang w:val="es-ES"/>
        </w:rPr>
      </w:pPr>
    </w:p>
    <w:p w:rsidR="006E0285" w:rsidRPr="009D051E" w:rsidRDefault="006E0285" w:rsidP="006E0285">
      <w:pPr>
        <w:rPr>
          <w:rFonts w:cs="Arial"/>
          <w:lang w:val="es-ES"/>
        </w:rPr>
      </w:pPr>
      <w:r w:rsidRPr="00C07812">
        <w:rPr>
          <w:rFonts w:cs="Arial"/>
        </w:rPr>
        <w:fldChar w:fldCharType="begin"/>
      </w:r>
      <w:r w:rsidRPr="009D051E">
        <w:rPr>
          <w:rFonts w:cs="Arial"/>
          <w:lang w:val="es-ES"/>
        </w:rPr>
        <w:instrText xml:space="preserve"> AUTONUM  </w:instrText>
      </w:r>
      <w:r w:rsidRPr="00C07812">
        <w:rPr>
          <w:rFonts w:cs="Arial"/>
        </w:rPr>
        <w:fldChar w:fldCharType="end"/>
      </w:r>
      <w:r w:rsidRPr="009D051E">
        <w:rPr>
          <w:rFonts w:cs="Arial"/>
          <w:lang w:val="es-ES"/>
        </w:rPr>
        <w:tab/>
      </w:r>
      <w:r w:rsidRPr="00244A98">
        <w:rPr>
          <w:rFonts w:cs="Arial"/>
        </w:rPr>
        <w:t xml:space="preserve">El TC tomó nota de que, previa petición de los </w:t>
      </w:r>
      <w:r>
        <w:rPr>
          <w:rFonts w:cs="Arial"/>
        </w:rPr>
        <w:t>anfitriones de los TWP, se podría</w:t>
      </w:r>
      <w:r w:rsidRPr="00244A98">
        <w:rPr>
          <w:rFonts w:cs="Arial"/>
        </w:rPr>
        <w:t>n organizar talleres con participación presencial junto con las reuniones de los TWP. En es</w:t>
      </w:r>
      <w:r>
        <w:rPr>
          <w:rFonts w:cs="Arial"/>
        </w:rPr>
        <w:t>e caso, el contenido se adaptaría</w:t>
      </w:r>
      <w:r w:rsidRPr="00244A98">
        <w:rPr>
          <w:rFonts w:cs="Arial"/>
        </w:rPr>
        <w:t xml:space="preserve"> al contexto particular.</w:t>
      </w:r>
    </w:p>
    <w:p w:rsidR="006E0285" w:rsidRDefault="006E0285" w:rsidP="006E0285">
      <w:pPr>
        <w:rPr>
          <w:lang w:val="es-ES"/>
        </w:rPr>
      </w:pPr>
    </w:p>
    <w:p w:rsidR="00862178" w:rsidRPr="009D051E" w:rsidRDefault="00862178" w:rsidP="006E0285">
      <w:pPr>
        <w:rPr>
          <w:lang w:val="es-ES"/>
        </w:rPr>
      </w:pPr>
    </w:p>
    <w:p w:rsidR="006E0285" w:rsidRPr="006E0285" w:rsidRDefault="006E0285" w:rsidP="006E0285">
      <w:pPr>
        <w:pStyle w:val="Heading1"/>
        <w:rPr>
          <w:lang w:val="es-ES"/>
        </w:rPr>
      </w:pPr>
      <w:bookmarkStart w:id="4" w:name="_Toc73972448"/>
      <w:r w:rsidRPr="006E0285">
        <w:rPr>
          <w:lang w:val="es-ES"/>
        </w:rPr>
        <w:t>INFORME SOBRE LOS TALLERES PREPARATORIOS DE 2021</w:t>
      </w:r>
      <w:bookmarkEnd w:id="4"/>
    </w:p>
    <w:p w:rsidR="006E0285" w:rsidRDefault="006E0285" w:rsidP="006E0285">
      <w:pPr>
        <w:jc w:val="left"/>
        <w:rPr>
          <w:snapToGrid w:val="0"/>
          <w:lang w:val="es-ES"/>
        </w:rPr>
      </w:pPr>
    </w:p>
    <w:p w:rsidR="006E0285" w:rsidRPr="006E0285" w:rsidRDefault="006E0285" w:rsidP="006E0285">
      <w:pPr>
        <w:pStyle w:val="Heading2"/>
        <w:rPr>
          <w:lang w:val="es-ES"/>
        </w:rPr>
      </w:pPr>
      <w:bookmarkStart w:id="5" w:name="_Toc73972449"/>
      <w:r w:rsidRPr="00244A98">
        <w:rPr>
          <w:lang w:val="es-ES_tradnl"/>
        </w:rPr>
        <w:t>Seminarios web preparatorios</w:t>
      </w:r>
      <w:bookmarkEnd w:id="5"/>
    </w:p>
    <w:p w:rsidR="006E0285" w:rsidRDefault="006E0285" w:rsidP="006E0285">
      <w:pPr>
        <w:jc w:val="left"/>
        <w:rPr>
          <w:snapToGrid w:val="0"/>
        </w:rPr>
      </w:pPr>
    </w:p>
    <w:p w:rsidR="006E0285" w:rsidRPr="009D051E" w:rsidRDefault="006E0285" w:rsidP="006E0285">
      <w:pPr>
        <w:rPr>
          <w:snapToGrid w:val="0"/>
          <w:lang w:val="es-ES"/>
        </w:rPr>
      </w:pPr>
      <w:r>
        <w:rPr>
          <w:snapToGrid w:val="0"/>
        </w:rPr>
        <w:fldChar w:fldCharType="begin"/>
      </w:r>
      <w:r>
        <w:rPr>
          <w:snapToGrid w:val="0"/>
        </w:rPr>
        <w:instrText xml:space="preserve"> AUTONUM  </w:instrText>
      </w:r>
      <w:r>
        <w:rPr>
          <w:snapToGrid w:val="0"/>
        </w:rPr>
        <w:fldChar w:fldCharType="end"/>
      </w:r>
      <w:r>
        <w:rPr>
          <w:snapToGrid w:val="0"/>
        </w:rPr>
        <w:tab/>
      </w:r>
      <w:r w:rsidRPr="00DF380A">
        <w:rPr>
          <w:snapToGrid w:val="0"/>
        </w:rPr>
        <w:t>Del 19 al 22 de abril de 2021 se celebraron cuatro seminarios web preparatorios.</w:t>
      </w:r>
      <w:r>
        <w:rPr>
          <w:snapToGrid w:val="0"/>
        </w:rPr>
        <w:t xml:space="preserve"> </w:t>
      </w:r>
      <w:r w:rsidRPr="00DF380A">
        <w:rPr>
          <w:snapToGrid w:val="0"/>
        </w:rPr>
        <w:t>La Oficina de la Unión ultimó los detalles relativos a los seminarios web en coordinación con los presidentes del TC y los TWP.</w:t>
      </w:r>
    </w:p>
    <w:p w:rsidR="006E0285" w:rsidRPr="009D051E" w:rsidRDefault="006E0285" w:rsidP="006E0285">
      <w:pPr>
        <w:rPr>
          <w:snapToGrid w:val="0"/>
          <w:lang w:val="es-ES"/>
        </w:rPr>
      </w:pPr>
    </w:p>
    <w:p w:rsidR="006E0285" w:rsidRDefault="006E0285" w:rsidP="006E0285">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F380A">
        <w:rPr>
          <w:snapToGrid w:val="0"/>
        </w:rPr>
        <w:t>El contenido de los seminarios web fue el siguiente:</w:t>
      </w:r>
    </w:p>
    <w:p w:rsidR="006E0285" w:rsidRDefault="006E0285" w:rsidP="006E0285">
      <w:pPr>
        <w:rPr>
          <w:snapToGrid w:val="0"/>
        </w:rPr>
      </w:pPr>
    </w:p>
    <w:p w:rsidR="006E0285" w:rsidRDefault="006E0285" w:rsidP="006E0285">
      <w:pPr>
        <w:pStyle w:val="ListParagraph"/>
        <w:numPr>
          <w:ilvl w:val="0"/>
          <w:numId w:val="7"/>
        </w:numPr>
        <w:rPr>
          <w:rFonts w:cs="Arial"/>
          <w:color w:val="000000" w:themeColor="text1"/>
          <w:szCs w:val="18"/>
          <w:lang w:val="es-ES"/>
        </w:rPr>
      </w:pPr>
      <w:r w:rsidRPr="0010483E">
        <w:rPr>
          <w:rFonts w:cs="Arial"/>
          <w:color w:val="000000" w:themeColor="text1"/>
          <w:szCs w:val="18"/>
          <w:lang w:val="es-ES_tradnl"/>
        </w:rPr>
        <w:t>Seminario web 1: Cómo organizar el examen DHE y la cooperación internacional</w:t>
      </w:r>
    </w:p>
    <w:p w:rsidR="006E0285" w:rsidRDefault="006E0285" w:rsidP="006E0285">
      <w:pPr>
        <w:pStyle w:val="ListParagraph"/>
        <w:numPr>
          <w:ilvl w:val="0"/>
          <w:numId w:val="7"/>
        </w:numPr>
        <w:rPr>
          <w:rFonts w:cs="Arial"/>
          <w:color w:val="000000" w:themeColor="text1"/>
          <w:szCs w:val="18"/>
          <w:lang w:val="es-ES"/>
        </w:rPr>
      </w:pPr>
      <w:r w:rsidRPr="0010483E">
        <w:rPr>
          <w:rFonts w:cs="Arial"/>
          <w:color w:val="000000" w:themeColor="text1"/>
          <w:szCs w:val="18"/>
          <w:lang w:val="es-ES_tradnl"/>
        </w:rPr>
        <w:t>Seminario web 2: Armonización internacional del examen DHE</w:t>
      </w:r>
    </w:p>
    <w:p w:rsidR="006E0285" w:rsidRDefault="006E0285" w:rsidP="006E0285">
      <w:pPr>
        <w:pStyle w:val="ListParagraph"/>
        <w:numPr>
          <w:ilvl w:val="0"/>
          <w:numId w:val="7"/>
        </w:numPr>
        <w:rPr>
          <w:rFonts w:cs="Arial"/>
          <w:color w:val="000000" w:themeColor="text1"/>
          <w:szCs w:val="18"/>
          <w:lang w:val="es-ES"/>
        </w:rPr>
      </w:pPr>
      <w:r w:rsidRPr="0010483E">
        <w:rPr>
          <w:rFonts w:cs="Arial"/>
          <w:color w:val="000000" w:themeColor="text1"/>
          <w:szCs w:val="18"/>
          <w:lang w:val="es-ES_tradnl"/>
        </w:rPr>
        <w:t xml:space="preserve">Seminario web 3: Elaboración y uso de </w:t>
      </w:r>
      <w:r>
        <w:rPr>
          <w:rFonts w:cs="Arial"/>
          <w:color w:val="000000" w:themeColor="text1"/>
          <w:szCs w:val="18"/>
          <w:lang w:val="es-ES_tradnl"/>
        </w:rPr>
        <w:t>las d</w:t>
      </w:r>
      <w:r w:rsidRPr="0010483E">
        <w:rPr>
          <w:rFonts w:cs="Arial"/>
          <w:color w:val="000000" w:themeColor="text1"/>
          <w:szCs w:val="18"/>
          <w:lang w:val="es-ES_tradnl"/>
        </w:rPr>
        <w:t>irectrices de examen de la UPOV</w:t>
      </w:r>
    </w:p>
    <w:p w:rsidR="006E0285" w:rsidRPr="009D051E" w:rsidRDefault="006E0285" w:rsidP="006E0285">
      <w:pPr>
        <w:pStyle w:val="ListParagraph"/>
        <w:numPr>
          <w:ilvl w:val="0"/>
          <w:numId w:val="7"/>
        </w:numPr>
        <w:rPr>
          <w:snapToGrid w:val="0"/>
          <w:lang w:val="es-ES"/>
        </w:rPr>
      </w:pPr>
      <w:r w:rsidRPr="009D051E">
        <w:rPr>
          <w:snapToGrid w:val="0"/>
          <w:lang w:val="es-ES_tradnl"/>
        </w:rPr>
        <w:t>Seminario web 4: Uso de marcadores moleculares en el examen DHE y el papel del BMT</w:t>
      </w:r>
    </w:p>
    <w:p w:rsidR="006E0285" w:rsidRDefault="006E0285" w:rsidP="006E0285">
      <w:pPr>
        <w:rPr>
          <w:snapToGrid w:val="0"/>
          <w:lang w:val="es-ES"/>
        </w:rPr>
      </w:pPr>
    </w:p>
    <w:p w:rsidR="006E0285" w:rsidRPr="009D051E" w:rsidRDefault="006E0285" w:rsidP="006E0285">
      <w:pPr>
        <w:rPr>
          <w:rFonts w:cs="Arial"/>
          <w:lang w:val="es-ES"/>
        </w:rPr>
      </w:pPr>
      <w:r>
        <w:rPr>
          <w:rFonts w:cs="Arial"/>
        </w:rPr>
        <w:fldChar w:fldCharType="begin"/>
      </w:r>
      <w:r w:rsidRPr="00D1533E">
        <w:rPr>
          <w:rFonts w:cs="Arial"/>
          <w:lang w:val="es-ES"/>
        </w:rPr>
        <w:instrText xml:space="preserve"> AUTONUM  </w:instrText>
      </w:r>
      <w:r>
        <w:rPr>
          <w:rFonts w:cs="Arial"/>
        </w:rPr>
        <w:fldChar w:fldCharType="end"/>
      </w:r>
      <w:r w:rsidRPr="00D1533E">
        <w:rPr>
          <w:rFonts w:cs="Arial"/>
          <w:lang w:val="es-ES"/>
        </w:rPr>
        <w:tab/>
      </w:r>
      <w:r>
        <w:rPr>
          <w:rFonts w:cs="Arial"/>
        </w:rPr>
        <w:t>Las grabaciones en vi</w:t>
      </w:r>
      <w:r w:rsidRPr="00D1533E">
        <w:rPr>
          <w:rFonts w:cs="Arial"/>
        </w:rPr>
        <w:t xml:space="preserve">deo de los seminarios web, sin incluir las sesiones de debate, se </w:t>
      </w:r>
      <w:r>
        <w:rPr>
          <w:rFonts w:cs="Arial"/>
        </w:rPr>
        <w:t>encuentran publicadas</w:t>
      </w:r>
      <w:r w:rsidRPr="00D1533E">
        <w:rPr>
          <w:rFonts w:cs="Arial"/>
        </w:rPr>
        <w:t xml:space="preserve"> en la página web de la UPOV (</w:t>
      </w:r>
      <w:hyperlink r:id="rId8" w:history="1">
        <w:r w:rsidRPr="00D1533E">
          <w:rPr>
            <w:rStyle w:val="Hyperlink"/>
            <w:rFonts w:cs="Arial"/>
            <w:lang w:val="es-ES"/>
          </w:rPr>
          <w:t>https://www.upov.int/meetings/en/webinar_videos.html</w:t>
        </w:r>
      </w:hyperlink>
      <w:r w:rsidRPr="00D1533E">
        <w:rPr>
          <w:rFonts w:cs="Arial"/>
        </w:rPr>
        <w:t xml:space="preserve">) </w:t>
      </w:r>
      <w:r>
        <w:rPr>
          <w:rFonts w:cs="Arial"/>
        </w:rPr>
        <w:t>para</w:t>
      </w:r>
      <w:r w:rsidRPr="00D1533E">
        <w:rPr>
          <w:rFonts w:cs="Arial"/>
        </w:rPr>
        <w:t xml:space="preserve"> cada reunión del TWP </w:t>
      </w:r>
      <w:r>
        <w:rPr>
          <w:rFonts w:cs="Arial"/>
        </w:rPr>
        <w:t>en</w:t>
      </w:r>
      <w:r w:rsidRPr="00D1533E">
        <w:rPr>
          <w:rFonts w:cs="Arial"/>
        </w:rPr>
        <w:t xml:space="preserve"> 2021 y en el canal de YouTube de la UPOV (</w:t>
      </w:r>
      <w:hyperlink r:id="rId9" w:history="1">
        <w:r w:rsidRPr="00D1533E">
          <w:rPr>
            <w:rStyle w:val="Hyperlink"/>
            <w:rFonts w:cs="Arial"/>
            <w:lang w:val="es-ES"/>
          </w:rPr>
          <w:t>https://www.youtube.com/user/upov</w:t>
        </w:r>
      </w:hyperlink>
      <w:r w:rsidRPr="00D1533E">
        <w:rPr>
          <w:rFonts w:cs="Arial"/>
        </w:rPr>
        <w:t>). El canal de YouTube de la UPOV ofrece la posibilidad de ver los v</w:t>
      </w:r>
      <w:r>
        <w:rPr>
          <w:rFonts w:cs="Arial"/>
        </w:rPr>
        <w:t>i</w:t>
      </w:r>
      <w:r w:rsidRPr="00D1533E">
        <w:rPr>
          <w:rFonts w:cs="Arial"/>
        </w:rPr>
        <w:t>deos con transcripción de audio y también es posible general subtítulos automáticamente en diferentes idiomas.</w:t>
      </w:r>
    </w:p>
    <w:p w:rsidR="006E0285" w:rsidRPr="009D051E" w:rsidRDefault="006E0285" w:rsidP="006E0285">
      <w:pPr>
        <w:rPr>
          <w:rFonts w:cs="Arial"/>
          <w:lang w:val="es-ES"/>
        </w:rPr>
      </w:pPr>
    </w:p>
    <w:p w:rsidR="006E0285" w:rsidRDefault="006E0285" w:rsidP="006E028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1533E">
        <w:rPr>
          <w:rFonts w:cs="Arial"/>
        </w:rPr>
        <w:t>Hasta el 31 de mayo de 2021 se registró el siguiente número de visualizaciones:</w:t>
      </w:r>
    </w:p>
    <w:p w:rsidR="006E0285" w:rsidRDefault="006E0285" w:rsidP="006E0285">
      <w:pPr>
        <w:rPr>
          <w:rFonts w:cs="Arial"/>
        </w:rPr>
      </w:pPr>
    </w:p>
    <w:p w:rsidR="006E0285" w:rsidRPr="00D1533E" w:rsidRDefault="006E0285" w:rsidP="006E0285">
      <w:pPr>
        <w:rPr>
          <w:rFonts w:cs="Arial"/>
          <w:lang w:val="es-ES"/>
        </w:rPr>
      </w:pPr>
      <w:r w:rsidRPr="00D1533E">
        <w:rPr>
          <w:rFonts w:cs="Arial"/>
        </w:rPr>
        <w:t>Páginas web de los TWP de la UPOV:</w:t>
      </w:r>
    </w:p>
    <w:p w:rsidR="006E0285" w:rsidRPr="00D1533E" w:rsidRDefault="006E0285" w:rsidP="006E0285">
      <w:pPr>
        <w:rPr>
          <w:rFonts w:cs="Arial"/>
          <w:lang w:val="es-ES"/>
        </w:rPr>
      </w:pPr>
    </w:p>
    <w:tbl>
      <w:tblPr>
        <w:tblW w:w="0" w:type="auto"/>
        <w:jc w:val="center"/>
        <w:tblCellMar>
          <w:left w:w="0" w:type="dxa"/>
          <w:right w:w="0" w:type="dxa"/>
        </w:tblCellMar>
        <w:tblLook w:val="04A0" w:firstRow="1" w:lastRow="0" w:firstColumn="1" w:lastColumn="0" w:noHBand="0" w:noVBand="1"/>
      </w:tblPr>
      <w:tblGrid>
        <w:gridCol w:w="2600"/>
        <w:gridCol w:w="3240"/>
      </w:tblGrid>
      <w:tr w:rsidR="006E0285" w:rsidRPr="001D4E65" w:rsidTr="007E27E6">
        <w:trPr>
          <w:jc w:val="center"/>
        </w:trPr>
        <w:tc>
          <w:tcPr>
            <w:tcW w:w="2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0285" w:rsidRDefault="006E0285" w:rsidP="007E27E6">
            <w:pPr>
              <w:jc w:val="center"/>
            </w:pPr>
            <w:r w:rsidRPr="00D1533E">
              <w:t>Visualizaciones de página</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85" w:rsidRPr="001D4E65" w:rsidRDefault="006E0285" w:rsidP="007E27E6">
            <w:pPr>
              <w:jc w:val="center"/>
              <w:rPr>
                <w:lang w:val="es-ES"/>
              </w:rPr>
            </w:pPr>
            <w:r w:rsidRPr="00D1533E">
              <w:t>Visualizaciones únicas de página</w:t>
            </w:r>
          </w:p>
        </w:tc>
      </w:tr>
      <w:tr w:rsidR="006E0285" w:rsidTr="007E27E6">
        <w:trPr>
          <w:jc w:val="center"/>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t>254</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t>210</w:t>
            </w:r>
          </w:p>
        </w:tc>
      </w:tr>
    </w:tbl>
    <w:p w:rsidR="006E0285" w:rsidRDefault="006E0285" w:rsidP="006E0285">
      <w:pPr>
        <w:rPr>
          <w:rFonts w:cs="Arial"/>
        </w:rPr>
      </w:pPr>
    </w:p>
    <w:p w:rsidR="006E0285" w:rsidRDefault="006E0285" w:rsidP="006E0285">
      <w:r w:rsidRPr="00D1533E">
        <w:t>Canal de la UPOV en YouTube</w:t>
      </w:r>
    </w:p>
    <w:p w:rsidR="006E0285" w:rsidRDefault="006E0285" w:rsidP="006E0285"/>
    <w:tbl>
      <w:tblPr>
        <w:tblW w:w="0" w:type="auto"/>
        <w:jc w:val="center"/>
        <w:tblCellMar>
          <w:left w:w="0" w:type="dxa"/>
          <w:right w:w="0" w:type="dxa"/>
        </w:tblCellMar>
        <w:tblLook w:val="04A0" w:firstRow="1" w:lastRow="0" w:firstColumn="1" w:lastColumn="0" w:noHBand="0" w:noVBand="1"/>
      </w:tblPr>
      <w:tblGrid>
        <w:gridCol w:w="3285"/>
        <w:gridCol w:w="1863"/>
        <w:gridCol w:w="1890"/>
      </w:tblGrid>
      <w:tr w:rsidR="006E0285" w:rsidTr="007E27E6">
        <w:trPr>
          <w:jc w:val="center"/>
        </w:trPr>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0285" w:rsidRDefault="006E0285" w:rsidP="007E27E6">
            <w:r w:rsidRPr="00D1533E">
              <w:t>Seminario web</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rsidRPr="00D1533E">
              <w:t>Visualizaciones totales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0285" w:rsidRDefault="006E0285" w:rsidP="007E27E6">
            <w:pPr>
              <w:jc w:val="center"/>
            </w:pPr>
            <w:r w:rsidRPr="00D1533E">
              <w:t xml:space="preserve">Transcripción </w:t>
            </w:r>
            <w:r>
              <w:t xml:space="preserve">de </w:t>
            </w:r>
            <w:r w:rsidRPr="00D1533E">
              <w:t>audio / subtítulos</w:t>
            </w:r>
          </w:p>
        </w:tc>
      </w:tr>
      <w:tr w:rsidR="006E0285" w:rsidTr="007E27E6">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85" w:rsidRDefault="006E0285" w:rsidP="007E27E6">
            <w:r w:rsidRPr="00D1533E">
              <w:t>Seminario web 1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t>178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rsidRPr="00D1533E">
              <w:t>59 (EN)</w:t>
            </w:r>
          </w:p>
        </w:tc>
      </w:tr>
      <w:tr w:rsidR="006E0285" w:rsidTr="007E27E6">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85" w:rsidRDefault="006E0285" w:rsidP="007E27E6">
            <w:r w:rsidRPr="00D1533E">
              <w:t>Seminario web 2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t>47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rsidRPr="00D1533E">
              <w:t>8 (EN)</w:t>
            </w:r>
          </w:p>
        </w:tc>
      </w:tr>
      <w:tr w:rsidR="006E0285" w:rsidTr="007E27E6">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85" w:rsidRDefault="006E0285" w:rsidP="007E27E6">
            <w:r w:rsidRPr="00D1533E">
              <w:t>Seminario web 3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t>25</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rsidRPr="00D1533E">
              <w:t>Ninguna</w:t>
            </w:r>
          </w:p>
        </w:tc>
      </w:tr>
      <w:tr w:rsidR="006E0285" w:rsidTr="007E27E6">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85" w:rsidRDefault="006E0285" w:rsidP="007E27E6">
            <w:r w:rsidRPr="00D1533E">
              <w:t>Seminario web 4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t>32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E0285" w:rsidRDefault="006E0285" w:rsidP="007E27E6">
            <w:pPr>
              <w:jc w:val="center"/>
            </w:pPr>
            <w:r w:rsidRPr="00D1533E">
              <w:t>4 (EN)</w:t>
            </w:r>
          </w:p>
        </w:tc>
      </w:tr>
    </w:tbl>
    <w:p w:rsidR="006E0285" w:rsidRDefault="006E0285" w:rsidP="006E0285">
      <w:pPr>
        <w:rPr>
          <w:rFonts w:eastAsiaTheme="minorHAnsi" w:cs="Arial"/>
        </w:rPr>
      </w:pPr>
    </w:p>
    <w:p w:rsidR="006E0285" w:rsidRPr="001D4E65" w:rsidRDefault="006E0285" w:rsidP="006E0285">
      <w:pPr>
        <w:rPr>
          <w:rFonts w:cs="Arial"/>
        </w:rPr>
      </w:pPr>
      <w:r>
        <w:rPr>
          <w:rFonts w:eastAsiaTheme="minorHAnsi" w:cs="Arial"/>
        </w:rPr>
        <w:fldChar w:fldCharType="begin"/>
      </w:r>
      <w:r w:rsidRPr="001D4E65">
        <w:rPr>
          <w:rFonts w:eastAsiaTheme="minorHAnsi" w:cs="Arial"/>
          <w:lang w:val="es-ES"/>
        </w:rPr>
        <w:instrText xml:space="preserve"> AUTONUM  </w:instrText>
      </w:r>
      <w:r>
        <w:rPr>
          <w:rFonts w:eastAsiaTheme="minorHAnsi" w:cs="Arial"/>
        </w:rPr>
        <w:fldChar w:fldCharType="end"/>
      </w:r>
      <w:r w:rsidRPr="001D4E65">
        <w:rPr>
          <w:rFonts w:eastAsiaTheme="minorHAnsi" w:cs="Arial"/>
          <w:lang w:val="es-ES"/>
        </w:rPr>
        <w:tab/>
      </w:r>
      <w:r w:rsidRPr="00202143">
        <w:rPr>
          <w:rFonts w:eastAsiaTheme="minorHAnsi" w:cs="Arial"/>
        </w:rPr>
        <w:t>Se informa de la disponibilidad de los seminarios web a través de las páginas web de los TWP de la UPOV y en las redes sociales.</w:t>
      </w:r>
    </w:p>
    <w:p w:rsidR="006E0285" w:rsidRPr="001D4E65" w:rsidRDefault="006E0285" w:rsidP="006E0285">
      <w:pPr>
        <w:rPr>
          <w:lang w:val="es-ES"/>
        </w:rPr>
      </w:pPr>
    </w:p>
    <w:p w:rsidR="006E0285" w:rsidRPr="001D4E65" w:rsidRDefault="006E0285" w:rsidP="006E0285">
      <w:pPr>
        <w:rPr>
          <w:lang w:val="es-ES"/>
        </w:rPr>
      </w:pPr>
    </w:p>
    <w:p w:rsidR="006E0285" w:rsidRPr="006E0285" w:rsidRDefault="006E0285" w:rsidP="006E0285">
      <w:pPr>
        <w:pStyle w:val="Heading1"/>
        <w:rPr>
          <w:lang w:val="es-ES"/>
        </w:rPr>
      </w:pPr>
      <w:bookmarkStart w:id="6" w:name="_Toc73972450"/>
      <w:r w:rsidRPr="006E0285">
        <w:rPr>
          <w:lang w:val="es-ES"/>
        </w:rPr>
        <w:t>PROGRAMA Y FORMATO DE LA LABOR PREPARATORIA DE 2022</w:t>
      </w:r>
      <w:bookmarkEnd w:id="6"/>
    </w:p>
    <w:p w:rsidR="006E0285" w:rsidRDefault="006E0285" w:rsidP="006E0285">
      <w:pPr>
        <w:keepNext/>
        <w:keepLines/>
        <w:rPr>
          <w:snapToGrid w:val="0"/>
        </w:rPr>
      </w:pPr>
    </w:p>
    <w:p w:rsidR="006E0285" w:rsidRPr="00757F88" w:rsidRDefault="006E0285" w:rsidP="006E0285">
      <w:pPr>
        <w:pStyle w:val="Heading2"/>
        <w:keepLines/>
        <w:rPr>
          <w:lang w:val="es-ES"/>
        </w:rPr>
      </w:pPr>
      <w:bookmarkStart w:id="7" w:name="_Toc73972451"/>
      <w:r w:rsidRPr="00202143">
        <w:rPr>
          <w:lang w:val="es-ES_tradnl"/>
        </w:rPr>
        <w:t>Propuesta:</w:t>
      </w:r>
      <w:bookmarkEnd w:id="7"/>
    </w:p>
    <w:p w:rsidR="006E0285" w:rsidRPr="00757F88" w:rsidRDefault="006E0285" w:rsidP="006E0285">
      <w:pPr>
        <w:keepNext/>
        <w:keepLines/>
        <w:rPr>
          <w:snapToGrid w:val="0"/>
          <w:lang w:val="es-ES"/>
        </w:rPr>
      </w:pPr>
    </w:p>
    <w:p w:rsidR="006E0285" w:rsidRPr="00757F88" w:rsidRDefault="006E0285" w:rsidP="006E0285">
      <w:pPr>
        <w:keepNext/>
        <w:keepLines/>
        <w:rPr>
          <w:snapToGrid w:val="0"/>
          <w:lang w:val="es-ES"/>
        </w:rPr>
      </w:pPr>
      <w:r w:rsidRPr="003F5E6A">
        <w:rPr>
          <w:snapToGrid w:val="0"/>
        </w:rPr>
        <w:fldChar w:fldCharType="begin"/>
      </w:r>
      <w:r w:rsidRPr="00757F88">
        <w:rPr>
          <w:snapToGrid w:val="0"/>
          <w:lang w:val="es-ES"/>
        </w:rPr>
        <w:instrText xml:space="preserve"> AUTONUM  </w:instrText>
      </w:r>
      <w:r w:rsidRPr="003F5E6A">
        <w:rPr>
          <w:snapToGrid w:val="0"/>
        </w:rPr>
        <w:fldChar w:fldCharType="end"/>
      </w:r>
      <w:r w:rsidRPr="00757F88">
        <w:rPr>
          <w:snapToGrid w:val="0"/>
          <w:lang w:val="es-ES"/>
        </w:rPr>
        <w:tab/>
      </w:r>
      <w:r w:rsidRPr="00202143">
        <w:rPr>
          <w:snapToGrid w:val="0"/>
        </w:rPr>
        <w:t>Se propone que los talleres preparatorios de 2022 se organicen en forma de seminarios web en fechas acordes al calendario de reuniones de los TWP.</w:t>
      </w:r>
      <w:r w:rsidRPr="00757F88">
        <w:rPr>
          <w:snapToGrid w:val="0"/>
          <w:lang w:val="es-ES"/>
        </w:rPr>
        <w:t xml:space="preserve"> </w:t>
      </w:r>
      <w:r w:rsidRPr="00264F0F">
        <w:rPr>
          <w:snapToGrid w:val="0"/>
        </w:rPr>
        <w:t>Las presentaciones de los seminarios web y los d</w:t>
      </w:r>
      <w:r>
        <w:rPr>
          <w:snapToGrid w:val="0"/>
        </w:rPr>
        <w:t>ebates de los paneles se grabarían y publicaría</w:t>
      </w:r>
      <w:r w:rsidRPr="00264F0F">
        <w:rPr>
          <w:snapToGrid w:val="0"/>
        </w:rPr>
        <w:t>n en línea.</w:t>
      </w:r>
      <w:r>
        <w:rPr>
          <w:snapToGrid w:val="0"/>
          <w:lang w:val="es-ES"/>
        </w:rPr>
        <w:t xml:space="preserve"> </w:t>
      </w:r>
      <w:r w:rsidRPr="00264F0F">
        <w:rPr>
          <w:snapToGrid w:val="0"/>
        </w:rPr>
        <w:t>La sesión de preguntas y respuestas no se grabar</w:t>
      </w:r>
      <w:r>
        <w:rPr>
          <w:snapToGrid w:val="0"/>
        </w:rPr>
        <w:t>ía</w:t>
      </w:r>
      <w:r w:rsidRPr="00264F0F">
        <w:rPr>
          <w:snapToGrid w:val="0"/>
        </w:rPr>
        <w:t xml:space="preserve"> ni publicar</w:t>
      </w:r>
      <w:r>
        <w:rPr>
          <w:snapToGrid w:val="0"/>
        </w:rPr>
        <w:t>ía</w:t>
      </w:r>
      <w:r w:rsidRPr="00264F0F">
        <w:rPr>
          <w:snapToGrid w:val="0"/>
        </w:rPr>
        <w:t xml:space="preserve"> en línea.</w:t>
      </w:r>
    </w:p>
    <w:p w:rsidR="006E0285" w:rsidRPr="00757F88" w:rsidRDefault="006E0285" w:rsidP="006E0285">
      <w:pPr>
        <w:rPr>
          <w:snapToGrid w:val="0"/>
          <w:lang w:val="es-ES"/>
        </w:rPr>
      </w:pPr>
    </w:p>
    <w:p w:rsidR="006E0285" w:rsidRPr="00757F88" w:rsidRDefault="006E0285" w:rsidP="006E0285">
      <w:pPr>
        <w:rPr>
          <w:snapToGrid w:val="0"/>
          <w:lang w:val="es-ES"/>
        </w:rPr>
      </w:pPr>
      <w:r w:rsidRPr="003F5E6A">
        <w:rPr>
          <w:snapToGrid w:val="0"/>
        </w:rPr>
        <w:fldChar w:fldCharType="begin"/>
      </w:r>
      <w:r w:rsidRPr="00757F88">
        <w:rPr>
          <w:snapToGrid w:val="0"/>
          <w:lang w:val="es-ES"/>
        </w:rPr>
        <w:instrText xml:space="preserve"> AUTONUM  </w:instrText>
      </w:r>
      <w:r w:rsidRPr="003F5E6A">
        <w:rPr>
          <w:snapToGrid w:val="0"/>
        </w:rPr>
        <w:fldChar w:fldCharType="end"/>
      </w:r>
      <w:r w:rsidRPr="00757F88">
        <w:rPr>
          <w:snapToGrid w:val="0"/>
          <w:lang w:val="es-ES"/>
        </w:rPr>
        <w:tab/>
      </w:r>
      <w:r w:rsidRPr="00264F0F">
        <w:rPr>
          <w:snapToGrid w:val="0"/>
        </w:rPr>
        <w:t>Se invitaría a los expertos de los miembros a presentar ponencias sobre determinados contenidos y participar en calidad de panelistas en los debates.</w:t>
      </w:r>
    </w:p>
    <w:p w:rsidR="006E0285" w:rsidRPr="00757F88" w:rsidRDefault="006E0285" w:rsidP="006E0285">
      <w:pPr>
        <w:rPr>
          <w:snapToGrid w:val="0"/>
          <w:lang w:val="es-ES"/>
        </w:rPr>
      </w:pPr>
    </w:p>
    <w:p w:rsidR="006E0285" w:rsidRDefault="006E0285" w:rsidP="006E0285">
      <w:pPr>
        <w:rPr>
          <w:snapToGrid w:val="0"/>
        </w:rPr>
      </w:pPr>
      <w:r w:rsidRPr="00C07812">
        <w:rPr>
          <w:snapToGrid w:val="0"/>
        </w:rPr>
        <w:fldChar w:fldCharType="begin"/>
      </w:r>
      <w:r w:rsidRPr="00C07812">
        <w:rPr>
          <w:snapToGrid w:val="0"/>
        </w:rPr>
        <w:instrText xml:space="preserve"> AUTONUM  </w:instrText>
      </w:r>
      <w:r w:rsidRPr="00C07812">
        <w:rPr>
          <w:snapToGrid w:val="0"/>
        </w:rPr>
        <w:fldChar w:fldCharType="end"/>
      </w:r>
      <w:r w:rsidRPr="00C07812">
        <w:rPr>
          <w:snapToGrid w:val="0"/>
        </w:rPr>
        <w:tab/>
      </w:r>
      <w:r w:rsidRPr="00264F0F">
        <w:rPr>
          <w:snapToGrid w:val="0"/>
        </w:rPr>
        <w:t>La Oficina de la Unión ultimaría los detalles relativos a los seminarios web en coordinación con los presidentes del TC y los TWP.</w:t>
      </w:r>
    </w:p>
    <w:p w:rsidR="006E0285" w:rsidRDefault="006E0285" w:rsidP="006E0285">
      <w:pPr>
        <w:rPr>
          <w:rFonts w:cs="Arial"/>
        </w:rPr>
      </w:pPr>
    </w:p>
    <w:p w:rsidR="006E0285" w:rsidRPr="00757F88" w:rsidRDefault="006E0285" w:rsidP="006E0285">
      <w:pPr>
        <w:rPr>
          <w:rFonts w:cs="Arial"/>
          <w:lang w:val="es-ES"/>
        </w:rPr>
      </w:pPr>
      <w:r w:rsidRPr="003F5E6A">
        <w:fldChar w:fldCharType="begin"/>
      </w:r>
      <w:r w:rsidRPr="003F5E6A">
        <w:instrText xml:space="preserve"> AUTONUM  </w:instrText>
      </w:r>
      <w:r w:rsidRPr="003F5E6A">
        <w:fldChar w:fldCharType="end"/>
      </w:r>
      <w:r w:rsidRPr="003F5E6A">
        <w:tab/>
      </w:r>
      <w:r w:rsidRPr="00264F0F">
        <w:t>A instancia de los anfitriones de los TWP, se podrían organizar talleres con participación presencial junto con las reuniones de los TWP. En ese caso, el contenido se adaptar</w:t>
      </w:r>
      <w:r>
        <w:t>ía</w:t>
      </w:r>
      <w:r w:rsidRPr="00264F0F">
        <w:t xml:space="preserve"> al contexto particular.</w:t>
      </w:r>
    </w:p>
    <w:p w:rsidR="006E0285" w:rsidRPr="00757F88" w:rsidRDefault="006E0285" w:rsidP="006E0285">
      <w:pPr>
        <w:rPr>
          <w:rFonts w:eastAsiaTheme="minorHAnsi" w:cs="Arial"/>
          <w:lang w:val="es-ES"/>
        </w:rPr>
      </w:pPr>
    </w:p>
    <w:p w:rsidR="006E0285" w:rsidRDefault="006E0285" w:rsidP="006E0285">
      <w:pPr>
        <w:pStyle w:val="DecisionParagraphs"/>
        <w:keepNext/>
        <w:keepLines/>
        <w:rPr>
          <w:rFonts w:cs="Arial"/>
        </w:rPr>
      </w:pPr>
      <w:r w:rsidRPr="003F5E6A">
        <w:rPr>
          <w:rFonts w:cs="Arial"/>
          <w:i w:val="0"/>
        </w:rPr>
        <w:fldChar w:fldCharType="begin"/>
      </w:r>
      <w:r w:rsidRPr="003F5E6A">
        <w:rPr>
          <w:rFonts w:cs="Arial"/>
        </w:rPr>
        <w:instrText xml:space="preserve"> AUTONUM  </w:instrText>
      </w:r>
      <w:r w:rsidRPr="003F5E6A">
        <w:rPr>
          <w:rFonts w:cs="Arial"/>
          <w:i w:val="0"/>
        </w:rPr>
        <w:fldChar w:fldCharType="end"/>
      </w:r>
      <w:r w:rsidRPr="003F5E6A">
        <w:rPr>
          <w:rFonts w:cs="Arial"/>
        </w:rPr>
        <w:tab/>
      </w:r>
      <w:r w:rsidRPr="00D851C4">
        <w:rPr>
          <w:rFonts w:cs="Arial"/>
        </w:rPr>
        <w:t>Se invita al TC a considerar la posibilidad de organizar talleres preparatorios en forma de una serie de seminarios web en fechas acordes al calendario de reuniones de 2022 de los Grupos de Trabajo Técnico (TWP), conjuntamente con talleres presenciales, cuando así se solicite, conforme a lo expuesto en los párrafos 20 a 21 del presente documento.</w:t>
      </w:r>
    </w:p>
    <w:p w:rsidR="006E0285" w:rsidRDefault="006E0285" w:rsidP="006E0285">
      <w:pPr>
        <w:jc w:val="left"/>
        <w:rPr>
          <w:snapToGrid w:val="0"/>
        </w:rPr>
      </w:pPr>
    </w:p>
    <w:p w:rsidR="006E0285" w:rsidRDefault="006E0285" w:rsidP="006E0285">
      <w:pPr>
        <w:jc w:val="left"/>
        <w:rPr>
          <w:snapToGrid w:val="0"/>
        </w:rPr>
      </w:pPr>
    </w:p>
    <w:p w:rsidR="006E0285" w:rsidRDefault="006E0285" w:rsidP="006E0285">
      <w:pPr>
        <w:jc w:val="left"/>
        <w:rPr>
          <w:snapToGrid w:val="0"/>
        </w:rPr>
      </w:pPr>
    </w:p>
    <w:p w:rsidR="006E0285" w:rsidRDefault="006E0285" w:rsidP="006E0285">
      <w:pPr>
        <w:jc w:val="right"/>
        <w:rPr>
          <w:snapToGrid w:val="0"/>
        </w:rPr>
      </w:pPr>
      <w:r w:rsidRPr="00D851C4">
        <w:rPr>
          <w:snapToGrid w:val="0"/>
        </w:rPr>
        <w:t>[Sigue el Anexo]</w:t>
      </w:r>
    </w:p>
    <w:p w:rsidR="006E0285" w:rsidRDefault="006E0285" w:rsidP="006E0285">
      <w:pPr>
        <w:jc w:val="left"/>
        <w:rPr>
          <w:snapToGrid w:val="0"/>
        </w:rPr>
      </w:pPr>
    </w:p>
    <w:p w:rsidR="006E0285" w:rsidRDefault="006E0285" w:rsidP="006E0285">
      <w:pPr>
        <w:jc w:val="left"/>
        <w:rPr>
          <w:snapToGrid w:val="0"/>
        </w:rPr>
        <w:sectPr w:rsidR="006E0285" w:rsidSect="0004198B">
          <w:headerReference w:type="default" r:id="rId10"/>
          <w:pgSz w:w="11907" w:h="16840" w:code="9"/>
          <w:pgMar w:top="510" w:right="1134" w:bottom="1134" w:left="1134" w:header="510" w:footer="680" w:gutter="0"/>
          <w:pgNumType w:start="1"/>
          <w:cols w:space="720"/>
          <w:titlePg/>
        </w:sectPr>
      </w:pPr>
    </w:p>
    <w:p w:rsidR="006E0285" w:rsidRDefault="006E0285" w:rsidP="006E0285">
      <w:pPr>
        <w:jc w:val="center"/>
        <w:outlineLvl w:val="0"/>
        <w:rPr>
          <w:rFonts w:cs="Arial"/>
          <w:caps/>
        </w:rPr>
      </w:pPr>
      <w:bookmarkStart w:id="8" w:name="_Toc73972452"/>
      <w:r w:rsidRPr="00D851C4">
        <w:rPr>
          <w:rFonts w:cs="Arial"/>
          <w:caps/>
        </w:rPr>
        <w:t>PROGRAMA DE LOS SEMINARIOS WEB PREPARATORIOS DE 2021</w:t>
      </w:r>
      <w:bookmarkEnd w:id="8"/>
    </w:p>
    <w:p w:rsidR="006E0285" w:rsidRDefault="006E0285" w:rsidP="006E0285">
      <w:pPr>
        <w:spacing w:line="276" w:lineRule="auto"/>
        <w:rPr>
          <w:rFonts w:cs="Arial"/>
          <w:sz w:val="16"/>
        </w:rPr>
      </w:pPr>
    </w:p>
    <w:p w:rsidR="006E0285" w:rsidRDefault="006E0285" w:rsidP="001216BD">
      <w:pPr>
        <w:rPr>
          <w:rFonts w:cs="Arial"/>
        </w:rPr>
      </w:pPr>
      <w:r w:rsidRPr="00D851C4">
        <w:rPr>
          <w:rFonts w:cs="Arial"/>
        </w:rPr>
        <w:t>Los seminarios web preparatorios celebrados en 2021 consistieron en ponencias seguidas de una mesa redonda y una sesión de preguntas y respuestas.</w:t>
      </w:r>
      <w:r>
        <w:rPr>
          <w:rFonts w:cs="Arial"/>
        </w:rPr>
        <w:t xml:space="preserve"> </w:t>
      </w:r>
      <w:r w:rsidRPr="00D851C4">
        <w:rPr>
          <w:rFonts w:cs="Arial"/>
        </w:rPr>
        <w:t>Se presentó el siguiente contenido:</w:t>
      </w:r>
    </w:p>
    <w:p w:rsidR="006E0285" w:rsidRPr="0095641A" w:rsidRDefault="006E0285" w:rsidP="001216BD">
      <w:pPr>
        <w:rPr>
          <w:rFonts w:cs="Arial"/>
          <w:sz w:val="16"/>
        </w:rPr>
      </w:pPr>
    </w:p>
    <w:tbl>
      <w:tblPr>
        <w:tblStyle w:val="TableGrid"/>
        <w:tblW w:w="10207" w:type="dxa"/>
        <w:tblInd w:w="-289" w:type="dxa"/>
        <w:tblCellMar>
          <w:top w:w="28" w:type="dxa"/>
          <w:left w:w="57" w:type="dxa"/>
          <w:bottom w:w="28" w:type="dxa"/>
          <w:right w:w="57" w:type="dxa"/>
        </w:tblCellMar>
        <w:tblLook w:val="04A0" w:firstRow="1" w:lastRow="0" w:firstColumn="1" w:lastColumn="0" w:noHBand="0" w:noVBand="1"/>
      </w:tblPr>
      <w:tblGrid>
        <w:gridCol w:w="6663"/>
        <w:gridCol w:w="2835"/>
        <w:gridCol w:w="709"/>
      </w:tblGrid>
      <w:tr w:rsidR="006E0285" w:rsidRPr="004E51E2" w:rsidTr="001216BD">
        <w:tc>
          <w:tcPr>
            <w:tcW w:w="6663" w:type="dxa"/>
          </w:tcPr>
          <w:p w:rsidR="006E0285" w:rsidRPr="009666AA" w:rsidRDefault="006E0285" w:rsidP="001216BD">
            <w:pPr>
              <w:jc w:val="left"/>
              <w:rPr>
                <w:color w:val="000000" w:themeColor="text1"/>
                <w:sz w:val="18"/>
                <w:szCs w:val="18"/>
                <w:lang w:val="es-ES"/>
              </w:rPr>
            </w:pPr>
            <w:r w:rsidRPr="00D851C4">
              <w:rPr>
                <w:color w:val="000000" w:themeColor="text1"/>
                <w:sz w:val="18"/>
                <w:szCs w:val="18"/>
              </w:rPr>
              <w:t>(19 de abril de 2021) Seminario web 1: Cómo organizar el examen DHE y la cooperación internacional</w:t>
            </w:r>
          </w:p>
          <w:p w:rsidR="006E0285" w:rsidRPr="009666AA" w:rsidRDefault="006E0285" w:rsidP="001216BD">
            <w:pPr>
              <w:jc w:val="left"/>
              <w:rPr>
                <w:color w:val="000000" w:themeColor="text1"/>
                <w:sz w:val="18"/>
                <w:szCs w:val="18"/>
                <w:lang w:val="es-ES"/>
              </w:rPr>
            </w:pPr>
          </w:p>
        </w:tc>
        <w:tc>
          <w:tcPr>
            <w:tcW w:w="2835" w:type="dxa"/>
          </w:tcPr>
          <w:p w:rsidR="006E0285" w:rsidRDefault="006E0285" w:rsidP="001216BD">
            <w:pPr>
              <w:jc w:val="left"/>
              <w:rPr>
                <w:color w:val="000000" w:themeColor="text1"/>
                <w:sz w:val="18"/>
                <w:szCs w:val="18"/>
              </w:rPr>
            </w:pPr>
            <w:r w:rsidRPr="00465386">
              <w:rPr>
                <w:color w:val="000000" w:themeColor="text1"/>
                <w:sz w:val="18"/>
                <w:szCs w:val="18"/>
              </w:rPr>
              <w:t>Ponentes / Panelistas</w:t>
            </w:r>
          </w:p>
          <w:p w:rsidR="006E0285" w:rsidRPr="0095641A" w:rsidRDefault="006E0285" w:rsidP="001216BD">
            <w:pPr>
              <w:jc w:val="left"/>
              <w:rPr>
                <w:color w:val="000000" w:themeColor="text1"/>
                <w:sz w:val="18"/>
                <w:szCs w:val="18"/>
              </w:rPr>
            </w:pPr>
          </w:p>
        </w:tc>
        <w:tc>
          <w:tcPr>
            <w:tcW w:w="709" w:type="dxa"/>
          </w:tcPr>
          <w:p w:rsidR="006E0285" w:rsidRPr="0095641A" w:rsidRDefault="006E0285" w:rsidP="001216BD">
            <w:pPr>
              <w:rPr>
                <w:color w:val="000000" w:themeColor="text1"/>
                <w:sz w:val="18"/>
                <w:szCs w:val="18"/>
              </w:rPr>
            </w:pPr>
            <w:r w:rsidRPr="00465386">
              <w:rPr>
                <w:color w:val="000000" w:themeColor="text1"/>
                <w:sz w:val="18"/>
                <w:szCs w:val="18"/>
              </w:rPr>
              <w:t>Hora</w:t>
            </w:r>
          </w:p>
        </w:tc>
      </w:tr>
      <w:tr w:rsidR="006E0285" w:rsidRPr="0095641A" w:rsidTr="001216BD">
        <w:tc>
          <w:tcPr>
            <w:tcW w:w="6663" w:type="dxa"/>
          </w:tcPr>
          <w:p w:rsidR="006E0285" w:rsidRPr="0095641A" w:rsidRDefault="006E0285" w:rsidP="001216BD">
            <w:pPr>
              <w:ind w:left="332" w:hanging="332"/>
              <w:jc w:val="left"/>
              <w:rPr>
                <w:sz w:val="18"/>
                <w:szCs w:val="18"/>
              </w:rPr>
            </w:pPr>
            <w:r w:rsidRPr="00465386">
              <w:rPr>
                <w:sz w:val="18"/>
                <w:szCs w:val="18"/>
              </w:rPr>
              <w:t>a)</w:t>
            </w:r>
            <w:r>
              <w:rPr>
                <w:sz w:val="18"/>
                <w:szCs w:val="18"/>
              </w:rPr>
              <w:tab/>
            </w:r>
            <w:r w:rsidRPr="00465386">
              <w:rPr>
                <w:sz w:val="18"/>
                <w:szCs w:val="18"/>
              </w:rPr>
              <w:t>Cuáles son los posibles preparativos para el examen</w:t>
            </w:r>
          </w:p>
        </w:tc>
        <w:tc>
          <w:tcPr>
            <w:tcW w:w="2835" w:type="dxa"/>
          </w:tcPr>
          <w:p w:rsidR="006E0285" w:rsidRPr="0095641A" w:rsidRDefault="006E0285" w:rsidP="001216BD">
            <w:pPr>
              <w:jc w:val="left"/>
              <w:rPr>
                <w:sz w:val="18"/>
                <w:szCs w:val="18"/>
              </w:rPr>
            </w:pPr>
            <w:r w:rsidRPr="0095641A">
              <w:rPr>
                <w:sz w:val="18"/>
                <w:szCs w:val="18"/>
              </w:rPr>
              <w:t>Ben Rivoire</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12.00 </w:t>
            </w:r>
          </w:p>
        </w:tc>
      </w:tr>
      <w:tr w:rsidR="006E0285" w:rsidRPr="0095641A" w:rsidTr="001216BD">
        <w:tc>
          <w:tcPr>
            <w:tcW w:w="6663" w:type="dxa"/>
          </w:tcPr>
          <w:p w:rsidR="006E0285" w:rsidRPr="0095641A" w:rsidRDefault="006E0285" w:rsidP="001216BD">
            <w:pPr>
              <w:ind w:left="332" w:hanging="332"/>
              <w:jc w:val="left"/>
              <w:rPr>
                <w:sz w:val="18"/>
                <w:szCs w:val="18"/>
              </w:rPr>
            </w:pPr>
            <w:r w:rsidRPr="00465386">
              <w:rPr>
                <w:sz w:val="18"/>
                <w:szCs w:val="18"/>
              </w:rPr>
              <w:t>b)</w:t>
            </w:r>
            <w:r>
              <w:rPr>
                <w:sz w:val="18"/>
                <w:szCs w:val="18"/>
              </w:rPr>
              <w:tab/>
            </w:r>
            <w:r w:rsidRPr="00465386">
              <w:rPr>
                <w:sz w:val="18"/>
                <w:szCs w:val="18"/>
              </w:rPr>
              <w:t>Cómo cooperar con otros miembros de la UPOV (documento TGP/5)</w:t>
            </w:r>
            <w:r w:rsidRPr="0095641A">
              <w:rPr>
                <w:sz w:val="18"/>
                <w:szCs w:val="18"/>
              </w:rPr>
              <w:t xml:space="preserve"> </w:t>
            </w:r>
          </w:p>
        </w:tc>
        <w:tc>
          <w:tcPr>
            <w:tcW w:w="2835" w:type="dxa"/>
          </w:tcPr>
          <w:p w:rsidR="006E0285" w:rsidRPr="0095641A" w:rsidRDefault="006E0285" w:rsidP="001216BD">
            <w:pPr>
              <w:jc w:val="left"/>
              <w:rPr>
                <w:sz w:val="18"/>
                <w:szCs w:val="18"/>
              </w:rPr>
            </w:pPr>
            <w:r w:rsidRPr="0095641A">
              <w:rPr>
                <w:sz w:val="18"/>
                <w:szCs w:val="18"/>
              </w:rPr>
              <w:t>Leontino Taveira</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12.10 </w:t>
            </w:r>
          </w:p>
        </w:tc>
      </w:tr>
      <w:tr w:rsidR="006E0285" w:rsidRPr="0095641A" w:rsidTr="001216BD">
        <w:tc>
          <w:tcPr>
            <w:tcW w:w="6663" w:type="dxa"/>
          </w:tcPr>
          <w:p w:rsidR="006E0285" w:rsidRPr="0095641A" w:rsidRDefault="006E0285" w:rsidP="001216BD">
            <w:pPr>
              <w:ind w:left="332" w:hanging="332"/>
              <w:jc w:val="left"/>
              <w:rPr>
                <w:spacing w:val="-2"/>
                <w:sz w:val="18"/>
                <w:szCs w:val="18"/>
              </w:rPr>
            </w:pPr>
            <w:r w:rsidRPr="00465386">
              <w:rPr>
                <w:spacing w:val="-2"/>
                <w:sz w:val="18"/>
                <w:szCs w:val="18"/>
              </w:rPr>
              <w:t>c)</w:t>
            </w:r>
            <w:r>
              <w:rPr>
                <w:sz w:val="18"/>
                <w:szCs w:val="18"/>
              </w:rPr>
              <w:tab/>
            </w:r>
            <w:r w:rsidRPr="00465386">
              <w:rPr>
                <w:spacing w:val="-2"/>
                <w:sz w:val="18"/>
                <w:szCs w:val="18"/>
              </w:rPr>
              <w:t>Utilización de la base de datos GENIE para encontrar experiencia práctica / cooperación en el examen DHE</w:t>
            </w:r>
            <w:r w:rsidRPr="0095641A">
              <w:rPr>
                <w:spacing w:val="-2"/>
                <w:sz w:val="18"/>
                <w:szCs w:val="18"/>
              </w:rPr>
              <w:t xml:space="preserve"> </w:t>
            </w:r>
          </w:p>
        </w:tc>
        <w:tc>
          <w:tcPr>
            <w:tcW w:w="2835" w:type="dxa"/>
          </w:tcPr>
          <w:p w:rsidR="006E0285" w:rsidRPr="0095641A" w:rsidRDefault="006E0285" w:rsidP="001216BD">
            <w:pPr>
              <w:jc w:val="left"/>
              <w:rPr>
                <w:sz w:val="18"/>
                <w:szCs w:val="18"/>
              </w:rPr>
            </w:pPr>
            <w:r w:rsidRPr="0095641A">
              <w:rPr>
                <w:sz w:val="18"/>
                <w:szCs w:val="18"/>
              </w:rPr>
              <w:t>Manabu Suzuki</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12.20 </w:t>
            </w:r>
          </w:p>
        </w:tc>
      </w:tr>
      <w:tr w:rsidR="006E0285" w:rsidRPr="0095641A" w:rsidTr="001216BD">
        <w:tc>
          <w:tcPr>
            <w:tcW w:w="6663" w:type="dxa"/>
            <w:vAlign w:val="center"/>
          </w:tcPr>
          <w:p w:rsidR="006E0285" w:rsidRPr="0095641A" w:rsidRDefault="006E0285" w:rsidP="001216BD">
            <w:pPr>
              <w:jc w:val="left"/>
              <w:rPr>
                <w:sz w:val="18"/>
                <w:szCs w:val="18"/>
              </w:rPr>
            </w:pPr>
            <w:r>
              <w:rPr>
                <w:sz w:val="18"/>
                <w:szCs w:val="18"/>
              </w:rPr>
              <w:t>Mesa redonda</w:t>
            </w:r>
          </w:p>
        </w:tc>
        <w:tc>
          <w:tcPr>
            <w:tcW w:w="2835" w:type="dxa"/>
          </w:tcPr>
          <w:p w:rsidR="006E0285" w:rsidRPr="006E0285" w:rsidRDefault="006E0285" w:rsidP="001216BD">
            <w:pPr>
              <w:jc w:val="left"/>
              <w:rPr>
                <w:sz w:val="18"/>
                <w:szCs w:val="18"/>
                <w:lang w:val="en-US"/>
              </w:rPr>
            </w:pPr>
            <w:r w:rsidRPr="006E0285">
              <w:rPr>
                <w:sz w:val="18"/>
                <w:szCs w:val="18"/>
                <w:lang w:val="en-US"/>
              </w:rPr>
              <w:t>Anthony Parker (CA);</w:t>
            </w:r>
          </w:p>
          <w:p w:rsidR="006E0285" w:rsidRPr="006E0285" w:rsidRDefault="006E0285" w:rsidP="001216BD">
            <w:pPr>
              <w:jc w:val="left"/>
              <w:rPr>
                <w:sz w:val="18"/>
                <w:szCs w:val="18"/>
                <w:lang w:val="en-US"/>
              </w:rPr>
            </w:pPr>
            <w:r w:rsidRPr="006E0285">
              <w:rPr>
                <w:sz w:val="18"/>
                <w:szCs w:val="18"/>
                <w:lang w:val="en-US"/>
              </w:rPr>
              <w:t>Manuela Brand (CH);</w:t>
            </w:r>
          </w:p>
          <w:p w:rsidR="006E0285" w:rsidRPr="006E0285" w:rsidRDefault="006E0285" w:rsidP="001216BD">
            <w:pPr>
              <w:jc w:val="left"/>
              <w:rPr>
                <w:sz w:val="18"/>
                <w:szCs w:val="18"/>
                <w:lang w:val="en-US"/>
              </w:rPr>
            </w:pPr>
            <w:r w:rsidRPr="006E0285">
              <w:rPr>
                <w:sz w:val="18"/>
                <w:szCs w:val="18"/>
                <w:lang w:val="en-US"/>
              </w:rPr>
              <w:t>Simon Maina (KE);</w:t>
            </w:r>
          </w:p>
          <w:p w:rsidR="006E0285" w:rsidRPr="006E0285" w:rsidRDefault="006E0285" w:rsidP="001216BD">
            <w:pPr>
              <w:jc w:val="left"/>
              <w:rPr>
                <w:sz w:val="18"/>
                <w:szCs w:val="18"/>
                <w:lang w:val="en-US"/>
              </w:rPr>
            </w:pPr>
            <w:r w:rsidRPr="006E0285">
              <w:rPr>
                <w:sz w:val="18"/>
                <w:szCs w:val="18"/>
                <w:lang w:val="en-US"/>
              </w:rPr>
              <w:t>Yoshiyuki Ohno (JP)</w:t>
            </w:r>
          </w:p>
        </w:tc>
        <w:tc>
          <w:tcPr>
            <w:tcW w:w="709" w:type="dxa"/>
          </w:tcPr>
          <w:p w:rsidR="006E0285" w:rsidRPr="0095641A" w:rsidRDefault="006E0285" w:rsidP="001216BD">
            <w:pPr>
              <w:rPr>
                <w:sz w:val="18"/>
                <w:szCs w:val="18"/>
              </w:rPr>
            </w:pPr>
            <w:r w:rsidRPr="0095641A">
              <w:rPr>
                <w:sz w:val="18"/>
                <w:szCs w:val="18"/>
              </w:rPr>
              <w:t xml:space="preserve">12.30 </w:t>
            </w:r>
          </w:p>
        </w:tc>
      </w:tr>
      <w:tr w:rsidR="006E0285" w:rsidRPr="0095641A" w:rsidTr="001216BD">
        <w:tc>
          <w:tcPr>
            <w:tcW w:w="6663" w:type="dxa"/>
          </w:tcPr>
          <w:p w:rsidR="006E0285" w:rsidRPr="0095641A" w:rsidRDefault="006E0285" w:rsidP="001216BD">
            <w:pPr>
              <w:jc w:val="left"/>
              <w:rPr>
                <w:sz w:val="18"/>
                <w:szCs w:val="18"/>
              </w:rPr>
            </w:pPr>
            <w:r w:rsidRPr="00465386">
              <w:rPr>
                <w:sz w:val="18"/>
                <w:szCs w:val="18"/>
              </w:rPr>
              <w:t>Sesión de preguntas y respuestas</w:t>
            </w:r>
          </w:p>
        </w:tc>
        <w:tc>
          <w:tcPr>
            <w:tcW w:w="2835" w:type="dxa"/>
          </w:tcPr>
          <w:p w:rsidR="006E0285" w:rsidRPr="0095641A" w:rsidRDefault="006E0285" w:rsidP="001216BD">
            <w:pPr>
              <w:jc w:val="left"/>
              <w:rPr>
                <w:sz w:val="18"/>
                <w:szCs w:val="18"/>
              </w:rPr>
            </w:pPr>
          </w:p>
        </w:tc>
        <w:tc>
          <w:tcPr>
            <w:tcW w:w="709" w:type="dxa"/>
          </w:tcPr>
          <w:p w:rsidR="006E0285" w:rsidRPr="0095641A" w:rsidRDefault="006E0285" w:rsidP="001216BD">
            <w:pPr>
              <w:rPr>
                <w:sz w:val="18"/>
                <w:szCs w:val="18"/>
              </w:rPr>
            </w:pPr>
            <w:r w:rsidRPr="0095641A">
              <w:rPr>
                <w:sz w:val="18"/>
                <w:szCs w:val="18"/>
              </w:rPr>
              <w:t xml:space="preserve">13.00 </w:t>
            </w:r>
          </w:p>
        </w:tc>
      </w:tr>
    </w:tbl>
    <w:p w:rsidR="006E0285" w:rsidRPr="0095641A" w:rsidRDefault="006E0285" w:rsidP="001216BD">
      <w:pPr>
        <w:rPr>
          <w:rFonts w:cs="Arial"/>
          <w:sz w:val="18"/>
          <w:szCs w:val="18"/>
        </w:rPr>
      </w:pPr>
    </w:p>
    <w:tbl>
      <w:tblPr>
        <w:tblStyle w:val="TableGrid"/>
        <w:tblW w:w="10207" w:type="dxa"/>
        <w:tblInd w:w="-289" w:type="dxa"/>
        <w:tblCellMar>
          <w:top w:w="28" w:type="dxa"/>
          <w:left w:w="57" w:type="dxa"/>
          <w:bottom w:w="28" w:type="dxa"/>
          <w:right w:w="57" w:type="dxa"/>
        </w:tblCellMar>
        <w:tblLook w:val="04A0" w:firstRow="1" w:lastRow="0" w:firstColumn="1" w:lastColumn="0" w:noHBand="0" w:noVBand="1"/>
      </w:tblPr>
      <w:tblGrid>
        <w:gridCol w:w="6663"/>
        <w:gridCol w:w="2835"/>
        <w:gridCol w:w="709"/>
      </w:tblGrid>
      <w:tr w:rsidR="006E0285" w:rsidRPr="004E51E2" w:rsidTr="001216BD">
        <w:tc>
          <w:tcPr>
            <w:tcW w:w="6663" w:type="dxa"/>
          </w:tcPr>
          <w:p w:rsidR="006E0285" w:rsidRPr="00757F88" w:rsidRDefault="006E0285" w:rsidP="001216BD">
            <w:pPr>
              <w:jc w:val="left"/>
              <w:rPr>
                <w:color w:val="000000" w:themeColor="text1"/>
                <w:sz w:val="18"/>
                <w:szCs w:val="18"/>
              </w:rPr>
            </w:pPr>
            <w:r w:rsidRPr="00465386">
              <w:rPr>
                <w:color w:val="000000" w:themeColor="text1"/>
                <w:sz w:val="18"/>
                <w:szCs w:val="18"/>
              </w:rPr>
              <w:t>(20 de abril de 2021) Seminario web 2: Armonización internacional del examen DHE</w:t>
            </w:r>
          </w:p>
          <w:p w:rsidR="006E0285" w:rsidRPr="00757F88" w:rsidRDefault="006E0285" w:rsidP="001216BD">
            <w:pPr>
              <w:jc w:val="left"/>
              <w:rPr>
                <w:color w:val="000000" w:themeColor="text1"/>
                <w:sz w:val="18"/>
                <w:szCs w:val="18"/>
                <w:lang w:val="es-ES"/>
              </w:rPr>
            </w:pPr>
          </w:p>
        </w:tc>
        <w:tc>
          <w:tcPr>
            <w:tcW w:w="2835" w:type="dxa"/>
          </w:tcPr>
          <w:p w:rsidR="006E0285" w:rsidRDefault="006E0285" w:rsidP="001216BD">
            <w:pPr>
              <w:jc w:val="left"/>
              <w:rPr>
                <w:color w:val="000000" w:themeColor="text1"/>
                <w:sz w:val="18"/>
                <w:szCs w:val="18"/>
              </w:rPr>
            </w:pPr>
            <w:r w:rsidRPr="00465386">
              <w:rPr>
                <w:color w:val="000000" w:themeColor="text1"/>
                <w:sz w:val="18"/>
                <w:szCs w:val="18"/>
              </w:rPr>
              <w:t>Ponentes / Panelistas</w:t>
            </w:r>
          </w:p>
          <w:p w:rsidR="006E0285" w:rsidRPr="0095641A" w:rsidRDefault="006E0285" w:rsidP="001216BD">
            <w:pPr>
              <w:jc w:val="left"/>
              <w:rPr>
                <w:color w:val="000000" w:themeColor="text1"/>
                <w:sz w:val="18"/>
                <w:szCs w:val="18"/>
              </w:rPr>
            </w:pPr>
          </w:p>
        </w:tc>
        <w:tc>
          <w:tcPr>
            <w:tcW w:w="709" w:type="dxa"/>
          </w:tcPr>
          <w:p w:rsidR="006E0285" w:rsidRPr="0095641A" w:rsidRDefault="006E0285" w:rsidP="001216BD">
            <w:pPr>
              <w:rPr>
                <w:color w:val="000000" w:themeColor="text1"/>
                <w:sz w:val="18"/>
                <w:szCs w:val="18"/>
              </w:rPr>
            </w:pPr>
            <w:r w:rsidRPr="00465386">
              <w:rPr>
                <w:color w:val="000000" w:themeColor="text1"/>
                <w:sz w:val="18"/>
                <w:szCs w:val="18"/>
              </w:rPr>
              <w:t>Hora</w:t>
            </w:r>
          </w:p>
        </w:tc>
      </w:tr>
      <w:tr w:rsidR="006E0285" w:rsidRPr="00765923" w:rsidTr="001216BD">
        <w:tc>
          <w:tcPr>
            <w:tcW w:w="6663" w:type="dxa"/>
          </w:tcPr>
          <w:p w:rsidR="006E0285" w:rsidRPr="00765923" w:rsidRDefault="006E0285" w:rsidP="001216BD">
            <w:pPr>
              <w:ind w:left="332" w:hanging="332"/>
              <w:jc w:val="left"/>
              <w:rPr>
                <w:sz w:val="18"/>
                <w:szCs w:val="18"/>
                <w:lang w:val="es-ES"/>
              </w:rPr>
            </w:pPr>
            <w:r>
              <w:rPr>
                <w:sz w:val="18"/>
                <w:szCs w:val="18"/>
              </w:rPr>
              <w:t>a)</w:t>
            </w:r>
            <w:r>
              <w:rPr>
                <w:sz w:val="18"/>
                <w:szCs w:val="18"/>
              </w:rPr>
              <w:tab/>
            </w:r>
            <w:r w:rsidRPr="00465386">
              <w:rPr>
                <w:sz w:val="18"/>
                <w:szCs w:val="18"/>
              </w:rPr>
              <w:t>La función de los Grupos de Trabajo Técnico (TWP) y del Comité Técnico (TC)</w:t>
            </w:r>
          </w:p>
        </w:tc>
        <w:tc>
          <w:tcPr>
            <w:tcW w:w="2835" w:type="dxa"/>
          </w:tcPr>
          <w:p w:rsidR="006E0285" w:rsidRPr="00765923" w:rsidRDefault="006E0285" w:rsidP="001216BD">
            <w:pPr>
              <w:jc w:val="left"/>
              <w:rPr>
                <w:sz w:val="18"/>
                <w:szCs w:val="18"/>
                <w:lang w:val="es-ES"/>
              </w:rPr>
            </w:pPr>
            <w:r w:rsidRPr="00765923">
              <w:rPr>
                <w:sz w:val="18"/>
                <w:szCs w:val="18"/>
                <w:lang w:val="es-ES"/>
              </w:rPr>
              <w:t>Leontino Taveira</w:t>
            </w:r>
            <w:r>
              <w:rPr>
                <w:sz w:val="18"/>
                <w:szCs w:val="18"/>
                <w:lang w:val="es-ES"/>
              </w:rPr>
              <w:t xml:space="preserve"> </w:t>
            </w:r>
            <w:r>
              <w:rPr>
                <w:sz w:val="18"/>
                <w:szCs w:val="18"/>
              </w:rPr>
              <w:t>(</w:t>
            </w:r>
            <w:r w:rsidRPr="0095641A">
              <w:rPr>
                <w:sz w:val="18"/>
                <w:szCs w:val="18"/>
              </w:rPr>
              <w:t>UPOV</w:t>
            </w:r>
            <w:r>
              <w:rPr>
                <w:sz w:val="18"/>
                <w:szCs w:val="18"/>
              </w:rPr>
              <w:t>)</w:t>
            </w:r>
          </w:p>
        </w:tc>
        <w:tc>
          <w:tcPr>
            <w:tcW w:w="709" w:type="dxa"/>
          </w:tcPr>
          <w:p w:rsidR="006E0285" w:rsidRPr="00765923" w:rsidRDefault="006E0285" w:rsidP="001216BD">
            <w:pPr>
              <w:rPr>
                <w:sz w:val="18"/>
                <w:szCs w:val="18"/>
                <w:lang w:val="es-ES"/>
              </w:rPr>
            </w:pPr>
            <w:r w:rsidRPr="00765923">
              <w:rPr>
                <w:sz w:val="18"/>
                <w:szCs w:val="18"/>
                <w:lang w:val="es-ES"/>
              </w:rPr>
              <w:t xml:space="preserve">12.00 </w:t>
            </w:r>
          </w:p>
        </w:tc>
      </w:tr>
      <w:tr w:rsidR="006E0285" w:rsidRPr="0095641A" w:rsidTr="001216BD">
        <w:tc>
          <w:tcPr>
            <w:tcW w:w="6663" w:type="dxa"/>
          </w:tcPr>
          <w:p w:rsidR="006E0285" w:rsidRPr="00765923" w:rsidRDefault="006E0285" w:rsidP="001216BD">
            <w:pPr>
              <w:ind w:left="332" w:hanging="332"/>
              <w:jc w:val="left"/>
              <w:rPr>
                <w:sz w:val="18"/>
                <w:szCs w:val="18"/>
                <w:lang w:val="es-ES"/>
              </w:rPr>
            </w:pPr>
            <w:r w:rsidRPr="00465386">
              <w:rPr>
                <w:sz w:val="18"/>
                <w:szCs w:val="18"/>
              </w:rPr>
              <w:t>b)</w:t>
            </w:r>
            <w:r w:rsidRPr="00465386">
              <w:rPr>
                <w:sz w:val="18"/>
                <w:szCs w:val="18"/>
              </w:rPr>
              <w:tab/>
              <w:t>Orientación de la UPOV sobre el examen DHE (documento TG/1/3, documentos TGP y TG)</w:t>
            </w:r>
          </w:p>
        </w:tc>
        <w:tc>
          <w:tcPr>
            <w:tcW w:w="2835" w:type="dxa"/>
          </w:tcPr>
          <w:p w:rsidR="006E0285" w:rsidRPr="0095641A" w:rsidRDefault="006E0285" w:rsidP="001216BD">
            <w:pPr>
              <w:jc w:val="left"/>
              <w:rPr>
                <w:sz w:val="18"/>
                <w:szCs w:val="18"/>
              </w:rPr>
            </w:pPr>
            <w:r w:rsidRPr="00765923">
              <w:rPr>
                <w:sz w:val="18"/>
                <w:szCs w:val="18"/>
                <w:lang w:val="es-ES"/>
              </w:rPr>
              <w:t>Ben Rivoir</w:t>
            </w:r>
            <w:r w:rsidRPr="0095641A">
              <w:rPr>
                <w:sz w:val="18"/>
                <w:szCs w:val="18"/>
              </w:rPr>
              <w:t>e</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12.10 </w:t>
            </w:r>
          </w:p>
        </w:tc>
      </w:tr>
      <w:tr w:rsidR="006E0285" w:rsidRPr="0095641A" w:rsidTr="001216BD">
        <w:tc>
          <w:tcPr>
            <w:tcW w:w="6663" w:type="dxa"/>
          </w:tcPr>
          <w:p w:rsidR="006E0285" w:rsidRPr="0095641A" w:rsidRDefault="006E0285" w:rsidP="001216BD">
            <w:pPr>
              <w:ind w:left="332" w:hanging="332"/>
              <w:jc w:val="left"/>
              <w:rPr>
                <w:spacing w:val="-2"/>
                <w:sz w:val="18"/>
                <w:szCs w:val="18"/>
              </w:rPr>
            </w:pPr>
            <w:r w:rsidRPr="00465386">
              <w:rPr>
                <w:spacing w:val="-2"/>
                <w:sz w:val="18"/>
                <w:szCs w:val="18"/>
              </w:rPr>
              <w:t>c)</w:t>
            </w:r>
            <w:r w:rsidRPr="00465386">
              <w:rPr>
                <w:spacing w:val="-2"/>
                <w:sz w:val="18"/>
                <w:szCs w:val="18"/>
              </w:rPr>
              <w:tab/>
              <w:t>Armonización de las observaciones y la adopción de decisiones (documentos TGP)</w:t>
            </w:r>
          </w:p>
        </w:tc>
        <w:tc>
          <w:tcPr>
            <w:tcW w:w="2835" w:type="dxa"/>
          </w:tcPr>
          <w:p w:rsidR="006E0285" w:rsidRPr="0095641A" w:rsidRDefault="006E0285" w:rsidP="001216BD">
            <w:pPr>
              <w:jc w:val="left"/>
              <w:rPr>
                <w:sz w:val="18"/>
                <w:szCs w:val="18"/>
              </w:rPr>
            </w:pPr>
            <w:r w:rsidRPr="0095641A">
              <w:rPr>
                <w:sz w:val="18"/>
                <w:szCs w:val="18"/>
              </w:rPr>
              <w:t>Leontino Taveira</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12.20 </w:t>
            </w:r>
          </w:p>
        </w:tc>
      </w:tr>
      <w:tr w:rsidR="006E0285" w:rsidRPr="0095641A" w:rsidTr="001216BD">
        <w:tc>
          <w:tcPr>
            <w:tcW w:w="6663" w:type="dxa"/>
            <w:vAlign w:val="center"/>
          </w:tcPr>
          <w:p w:rsidR="006E0285" w:rsidRPr="0095641A" w:rsidRDefault="006E0285" w:rsidP="001216BD">
            <w:pPr>
              <w:jc w:val="left"/>
              <w:rPr>
                <w:sz w:val="18"/>
                <w:szCs w:val="18"/>
              </w:rPr>
            </w:pPr>
            <w:r>
              <w:rPr>
                <w:sz w:val="18"/>
                <w:szCs w:val="18"/>
              </w:rPr>
              <w:t>Mesa redonda</w:t>
            </w:r>
          </w:p>
        </w:tc>
        <w:tc>
          <w:tcPr>
            <w:tcW w:w="2835" w:type="dxa"/>
          </w:tcPr>
          <w:p w:rsidR="006E0285" w:rsidRPr="006E0285" w:rsidRDefault="006E0285" w:rsidP="001216BD">
            <w:pPr>
              <w:jc w:val="left"/>
              <w:rPr>
                <w:sz w:val="18"/>
                <w:szCs w:val="18"/>
                <w:lang w:val="en-US"/>
              </w:rPr>
            </w:pPr>
            <w:r w:rsidRPr="006E0285">
              <w:rPr>
                <w:sz w:val="18"/>
                <w:szCs w:val="18"/>
                <w:lang w:val="en-US"/>
              </w:rPr>
              <w:t>Nik Hulse (Presidente/TC);</w:t>
            </w:r>
          </w:p>
          <w:p w:rsidR="006E0285" w:rsidRPr="006E0285" w:rsidRDefault="006E0285" w:rsidP="001216BD">
            <w:pPr>
              <w:jc w:val="left"/>
              <w:rPr>
                <w:sz w:val="18"/>
                <w:szCs w:val="18"/>
                <w:lang w:val="en-US"/>
              </w:rPr>
            </w:pPr>
            <w:r w:rsidRPr="006E0285">
              <w:rPr>
                <w:sz w:val="18"/>
                <w:szCs w:val="18"/>
                <w:lang w:val="en-US"/>
              </w:rPr>
              <w:t>Beate Ruecker (Presidenta/BMT/TWC)</w:t>
            </w:r>
          </w:p>
        </w:tc>
        <w:tc>
          <w:tcPr>
            <w:tcW w:w="709" w:type="dxa"/>
          </w:tcPr>
          <w:p w:rsidR="006E0285" w:rsidRPr="0095641A" w:rsidRDefault="006E0285" w:rsidP="001216BD">
            <w:pPr>
              <w:rPr>
                <w:sz w:val="18"/>
                <w:szCs w:val="18"/>
              </w:rPr>
            </w:pPr>
            <w:r w:rsidRPr="0095641A">
              <w:rPr>
                <w:sz w:val="18"/>
                <w:szCs w:val="18"/>
              </w:rPr>
              <w:t xml:space="preserve">12.30 </w:t>
            </w:r>
          </w:p>
        </w:tc>
      </w:tr>
      <w:tr w:rsidR="006E0285" w:rsidRPr="0095641A" w:rsidTr="001216BD">
        <w:tc>
          <w:tcPr>
            <w:tcW w:w="6663" w:type="dxa"/>
          </w:tcPr>
          <w:p w:rsidR="006E0285" w:rsidRPr="0095641A" w:rsidRDefault="006E0285" w:rsidP="001216BD">
            <w:pPr>
              <w:jc w:val="left"/>
              <w:rPr>
                <w:sz w:val="18"/>
                <w:szCs w:val="18"/>
              </w:rPr>
            </w:pPr>
            <w:r w:rsidRPr="007C1D3F">
              <w:rPr>
                <w:sz w:val="18"/>
                <w:szCs w:val="18"/>
              </w:rPr>
              <w:t>Sesión de preguntas y respuestas</w:t>
            </w:r>
          </w:p>
        </w:tc>
        <w:tc>
          <w:tcPr>
            <w:tcW w:w="2835" w:type="dxa"/>
          </w:tcPr>
          <w:p w:rsidR="006E0285" w:rsidRPr="0095641A" w:rsidRDefault="006E0285" w:rsidP="001216BD">
            <w:pPr>
              <w:jc w:val="left"/>
              <w:rPr>
                <w:sz w:val="18"/>
                <w:szCs w:val="18"/>
              </w:rPr>
            </w:pPr>
          </w:p>
        </w:tc>
        <w:tc>
          <w:tcPr>
            <w:tcW w:w="709" w:type="dxa"/>
          </w:tcPr>
          <w:p w:rsidR="006E0285" w:rsidRPr="0095641A" w:rsidRDefault="006E0285" w:rsidP="001216BD">
            <w:pPr>
              <w:rPr>
                <w:sz w:val="18"/>
                <w:szCs w:val="18"/>
              </w:rPr>
            </w:pPr>
            <w:r w:rsidRPr="0095641A">
              <w:rPr>
                <w:sz w:val="18"/>
                <w:szCs w:val="18"/>
              </w:rPr>
              <w:t xml:space="preserve">13.00 </w:t>
            </w:r>
          </w:p>
        </w:tc>
      </w:tr>
    </w:tbl>
    <w:p w:rsidR="006E0285" w:rsidRPr="0095641A" w:rsidRDefault="006E0285" w:rsidP="001216BD">
      <w:pPr>
        <w:tabs>
          <w:tab w:val="left" w:pos="567"/>
          <w:tab w:val="left" w:pos="1134"/>
          <w:tab w:val="left" w:pos="2268"/>
          <w:tab w:val="left" w:pos="2835"/>
          <w:tab w:val="left" w:pos="3402"/>
          <w:tab w:val="left" w:pos="3969"/>
          <w:tab w:val="left" w:pos="4536"/>
          <w:tab w:val="center" w:pos="5386"/>
        </w:tabs>
        <w:rPr>
          <w:rFonts w:cs="Arial"/>
          <w:sz w:val="18"/>
          <w:szCs w:val="18"/>
        </w:rPr>
      </w:pPr>
    </w:p>
    <w:tbl>
      <w:tblPr>
        <w:tblStyle w:val="TableGrid"/>
        <w:tblW w:w="10207" w:type="dxa"/>
        <w:tblInd w:w="-289" w:type="dxa"/>
        <w:tblCellMar>
          <w:top w:w="28" w:type="dxa"/>
          <w:left w:w="57" w:type="dxa"/>
          <w:bottom w:w="28" w:type="dxa"/>
          <w:right w:w="57" w:type="dxa"/>
        </w:tblCellMar>
        <w:tblLook w:val="04A0" w:firstRow="1" w:lastRow="0" w:firstColumn="1" w:lastColumn="0" w:noHBand="0" w:noVBand="1"/>
      </w:tblPr>
      <w:tblGrid>
        <w:gridCol w:w="6663"/>
        <w:gridCol w:w="2835"/>
        <w:gridCol w:w="709"/>
      </w:tblGrid>
      <w:tr w:rsidR="006E0285" w:rsidRPr="004E51E2" w:rsidTr="001216BD">
        <w:trPr>
          <w:trHeight w:val="551"/>
        </w:trPr>
        <w:tc>
          <w:tcPr>
            <w:tcW w:w="6663" w:type="dxa"/>
          </w:tcPr>
          <w:p w:rsidR="006E0285" w:rsidRPr="001F6035" w:rsidRDefault="006E0285" w:rsidP="001216BD">
            <w:pPr>
              <w:jc w:val="left"/>
              <w:rPr>
                <w:color w:val="000000" w:themeColor="text1"/>
                <w:sz w:val="18"/>
                <w:szCs w:val="18"/>
                <w:lang w:val="es-ES"/>
              </w:rPr>
            </w:pPr>
            <w:r w:rsidRPr="007C1D3F">
              <w:rPr>
                <w:color w:val="000000" w:themeColor="text1"/>
                <w:sz w:val="18"/>
                <w:szCs w:val="18"/>
              </w:rPr>
              <w:t xml:space="preserve">(21 de abril de 2021) Seminario web 3: Elaboración y uso de las </w:t>
            </w:r>
            <w:r>
              <w:rPr>
                <w:color w:val="000000" w:themeColor="text1"/>
                <w:sz w:val="18"/>
                <w:szCs w:val="18"/>
              </w:rPr>
              <w:t>d</w:t>
            </w:r>
            <w:r w:rsidRPr="007C1D3F">
              <w:rPr>
                <w:color w:val="000000" w:themeColor="text1"/>
                <w:sz w:val="18"/>
                <w:szCs w:val="18"/>
              </w:rPr>
              <w:t>irectrices de examen de la UPOV</w:t>
            </w:r>
          </w:p>
          <w:p w:rsidR="006E0285" w:rsidRPr="001F6035" w:rsidRDefault="006E0285" w:rsidP="001216BD">
            <w:pPr>
              <w:jc w:val="left"/>
              <w:rPr>
                <w:color w:val="000000" w:themeColor="text1"/>
                <w:sz w:val="18"/>
                <w:szCs w:val="18"/>
                <w:lang w:val="es-ES"/>
              </w:rPr>
            </w:pPr>
          </w:p>
        </w:tc>
        <w:tc>
          <w:tcPr>
            <w:tcW w:w="2835" w:type="dxa"/>
          </w:tcPr>
          <w:p w:rsidR="006E0285" w:rsidRDefault="006E0285" w:rsidP="001216BD">
            <w:pPr>
              <w:jc w:val="left"/>
              <w:rPr>
                <w:color w:val="000000" w:themeColor="text1"/>
                <w:sz w:val="18"/>
                <w:szCs w:val="18"/>
              </w:rPr>
            </w:pPr>
            <w:r w:rsidRPr="007C1D3F">
              <w:rPr>
                <w:color w:val="000000" w:themeColor="text1"/>
                <w:sz w:val="18"/>
                <w:szCs w:val="18"/>
              </w:rPr>
              <w:t>Ponentes / Panelistas</w:t>
            </w:r>
          </w:p>
          <w:p w:rsidR="006E0285" w:rsidRPr="0095641A" w:rsidRDefault="006E0285" w:rsidP="001216BD">
            <w:pPr>
              <w:jc w:val="left"/>
              <w:rPr>
                <w:color w:val="000000" w:themeColor="text1"/>
                <w:sz w:val="18"/>
                <w:szCs w:val="18"/>
              </w:rPr>
            </w:pPr>
          </w:p>
        </w:tc>
        <w:tc>
          <w:tcPr>
            <w:tcW w:w="709" w:type="dxa"/>
          </w:tcPr>
          <w:p w:rsidR="006E0285" w:rsidRPr="0095641A" w:rsidRDefault="006E0285" w:rsidP="001216BD">
            <w:pPr>
              <w:rPr>
                <w:color w:val="000000" w:themeColor="text1"/>
                <w:sz w:val="18"/>
                <w:szCs w:val="18"/>
              </w:rPr>
            </w:pPr>
            <w:r w:rsidRPr="007C1D3F">
              <w:rPr>
                <w:color w:val="000000" w:themeColor="text1"/>
                <w:sz w:val="18"/>
                <w:szCs w:val="18"/>
              </w:rPr>
              <w:t>Hora</w:t>
            </w:r>
          </w:p>
        </w:tc>
      </w:tr>
      <w:tr w:rsidR="006E0285" w:rsidRPr="0095641A" w:rsidTr="001216BD">
        <w:tc>
          <w:tcPr>
            <w:tcW w:w="6663" w:type="dxa"/>
          </w:tcPr>
          <w:p w:rsidR="006E0285" w:rsidRPr="0095641A" w:rsidRDefault="006E0285" w:rsidP="001216BD">
            <w:pPr>
              <w:ind w:left="332" w:hanging="332"/>
              <w:jc w:val="left"/>
              <w:rPr>
                <w:sz w:val="18"/>
                <w:szCs w:val="18"/>
              </w:rPr>
            </w:pPr>
            <w:r w:rsidRPr="007C1D3F">
              <w:rPr>
                <w:sz w:val="18"/>
                <w:szCs w:val="18"/>
              </w:rPr>
              <w:t>a)</w:t>
            </w:r>
            <w:r w:rsidRPr="007C1D3F">
              <w:rPr>
                <w:sz w:val="18"/>
                <w:szCs w:val="18"/>
              </w:rPr>
              <w:tab/>
              <w:t xml:space="preserve">Cómo participar en la elaboración de </w:t>
            </w:r>
            <w:r w:rsidRPr="001F6035">
              <w:rPr>
                <w:sz w:val="18"/>
                <w:szCs w:val="18"/>
              </w:rPr>
              <w:t xml:space="preserve">directrices de </w:t>
            </w:r>
            <w:r>
              <w:rPr>
                <w:sz w:val="18"/>
                <w:szCs w:val="18"/>
              </w:rPr>
              <w:t>examen</w:t>
            </w:r>
            <w:r w:rsidRPr="007C1D3F">
              <w:rPr>
                <w:sz w:val="18"/>
                <w:szCs w:val="18"/>
              </w:rPr>
              <w:t xml:space="preserve"> (expertos principales e interesados)</w:t>
            </w:r>
          </w:p>
        </w:tc>
        <w:tc>
          <w:tcPr>
            <w:tcW w:w="2835" w:type="dxa"/>
          </w:tcPr>
          <w:p w:rsidR="006E0285" w:rsidRPr="0095641A" w:rsidRDefault="006E0285" w:rsidP="001216BD">
            <w:pPr>
              <w:jc w:val="left"/>
              <w:rPr>
                <w:sz w:val="18"/>
                <w:szCs w:val="18"/>
              </w:rPr>
            </w:pPr>
            <w:r w:rsidRPr="0095641A">
              <w:rPr>
                <w:sz w:val="18"/>
                <w:szCs w:val="18"/>
              </w:rPr>
              <w:t>Ben Rivoire</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12.00 </w:t>
            </w:r>
          </w:p>
        </w:tc>
      </w:tr>
      <w:tr w:rsidR="006E0285" w:rsidRPr="0095641A" w:rsidTr="001216BD">
        <w:tc>
          <w:tcPr>
            <w:tcW w:w="6663" w:type="dxa"/>
          </w:tcPr>
          <w:p w:rsidR="006E0285" w:rsidRPr="0095641A" w:rsidRDefault="006E0285" w:rsidP="001216BD">
            <w:pPr>
              <w:tabs>
                <w:tab w:val="left" w:pos="567"/>
                <w:tab w:val="left" w:pos="1134"/>
              </w:tabs>
              <w:ind w:left="332" w:hanging="332"/>
              <w:jc w:val="left"/>
              <w:rPr>
                <w:sz w:val="18"/>
                <w:szCs w:val="18"/>
              </w:rPr>
            </w:pPr>
            <w:r w:rsidRPr="007C1D3F">
              <w:rPr>
                <w:sz w:val="18"/>
                <w:szCs w:val="18"/>
              </w:rPr>
              <w:t>b)</w:t>
            </w:r>
            <w:r w:rsidRPr="007C1D3F">
              <w:rPr>
                <w:sz w:val="18"/>
                <w:szCs w:val="18"/>
              </w:rPr>
              <w:tab/>
              <w:t>Elementos de las directrices de examen: cobertura, material vegetal, caracteres y explicaciones</w:t>
            </w:r>
          </w:p>
        </w:tc>
        <w:tc>
          <w:tcPr>
            <w:tcW w:w="2835" w:type="dxa"/>
          </w:tcPr>
          <w:p w:rsidR="006E0285" w:rsidRPr="0095641A" w:rsidRDefault="006E0285" w:rsidP="001216BD">
            <w:pPr>
              <w:jc w:val="left"/>
              <w:rPr>
                <w:sz w:val="18"/>
                <w:szCs w:val="18"/>
              </w:rPr>
            </w:pPr>
            <w:r w:rsidRPr="0095641A">
              <w:rPr>
                <w:sz w:val="18"/>
                <w:szCs w:val="18"/>
              </w:rPr>
              <w:t>Leontino Taveira</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12.10 </w:t>
            </w:r>
          </w:p>
        </w:tc>
      </w:tr>
      <w:tr w:rsidR="006E0285" w:rsidRPr="0095641A" w:rsidTr="001216BD">
        <w:tc>
          <w:tcPr>
            <w:tcW w:w="6663" w:type="dxa"/>
          </w:tcPr>
          <w:p w:rsidR="006E0285" w:rsidRPr="0095641A" w:rsidRDefault="006E0285" w:rsidP="001216BD">
            <w:pPr>
              <w:ind w:left="332" w:hanging="332"/>
              <w:jc w:val="left"/>
              <w:rPr>
                <w:spacing w:val="-2"/>
                <w:sz w:val="18"/>
                <w:szCs w:val="18"/>
              </w:rPr>
            </w:pPr>
            <w:r w:rsidRPr="002533D1">
              <w:rPr>
                <w:spacing w:val="-2"/>
                <w:sz w:val="18"/>
                <w:szCs w:val="18"/>
              </w:rPr>
              <w:t>c)</w:t>
            </w:r>
            <w:r w:rsidRPr="002533D1">
              <w:rPr>
                <w:spacing w:val="-2"/>
                <w:sz w:val="18"/>
                <w:szCs w:val="18"/>
              </w:rPr>
              <w:tab/>
              <w:t>Utilización de la herramienta en línea para elaborar y comentar proyectos de directrices de examen (Plantilla en Internet de las directrices de examen)</w:t>
            </w:r>
          </w:p>
        </w:tc>
        <w:tc>
          <w:tcPr>
            <w:tcW w:w="2835" w:type="dxa"/>
          </w:tcPr>
          <w:p w:rsidR="006E0285" w:rsidRPr="0095641A" w:rsidRDefault="006E0285" w:rsidP="001216BD">
            <w:pPr>
              <w:jc w:val="left"/>
              <w:rPr>
                <w:sz w:val="18"/>
                <w:szCs w:val="18"/>
              </w:rPr>
            </w:pPr>
            <w:r w:rsidRPr="0095641A">
              <w:rPr>
                <w:sz w:val="18"/>
                <w:szCs w:val="18"/>
              </w:rPr>
              <w:t>Romy Oertel</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 xml:space="preserve">12.20 </w:t>
            </w:r>
          </w:p>
        </w:tc>
      </w:tr>
      <w:tr w:rsidR="006E0285" w:rsidRPr="0095641A" w:rsidTr="001216BD">
        <w:tc>
          <w:tcPr>
            <w:tcW w:w="6663" w:type="dxa"/>
          </w:tcPr>
          <w:p w:rsidR="006E0285" w:rsidRPr="0095641A" w:rsidRDefault="006E0285" w:rsidP="001216BD">
            <w:pPr>
              <w:ind w:left="332" w:hanging="332"/>
              <w:jc w:val="left"/>
              <w:rPr>
                <w:sz w:val="18"/>
                <w:szCs w:val="18"/>
              </w:rPr>
            </w:pPr>
            <w:r w:rsidRPr="00D3737A">
              <w:rPr>
                <w:sz w:val="18"/>
                <w:szCs w:val="18"/>
              </w:rPr>
              <w:t>d)</w:t>
            </w:r>
            <w:r w:rsidRPr="00D3737A">
              <w:rPr>
                <w:sz w:val="18"/>
                <w:szCs w:val="18"/>
              </w:rPr>
              <w:tab/>
              <w:t>Utilización de variedades con fines de referencia y comparación (variedades ejemplo)</w:t>
            </w:r>
          </w:p>
        </w:tc>
        <w:tc>
          <w:tcPr>
            <w:tcW w:w="2835" w:type="dxa"/>
          </w:tcPr>
          <w:p w:rsidR="006E0285" w:rsidRPr="0095641A" w:rsidRDefault="006E0285" w:rsidP="001216BD">
            <w:pPr>
              <w:jc w:val="left"/>
              <w:rPr>
                <w:sz w:val="18"/>
                <w:szCs w:val="18"/>
              </w:rPr>
            </w:pPr>
            <w:r w:rsidRPr="0095641A">
              <w:rPr>
                <w:sz w:val="18"/>
                <w:szCs w:val="18"/>
              </w:rPr>
              <w:t>Ben Rivoire</w:t>
            </w:r>
            <w:r>
              <w:rPr>
                <w:sz w:val="18"/>
                <w:szCs w:val="18"/>
              </w:rPr>
              <w:t xml:space="preserve"> (</w:t>
            </w:r>
            <w:r w:rsidRPr="0095641A">
              <w:rPr>
                <w:sz w:val="18"/>
                <w:szCs w:val="18"/>
              </w:rPr>
              <w:t>UPOV</w:t>
            </w:r>
            <w:r>
              <w:rPr>
                <w:sz w:val="18"/>
                <w:szCs w:val="18"/>
              </w:rPr>
              <w:t>)</w:t>
            </w:r>
          </w:p>
        </w:tc>
        <w:tc>
          <w:tcPr>
            <w:tcW w:w="709" w:type="dxa"/>
          </w:tcPr>
          <w:p w:rsidR="006E0285" w:rsidRPr="0095641A" w:rsidRDefault="006E0285" w:rsidP="001216BD">
            <w:pPr>
              <w:rPr>
                <w:sz w:val="18"/>
                <w:szCs w:val="18"/>
              </w:rPr>
            </w:pPr>
            <w:r w:rsidRPr="0095641A">
              <w:rPr>
                <w:sz w:val="18"/>
                <w:szCs w:val="18"/>
              </w:rPr>
              <w:t>12.30</w:t>
            </w:r>
          </w:p>
        </w:tc>
      </w:tr>
      <w:tr w:rsidR="006E0285" w:rsidRPr="0095641A" w:rsidTr="001216BD">
        <w:tc>
          <w:tcPr>
            <w:tcW w:w="6663" w:type="dxa"/>
            <w:vAlign w:val="center"/>
          </w:tcPr>
          <w:p w:rsidR="006E0285" w:rsidRPr="0095641A" w:rsidRDefault="006E0285" w:rsidP="001216BD">
            <w:pPr>
              <w:jc w:val="left"/>
              <w:rPr>
                <w:sz w:val="18"/>
                <w:szCs w:val="18"/>
              </w:rPr>
            </w:pPr>
            <w:r>
              <w:rPr>
                <w:sz w:val="18"/>
                <w:szCs w:val="18"/>
              </w:rPr>
              <w:t>Mesa redonda</w:t>
            </w:r>
          </w:p>
        </w:tc>
        <w:tc>
          <w:tcPr>
            <w:tcW w:w="2835" w:type="dxa"/>
          </w:tcPr>
          <w:p w:rsidR="006E0285" w:rsidRPr="0095641A" w:rsidRDefault="006E0285" w:rsidP="001216BD">
            <w:pPr>
              <w:tabs>
                <w:tab w:val="left" w:pos="567"/>
                <w:tab w:val="left" w:pos="1134"/>
                <w:tab w:val="left" w:pos="2268"/>
                <w:tab w:val="left" w:pos="2835"/>
                <w:tab w:val="left" w:pos="3402"/>
                <w:tab w:val="left" w:pos="3969"/>
                <w:tab w:val="left" w:pos="4536"/>
                <w:tab w:val="center" w:pos="5386"/>
              </w:tabs>
              <w:jc w:val="left"/>
              <w:rPr>
                <w:sz w:val="18"/>
                <w:szCs w:val="18"/>
              </w:rPr>
            </w:pPr>
            <w:r w:rsidRPr="00D3737A">
              <w:rPr>
                <w:sz w:val="18"/>
                <w:szCs w:val="18"/>
              </w:rPr>
              <w:t>Ashley Balchin (Presidenta/TWO); Marian van Leeuwen (Presidenta/TWV); Renée Cloutier (Presidenta/TWA)</w:t>
            </w:r>
          </w:p>
        </w:tc>
        <w:tc>
          <w:tcPr>
            <w:tcW w:w="709" w:type="dxa"/>
          </w:tcPr>
          <w:p w:rsidR="006E0285" w:rsidRPr="0095641A" w:rsidRDefault="006E0285" w:rsidP="001216BD">
            <w:pPr>
              <w:rPr>
                <w:sz w:val="18"/>
                <w:szCs w:val="18"/>
              </w:rPr>
            </w:pPr>
            <w:r w:rsidRPr="0095641A">
              <w:rPr>
                <w:sz w:val="18"/>
                <w:szCs w:val="18"/>
              </w:rPr>
              <w:t xml:space="preserve">12.40 </w:t>
            </w:r>
          </w:p>
        </w:tc>
      </w:tr>
      <w:tr w:rsidR="006E0285" w:rsidRPr="0095641A" w:rsidTr="001216BD">
        <w:tc>
          <w:tcPr>
            <w:tcW w:w="6663" w:type="dxa"/>
          </w:tcPr>
          <w:p w:rsidR="006E0285" w:rsidRPr="0095641A" w:rsidRDefault="006E0285" w:rsidP="001216BD">
            <w:pPr>
              <w:jc w:val="left"/>
              <w:rPr>
                <w:sz w:val="18"/>
                <w:szCs w:val="18"/>
              </w:rPr>
            </w:pPr>
            <w:r w:rsidRPr="00D3737A">
              <w:rPr>
                <w:sz w:val="18"/>
                <w:szCs w:val="18"/>
              </w:rPr>
              <w:t>Sesión de preguntas y respuestas</w:t>
            </w:r>
          </w:p>
        </w:tc>
        <w:tc>
          <w:tcPr>
            <w:tcW w:w="2835" w:type="dxa"/>
          </w:tcPr>
          <w:p w:rsidR="006E0285" w:rsidRPr="0095641A" w:rsidRDefault="006E0285" w:rsidP="001216BD">
            <w:pPr>
              <w:jc w:val="left"/>
              <w:rPr>
                <w:sz w:val="18"/>
                <w:szCs w:val="18"/>
              </w:rPr>
            </w:pPr>
          </w:p>
        </w:tc>
        <w:tc>
          <w:tcPr>
            <w:tcW w:w="709" w:type="dxa"/>
          </w:tcPr>
          <w:p w:rsidR="006E0285" w:rsidRPr="0095641A" w:rsidRDefault="006E0285" w:rsidP="001216BD">
            <w:pPr>
              <w:rPr>
                <w:sz w:val="18"/>
                <w:szCs w:val="18"/>
              </w:rPr>
            </w:pPr>
            <w:r w:rsidRPr="0095641A">
              <w:rPr>
                <w:sz w:val="18"/>
                <w:szCs w:val="18"/>
              </w:rPr>
              <w:t xml:space="preserve">13.10 </w:t>
            </w:r>
          </w:p>
        </w:tc>
      </w:tr>
    </w:tbl>
    <w:p w:rsidR="006E0285" w:rsidRPr="0095641A" w:rsidRDefault="006E0285" w:rsidP="001216BD">
      <w:pPr>
        <w:tabs>
          <w:tab w:val="left" w:pos="567"/>
          <w:tab w:val="left" w:pos="1134"/>
          <w:tab w:val="left" w:pos="2268"/>
          <w:tab w:val="left" w:pos="2835"/>
          <w:tab w:val="left" w:pos="3402"/>
          <w:tab w:val="left" w:pos="3969"/>
          <w:tab w:val="left" w:pos="4536"/>
          <w:tab w:val="center" w:pos="5386"/>
        </w:tabs>
        <w:rPr>
          <w:rFonts w:cs="Arial"/>
          <w:sz w:val="18"/>
          <w:szCs w:val="18"/>
          <w:u w:val="single"/>
        </w:rPr>
      </w:pPr>
    </w:p>
    <w:tbl>
      <w:tblPr>
        <w:tblStyle w:val="TableGrid"/>
        <w:tblpPr w:leftFromText="180" w:rightFromText="180" w:vertAnchor="text" w:tblpX="-289" w:tblpY="1"/>
        <w:tblOverlap w:val="never"/>
        <w:tblW w:w="10207" w:type="dxa"/>
        <w:tblCellMar>
          <w:top w:w="28" w:type="dxa"/>
          <w:left w:w="57" w:type="dxa"/>
          <w:bottom w:w="28" w:type="dxa"/>
          <w:right w:w="57" w:type="dxa"/>
        </w:tblCellMar>
        <w:tblLook w:val="04A0" w:firstRow="1" w:lastRow="0" w:firstColumn="1" w:lastColumn="0" w:noHBand="0" w:noVBand="1"/>
      </w:tblPr>
      <w:tblGrid>
        <w:gridCol w:w="6658"/>
        <w:gridCol w:w="2840"/>
        <w:gridCol w:w="709"/>
      </w:tblGrid>
      <w:tr w:rsidR="006E0285" w:rsidRPr="004E51E2" w:rsidTr="001216BD">
        <w:tc>
          <w:tcPr>
            <w:tcW w:w="6658" w:type="dxa"/>
          </w:tcPr>
          <w:p w:rsidR="006E0285" w:rsidRPr="009666AA" w:rsidRDefault="006E0285" w:rsidP="001216BD">
            <w:pPr>
              <w:jc w:val="left"/>
              <w:rPr>
                <w:color w:val="000000" w:themeColor="text1"/>
                <w:sz w:val="18"/>
                <w:szCs w:val="18"/>
                <w:lang w:val="es-ES"/>
              </w:rPr>
            </w:pPr>
            <w:r w:rsidRPr="00D3737A">
              <w:rPr>
                <w:color w:val="000000" w:themeColor="text1"/>
                <w:sz w:val="18"/>
                <w:szCs w:val="18"/>
              </w:rPr>
              <w:t>(22 de abril de 2021) Seminario web 4: Uso de marcadores moleculares en el examen DHE y el papel del BMT</w:t>
            </w:r>
          </w:p>
          <w:p w:rsidR="006E0285" w:rsidRPr="009666AA" w:rsidRDefault="006E0285" w:rsidP="001216BD">
            <w:pPr>
              <w:jc w:val="left"/>
              <w:rPr>
                <w:color w:val="000000" w:themeColor="text1"/>
                <w:sz w:val="18"/>
                <w:szCs w:val="18"/>
                <w:lang w:val="es-ES"/>
              </w:rPr>
            </w:pPr>
          </w:p>
        </w:tc>
        <w:tc>
          <w:tcPr>
            <w:tcW w:w="2840" w:type="dxa"/>
          </w:tcPr>
          <w:p w:rsidR="006E0285" w:rsidRDefault="006E0285" w:rsidP="001216BD">
            <w:pPr>
              <w:jc w:val="left"/>
              <w:rPr>
                <w:color w:val="000000" w:themeColor="text1"/>
                <w:sz w:val="18"/>
                <w:szCs w:val="18"/>
              </w:rPr>
            </w:pPr>
            <w:r w:rsidRPr="00D3737A">
              <w:rPr>
                <w:color w:val="000000" w:themeColor="text1"/>
                <w:sz w:val="18"/>
                <w:szCs w:val="18"/>
              </w:rPr>
              <w:t>Ponentes / Panelistas</w:t>
            </w:r>
          </w:p>
          <w:p w:rsidR="006E0285" w:rsidRPr="0095641A" w:rsidRDefault="006E0285" w:rsidP="001216BD">
            <w:pPr>
              <w:jc w:val="left"/>
              <w:rPr>
                <w:color w:val="000000" w:themeColor="text1"/>
                <w:sz w:val="18"/>
                <w:szCs w:val="18"/>
              </w:rPr>
            </w:pPr>
          </w:p>
        </w:tc>
        <w:tc>
          <w:tcPr>
            <w:tcW w:w="709" w:type="dxa"/>
          </w:tcPr>
          <w:p w:rsidR="006E0285" w:rsidRPr="0095641A" w:rsidRDefault="006E0285" w:rsidP="001216BD">
            <w:pPr>
              <w:rPr>
                <w:color w:val="000000" w:themeColor="text1"/>
                <w:sz w:val="18"/>
                <w:szCs w:val="18"/>
              </w:rPr>
            </w:pPr>
            <w:r w:rsidRPr="00D3737A">
              <w:rPr>
                <w:color w:val="000000" w:themeColor="text1"/>
                <w:sz w:val="18"/>
                <w:szCs w:val="18"/>
              </w:rPr>
              <w:t>Hora</w:t>
            </w:r>
          </w:p>
        </w:tc>
      </w:tr>
      <w:tr w:rsidR="006E0285" w:rsidRPr="0095641A" w:rsidTr="001216BD">
        <w:tc>
          <w:tcPr>
            <w:tcW w:w="6658" w:type="dxa"/>
          </w:tcPr>
          <w:p w:rsidR="006E0285" w:rsidRPr="0095641A" w:rsidRDefault="006E0285" w:rsidP="001216BD">
            <w:pPr>
              <w:ind w:left="332" w:hanging="332"/>
              <w:jc w:val="left"/>
              <w:rPr>
                <w:sz w:val="18"/>
                <w:szCs w:val="18"/>
              </w:rPr>
            </w:pPr>
            <w:r w:rsidRPr="00D3737A">
              <w:rPr>
                <w:sz w:val="18"/>
                <w:szCs w:val="18"/>
              </w:rPr>
              <w:t>a)</w:t>
            </w:r>
            <w:r w:rsidRPr="00D3737A">
              <w:rPr>
                <w:sz w:val="18"/>
                <w:szCs w:val="18"/>
              </w:rPr>
              <w:tab/>
              <w:t>Orientaciones de la UPOV sobre la utilización de marcadores moleculares en el examen DHE</w:t>
            </w:r>
          </w:p>
        </w:tc>
        <w:tc>
          <w:tcPr>
            <w:tcW w:w="2840" w:type="dxa"/>
          </w:tcPr>
          <w:p w:rsidR="006E0285" w:rsidRPr="0095641A" w:rsidRDefault="006E0285" w:rsidP="001216BD">
            <w:pPr>
              <w:jc w:val="left"/>
              <w:rPr>
                <w:sz w:val="18"/>
                <w:szCs w:val="18"/>
              </w:rPr>
            </w:pPr>
            <w:r w:rsidRPr="0095641A">
              <w:rPr>
                <w:sz w:val="18"/>
                <w:szCs w:val="18"/>
              </w:rPr>
              <w:t>Leontino Taveira</w:t>
            </w:r>
            <w:r>
              <w:rPr>
                <w:sz w:val="18"/>
                <w:szCs w:val="18"/>
              </w:rPr>
              <w:t xml:space="preserve"> (UPOV)</w:t>
            </w:r>
          </w:p>
        </w:tc>
        <w:tc>
          <w:tcPr>
            <w:tcW w:w="709" w:type="dxa"/>
          </w:tcPr>
          <w:p w:rsidR="006E0285" w:rsidRPr="0095641A" w:rsidRDefault="006E0285" w:rsidP="001216BD">
            <w:pPr>
              <w:rPr>
                <w:sz w:val="18"/>
                <w:szCs w:val="18"/>
              </w:rPr>
            </w:pPr>
            <w:r w:rsidRPr="0095641A">
              <w:rPr>
                <w:sz w:val="18"/>
                <w:szCs w:val="18"/>
              </w:rPr>
              <w:t xml:space="preserve">12.00 </w:t>
            </w:r>
          </w:p>
        </w:tc>
      </w:tr>
      <w:tr w:rsidR="006E0285" w:rsidRPr="0095641A" w:rsidTr="001216BD">
        <w:tc>
          <w:tcPr>
            <w:tcW w:w="6658" w:type="dxa"/>
          </w:tcPr>
          <w:p w:rsidR="006E0285" w:rsidRPr="0095641A" w:rsidRDefault="006E0285" w:rsidP="001216BD">
            <w:pPr>
              <w:ind w:left="332" w:hanging="332"/>
              <w:rPr>
                <w:snapToGrid w:val="0"/>
                <w:sz w:val="18"/>
                <w:szCs w:val="18"/>
              </w:rPr>
            </w:pPr>
            <w:r w:rsidRPr="00D3737A">
              <w:rPr>
                <w:snapToGrid w:val="0"/>
                <w:sz w:val="18"/>
                <w:szCs w:val="18"/>
              </w:rPr>
              <w:t>b)</w:t>
            </w:r>
            <w:r w:rsidRPr="00D3737A">
              <w:rPr>
                <w:snapToGrid w:val="0"/>
                <w:sz w:val="18"/>
                <w:szCs w:val="18"/>
              </w:rPr>
              <w:tab/>
              <w:t>El papel del BMT</w:t>
            </w:r>
          </w:p>
        </w:tc>
        <w:tc>
          <w:tcPr>
            <w:tcW w:w="2840" w:type="dxa"/>
          </w:tcPr>
          <w:p w:rsidR="006E0285" w:rsidRPr="0095641A" w:rsidRDefault="006E0285" w:rsidP="001216BD">
            <w:pPr>
              <w:jc w:val="left"/>
              <w:rPr>
                <w:sz w:val="18"/>
                <w:szCs w:val="18"/>
              </w:rPr>
            </w:pPr>
            <w:r w:rsidRPr="0095641A">
              <w:rPr>
                <w:sz w:val="18"/>
                <w:szCs w:val="18"/>
              </w:rPr>
              <w:t>Manabu Suzuki</w:t>
            </w:r>
            <w:r>
              <w:rPr>
                <w:sz w:val="18"/>
                <w:szCs w:val="18"/>
              </w:rPr>
              <w:t xml:space="preserve"> (UPOV)</w:t>
            </w:r>
          </w:p>
        </w:tc>
        <w:tc>
          <w:tcPr>
            <w:tcW w:w="709" w:type="dxa"/>
          </w:tcPr>
          <w:p w:rsidR="006E0285" w:rsidRPr="0095641A" w:rsidRDefault="006E0285" w:rsidP="001216BD">
            <w:pPr>
              <w:rPr>
                <w:sz w:val="18"/>
                <w:szCs w:val="18"/>
              </w:rPr>
            </w:pPr>
            <w:r w:rsidRPr="0095641A">
              <w:rPr>
                <w:sz w:val="18"/>
                <w:szCs w:val="18"/>
              </w:rPr>
              <w:t xml:space="preserve">12.15 </w:t>
            </w:r>
          </w:p>
        </w:tc>
      </w:tr>
      <w:tr w:rsidR="006E0285" w:rsidRPr="0095641A" w:rsidTr="001216BD">
        <w:tc>
          <w:tcPr>
            <w:tcW w:w="6658" w:type="dxa"/>
            <w:vAlign w:val="center"/>
          </w:tcPr>
          <w:p w:rsidR="006E0285" w:rsidRPr="0095641A" w:rsidRDefault="006E0285" w:rsidP="001216BD">
            <w:pPr>
              <w:jc w:val="left"/>
              <w:rPr>
                <w:sz w:val="18"/>
                <w:szCs w:val="18"/>
              </w:rPr>
            </w:pPr>
            <w:r>
              <w:rPr>
                <w:sz w:val="18"/>
                <w:szCs w:val="18"/>
              </w:rPr>
              <w:t>Mesa redonda</w:t>
            </w:r>
          </w:p>
        </w:tc>
        <w:tc>
          <w:tcPr>
            <w:tcW w:w="2840" w:type="dxa"/>
          </w:tcPr>
          <w:p w:rsidR="006E0285" w:rsidRDefault="006E0285" w:rsidP="001216BD">
            <w:pPr>
              <w:rPr>
                <w:sz w:val="18"/>
                <w:szCs w:val="18"/>
                <w:lang w:val="es-ES"/>
              </w:rPr>
            </w:pPr>
            <w:r w:rsidRPr="00D3737A">
              <w:rPr>
                <w:sz w:val="18"/>
                <w:szCs w:val="18"/>
              </w:rPr>
              <w:t>Amanda van Dijk (NL);</w:t>
            </w:r>
          </w:p>
          <w:p w:rsidR="006E0285" w:rsidRDefault="006E0285" w:rsidP="001216BD">
            <w:pPr>
              <w:rPr>
                <w:rFonts w:eastAsia="Dotum"/>
                <w:sz w:val="18"/>
                <w:szCs w:val="18"/>
              </w:rPr>
            </w:pPr>
            <w:r w:rsidRPr="000B34B3">
              <w:rPr>
                <w:rFonts w:eastAsia="Dotum"/>
                <w:sz w:val="18"/>
                <w:szCs w:val="18"/>
              </w:rPr>
              <w:t>Jin-Kee Jung (KR);</w:t>
            </w:r>
          </w:p>
          <w:p w:rsidR="006E0285" w:rsidRPr="0095641A" w:rsidRDefault="006E0285" w:rsidP="001216BD">
            <w:pPr>
              <w:rPr>
                <w:sz w:val="18"/>
                <w:szCs w:val="18"/>
              </w:rPr>
            </w:pPr>
            <w:r w:rsidRPr="0095641A">
              <w:rPr>
                <w:sz w:val="18"/>
                <w:szCs w:val="18"/>
              </w:rPr>
              <w:t>Mariano Mangeri (AR)</w:t>
            </w:r>
          </w:p>
        </w:tc>
        <w:tc>
          <w:tcPr>
            <w:tcW w:w="709" w:type="dxa"/>
          </w:tcPr>
          <w:p w:rsidR="006E0285" w:rsidRPr="0095641A" w:rsidRDefault="006E0285" w:rsidP="001216BD">
            <w:pPr>
              <w:rPr>
                <w:sz w:val="18"/>
                <w:szCs w:val="18"/>
              </w:rPr>
            </w:pPr>
            <w:r w:rsidRPr="0095641A">
              <w:rPr>
                <w:sz w:val="18"/>
                <w:szCs w:val="18"/>
              </w:rPr>
              <w:t xml:space="preserve">12.25 </w:t>
            </w:r>
          </w:p>
        </w:tc>
      </w:tr>
      <w:tr w:rsidR="006E0285" w:rsidRPr="0095641A" w:rsidTr="001216BD">
        <w:tc>
          <w:tcPr>
            <w:tcW w:w="6658" w:type="dxa"/>
          </w:tcPr>
          <w:p w:rsidR="006E0285" w:rsidRPr="0095641A" w:rsidRDefault="006E0285" w:rsidP="001216BD">
            <w:pPr>
              <w:jc w:val="left"/>
              <w:rPr>
                <w:sz w:val="18"/>
                <w:szCs w:val="18"/>
              </w:rPr>
            </w:pPr>
            <w:r w:rsidRPr="00D3737A">
              <w:rPr>
                <w:sz w:val="18"/>
                <w:szCs w:val="18"/>
              </w:rPr>
              <w:t>Sesión de preguntas y respuestas</w:t>
            </w:r>
          </w:p>
        </w:tc>
        <w:tc>
          <w:tcPr>
            <w:tcW w:w="2840" w:type="dxa"/>
          </w:tcPr>
          <w:p w:rsidR="006E0285" w:rsidRPr="0095641A" w:rsidRDefault="006E0285" w:rsidP="001216BD">
            <w:pPr>
              <w:jc w:val="left"/>
              <w:rPr>
                <w:sz w:val="18"/>
                <w:szCs w:val="18"/>
              </w:rPr>
            </w:pPr>
          </w:p>
        </w:tc>
        <w:tc>
          <w:tcPr>
            <w:tcW w:w="709" w:type="dxa"/>
          </w:tcPr>
          <w:p w:rsidR="006E0285" w:rsidRPr="0095641A" w:rsidRDefault="006E0285" w:rsidP="001216BD">
            <w:pPr>
              <w:rPr>
                <w:sz w:val="18"/>
                <w:szCs w:val="18"/>
              </w:rPr>
            </w:pPr>
            <w:r w:rsidRPr="0095641A">
              <w:rPr>
                <w:sz w:val="18"/>
                <w:szCs w:val="18"/>
              </w:rPr>
              <w:t xml:space="preserve">13.00 </w:t>
            </w:r>
          </w:p>
        </w:tc>
      </w:tr>
    </w:tbl>
    <w:p w:rsidR="006E0285" w:rsidRDefault="006E0285" w:rsidP="001216BD">
      <w:pPr>
        <w:rPr>
          <w:rFonts w:cs="Arial"/>
        </w:rPr>
      </w:pPr>
    </w:p>
    <w:p w:rsidR="006E0285" w:rsidRDefault="006E0285" w:rsidP="006E0285">
      <w:pPr>
        <w:jc w:val="left"/>
        <w:rPr>
          <w:snapToGrid w:val="0"/>
        </w:rPr>
      </w:pPr>
    </w:p>
    <w:p w:rsidR="00050E16" w:rsidRPr="00C5280D" w:rsidRDefault="006E0285" w:rsidP="006E0285">
      <w:pPr>
        <w:jc w:val="right"/>
      </w:pPr>
      <w:r w:rsidRPr="00D3737A">
        <w:t>[Fin del Anexo y del documento]</w:t>
      </w:r>
    </w:p>
    <w:sectPr w:rsidR="00050E16" w:rsidRPr="00C5280D" w:rsidSect="001216BD">
      <w:headerReference w:type="default" r:id="rId11"/>
      <w:headerReference w:type="first" r:id="rId12"/>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DE" w:rsidRDefault="00D717DE" w:rsidP="006655D3">
      <w:r>
        <w:separator/>
      </w:r>
    </w:p>
    <w:p w:rsidR="00D717DE" w:rsidRDefault="00D717DE" w:rsidP="006655D3"/>
    <w:p w:rsidR="00D717DE" w:rsidRDefault="00D717DE" w:rsidP="006655D3"/>
  </w:endnote>
  <w:endnote w:type="continuationSeparator" w:id="0">
    <w:p w:rsidR="00D717DE" w:rsidRDefault="00D717DE" w:rsidP="006655D3">
      <w:r>
        <w:separator/>
      </w:r>
    </w:p>
    <w:p w:rsidR="00D717DE" w:rsidRPr="00294751" w:rsidRDefault="00D717DE">
      <w:pPr>
        <w:pStyle w:val="Footer"/>
        <w:spacing w:after="60"/>
        <w:rPr>
          <w:sz w:val="18"/>
          <w:lang w:val="fr-FR"/>
        </w:rPr>
      </w:pPr>
      <w:r w:rsidRPr="00294751">
        <w:rPr>
          <w:sz w:val="18"/>
          <w:lang w:val="fr-FR"/>
        </w:rPr>
        <w:t>[Suite de la note de la page précédente]</w:t>
      </w:r>
    </w:p>
    <w:p w:rsidR="00D717DE" w:rsidRPr="00294751" w:rsidRDefault="00D717DE" w:rsidP="006655D3">
      <w:pPr>
        <w:rPr>
          <w:lang w:val="fr-FR"/>
        </w:rPr>
      </w:pPr>
    </w:p>
    <w:p w:rsidR="00D717DE" w:rsidRPr="00294751" w:rsidRDefault="00D717DE" w:rsidP="006655D3">
      <w:pPr>
        <w:rPr>
          <w:lang w:val="fr-FR"/>
        </w:rPr>
      </w:pPr>
    </w:p>
  </w:endnote>
  <w:endnote w:type="continuationNotice" w:id="1">
    <w:p w:rsidR="00D717DE" w:rsidRPr="00294751" w:rsidRDefault="00D717DE" w:rsidP="006655D3">
      <w:pPr>
        <w:rPr>
          <w:lang w:val="fr-FR"/>
        </w:rPr>
      </w:pPr>
      <w:r w:rsidRPr="00294751">
        <w:rPr>
          <w:lang w:val="fr-FR"/>
        </w:rPr>
        <w:t>[Suite de la note page suivante]</w:t>
      </w:r>
    </w:p>
    <w:p w:rsidR="00D717DE" w:rsidRPr="00294751" w:rsidRDefault="00D717DE" w:rsidP="006655D3">
      <w:pPr>
        <w:rPr>
          <w:lang w:val="fr-FR"/>
        </w:rPr>
      </w:pPr>
    </w:p>
    <w:p w:rsidR="00D717DE" w:rsidRPr="00294751" w:rsidRDefault="00D717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DE" w:rsidRDefault="00D717DE" w:rsidP="006655D3">
      <w:r>
        <w:separator/>
      </w:r>
    </w:p>
  </w:footnote>
  <w:footnote w:type="continuationSeparator" w:id="0">
    <w:p w:rsidR="00D717DE" w:rsidRDefault="00D717DE" w:rsidP="006655D3">
      <w:r>
        <w:separator/>
      </w:r>
    </w:p>
  </w:footnote>
  <w:footnote w:type="continuationNotice" w:id="1">
    <w:p w:rsidR="00D717DE" w:rsidRPr="00AB530F" w:rsidRDefault="00D717DE" w:rsidP="00AB530F">
      <w:pPr>
        <w:pStyle w:val="Footer"/>
      </w:pPr>
    </w:p>
  </w:footnote>
  <w:footnote w:id="2">
    <w:p w:rsidR="006E0285" w:rsidRPr="00A04AC2" w:rsidRDefault="006E0285" w:rsidP="000735C5">
      <w:pPr>
        <w:pStyle w:val="FootnoteText"/>
        <w:rPr>
          <w:lang w:val="es-ES"/>
        </w:rPr>
      </w:pPr>
      <w:r>
        <w:rPr>
          <w:rStyle w:val="FootnoteReference"/>
        </w:rPr>
        <w:footnoteRef/>
      </w:r>
      <w:r w:rsidRPr="00A04AC2">
        <w:rPr>
          <w:lang w:val="es-ES"/>
        </w:rPr>
        <w:t xml:space="preserve"> </w:t>
      </w:r>
      <w:r>
        <w:t>c</w:t>
      </w:r>
      <w:r w:rsidRPr="00A4649A">
        <w:t>elebrada en Ginebra del 15 al 17 de abril de 2002</w:t>
      </w:r>
    </w:p>
  </w:footnote>
  <w:footnote w:id="3">
    <w:p w:rsidR="006E0285" w:rsidRPr="00A04AC2" w:rsidRDefault="006E0285" w:rsidP="000735C5">
      <w:pPr>
        <w:pStyle w:val="FootnoteText"/>
        <w:rPr>
          <w:lang w:val="es-ES"/>
        </w:rPr>
      </w:pPr>
      <w:r>
        <w:rPr>
          <w:rStyle w:val="FootnoteReference"/>
        </w:rPr>
        <w:footnoteRef/>
      </w:r>
      <w:r w:rsidRPr="00A04AC2">
        <w:rPr>
          <w:lang w:val="es-ES"/>
        </w:rPr>
        <w:t xml:space="preserve"> </w:t>
      </w:r>
      <w:r>
        <w:t>c</w:t>
      </w:r>
      <w:r w:rsidRPr="00A4649A">
        <w:t>elebrada en Ginebra los días 28 y 29 d</w:t>
      </w:r>
      <w:r>
        <w:t>e octubre de 2019</w:t>
      </w:r>
    </w:p>
  </w:footnote>
  <w:footnote w:id="4">
    <w:p w:rsidR="006E0285" w:rsidRPr="00A04AC2" w:rsidRDefault="006E0285" w:rsidP="000735C5">
      <w:pPr>
        <w:pStyle w:val="FootnoteText"/>
        <w:rPr>
          <w:lang w:val="es-ES"/>
        </w:rPr>
      </w:pPr>
      <w:r>
        <w:rPr>
          <w:rStyle w:val="FootnoteReference"/>
        </w:rPr>
        <w:footnoteRef/>
      </w:r>
      <w:r w:rsidRPr="00A04AC2">
        <w:rPr>
          <w:lang w:val="es-ES"/>
        </w:rPr>
        <w:t xml:space="preserve"> </w:t>
      </w:r>
      <w:r>
        <w:t>c</w:t>
      </w:r>
      <w:r w:rsidRPr="00C714F2">
        <w:t xml:space="preserve">elebrada en Ginebra los </w:t>
      </w:r>
      <w:r>
        <w:t>días 26 y 27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85" w:rsidRPr="00C5280D" w:rsidRDefault="006E0285" w:rsidP="00EB048E">
    <w:pPr>
      <w:pStyle w:val="Header"/>
      <w:rPr>
        <w:rStyle w:val="PageNumber"/>
        <w:lang w:val="en-US"/>
      </w:rPr>
    </w:pPr>
    <w:r>
      <w:rPr>
        <w:rStyle w:val="PageNumber"/>
        <w:lang w:val="en-US"/>
      </w:rPr>
      <w:t>TC/57/13</w:t>
    </w:r>
  </w:p>
  <w:p w:rsidR="006E0285" w:rsidRPr="00C5280D" w:rsidRDefault="006E0285" w:rsidP="00D3737A">
    <w:pPr>
      <w:pStyle w:val="Header"/>
      <w:rPr>
        <w:lang w:val="en-US"/>
      </w:rPr>
    </w:pPr>
    <w:r w:rsidRPr="00D3737A">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2385">
      <w:rPr>
        <w:rStyle w:val="PageNumber"/>
        <w:noProof/>
        <w:lang w:val="en-US"/>
      </w:rPr>
      <w:t>4</w:t>
    </w:r>
    <w:r w:rsidRPr="00C5280D">
      <w:rPr>
        <w:rStyle w:val="PageNumber"/>
        <w:lang w:val="en-US"/>
      </w:rPr>
      <w:fldChar w:fldCharType="end"/>
    </w:r>
  </w:p>
  <w:p w:rsidR="006E0285" w:rsidRPr="00C5280D" w:rsidRDefault="006E028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Default="00467B42" w:rsidP="000A23DC">
    <w:pPr>
      <w:pStyle w:val="Header"/>
      <w:rPr>
        <w:rStyle w:val="PageNumber"/>
      </w:rPr>
    </w:pPr>
    <w:r>
      <w:rPr>
        <w:rStyle w:val="PageNumber"/>
      </w:rPr>
      <w:t>TC/5</w:t>
    </w:r>
    <w:r w:rsidR="00324098">
      <w:rPr>
        <w:rStyle w:val="PageNumber"/>
      </w:rPr>
      <w:t>7</w:t>
    </w:r>
    <w:r w:rsidR="00667404" w:rsidRPr="000A23DC">
      <w:rPr>
        <w:rStyle w:val="PageNumber"/>
      </w:rPr>
      <w:t>/</w:t>
    </w:r>
    <w:r w:rsidR="006E0285">
      <w:rPr>
        <w:rStyle w:val="PageNumber"/>
      </w:rPr>
      <w:t>13</w:t>
    </w:r>
  </w:p>
  <w:p w:rsidR="00182B99" w:rsidRPr="00202E38" w:rsidRDefault="006E0285" w:rsidP="008B3D8D">
    <w:pPr>
      <w:pStyle w:val="Header"/>
      <w:rPr>
        <w:lang w:val="de-DE"/>
      </w:rPr>
    </w:pPr>
    <w:r>
      <w:rPr>
        <w:rStyle w:val="PageNumber"/>
      </w:rPr>
      <w:t>A</w:t>
    </w:r>
    <w:r w:rsidR="00862178">
      <w:rPr>
        <w:rStyle w:val="PageNumber"/>
      </w:rPr>
      <w:t>nexo</w:t>
    </w:r>
    <w:r w:rsidR="007167BE">
      <w:rPr>
        <w:rStyle w:val="PageNumber"/>
      </w:rPr>
      <w:t xml:space="preserve">, </w:t>
    </w:r>
    <w:r w:rsidR="008B3D8D"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1216BD">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85" w:rsidRDefault="006E0285" w:rsidP="0004198B">
    <w:pPr>
      <w:pStyle w:val="Header"/>
      <w:rPr>
        <w:lang w:val="es-ES"/>
      </w:rPr>
    </w:pPr>
    <w:r>
      <w:rPr>
        <w:lang w:val="es-ES"/>
      </w:rPr>
      <w:t>TC/57/13</w:t>
    </w:r>
  </w:p>
  <w:p w:rsidR="006E0285" w:rsidRDefault="006E0285" w:rsidP="0004198B">
    <w:pPr>
      <w:pStyle w:val="Header"/>
      <w:rPr>
        <w:lang w:val="es-ES"/>
      </w:rPr>
    </w:pPr>
  </w:p>
  <w:p w:rsidR="006E0285" w:rsidRDefault="006E0285" w:rsidP="0004198B">
    <w:pPr>
      <w:pStyle w:val="Header"/>
      <w:rPr>
        <w:lang w:val="es-ES"/>
      </w:rPr>
    </w:pPr>
    <w:r>
      <w:rPr>
        <w:lang w:val="es-ES"/>
      </w:rPr>
      <w:t>ANEXO</w:t>
    </w:r>
  </w:p>
  <w:p w:rsidR="006E0285" w:rsidRPr="006E0285" w:rsidRDefault="006E0285" w:rsidP="0004198B">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4EA"/>
    <w:multiLevelType w:val="hybridMultilevel"/>
    <w:tmpl w:val="82F21B5C"/>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04090017">
      <w:start w:val="1"/>
      <w:numFmt w:val="lowerLetter"/>
      <w:lvlText w:val="%3)"/>
      <w:lvlJc w:val="left"/>
      <w:pPr>
        <w:tabs>
          <w:tab w:val="num" w:pos="2742"/>
        </w:tabs>
        <w:ind w:left="2742" w:hanging="555"/>
      </w:pPr>
      <w:rPr>
        <w:rFonts w:hint="default"/>
      </w:r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34D0482C"/>
    <w:multiLevelType w:val="hybridMultilevel"/>
    <w:tmpl w:val="AE70962C"/>
    <w:lvl w:ilvl="0" w:tplc="04090017">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03F7B"/>
    <w:multiLevelType w:val="hybridMultilevel"/>
    <w:tmpl w:val="F2E02A9C"/>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99D0B31"/>
    <w:multiLevelType w:val="hybridMultilevel"/>
    <w:tmpl w:val="17EACA76"/>
    <w:lvl w:ilvl="0" w:tplc="0409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7EAE3516"/>
    <w:multiLevelType w:val="hybridMultilevel"/>
    <w:tmpl w:val="3746D1B8"/>
    <w:lvl w:ilvl="0" w:tplc="A49C906C">
      <w:start w:val="1"/>
      <w:numFmt w:val="bullet"/>
      <w:lvlText w:val="-"/>
      <w:lvlJc w:val="left"/>
      <w:pPr>
        <w:tabs>
          <w:tab w:val="num" w:pos="2064"/>
        </w:tabs>
        <w:ind w:left="2064" w:hanging="360"/>
      </w:pPr>
      <w:rPr>
        <w:rFonts w:ascii="Courier New" w:hAnsi="Courier New" w:cs="Times New Roman" w:hint="default"/>
      </w:rPr>
    </w:lvl>
    <w:lvl w:ilvl="1" w:tplc="04090017">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85"/>
    <w:rsid w:val="00010CF3"/>
    <w:rsid w:val="00011E27"/>
    <w:rsid w:val="000148BC"/>
    <w:rsid w:val="00024AB8"/>
    <w:rsid w:val="00030854"/>
    <w:rsid w:val="00036028"/>
    <w:rsid w:val="00044642"/>
    <w:rsid w:val="000446B9"/>
    <w:rsid w:val="00047E21"/>
    <w:rsid w:val="00050E16"/>
    <w:rsid w:val="000565C9"/>
    <w:rsid w:val="000638A9"/>
    <w:rsid w:val="000735C5"/>
    <w:rsid w:val="00085505"/>
    <w:rsid w:val="000A23DC"/>
    <w:rsid w:val="000B7BB9"/>
    <w:rsid w:val="000C4E25"/>
    <w:rsid w:val="000C7021"/>
    <w:rsid w:val="000D6BBC"/>
    <w:rsid w:val="000D7780"/>
    <w:rsid w:val="000E636A"/>
    <w:rsid w:val="000F2F11"/>
    <w:rsid w:val="00105929"/>
    <w:rsid w:val="001066E7"/>
    <w:rsid w:val="00110C36"/>
    <w:rsid w:val="001131D5"/>
    <w:rsid w:val="001216BD"/>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A7CD9"/>
    <w:rsid w:val="002B4298"/>
    <w:rsid w:val="002C256A"/>
    <w:rsid w:val="002C3D98"/>
    <w:rsid w:val="002E5944"/>
    <w:rsid w:val="00305A7F"/>
    <w:rsid w:val="003152FE"/>
    <w:rsid w:val="00324098"/>
    <w:rsid w:val="00327436"/>
    <w:rsid w:val="00344BD6"/>
    <w:rsid w:val="0035528D"/>
    <w:rsid w:val="00361821"/>
    <w:rsid w:val="00361E9E"/>
    <w:rsid w:val="003B031A"/>
    <w:rsid w:val="003C7FBE"/>
    <w:rsid w:val="003D227C"/>
    <w:rsid w:val="003D2B4D"/>
    <w:rsid w:val="0040557F"/>
    <w:rsid w:val="0042161D"/>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E6A79"/>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6E0285"/>
    <w:rsid w:val="0071271E"/>
    <w:rsid w:val="007167BE"/>
    <w:rsid w:val="00732DEC"/>
    <w:rsid w:val="00735BD5"/>
    <w:rsid w:val="00751613"/>
    <w:rsid w:val="007556F6"/>
    <w:rsid w:val="00760EEF"/>
    <w:rsid w:val="00763751"/>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2178"/>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24C10"/>
    <w:rsid w:val="00A42AC3"/>
    <w:rsid w:val="00A430CF"/>
    <w:rsid w:val="00A54309"/>
    <w:rsid w:val="00A706D3"/>
    <w:rsid w:val="00AB2B93"/>
    <w:rsid w:val="00AB530F"/>
    <w:rsid w:val="00AB6130"/>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864"/>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717DE"/>
    <w:rsid w:val="00D91203"/>
    <w:rsid w:val="00D95174"/>
    <w:rsid w:val="00DA4973"/>
    <w:rsid w:val="00DA6F36"/>
    <w:rsid w:val="00DB596E"/>
    <w:rsid w:val="00DB7773"/>
    <w:rsid w:val="00DC00EA"/>
    <w:rsid w:val="00DC3802"/>
    <w:rsid w:val="00E02385"/>
    <w:rsid w:val="00E07D87"/>
    <w:rsid w:val="00E32F7E"/>
    <w:rsid w:val="00E51430"/>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2AB6"/>
    <w:rsid w:val="00F6334D"/>
    <w:rsid w:val="00FA49AB"/>
    <w:rsid w:val="00FC5231"/>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971EDA"/>
  <w15:docId w15:val="{D9896DDB-6AAC-4B0C-9C93-DA06A186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0735C5"/>
    <w:pPr>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62178"/>
    <w:pPr>
      <w:tabs>
        <w:tab w:val="right" w:leader="dot" w:pos="9639"/>
      </w:tabs>
      <w:ind w:left="568" w:right="851" w:hanging="284"/>
      <w:contextualSpacing/>
    </w:pPr>
    <w:rPr>
      <w:noProof/>
      <w:sz w:val="18"/>
      <w:szCs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862178"/>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E0285"/>
    <w:pPr>
      <w:ind w:left="720"/>
      <w:contextualSpacing/>
    </w:pPr>
    <w:rPr>
      <w:lang w:val="en-US"/>
    </w:rPr>
  </w:style>
  <w:style w:type="paragraph" w:styleId="BodyTextIndent3">
    <w:name w:val="Body Text Indent 3"/>
    <w:basedOn w:val="Normal"/>
    <w:link w:val="BodyTextIndent3Char"/>
    <w:rsid w:val="006E0285"/>
    <w:pPr>
      <w:ind w:left="1701" w:hanging="1701"/>
    </w:pPr>
    <w:rPr>
      <w:rFonts w:ascii="Times New Roman" w:hAnsi="Times New Roman" w:cs="Angsana New"/>
      <w:color w:val="000000"/>
      <w:sz w:val="24"/>
      <w:szCs w:val="24"/>
      <w:lang w:val="en-US" w:eastAsia="ja-JP" w:bidi="th-TH"/>
    </w:rPr>
  </w:style>
  <w:style w:type="character" w:customStyle="1" w:styleId="BodyTextIndent3Char">
    <w:name w:val="Body Text Indent 3 Char"/>
    <w:basedOn w:val="DefaultParagraphFont"/>
    <w:link w:val="BodyTextIndent3"/>
    <w:rsid w:val="006E0285"/>
    <w:rPr>
      <w:rFonts w:cs="Angsana New"/>
      <w:color w:val="000000"/>
      <w:sz w:val="24"/>
      <w:szCs w:val="24"/>
      <w:lang w:eastAsia="ja-JP" w:bidi="th-TH"/>
    </w:rPr>
  </w:style>
  <w:style w:type="table" w:styleId="TableGrid">
    <w:name w:val="Table Grid"/>
    <w:basedOn w:val="TableNormal"/>
    <w:rsid w:val="006E0285"/>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webinar_vide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user/up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TC/57/13</dc:title>
  <dc:creator>MATEOS CLERIGUÉ Roberto</dc:creator>
  <cp:lastModifiedBy>MAY Jessica</cp:lastModifiedBy>
  <cp:revision>7</cp:revision>
  <cp:lastPrinted>2021-06-16T09:35:00Z</cp:lastPrinted>
  <dcterms:created xsi:type="dcterms:W3CDTF">2021-06-14T07:33:00Z</dcterms:created>
  <dcterms:modified xsi:type="dcterms:W3CDTF">2021-06-16T12:54:00Z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3880fa08-f314-4c7e-bc29-a754c581cd4d</vt:lpwstr>
  </property>
</Properties>
</file>