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63EB0B6" w14:textId="77777777" w:rsidTr="00EB4E9C">
        <w:tc>
          <w:tcPr>
            <w:tcW w:w="6522" w:type="dxa"/>
          </w:tcPr>
          <w:p w14:paraId="67EEE1FC" w14:textId="77777777" w:rsidR="00DC3802" w:rsidRPr="00AC2883" w:rsidRDefault="00DC3802" w:rsidP="00AC2883">
            <w:r>
              <w:rPr>
                <w:noProof/>
                <w:lang w:val="en-US" w:eastAsia="en-US" w:bidi="ar-SA"/>
              </w:rPr>
              <w:drawing>
                <wp:inline distT="0" distB="0" distL="0" distR="0" wp14:anchorId="6C60DF20" wp14:editId="5B5CB49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605F8E" w14:textId="77777777" w:rsidR="00DC3802" w:rsidRPr="007C1D92" w:rsidRDefault="002E5944" w:rsidP="00AC2883">
            <w:pPr>
              <w:pStyle w:val="Lettrine"/>
            </w:pPr>
            <w:r>
              <w:t>S</w:t>
            </w:r>
          </w:p>
        </w:tc>
      </w:tr>
      <w:tr w:rsidR="00DC3802" w:rsidRPr="00DA4973" w14:paraId="3495FAFC" w14:textId="77777777" w:rsidTr="00645CA8">
        <w:trPr>
          <w:trHeight w:val="219"/>
        </w:trPr>
        <w:tc>
          <w:tcPr>
            <w:tcW w:w="6522" w:type="dxa"/>
          </w:tcPr>
          <w:p w14:paraId="3E0E260F" w14:textId="77777777" w:rsidR="00DC3802" w:rsidRPr="00AC2883" w:rsidRDefault="002E5944" w:rsidP="00BC0BD4">
            <w:pPr>
              <w:pStyle w:val="upove"/>
            </w:pPr>
            <w:r>
              <w:t>Unión Internacional para la Protección de las Obtenciones Vegetales</w:t>
            </w:r>
          </w:p>
        </w:tc>
        <w:tc>
          <w:tcPr>
            <w:tcW w:w="3117" w:type="dxa"/>
          </w:tcPr>
          <w:p w14:paraId="3FD6F586" w14:textId="77777777" w:rsidR="00DC3802" w:rsidRPr="00DA4973" w:rsidRDefault="00DC3802" w:rsidP="00DA4973"/>
        </w:tc>
      </w:tr>
    </w:tbl>
    <w:p w14:paraId="78CA5F33" w14:textId="77777777" w:rsidR="00DC3802" w:rsidRDefault="00DC3802" w:rsidP="00DC3802"/>
    <w:p w14:paraId="06B31693"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2FD7BF4" w14:textId="77777777" w:rsidTr="00EB4E9C">
        <w:tc>
          <w:tcPr>
            <w:tcW w:w="6512" w:type="dxa"/>
          </w:tcPr>
          <w:p w14:paraId="1F75C060" w14:textId="77777777" w:rsidR="00EB4E9C" w:rsidRPr="00AC2883" w:rsidRDefault="002E5944" w:rsidP="00AC2883">
            <w:pPr>
              <w:pStyle w:val="Sessiontc"/>
              <w:spacing w:line="240" w:lineRule="auto"/>
            </w:pPr>
            <w:r>
              <w:t>Comité Técnico</w:t>
            </w:r>
          </w:p>
          <w:p w14:paraId="256D42D3" w14:textId="77777777" w:rsidR="00F52629" w:rsidRDefault="002E5944" w:rsidP="00467B42">
            <w:pPr>
              <w:pStyle w:val="Sessiontcplacedate"/>
            </w:pPr>
            <w:r>
              <w:t>Quincuagésima sexta sesión</w:t>
            </w:r>
          </w:p>
          <w:p w14:paraId="0361D47B" w14:textId="6BA96D05" w:rsidR="00EB4E9C" w:rsidRPr="00DC3802" w:rsidRDefault="002E5944" w:rsidP="00467B42">
            <w:pPr>
              <w:pStyle w:val="Sessiontcplacedate"/>
              <w:rPr>
                <w:sz w:val="22"/>
              </w:rPr>
            </w:pPr>
            <w:r>
              <w:t>Ginebra, 26 y 27 de octubre de 2020</w:t>
            </w:r>
          </w:p>
        </w:tc>
        <w:tc>
          <w:tcPr>
            <w:tcW w:w="3127" w:type="dxa"/>
          </w:tcPr>
          <w:p w14:paraId="5B212F99" w14:textId="77777777" w:rsidR="00EB4E9C" w:rsidRPr="00467B42" w:rsidRDefault="00467B42" w:rsidP="003C7FBE">
            <w:pPr>
              <w:pStyle w:val="Doccode"/>
            </w:pPr>
            <w:r>
              <w:t>TC/56/INF/7</w:t>
            </w:r>
          </w:p>
          <w:p w14:paraId="232BF446" w14:textId="77777777" w:rsidR="00EB4E9C" w:rsidRPr="003C7FBE" w:rsidRDefault="00EB4E9C" w:rsidP="003C7FBE">
            <w:pPr>
              <w:pStyle w:val="Docoriginal"/>
            </w:pPr>
            <w:r>
              <w:t>Original:</w:t>
            </w:r>
            <w:r>
              <w:rPr>
                <w:b w:val="0"/>
                <w:spacing w:val="0"/>
              </w:rPr>
              <w:t xml:space="preserve"> </w:t>
            </w:r>
            <w:proofErr w:type="gramStart"/>
            <w:r>
              <w:rPr>
                <w:b w:val="0"/>
                <w:spacing w:val="0"/>
              </w:rPr>
              <w:t>Inglés</w:t>
            </w:r>
            <w:proofErr w:type="gramEnd"/>
          </w:p>
          <w:p w14:paraId="6846E649" w14:textId="77777777" w:rsidR="00EB4E9C" w:rsidRPr="007C1D92" w:rsidRDefault="002E5944" w:rsidP="00AF34A3">
            <w:pPr>
              <w:pStyle w:val="Docoriginal"/>
            </w:pPr>
            <w:r>
              <w:t>Fecha:</w:t>
            </w:r>
            <w:r>
              <w:rPr>
                <w:b w:val="0"/>
                <w:spacing w:val="0"/>
              </w:rPr>
              <w:t xml:space="preserve"> 9 de octubre de 2020</w:t>
            </w:r>
          </w:p>
        </w:tc>
      </w:tr>
    </w:tbl>
    <w:p w14:paraId="5188F5AA" w14:textId="77777777" w:rsidR="000D7780" w:rsidRPr="006A644A" w:rsidRDefault="00AF34A3" w:rsidP="006A644A">
      <w:pPr>
        <w:pStyle w:val="Titleofdoc0"/>
      </w:pPr>
      <w:bookmarkStart w:id="0" w:name="TitleOfDoc"/>
      <w:bookmarkEnd w:id="0"/>
      <w:r>
        <w:t>Denominaciones de variedades</w:t>
      </w:r>
    </w:p>
    <w:p w14:paraId="0E45532E" w14:textId="77777777" w:rsidR="006A644A" w:rsidRPr="006A644A" w:rsidRDefault="000638A9" w:rsidP="006A644A">
      <w:pPr>
        <w:pStyle w:val="preparedby1"/>
        <w:jc w:val="left"/>
      </w:pPr>
      <w:bookmarkStart w:id="1" w:name="Prepared"/>
      <w:bookmarkEnd w:id="1"/>
      <w:r>
        <w:t>Documento preparado por la Oficina de la Unión</w:t>
      </w:r>
    </w:p>
    <w:p w14:paraId="1494BCB8" w14:textId="77777777" w:rsidR="00050E16" w:rsidRPr="006A644A" w:rsidRDefault="000638A9" w:rsidP="006A644A">
      <w:pPr>
        <w:pStyle w:val="Disclaimer"/>
      </w:pPr>
      <w:r>
        <w:t>Descargo de responsabilidad: el presente documento no constituye un documento de política u orientación de la UPOV</w:t>
      </w:r>
    </w:p>
    <w:p w14:paraId="29188A61" w14:textId="77777777" w:rsidR="00AF34A3" w:rsidRPr="000D7945" w:rsidRDefault="00AF34A3" w:rsidP="00AF34A3">
      <w:pPr>
        <w:pStyle w:val="Heading1"/>
        <w:rPr>
          <w:rFonts w:eastAsia="MS Mincho"/>
        </w:rPr>
      </w:pPr>
      <w:bookmarkStart w:id="2" w:name="_Toc438649862"/>
      <w:bookmarkStart w:id="3" w:name="_Ref438649598"/>
      <w:bookmarkStart w:id="4" w:name="_Toc477358702"/>
      <w:bookmarkStart w:id="5" w:name="_Toc52996359"/>
      <w:bookmarkStart w:id="6" w:name="_Toc54030102"/>
      <w:r>
        <w:t>RESUMEN</w:t>
      </w:r>
      <w:bookmarkEnd w:id="2"/>
      <w:bookmarkEnd w:id="3"/>
      <w:bookmarkEnd w:id="4"/>
      <w:bookmarkEnd w:id="5"/>
      <w:bookmarkEnd w:id="6"/>
    </w:p>
    <w:p w14:paraId="2D81732C" w14:textId="77777777" w:rsidR="00AF34A3" w:rsidRPr="00AF34A3" w:rsidRDefault="00AF34A3" w:rsidP="00AF34A3">
      <w:pPr>
        <w:rPr>
          <w:rFonts w:eastAsia="MS Mincho"/>
          <w:sz w:val="18"/>
        </w:rPr>
      </w:pPr>
    </w:p>
    <w:p w14:paraId="5A2C20D8" w14:textId="4C786E7F" w:rsidR="00AF34A3" w:rsidRPr="00AF34A3" w:rsidRDefault="00AF34A3" w:rsidP="00AF34A3">
      <w:pPr>
        <w:rPr>
          <w:rFonts w:eastAsiaTheme="minorEastAsia" w:cs="Arial"/>
          <w:snapToGrid w:val="0"/>
        </w:rPr>
      </w:pPr>
      <w:r w:rsidRPr="000D7945">
        <w:rPr>
          <w:rFonts w:eastAsiaTheme="minorEastAsia" w:cs="Arial"/>
          <w:snapToGrid w:val="0"/>
        </w:rPr>
        <w:fldChar w:fldCharType="begin"/>
      </w:r>
      <w:r w:rsidRPr="00AF34A3">
        <w:rPr>
          <w:rFonts w:eastAsiaTheme="minorEastAsia" w:cs="Arial"/>
          <w:snapToGrid w:val="0"/>
        </w:rPr>
        <w:instrText xml:space="preserve"> AUTONUM  </w:instrText>
      </w:r>
      <w:r w:rsidRPr="000D7945">
        <w:rPr>
          <w:rFonts w:eastAsiaTheme="minorEastAsia" w:cs="Arial"/>
          <w:snapToGrid w:val="0"/>
        </w:rPr>
        <w:fldChar w:fldCharType="end"/>
      </w:r>
      <w:r>
        <w:tab/>
        <w:t xml:space="preserve">Este documento tiene por objeto informar sobre la labor relativa a la posible revisión del documento UPOV/INF/12 “Notas explicativas sobre las denominaciones de variedades con arreglo al </w:t>
      </w:r>
      <w:r w:rsidR="005D1D17">
        <w:t>C</w:t>
      </w:r>
      <w:r>
        <w:t xml:space="preserve">onvenio de la UPOV”, la posible elaboración de un instrumento de la UPOV de búsqueda de </w:t>
      </w:r>
      <w:r w:rsidR="00F14F4A">
        <w:t>similitud</w:t>
      </w:r>
      <w:r>
        <w:t xml:space="preserve"> a los fines de la denominación de variedades, la ampliación del contenido de la base de datos</w:t>
      </w:r>
      <w:r w:rsidR="00A9710D">
        <w:t> </w:t>
      </w:r>
      <w:r>
        <w:t>PLUTO y las novedades que se han producido en relación el Grupo de Trabajo sobre Denominaciones de Variedades (WG</w:t>
      </w:r>
      <w:r>
        <w:noBreakHyphen/>
        <w:t>DEN).</w:t>
      </w:r>
    </w:p>
    <w:p w14:paraId="69F4F1B5" w14:textId="77777777" w:rsidR="00AF34A3" w:rsidRPr="00AF34A3" w:rsidRDefault="00AF34A3" w:rsidP="00AF34A3">
      <w:pPr>
        <w:rPr>
          <w:rFonts w:eastAsiaTheme="minorEastAsia" w:cs="Arial"/>
          <w:snapToGrid w:val="0"/>
          <w:sz w:val="18"/>
        </w:rPr>
      </w:pPr>
    </w:p>
    <w:p w14:paraId="74E99487" w14:textId="77777777" w:rsidR="00AF34A3" w:rsidRPr="00AF34A3" w:rsidRDefault="00AF34A3" w:rsidP="00AF34A3">
      <w:pPr>
        <w:keepNext/>
        <w:rPr>
          <w:rFonts w:eastAsiaTheme="minorEastAsia" w:cs="Arial"/>
          <w:snapToGrid w:val="0"/>
        </w:rPr>
      </w:pPr>
      <w:r w:rsidRPr="000D7945">
        <w:rPr>
          <w:rFonts w:eastAsiaTheme="minorEastAsia" w:cs="Arial"/>
          <w:snapToGrid w:val="0"/>
        </w:rPr>
        <w:fldChar w:fldCharType="begin"/>
      </w:r>
      <w:r w:rsidRPr="00AF34A3">
        <w:rPr>
          <w:rFonts w:eastAsiaTheme="minorEastAsia" w:cs="Arial"/>
          <w:snapToGrid w:val="0"/>
        </w:rPr>
        <w:instrText xml:space="preserve"> AUTONUM  </w:instrText>
      </w:r>
      <w:r w:rsidRPr="000D7945">
        <w:rPr>
          <w:rFonts w:eastAsiaTheme="minorEastAsia" w:cs="Arial"/>
          <w:snapToGrid w:val="0"/>
        </w:rPr>
        <w:fldChar w:fldCharType="end"/>
      </w:r>
      <w:r>
        <w:tab/>
        <w:t>En el presente documento se utilizan las abreviaturas siguientes:</w:t>
      </w:r>
    </w:p>
    <w:p w14:paraId="3FF3EED6" w14:textId="77777777" w:rsidR="00AF34A3" w:rsidRPr="00AF34A3" w:rsidRDefault="00AF34A3" w:rsidP="00AF34A3">
      <w:pPr>
        <w:keepNext/>
        <w:rPr>
          <w:rFonts w:eastAsiaTheme="minorEastAsia" w:cs="Arial"/>
          <w:snapToGrid w:val="0"/>
        </w:rPr>
      </w:pPr>
    </w:p>
    <w:p w14:paraId="0C1E61E2" w14:textId="77777777" w:rsidR="00AF34A3" w:rsidRPr="00AF34A3" w:rsidRDefault="00AF34A3" w:rsidP="00AF34A3">
      <w:pPr>
        <w:keepNext/>
        <w:ind w:left="567"/>
        <w:rPr>
          <w:rFonts w:eastAsiaTheme="minorEastAsia"/>
          <w:snapToGrid w:val="0"/>
        </w:rPr>
      </w:pPr>
      <w:r>
        <w:t xml:space="preserve">CAJ: </w:t>
      </w:r>
      <w:r>
        <w:tab/>
      </w:r>
      <w:r>
        <w:tab/>
        <w:t xml:space="preserve">Comité Administrativo y Jurídico </w:t>
      </w:r>
    </w:p>
    <w:p w14:paraId="049DE24A" w14:textId="77777777" w:rsidR="00AF34A3" w:rsidRPr="00AF34A3" w:rsidRDefault="00AF34A3" w:rsidP="00AF34A3">
      <w:pPr>
        <w:keepNext/>
        <w:ind w:left="567"/>
        <w:rPr>
          <w:rFonts w:eastAsiaTheme="minorEastAsia"/>
          <w:snapToGrid w:val="0"/>
        </w:rPr>
      </w:pPr>
      <w:r>
        <w:t xml:space="preserve">TC: </w:t>
      </w:r>
      <w:r>
        <w:tab/>
      </w:r>
      <w:r>
        <w:tab/>
        <w:t xml:space="preserve">Comité Técnico </w:t>
      </w:r>
    </w:p>
    <w:p w14:paraId="37FED36D" w14:textId="20BF26CA" w:rsidR="00AF34A3" w:rsidRPr="00AF34A3" w:rsidRDefault="00AF34A3" w:rsidP="00F52629">
      <w:pPr>
        <w:keepNext/>
        <w:tabs>
          <w:tab w:val="left" w:pos="567"/>
          <w:tab w:val="left" w:pos="1701"/>
        </w:tabs>
        <w:ind w:left="567"/>
        <w:rPr>
          <w:rFonts w:eastAsia="PMingLiU"/>
          <w:szCs w:val="24"/>
        </w:rPr>
      </w:pPr>
      <w:r>
        <w:t>TWP:</w:t>
      </w:r>
      <w:r>
        <w:tab/>
        <w:t>Grupo(s) de Trabajo Técnico</w:t>
      </w:r>
    </w:p>
    <w:p w14:paraId="4601CC52" w14:textId="77777777" w:rsidR="00AF34A3" w:rsidRPr="00AF34A3" w:rsidRDefault="00AF34A3" w:rsidP="00AF34A3">
      <w:pPr>
        <w:keepNext/>
        <w:ind w:left="567"/>
        <w:rPr>
          <w:rFonts w:eastAsiaTheme="minorEastAsia"/>
          <w:snapToGrid w:val="0"/>
        </w:rPr>
      </w:pPr>
      <w:r>
        <w:t>WG-DEN:</w:t>
      </w:r>
      <w:r>
        <w:tab/>
        <w:t>Grupo de Trabajo sobre Denominaciones de Variedades</w:t>
      </w:r>
    </w:p>
    <w:p w14:paraId="4E0849D1" w14:textId="77777777" w:rsidR="00AF34A3" w:rsidRPr="00AF34A3" w:rsidRDefault="00AF34A3" w:rsidP="00AF34A3">
      <w:pPr>
        <w:jc w:val="left"/>
        <w:rPr>
          <w:rFonts w:eastAsiaTheme="minorEastAsia" w:cs="Arial"/>
          <w:snapToGrid w:val="0"/>
        </w:rPr>
      </w:pPr>
    </w:p>
    <w:p w14:paraId="2F04C393" w14:textId="77777777" w:rsidR="00AF34A3" w:rsidRPr="00AF34A3" w:rsidRDefault="00AF34A3" w:rsidP="00AF34A3">
      <w:pPr>
        <w:keepNext/>
      </w:pPr>
      <w:r w:rsidRPr="000D7945">
        <w:fldChar w:fldCharType="begin"/>
      </w:r>
      <w:r w:rsidRPr="00AF34A3">
        <w:instrText xml:space="preserve"> AUTONUM  </w:instrText>
      </w:r>
      <w:r w:rsidRPr="000D7945">
        <w:fldChar w:fldCharType="end"/>
      </w:r>
      <w:r>
        <w:tab/>
        <w:t>El presente documento se estructura del modo siguiente:</w:t>
      </w:r>
    </w:p>
    <w:sdt>
      <w:sdtPr>
        <w:rPr>
          <w:caps/>
          <w:smallCaps/>
        </w:rPr>
        <w:id w:val="-1800911247"/>
        <w:docPartObj>
          <w:docPartGallery w:val="Table of Contents"/>
          <w:docPartUnique/>
        </w:docPartObj>
      </w:sdtPr>
      <w:sdtEndPr>
        <w:rPr>
          <w:b/>
          <w:bCs/>
          <w:noProof/>
          <w:sz w:val="18"/>
        </w:rPr>
      </w:sdtEndPr>
      <w:sdtContent>
        <w:p w14:paraId="64CFA06A" w14:textId="77777777" w:rsidR="00AF34A3" w:rsidRPr="000D7945" w:rsidRDefault="00AF34A3" w:rsidP="00AF34A3">
          <w:pPr>
            <w:keepNext/>
            <w:rPr>
              <w:rFonts w:cs="Arial"/>
              <w:b/>
            </w:rPr>
          </w:pPr>
        </w:p>
        <w:p w14:paraId="63A966B8" w14:textId="66DB695C" w:rsidR="00A9710D" w:rsidRDefault="00AF34A3" w:rsidP="00A9710D">
          <w:pPr>
            <w:pStyle w:val="TOC1"/>
            <w:rPr>
              <w:rFonts w:asciiTheme="minorHAnsi" w:eastAsiaTheme="minorEastAsia" w:hAnsiTheme="minorHAnsi" w:cstheme="minorBidi"/>
              <w:noProof/>
              <w:sz w:val="22"/>
              <w:szCs w:val="22"/>
              <w:lang w:bidi="ar-SA"/>
            </w:rPr>
          </w:pPr>
          <w:r>
            <w:rPr>
              <w:rFonts w:cs="Arial"/>
            </w:rPr>
            <w:fldChar w:fldCharType="begin"/>
          </w:r>
          <w:r>
            <w:rPr>
              <w:rFonts w:cs="Arial"/>
            </w:rPr>
            <w:instrText xml:space="preserve"> TOC \o "1-2" \h \z \u </w:instrText>
          </w:r>
          <w:r>
            <w:rPr>
              <w:rFonts w:cs="Arial"/>
            </w:rPr>
            <w:fldChar w:fldCharType="separate"/>
          </w:r>
          <w:hyperlink w:anchor="_Toc54030102" w:history="1">
            <w:r w:rsidR="00A9710D" w:rsidRPr="005936D5">
              <w:rPr>
                <w:rStyle w:val="Hyperlink"/>
                <w:noProof/>
              </w:rPr>
              <w:t>RESUMEN</w:t>
            </w:r>
            <w:r w:rsidR="00A9710D">
              <w:rPr>
                <w:noProof/>
                <w:webHidden/>
              </w:rPr>
              <w:tab/>
            </w:r>
            <w:r w:rsidR="00A9710D">
              <w:rPr>
                <w:noProof/>
                <w:webHidden/>
              </w:rPr>
              <w:fldChar w:fldCharType="begin"/>
            </w:r>
            <w:r w:rsidR="00A9710D">
              <w:rPr>
                <w:noProof/>
                <w:webHidden/>
              </w:rPr>
              <w:instrText xml:space="preserve"> PAGEREF _Toc54030102 \h </w:instrText>
            </w:r>
            <w:r w:rsidR="00A9710D">
              <w:rPr>
                <w:noProof/>
                <w:webHidden/>
              </w:rPr>
            </w:r>
            <w:r w:rsidR="00A9710D">
              <w:rPr>
                <w:noProof/>
                <w:webHidden/>
              </w:rPr>
              <w:fldChar w:fldCharType="separate"/>
            </w:r>
            <w:r w:rsidR="00A9710D">
              <w:rPr>
                <w:noProof/>
                <w:webHidden/>
              </w:rPr>
              <w:t>1</w:t>
            </w:r>
            <w:r w:rsidR="00A9710D">
              <w:rPr>
                <w:noProof/>
                <w:webHidden/>
              </w:rPr>
              <w:fldChar w:fldCharType="end"/>
            </w:r>
          </w:hyperlink>
        </w:p>
        <w:p w14:paraId="74D69175" w14:textId="1722D05D" w:rsidR="00A9710D" w:rsidRDefault="00C9483D" w:rsidP="00A9710D">
          <w:pPr>
            <w:pStyle w:val="TOC1"/>
            <w:rPr>
              <w:rFonts w:asciiTheme="minorHAnsi" w:eastAsiaTheme="minorEastAsia" w:hAnsiTheme="minorHAnsi" w:cstheme="minorBidi"/>
              <w:noProof/>
              <w:sz w:val="22"/>
              <w:szCs w:val="22"/>
              <w:lang w:bidi="ar-SA"/>
            </w:rPr>
          </w:pPr>
          <w:hyperlink w:anchor="_Toc54030103" w:history="1">
            <w:r w:rsidR="00A9710D" w:rsidRPr="005936D5">
              <w:rPr>
                <w:rStyle w:val="Hyperlink"/>
                <w:noProof/>
              </w:rPr>
              <w:t>POSIBLE REVISIÓN DEL DOCUMENTO UPOV/INF/12 “NOTAS EXPLICATIVAS SOBRE LAS DENOMINACIONES DE VARIEDADES CON ARREGLO AL CONVENIO DE LA</w:t>
            </w:r>
            <w:r w:rsidR="00A9710D">
              <w:rPr>
                <w:rStyle w:val="Hyperlink"/>
                <w:noProof/>
              </w:rPr>
              <w:t xml:space="preserve"> </w:t>
            </w:r>
            <w:r w:rsidR="00A9710D" w:rsidRPr="005936D5">
              <w:rPr>
                <w:rStyle w:val="Hyperlink"/>
                <w:noProof/>
              </w:rPr>
              <w:t>UPOV”</w:t>
            </w:r>
            <w:r w:rsidR="00A9710D">
              <w:rPr>
                <w:noProof/>
                <w:webHidden/>
              </w:rPr>
              <w:tab/>
            </w:r>
            <w:r w:rsidR="00A9710D">
              <w:rPr>
                <w:noProof/>
                <w:webHidden/>
              </w:rPr>
              <w:fldChar w:fldCharType="begin"/>
            </w:r>
            <w:r w:rsidR="00A9710D">
              <w:rPr>
                <w:noProof/>
                <w:webHidden/>
              </w:rPr>
              <w:instrText xml:space="preserve"> PAGEREF _Toc54030103 \h </w:instrText>
            </w:r>
            <w:r w:rsidR="00A9710D">
              <w:rPr>
                <w:noProof/>
                <w:webHidden/>
              </w:rPr>
            </w:r>
            <w:r w:rsidR="00A9710D">
              <w:rPr>
                <w:noProof/>
                <w:webHidden/>
              </w:rPr>
              <w:fldChar w:fldCharType="separate"/>
            </w:r>
            <w:r w:rsidR="00A9710D">
              <w:rPr>
                <w:noProof/>
                <w:webHidden/>
              </w:rPr>
              <w:t>1</w:t>
            </w:r>
            <w:r w:rsidR="00A9710D">
              <w:rPr>
                <w:noProof/>
                <w:webHidden/>
              </w:rPr>
              <w:fldChar w:fldCharType="end"/>
            </w:r>
          </w:hyperlink>
        </w:p>
        <w:p w14:paraId="669735EE" w14:textId="2185646F" w:rsidR="00A9710D" w:rsidRPr="00A9710D" w:rsidRDefault="00C9483D" w:rsidP="00C9483D">
          <w:pPr>
            <w:pStyle w:val="TOC2"/>
            <w:rPr>
              <w:rStyle w:val="Hyperlink"/>
              <w:lang w:val="en-US" w:eastAsia="en-US"/>
            </w:rPr>
          </w:pPr>
          <w:hyperlink w:anchor="_Toc54030104" w:history="1">
            <w:r w:rsidR="00A9710D" w:rsidRPr="00A9710D">
              <w:rPr>
                <w:rStyle w:val="Hyperlink"/>
                <w:smallCaps w:val="0"/>
                <w:noProof/>
                <w:lang w:val="en-US" w:eastAsia="en-US" w:bidi="ar-SA"/>
              </w:rPr>
              <w:t>Grupo de Trabajo sobre Denominaciones de Variedades</w:t>
            </w:r>
            <w:r w:rsidR="00A9710D" w:rsidRPr="00A9710D">
              <w:rPr>
                <w:rStyle w:val="Hyperlink"/>
                <w:smallCaps w:val="0"/>
                <w:webHidden/>
                <w:lang w:val="en-US" w:eastAsia="en-US" w:bidi="ar-SA"/>
              </w:rPr>
              <w:tab/>
            </w:r>
            <w:r w:rsidR="00A9710D" w:rsidRPr="00A9710D">
              <w:rPr>
                <w:rStyle w:val="Hyperlink"/>
                <w:smallCaps w:val="0"/>
                <w:webHidden/>
                <w:lang w:val="en-US" w:eastAsia="en-US" w:bidi="ar-SA"/>
              </w:rPr>
              <w:fldChar w:fldCharType="begin"/>
            </w:r>
            <w:r w:rsidR="00A9710D" w:rsidRPr="00A9710D">
              <w:rPr>
                <w:rStyle w:val="Hyperlink"/>
                <w:smallCaps w:val="0"/>
                <w:webHidden/>
                <w:lang w:val="en-US" w:eastAsia="en-US" w:bidi="ar-SA"/>
              </w:rPr>
              <w:instrText xml:space="preserve"> PAGEREF _Toc54030104 \h </w:instrText>
            </w:r>
            <w:r w:rsidR="00A9710D" w:rsidRPr="00A9710D">
              <w:rPr>
                <w:rStyle w:val="Hyperlink"/>
                <w:smallCaps w:val="0"/>
                <w:webHidden/>
                <w:lang w:val="en-US" w:eastAsia="en-US" w:bidi="ar-SA"/>
              </w:rPr>
            </w:r>
            <w:r w:rsidR="00A9710D" w:rsidRPr="00A9710D">
              <w:rPr>
                <w:rStyle w:val="Hyperlink"/>
                <w:smallCaps w:val="0"/>
                <w:webHidden/>
                <w:lang w:val="en-US" w:eastAsia="en-US" w:bidi="ar-SA"/>
              </w:rPr>
              <w:fldChar w:fldCharType="separate"/>
            </w:r>
            <w:r w:rsidR="00A9710D" w:rsidRPr="00A9710D">
              <w:rPr>
                <w:rStyle w:val="Hyperlink"/>
                <w:smallCaps w:val="0"/>
                <w:webHidden/>
                <w:lang w:val="en-US" w:eastAsia="en-US" w:bidi="ar-SA"/>
              </w:rPr>
              <w:t>2</w:t>
            </w:r>
            <w:r w:rsidR="00A9710D" w:rsidRPr="00A9710D">
              <w:rPr>
                <w:rStyle w:val="Hyperlink"/>
                <w:smallCaps w:val="0"/>
                <w:webHidden/>
                <w:lang w:val="en-US" w:eastAsia="en-US" w:bidi="ar-SA"/>
              </w:rPr>
              <w:fldChar w:fldCharType="end"/>
            </w:r>
          </w:hyperlink>
        </w:p>
        <w:p w14:paraId="51FCD230" w14:textId="2C787385" w:rsidR="00A9710D" w:rsidRPr="00A9710D" w:rsidRDefault="00C9483D" w:rsidP="00C9483D">
          <w:pPr>
            <w:pStyle w:val="TOC2"/>
            <w:rPr>
              <w:rStyle w:val="Hyperlink"/>
              <w:lang w:val="en-US" w:eastAsia="en-US"/>
            </w:rPr>
          </w:pPr>
          <w:hyperlink w:anchor="_Toc54030105" w:history="1">
            <w:r w:rsidR="00A9710D" w:rsidRPr="00A9710D">
              <w:rPr>
                <w:rStyle w:val="Hyperlink"/>
                <w:smallCaps w:val="0"/>
                <w:noProof/>
                <w:lang w:val="en-US" w:eastAsia="en-US" w:bidi="ar-SA"/>
              </w:rPr>
              <w:t>Comité Administrativo y Jurídico</w:t>
            </w:r>
            <w:r w:rsidR="00A9710D" w:rsidRPr="00A9710D">
              <w:rPr>
                <w:rStyle w:val="Hyperlink"/>
                <w:smallCaps w:val="0"/>
                <w:webHidden/>
                <w:lang w:val="en-US" w:eastAsia="en-US" w:bidi="ar-SA"/>
              </w:rPr>
              <w:tab/>
            </w:r>
            <w:r w:rsidR="00A9710D" w:rsidRPr="00A9710D">
              <w:rPr>
                <w:rStyle w:val="Hyperlink"/>
                <w:smallCaps w:val="0"/>
                <w:webHidden/>
                <w:lang w:val="en-US" w:eastAsia="en-US" w:bidi="ar-SA"/>
              </w:rPr>
              <w:fldChar w:fldCharType="begin"/>
            </w:r>
            <w:r w:rsidR="00A9710D" w:rsidRPr="00A9710D">
              <w:rPr>
                <w:rStyle w:val="Hyperlink"/>
                <w:smallCaps w:val="0"/>
                <w:webHidden/>
                <w:lang w:val="en-US" w:eastAsia="en-US" w:bidi="ar-SA"/>
              </w:rPr>
              <w:instrText xml:space="preserve"> PAGEREF _Toc54030105 \h </w:instrText>
            </w:r>
            <w:r w:rsidR="00A9710D" w:rsidRPr="00A9710D">
              <w:rPr>
                <w:rStyle w:val="Hyperlink"/>
                <w:smallCaps w:val="0"/>
                <w:webHidden/>
                <w:lang w:val="en-US" w:eastAsia="en-US" w:bidi="ar-SA"/>
              </w:rPr>
            </w:r>
            <w:r w:rsidR="00A9710D" w:rsidRPr="00A9710D">
              <w:rPr>
                <w:rStyle w:val="Hyperlink"/>
                <w:smallCaps w:val="0"/>
                <w:webHidden/>
                <w:lang w:val="en-US" w:eastAsia="en-US" w:bidi="ar-SA"/>
              </w:rPr>
              <w:fldChar w:fldCharType="separate"/>
            </w:r>
            <w:r w:rsidR="00A9710D" w:rsidRPr="00A9710D">
              <w:rPr>
                <w:rStyle w:val="Hyperlink"/>
                <w:smallCaps w:val="0"/>
                <w:webHidden/>
                <w:lang w:val="en-US" w:eastAsia="en-US" w:bidi="ar-SA"/>
              </w:rPr>
              <w:t>2</w:t>
            </w:r>
            <w:r w:rsidR="00A9710D" w:rsidRPr="00A9710D">
              <w:rPr>
                <w:rStyle w:val="Hyperlink"/>
                <w:smallCaps w:val="0"/>
                <w:webHidden/>
                <w:lang w:val="en-US" w:eastAsia="en-US" w:bidi="ar-SA"/>
              </w:rPr>
              <w:fldChar w:fldCharType="end"/>
            </w:r>
          </w:hyperlink>
        </w:p>
        <w:p w14:paraId="6B185666" w14:textId="627F877C" w:rsidR="00A9710D" w:rsidRDefault="00C9483D" w:rsidP="00A9710D">
          <w:pPr>
            <w:pStyle w:val="TOC1"/>
            <w:rPr>
              <w:rFonts w:asciiTheme="minorHAnsi" w:eastAsiaTheme="minorEastAsia" w:hAnsiTheme="minorHAnsi" w:cstheme="minorBidi"/>
              <w:noProof/>
              <w:sz w:val="22"/>
              <w:szCs w:val="22"/>
              <w:lang w:bidi="ar-SA"/>
            </w:rPr>
          </w:pPr>
          <w:hyperlink w:anchor="_Toc54030106" w:history="1">
            <w:r w:rsidR="00A9710D" w:rsidRPr="005936D5">
              <w:rPr>
                <w:rStyle w:val="Hyperlink"/>
                <w:noProof/>
              </w:rPr>
              <w:t>POSIBLE ELABORACIÓN DE UN INSTRUMENTO DE LA UPOV DE BÚSQUEDA DE SIMILITUD A LOS FINES DE LA DENOMINACIÓN DE VARIEDADES</w:t>
            </w:r>
            <w:r w:rsidR="00A9710D">
              <w:rPr>
                <w:noProof/>
                <w:webHidden/>
              </w:rPr>
              <w:tab/>
            </w:r>
            <w:r w:rsidR="00A9710D">
              <w:rPr>
                <w:noProof/>
                <w:webHidden/>
              </w:rPr>
              <w:fldChar w:fldCharType="begin"/>
            </w:r>
            <w:r w:rsidR="00A9710D">
              <w:rPr>
                <w:noProof/>
                <w:webHidden/>
              </w:rPr>
              <w:instrText xml:space="preserve"> PAGEREF _Toc54030106 \h </w:instrText>
            </w:r>
            <w:r w:rsidR="00A9710D">
              <w:rPr>
                <w:noProof/>
                <w:webHidden/>
              </w:rPr>
            </w:r>
            <w:r w:rsidR="00A9710D">
              <w:rPr>
                <w:noProof/>
                <w:webHidden/>
              </w:rPr>
              <w:fldChar w:fldCharType="separate"/>
            </w:r>
            <w:r w:rsidR="00A9710D">
              <w:rPr>
                <w:noProof/>
                <w:webHidden/>
              </w:rPr>
              <w:t>3</w:t>
            </w:r>
            <w:r w:rsidR="00A9710D">
              <w:rPr>
                <w:noProof/>
                <w:webHidden/>
              </w:rPr>
              <w:fldChar w:fldCharType="end"/>
            </w:r>
          </w:hyperlink>
        </w:p>
        <w:p w14:paraId="1FB77487" w14:textId="405452EA" w:rsidR="00A9710D" w:rsidRPr="00A9710D" w:rsidRDefault="00C9483D" w:rsidP="00C9483D">
          <w:pPr>
            <w:pStyle w:val="TOC2"/>
            <w:rPr>
              <w:rStyle w:val="Hyperlink"/>
              <w:smallCaps w:val="0"/>
              <w:noProof/>
              <w:lang w:val="en-US" w:eastAsia="en-US" w:bidi="ar-SA"/>
            </w:rPr>
          </w:pPr>
          <w:hyperlink w:anchor="_Toc54030107" w:history="1">
            <w:r w:rsidR="00A9710D" w:rsidRPr="00A9710D">
              <w:rPr>
                <w:rStyle w:val="Hyperlink"/>
                <w:smallCaps w:val="0"/>
                <w:noProof/>
                <w:lang w:val="en-US" w:eastAsia="en-US" w:bidi="ar-SA"/>
              </w:rPr>
              <w:t>A</w:t>
            </w:r>
            <w:r w:rsidR="00A9710D">
              <w:rPr>
                <w:rStyle w:val="Hyperlink"/>
                <w:smallCaps w:val="0"/>
                <w:noProof/>
                <w:lang w:val="en-US" w:eastAsia="en-US" w:bidi="ar-SA"/>
              </w:rPr>
              <w:t>ntecedentes</w:t>
            </w:r>
            <w:r w:rsidR="00A9710D" w:rsidRPr="00A9710D">
              <w:rPr>
                <w:rStyle w:val="Hyperlink"/>
                <w:smallCaps w:val="0"/>
                <w:noProof/>
                <w:webHidden/>
                <w:lang w:val="en-US" w:eastAsia="en-US" w:bidi="ar-SA"/>
              </w:rPr>
              <w:tab/>
            </w:r>
            <w:r w:rsidR="00A9710D" w:rsidRPr="00A9710D">
              <w:rPr>
                <w:rStyle w:val="Hyperlink"/>
                <w:smallCaps w:val="0"/>
                <w:noProof/>
                <w:webHidden/>
                <w:lang w:val="en-US" w:eastAsia="en-US" w:bidi="ar-SA"/>
              </w:rPr>
              <w:fldChar w:fldCharType="begin"/>
            </w:r>
            <w:r w:rsidR="00A9710D" w:rsidRPr="00A9710D">
              <w:rPr>
                <w:rStyle w:val="Hyperlink"/>
                <w:smallCaps w:val="0"/>
                <w:noProof/>
                <w:webHidden/>
                <w:lang w:val="en-US" w:eastAsia="en-US" w:bidi="ar-SA"/>
              </w:rPr>
              <w:instrText xml:space="preserve"> PAGEREF _Toc54030107 \h </w:instrText>
            </w:r>
            <w:r w:rsidR="00A9710D" w:rsidRPr="00A9710D">
              <w:rPr>
                <w:rStyle w:val="Hyperlink"/>
                <w:smallCaps w:val="0"/>
                <w:noProof/>
                <w:webHidden/>
                <w:lang w:val="en-US" w:eastAsia="en-US" w:bidi="ar-SA"/>
              </w:rPr>
            </w:r>
            <w:r w:rsidR="00A9710D" w:rsidRPr="00A9710D">
              <w:rPr>
                <w:rStyle w:val="Hyperlink"/>
                <w:smallCaps w:val="0"/>
                <w:noProof/>
                <w:webHidden/>
                <w:lang w:val="en-US" w:eastAsia="en-US" w:bidi="ar-SA"/>
              </w:rPr>
              <w:fldChar w:fldCharType="separate"/>
            </w:r>
            <w:r w:rsidR="00A9710D" w:rsidRPr="00A9710D">
              <w:rPr>
                <w:rStyle w:val="Hyperlink"/>
                <w:smallCaps w:val="0"/>
                <w:noProof/>
                <w:webHidden/>
                <w:lang w:val="en-US" w:eastAsia="en-US" w:bidi="ar-SA"/>
              </w:rPr>
              <w:t>3</w:t>
            </w:r>
            <w:r w:rsidR="00A9710D" w:rsidRPr="00A9710D">
              <w:rPr>
                <w:rStyle w:val="Hyperlink"/>
                <w:smallCaps w:val="0"/>
                <w:noProof/>
                <w:webHidden/>
                <w:lang w:val="en-US" w:eastAsia="en-US" w:bidi="ar-SA"/>
              </w:rPr>
              <w:fldChar w:fldCharType="end"/>
            </w:r>
          </w:hyperlink>
        </w:p>
        <w:p w14:paraId="5BFE210E" w14:textId="60915DE2" w:rsidR="00A9710D" w:rsidRPr="00A9710D" w:rsidRDefault="00C9483D" w:rsidP="00C9483D">
          <w:pPr>
            <w:pStyle w:val="TOC2"/>
            <w:rPr>
              <w:rStyle w:val="Hyperlink"/>
              <w:lang w:val="en-US" w:eastAsia="en-US"/>
            </w:rPr>
          </w:pPr>
          <w:hyperlink w:anchor="_Toc54030108" w:history="1">
            <w:r w:rsidR="00A9710D" w:rsidRPr="00A9710D">
              <w:rPr>
                <w:rStyle w:val="Hyperlink"/>
                <w:smallCaps w:val="0"/>
                <w:noProof/>
                <w:lang w:val="en-US" w:eastAsia="en-US" w:bidi="ar-SA"/>
              </w:rPr>
              <w:t>Últimas novedades</w:t>
            </w:r>
            <w:r w:rsidR="00A9710D" w:rsidRPr="00A9710D">
              <w:rPr>
                <w:rStyle w:val="Hyperlink"/>
                <w:smallCaps w:val="0"/>
                <w:webHidden/>
                <w:lang w:val="en-US" w:eastAsia="en-US" w:bidi="ar-SA"/>
              </w:rPr>
              <w:tab/>
            </w:r>
            <w:r w:rsidR="00A9710D" w:rsidRPr="00A9710D">
              <w:rPr>
                <w:rStyle w:val="Hyperlink"/>
                <w:smallCaps w:val="0"/>
                <w:webHidden/>
                <w:lang w:val="en-US" w:eastAsia="en-US" w:bidi="ar-SA"/>
              </w:rPr>
              <w:fldChar w:fldCharType="begin"/>
            </w:r>
            <w:r w:rsidR="00A9710D" w:rsidRPr="00A9710D">
              <w:rPr>
                <w:rStyle w:val="Hyperlink"/>
                <w:smallCaps w:val="0"/>
                <w:webHidden/>
                <w:lang w:val="en-US" w:eastAsia="en-US" w:bidi="ar-SA"/>
              </w:rPr>
              <w:instrText xml:space="preserve"> PAGEREF _Toc54030108 \h </w:instrText>
            </w:r>
            <w:r w:rsidR="00A9710D" w:rsidRPr="00A9710D">
              <w:rPr>
                <w:rStyle w:val="Hyperlink"/>
                <w:smallCaps w:val="0"/>
                <w:webHidden/>
                <w:lang w:val="en-US" w:eastAsia="en-US" w:bidi="ar-SA"/>
              </w:rPr>
            </w:r>
            <w:r w:rsidR="00A9710D" w:rsidRPr="00A9710D">
              <w:rPr>
                <w:rStyle w:val="Hyperlink"/>
                <w:smallCaps w:val="0"/>
                <w:webHidden/>
                <w:lang w:val="en-US" w:eastAsia="en-US" w:bidi="ar-SA"/>
              </w:rPr>
              <w:fldChar w:fldCharType="separate"/>
            </w:r>
            <w:r w:rsidR="00A9710D" w:rsidRPr="00A9710D">
              <w:rPr>
                <w:rStyle w:val="Hyperlink"/>
                <w:smallCaps w:val="0"/>
                <w:webHidden/>
                <w:lang w:val="en-US" w:eastAsia="en-US" w:bidi="ar-SA"/>
              </w:rPr>
              <w:t>4</w:t>
            </w:r>
            <w:r w:rsidR="00A9710D" w:rsidRPr="00A9710D">
              <w:rPr>
                <w:rStyle w:val="Hyperlink"/>
                <w:smallCaps w:val="0"/>
                <w:webHidden/>
                <w:lang w:val="en-US" w:eastAsia="en-US" w:bidi="ar-SA"/>
              </w:rPr>
              <w:fldChar w:fldCharType="end"/>
            </w:r>
          </w:hyperlink>
        </w:p>
        <w:p w14:paraId="3F46F0E6" w14:textId="6F0AED65" w:rsidR="00A9710D" w:rsidRDefault="00C9483D" w:rsidP="00A9710D">
          <w:pPr>
            <w:pStyle w:val="TOC1"/>
            <w:rPr>
              <w:rFonts w:asciiTheme="minorHAnsi" w:eastAsiaTheme="minorEastAsia" w:hAnsiTheme="minorHAnsi" w:cstheme="minorBidi"/>
              <w:noProof/>
              <w:sz w:val="22"/>
              <w:szCs w:val="22"/>
              <w:lang w:bidi="ar-SA"/>
            </w:rPr>
          </w:pPr>
          <w:hyperlink w:anchor="_Toc54030109" w:history="1">
            <w:r w:rsidR="00A9710D" w:rsidRPr="005936D5">
              <w:rPr>
                <w:rStyle w:val="Hyperlink"/>
                <w:noProof/>
              </w:rPr>
              <w:t>Ampliación del contenido de la base de datos PLUTO</w:t>
            </w:r>
            <w:r w:rsidR="00A9710D">
              <w:rPr>
                <w:noProof/>
                <w:webHidden/>
              </w:rPr>
              <w:tab/>
            </w:r>
            <w:r w:rsidR="00A9710D">
              <w:rPr>
                <w:noProof/>
                <w:webHidden/>
              </w:rPr>
              <w:fldChar w:fldCharType="begin"/>
            </w:r>
            <w:r w:rsidR="00A9710D">
              <w:rPr>
                <w:noProof/>
                <w:webHidden/>
              </w:rPr>
              <w:instrText xml:space="preserve"> PAGEREF _Toc54030109 \h </w:instrText>
            </w:r>
            <w:r w:rsidR="00A9710D">
              <w:rPr>
                <w:noProof/>
                <w:webHidden/>
              </w:rPr>
            </w:r>
            <w:r w:rsidR="00A9710D">
              <w:rPr>
                <w:noProof/>
                <w:webHidden/>
              </w:rPr>
              <w:fldChar w:fldCharType="separate"/>
            </w:r>
            <w:r w:rsidR="00A9710D">
              <w:rPr>
                <w:noProof/>
                <w:webHidden/>
              </w:rPr>
              <w:t>5</w:t>
            </w:r>
            <w:r w:rsidR="00A9710D">
              <w:rPr>
                <w:noProof/>
                <w:webHidden/>
              </w:rPr>
              <w:fldChar w:fldCharType="end"/>
            </w:r>
          </w:hyperlink>
        </w:p>
        <w:p w14:paraId="1F948717" w14:textId="611DA320" w:rsidR="00A9710D" w:rsidRPr="00A9710D" w:rsidRDefault="00C9483D" w:rsidP="00C9483D">
          <w:pPr>
            <w:pStyle w:val="TOC2"/>
            <w:rPr>
              <w:rStyle w:val="Hyperlink"/>
              <w:lang w:val="en-US" w:eastAsia="en-US"/>
            </w:rPr>
          </w:pPr>
          <w:hyperlink w:anchor="_Toc54030110" w:history="1">
            <w:r w:rsidR="00A9710D" w:rsidRPr="00A9710D">
              <w:rPr>
                <w:rStyle w:val="Hyperlink"/>
                <w:smallCaps w:val="0"/>
                <w:noProof/>
                <w:lang w:val="en-US" w:eastAsia="en-US" w:bidi="ar-SA"/>
              </w:rPr>
              <w:t>Grupo de Trabajo sobre Denominaciones de Variedades en 2019</w:t>
            </w:r>
            <w:r w:rsidR="00A9710D" w:rsidRPr="00A9710D">
              <w:rPr>
                <w:rStyle w:val="Hyperlink"/>
                <w:smallCaps w:val="0"/>
                <w:webHidden/>
                <w:lang w:val="en-US" w:eastAsia="en-US" w:bidi="ar-SA"/>
              </w:rPr>
              <w:tab/>
            </w:r>
            <w:r w:rsidR="00A9710D" w:rsidRPr="00A9710D">
              <w:rPr>
                <w:rStyle w:val="Hyperlink"/>
                <w:smallCaps w:val="0"/>
                <w:webHidden/>
                <w:lang w:val="en-US" w:eastAsia="en-US" w:bidi="ar-SA"/>
              </w:rPr>
              <w:fldChar w:fldCharType="begin"/>
            </w:r>
            <w:r w:rsidR="00A9710D" w:rsidRPr="00A9710D">
              <w:rPr>
                <w:rStyle w:val="Hyperlink"/>
                <w:smallCaps w:val="0"/>
                <w:webHidden/>
                <w:lang w:val="en-US" w:eastAsia="en-US" w:bidi="ar-SA"/>
              </w:rPr>
              <w:instrText xml:space="preserve"> PAGEREF _Toc54030110 \h </w:instrText>
            </w:r>
            <w:r w:rsidR="00A9710D" w:rsidRPr="00A9710D">
              <w:rPr>
                <w:rStyle w:val="Hyperlink"/>
                <w:smallCaps w:val="0"/>
                <w:webHidden/>
                <w:lang w:val="en-US" w:eastAsia="en-US" w:bidi="ar-SA"/>
              </w:rPr>
            </w:r>
            <w:r w:rsidR="00A9710D" w:rsidRPr="00A9710D">
              <w:rPr>
                <w:rStyle w:val="Hyperlink"/>
                <w:smallCaps w:val="0"/>
                <w:webHidden/>
                <w:lang w:val="en-US" w:eastAsia="en-US" w:bidi="ar-SA"/>
              </w:rPr>
              <w:fldChar w:fldCharType="separate"/>
            </w:r>
            <w:r w:rsidR="00A9710D" w:rsidRPr="00A9710D">
              <w:rPr>
                <w:rStyle w:val="Hyperlink"/>
                <w:smallCaps w:val="0"/>
                <w:webHidden/>
                <w:lang w:val="en-US" w:eastAsia="en-US" w:bidi="ar-SA"/>
              </w:rPr>
              <w:t>5</w:t>
            </w:r>
            <w:r w:rsidR="00A9710D" w:rsidRPr="00A9710D">
              <w:rPr>
                <w:rStyle w:val="Hyperlink"/>
                <w:smallCaps w:val="0"/>
                <w:webHidden/>
                <w:lang w:val="en-US" w:eastAsia="en-US" w:bidi="ar-SA"/>
              </w:rPr>
              <w:fldChar w:fldCharType="end"/>
            </w:r>
          </w:hyperlink>
        </w:p>
        <w:p w14:paraId="200F4789" w14:textId="3303A89F" w:rsidR="00A9710D" w:rsidRPr="00A9710D" w:rsidRDefault="00C9483D" w:rsidP="00C9483D">
          <w:pPr>
            <w:pStyle w:val="TOC2"/>
            <w:rPr>
              <w:rStyle w:val="Hyperlink"/>
              <w:lang w:val="en-US" w:eastAsia="en-US"/>
            </w:rPr>
          </w:pPr>
          <w:hyperlink w:anchor="_Toc54030111" w:history="1">
            <w:r w:rsidR="00A9710D" w:rsidRPr="00A9710D">
              <w:rPr>
                <w:rStyle w:val="Hyperlink"/>
                <w:smallCaps w:val="0"/>
                <w:noProof/>
                <w:lang w:val="en-US" w:eastAsia="en-US" w:bidi="ar-SA"/>
              </w:rPr>
              <w:t>Comité Administrativo y Jurídico en 2019</w:t>
            </w:r>
            <w:r w:rsidR="00A9710D" w:rsidRPr="00A9710D">
              <w:rPr>
                <w:rStyle w:val="Hyperlink"/>
                <w:smallCaps w:val="0"/>
                <w:webHidden/>
                <w:lang w:val="en-US" w:eastAsia="en-US" w:bidi="ar-SA"/>
              </w:rPr>
              <w:tab/>
            </w:r>
            <w:r w:rsidR="00A9710D" w:rsidRPr="00A9710D">
              <w:rPr>
                <w:rStyle w:val="Hyperlink"/>
                <w:smallCaps w:val="0"/>
                <w:webHidden/>
                <w:lang w:val="en-US" w:eastAsia="en-US" w:bidi="ar-SA"/>
              </w:rPr>
              <w:fldChar w:fldCharType="begin"/>
            </w:r>
            <w:r w:rsidR="00A9710D" w:rsidRPr="00A9710D">
              <w:rPr>
                <w:rStyle w:val="Hyperlink"/>
                <w:smallCaps w:val="0"/>
                <w:webHidden/>
                <w:lang w:val="en-US" w:eastAsia="en-US" w:bidi="ar-SA"/>
              </w:rPr>
              <w:instrText xml:space="preserve"> PAGEREF _Toc54030111 \h </w:instrText>
            </w:r>
            <w:r w:rsidR="00A9710D" w:rsidRPr="00A9710D">
              <w:rPr>
                <w:rStyle w:val="Hyperlink"/>
                <w:smallCaps w:val="0"/>
                <w:webHidden/>
                <w:lang w:val="en-US" w:eastAsia="en-US" w:bidi="ar-SA"/>
              </w:rPr>
            </w:r>
            <w:r w:rsidR="00A9710D" w:rsidRPr="00A9710D">
              <w:rPr>
                <w:rStyle w:val="Hyperlink"/>
                <w:smallCaps w:val="0"/>
                <w:webHidden/>
                <w:lang w:val="en-US" w:eastAsia="en-US" w:bidi="ar-SA"/>
              </w:rPr>
              <w:fldChar w:fldCharType="separate"/>
            </w:r>
            <w:r w:rsidR="00A9710D" w:rsidRPr="00A9710D">
              <w:rPr>
                <w:rStyle w:val="Hyperlink"/>
                <w:smallCaps w:val="0"/>
                <w:webHidden/>
                <w:lang w:val="en-US" w:eastAsia="en-US" w:bidi="ar-SA"/>
              </w:rPr>
              <w:t>5</w:t>
            </w:r>
            <w:r w:rsidR="00A9710D" w:rsidRPr="00A9710D">
              <w:rPr>
                <w:rStyle w:val="Hyperlink"/>
                <w:smallCaps w:val="0"/>
                <w:webHidden/>
                <w:lang w:val="en-US" w:eastAsia="en-US" w:bidi="ar-SA"/>
              </w:rPr>
              <w:fldChar w:fldCharType="end"/>
            </w:r>
          </w:hyperlink>
        </w:p>
        <w:p w14:paraId="053825DE" w14:textId="3E150C53" w:rsidR="00A9710D" w:rsidRDefault="00C9483D" w:rsidP="00A9710D">
          <w:pPr>
            <w:pStyle w:val="TOC1"/>
            <w:rPr>
              <w:rFonts w:asciiTheme="minorHAnsi" w:eastAsiaTheme="minorEastAsia" w:hAnsiTheme="minorHAnsi" w:cstheme="minorBidi"/>
              <w:noProof/>
              <w:sz w:val="22"/>
              <w:szCs w:val="22"/>
              <w:lang w:bidi="ar-SA"/>
            </w:rPr>
          </w:pPr>
          <w:hyperlink w:anchor="_Toc54030112" w:history="1">
            <w:r w:rsidR="00A9710D" w:rsidRPr="005936D5">
              <w:rPr>
                <w:rStyle w:val="Hyperlink"/>
                <w:noProof/>
              </w:rPr>
              <w:t>Grupo de Trabajo sobre Denominaciones de Variedades</w:t>
            </w:r>
            <w:r w:rsidR="00A9710D">
              <w:rPr>
                <w:noProof/>
                <w:webHidden/>
              </w:rPr>
              <w:tab/>
            </w:r>
            <w:r w:rsidR="00A9710D">
              <w:rPr>
                <w:noProof/>
                <w:webHidden/>
              </w:rPr>
              <w:fldChar w:fldCharType="begin"/>
            </w:r>
            <w:r w:rsidR="00A9710D">
              <w:rPr>
                <w:noProof/>
                <w:webHidden/>
              </w:rPr>
              <w:instrText xml:space="preserve"> PAGEREF _Toc54030112 \h </w:instrText>
            </w:r>
            <w:r w:rsidR="00A9710D">
              <w:rPr>
                <w:noProof/>
                <w:webHidden/>
              </w:rPr>
            </w:r>
            <w:r w:rsidR="00A9710D">
              <w:rPr>
                <w:noProof/>
                <w:webHidden/>
              </w:rPr>
              <w:fldChar w:fldCharType="separate"/>
            </w:r>
            <w:r w:rsidR="00A9710D">
              <w:rPr>
                <w:noProof/>
                <w:webHidden/>
              </w:rPr>
              <w:t>5</w:t>
            </w:r>
            <w:r w:rsidR="00A9710D">
              <w:rPr>
                <w:noProof/>
                <w:webHidden/>
              </w:rPr>
              <w:fldChar w:fldCharType="end"/>
            </w:r>
          </w:hyperlink>
        </w:p>
        <w:p w14:paraId="0C49DD53" w14:textId="561179FB" w:rsidR="00AF34A3" w:rsidRDefault="00AF34A3" w:rsidP="00A9710D">
          <w:pPr>
            <w:pStyle w:val="TOC1"/>
            <w:rPr>
              <w:rFonts w:asciiTheme="minorHAnsi" w:eastAsiaTheme="minorEastAsia" w:hAnsiTheme="minorHAnsi" w:cstheme="minorBidi"/>
              <w:noProof/>
              <w:sz w:val="22"/>
              <w:szCs w:val="22"/>
            </w:rPr>
          </w:pPr>
          <w:r>
            <w:fldChar w:fldCharType="end"/>
          </w:r>
        </w:p>
      </w:sdtContent>
    </w:sdt>
    <w:p w14:paraId="08BC7254" w14:textId="77777777" w:rsidR="00AF34A3" w:rsidRPr="000D7945" w:rsidRDefault="00AF34A3" w:rsidP="00AF34A3"/>
    <w:p w14:paraId="407AA455" w14:textId="77777777" w:rsidR="00AF34A3" w:rsidRPr="000D7945" w:rsidRDefault="00AF34A3" w:rsidP="00AF34A3">
      <w:pPr>
        <w:pStyle w:val="Heading1"/>
        <w:rPr>
          <w:rFonts w:eastAsiaTheme="minorEastAsia"/>
        </w:rPr>
      </w:pPr>
      <w:bookmarkStart w:id="7" w:name="_Toc477358703"/>
      <w:bookmarkStart w:id="8" w:name="_Toc52996360"/>
      <w:bookmarkStart w:id="9" w:name="_Toc54030103"/>
      <w:r>
        <w:t>POSIBLE REVISIÓN DEL DOCUMENTO UPOV/INF/12 “NOTAS EXPLICATIVAS SOBRE LAS DENOMINACIONES DE VARIEDADES CON ARREGLO AL CONVENIO DE LA UPOV”</w:t>
      </w:r>
      <w:bookmarkEnd w:id="7"/>
      <w:bookmarkEnd w:id="8"/>
      <w:bookmarkEnd w:id="9"/>
    </w:p>
    <w:p w14:paraId="3BFF23FA" w14:textId="77777777" w:rsidR="00AF34A3" w:rsidRDefault="00AF34A3" w:rsidP="00AF34A3">
      <w:pPr>
        <w:pStyle w:val="Heading2"/>
      </w:pPr>
    </w:p>
    <w:p w14:paraId="4613F228" w14:textId="3D81BE0A" w:rsidR="00AF34A3" w:rsidRPr="00AF34A3" w:rsidRDefault="00AF34A3" w:rsidP="00AF34A3">
      <w:r>
        <w:fldChar w:fldCharType="begin"/>
      </w:r>
      <w:r w:rsidRPr="00AF34A3">
        <w:instrText xml:space="preserve"> AUTONUM  </w:instrText>
      </w:r>
      <w:r>
        <w:fldChar w:fldCharType="end"/>
      </w:r>
      <w:r>
        <w:tab/>
        <w:t>Las cuestiones sujetas al examen del Comité Técnico referidas a la revisión del documento</w:t>
      </w:r>
      <w:r w:rsidR="00A9710D">
        <w:t> </w:t>
      </w:r>
      <w:r>
        <w:t>UPOV/INF/12 “Notas explicativas sobre las denominaciones de variedades con arreglo al Convenio de la</w:t>
      </w:r>
      <w:r w:rsidR="00A9710D">
        <w:t> </w:t>
      </w:r>
      <w:r>
        <w:t>UPOV” se exponen en el documento TC/56/4 Rev. “Elaboración de orientaciones y material de información: asuntos sujetos a aprobación por el Consejo en 2020”. A título informativo se exponen las siguientes cuestiones.</w:t>
      </w:r>
    </w:p>
    <w:p w14:paraId="063DB530" w14:textId="77777777" w:rsidR="00AF34A3" w:rsidRPr="00AF34A3" w:rsidRDefault="00AF34A3" w:rsidP="00AF34A3"/>
    <w:p w14:paraId="085C9EF3" w14:textId="77777777" w:rsidR="00AF34A3" w:rsidRPr="00AF34A3" w:rsidRDefault="00AF34A3" w:rsidP="00AF34A3"/>
    <w:p w14:paraId="644A7FB4" w14:textId="77777777" w:rsidR="00AF34A3" w:rsidRDefault="00AF34A3" w:rsidP="00AF34A3">
      <w:pPr>
        <w:pStyle w:val="Heading2"/>
        <w:rPr>
          <w:rFonts w:eastAsiaTheme="minorEastAsia"/>
        </w:rPr>
      </w:pPr>
      <w:bookmarkStart w:id="10" w:name="_Toc52996361"/>
      <w:bookmarkStart w:id="11" w:name="_Toc54030104"/>
      <w:r>
        <w:lastRenderedPageBreak/>
        <w:t>Grupo de Trabajo sobre Denominaciones de Variedades</w:t>
      </w:r>
      <w:bookmarkEnd w:id="10"/>
      <w:bookmarkEnd w:id="11"/>
    </w:p>
    <w:p w14:paraId="19121BC5" w14:textId="77777777" w:rsidR="00AF34A3" w:rsidRPr="00AF34A3" w:rsidRDefault="00AF34A3" w:rsidP="00AF34A3"/>
    <w:p w14:paraId="66C02650" w14:textId="77777777" w:rsidR="00AF34A3" w:rsidRPr="00AF34A3" w:rsidRDefault="00AF34A3" w:rsidP="00AF34A3">
      <w:pPr>
        <w:rPr>
          <w:rFonts w:eastAsiaTheme="minorEastAsia"/>
          <w:spacing w:val="-2"/>
        </w:rPr>
      </w:pPr>
      <w:r w:rsidRPr="000D7945">
        <w:rPr>
          <w:rFonts w:cs="Arial"/>
          <w:snapToGrid w:val="0"/>
        </w:rPr>
        <w:fldChar w:fldCharType="begin"/>
      </w:r>
      <w:r w:rsidRPr="00AF34A3">
        <w:rPr>
          <w:rFonts w:cs="Arial"/>
          <w:snapToGrid w:val="0"/>
        </w:rPr>
        <w:instrText xml:space="preserve"> AUTONUM  </w:instrText>
      </w:r>
      <w:r w:rsidRPr="000D7945">
        <w:rPr>
          <w:rFonts w:cs="Arial"/>
          <w:snapToGrid w:val="0"/>
        </w:rPr>
        <w:fldChar w:fldCharType="end"/>
      </w:r>
      <w:r>
        <w:tab/>
        <w:t>En su sexta reunión, celebrada en Ginebra, el 29 de octubre de 2019, el Grupo de Trabajo sobre Denominaciones de Variedades (WG-DEN) examinó los documentos UPOV/WG-DEN/6/2 “</w:t>
      </w:r>
      <w:proofErr w:type="spellStart"/>
      <w:r>
        <w:rPr>
          <w:i/>
        </w:rPr>
        <w:t>Revision</w:t>
      </w:r>
      <w:proofErr w:type="spellEnd"/>
      <w:r>
        <w:rPr>
          <w:i/>
        </w:rPr>
        <w:t xml:space="preserve"> of </w:t>
      </w:r>
      <w:proofErr w:type="spellStart"/>
      <w:r>
        <w:rPr>
          <w:i/>
        </w:rPr>
        <w:t>Document</w:t>
      </w:r>
      <w:proofErr w:type="spellEnd"/>
      <w:r>
        <w:rPr>
          <w:i/>
        </w:rPr>
        <w:t xml:space="preserve"> UPOV/INF/12/5 ‘</w:t>
      </w:r>
      <w:proofErr w:type="spellStart"/>
      <w:r>
        <w:rPr>
          <w:i/>
        </w:rPr>
        <w:t>Explanatory</w:t>
      </w:r>
      <w:proofErr w:type="spellEnd"/>
      <w:r>
        <w:rPr>
          <w:i/>
        </w:rPr>
        <w:t xml:space="preserve"> Notes </w:t>
      </w:r>
      <w:proofErr w:type="spellStart"/>
      <w:r>
        <w:rPr>
          <w:i/>
        </w:rPr>
        <w:t>on</w:t>
      </w:r>
      <w:proofErr w:type="spellEnd"/>
      <w:r>
        <w:rPr>
          <w:i/>
        </w:rPr>
        <w:t xml:space="preserve"> </w:t>
      </w:r>
      <w:proofErr w:type="spellStart"/>
      <w:r>
        <w:rPr>
          <w:i/>
        </w:rPr>
        <w:t>Variety</w:t>
      </w:r>
      <w:proofErr w:type="spellEnd"/>
      <w:r>
        <w:rPr>
          <w:i/>
        </w:rPr>
        <w:t xml:space="preserve"> </w:t>
      </w:r>
      <w:proofErr w:type="spellStart"/>
      <w:r>
        <w:rPr>
          <w:i/>
        </w:rPr>
        <w:t>Denominations</w:t>
      </w:r>
      <w:proofErr w:type="spellEnd"/>
      <w:r>
        <w:rPr>
          <w:i/>
        </w:rPr>
        <w:t xml:space="preserve"> </w:t>
      </w:r>
      <w:proofErr w:type="spellStart"/>
      <w:r>
        <w:rPr>
          <w:i/>
        </w:rPr>
        <w:t>under</w:t>
      </w:r>
      <w:proofErr w:type="spellEnd"/>
      <w:r>
        <w:rPr>
          <w:i/>
        </w:rPr>
        <w:t xml:space="preserve"> the UPOV </w:t>
      </w:r>
      <w:proofErr w:type="spellStart"/>
      <w:r>
        <w:rPr>
          <w:i/>
        </w:rPr>
        <w:t>Convention</w:t>
      </w:r>
      <w:proofErr w:type="spellEnd"/>
      <w:r>
        <w:t>’” (Revisión del UPOV/INF/12/5 “Notas explicativas sobre las denominaciones de variedades con arreglo al Convenio de la UPOV”) y UPOV/EXN/DEN/1 </w:t>
      </w:r>
      <w:proofErr w:type="spellStart"/>
      <w:r>
        <w:t>Draft</w:t>
      </w:r>
      <w:proofErr w:type="spellEnd"/>
      <w:r>
        <w:t xml:space="preserve"> 2 “Notas explicativas sobre las denominaciones de variedades con arreglo al Convenio de la UPOV”) y expresó su acuerdo con el texto propuesto en el documento UPOV/EXN/DEN/1 </w:t>
      </w:r>
      <w:proofErr w:type="spellStart"/>
      <w:r>
        <w:t>Draft</w:t>
      </w:r>
      <w:proofErr w:type="spellEnd"/>
      <w:r>
        <w:t xml:space="preserve"> 2, a reserva de la introducción de las modificaciones siguientes:</w:t>
      </w:r>
    </w:p>
    <w:p w14:paraId="748AAB6B" w14:textId="77777777" w:rsidR="00AF34A3" w:rsidRPr="00AF34A3" w:rsidRDefault="00AF34A3" w:rsidP="00AF34A3">
      <w:pPr>
        <w:rPr>
          <w:rFonts w:eastAsiaTheme="minorEastAsia"/>
          <w:spacing w:val="-2"/>
        </w:rPr>
      </w:pPr>
    </w:p>
    <w:p w14:paraId="06DF1858" w14:textId="77777777" w:rsidR="00AF34A3" w:rsidRPr="00AF34A3" w:rsidRDefault="00AF34A3" w:rsidP="00AF34A3">
      <w:pPr>
        <w:ind w:left="1701" w:hanging="1701"/>
        <w:rPr>
          <w:rFonts w:eastAsiaTheme="minorEastAsia"/>
          <w:spacing w:val="-2"/>
        </w:rPr>
      </w:pPr>
      <w:r>
        <w:t xml:space="preserve">Sección 2.3.1.d): suprimir el siguiente ejemplo de denominación adecuada: </w:t>
      </w:r>
    </w:p>
    <w:p w14:paraId="37B58DCF" w14:textId="77777777" w:rsidR="00AF34A3" w:rsidRPr="00AF34A3" w:rsidRDefault="00AF34A3" w:rsidP="00AF34A3">
      <w:pPr>
        <w:ind w:left="1701" w:hanging="1701"/>
        <w:rPr>
          <w:rFonts w:eastAsiaTheme="minorEastAsia"/>
          <w:spacing w:val="-2"/>
        </w:rPr>
      </w:pPr>
    </w:p>
    <w:p w14:paraId="4B0E0D9F" w14:textId="77777777" w:rsidR="00AF34A3" w:rsidRPr="00AF34A3" w:rsidRDefault="00AF34A3" w:rsidP="00AF34A3">
      <w:pPr>
        <w:ind w:left="1560" w:hanging="1560"/>
        <w:rPr>
          <w:rFonts w:eastAsiaTheme="minorEastAsia"/>
          <w:spacing w:val="-2"/>
        </w:rPr>
      </w:pPr>
      <w:r>
        <w:tab/>
      </w:r>
      <w:r>
        <w:rPr>
          <w:rFonts w:eastAsiaTheme="minorEastAsia"/>
          <w:spacing w:val="-2"/>
          <w:sz w:val="18"/>
        </w:rPr>
        <w:t>“</w:t>
      </w:r>
      <w:proofErr w:type="spellStart"/>
      <w:r>
        <w:rPr>
          <w:rFonts w:eastAsiaTheme="minorEastAsia"/>
          <w:i/>
          <w:spacing w:val="-2"/>
          <w:sz w:val="18"/>
        </w:rPr>
        <w:t>Prunus</w:t>
      </w:r>
      <w:proofErr w:type="spellEnd"/>
      <w:r>
        <w:rPr>
          <w:rFonts w:eastAsiaTheme="minorEastAsia"/>
          <w:i/>
          <w:spacing w:val="-2"/>
          <w:sz w:val="18"/>
        </w:rPr>
        <w:t xml:space="preserve"> </w:t>
      </w:r>
      <w:r>
        <w:rPr>
          <w:rFonts w:eastAsiaTheme="minorEastAsia"/>
          <w:spacing w:val="-2"/>
          <w:sz w:val="18"/>
        </w:rPr>
        <w:t>‘Sato-</w:t>
      </w:r>
      <w:proofErr w:type="spellStart"/>
      <w:r>
        <w:rPr>
          <w:rFonts w:eastAsiaTheme="minorEastAsia"/>
          <w:spacing w:val="-2"/>
          <w:sz w:val="18"/>
        </w:rPr>
        <w:t>zakura</w:t>
      </w:r>
      <w:proofErr w:type="spellEnd"/>
      <w:r>
        <w:rPr>
          <w:rFonts w:eastAsiaTheme="minorEastAsia"/>
          <w:spacing w:val="-2"/>
          <w:sz w:val="18"/>
        </w:rPr>
        <w:t>’ (‘</w:t>
      </w:r>
      <w:proofErr w:type="spellStart"/>
      <w:r>
        <w:rPr>
          <w:rFonts w:eastAsiaTheme="minorEastAsia"/>
          <w:spacing w:val="-2"/>
          <w:sz w:val="18"/>
        </w:rPr>
        <w:t>Zakura</w:t>
      </w:r>
      <w:proofErr w:type="spellEnd"/>
      <w:r>
        <w:rPr>
          <w:rFonts w:eastAsiaTheme="minorEastAsia"/>
          <w:spacing w:val="-2"/>
          <w:sz w:val="18"/>
        </w:rPr>
        <w:t>’ significa ‘cerezo en flor’ en japonés, pero no es el nombre de todo el género)”</w:t>
      </w:r>
      <w:r>
        <w:t>;</w:t>
      </w:r>
    </w:p>
    <w:p w14:paraId="752D7B47" w14:textId="77777777" w:rsidR="00AF34A3" w:rsidRPr="00AF34A3" w:rsidRDefault="00AF34A3" w:rsidP="00AF34A3">
      <w:pPr>
        <w:rPr>
          <w:rFonts w:eastAsiaTheme="minorEastAsia"/>
          <w:spacing w:val="-2"/>
        </w:rPr>
      </w:pPr>
    </w:p>
    <w:p w14:paraId="6CDF4FEC" w14:textId="77777777" w:rsidR="00AF34A3" w:rsidRPr="00AF34A3" w:rsidRDefault="00AF34A3" w:rsidP="00AF34A3">
      <w:pPr>
        <w:ind w:left="1701" w:hanging="1701"/>
        <w:rPr>
          <w:rFonts w:eastAsiaTheme="minorEastAsia"/>
          <w:spacing w:val="-2"/>
        </w:rPr>
      </w:pPr>
      <w:r>
        <w:t xml:space="preserve">Sección 2.3.3.a): el texto debe ser el siguiente: </w:t>
      </w:r>
    </w:p>
    <w:p w14:paraId="4E09F7C3" w14:textId="77777777" w:rsidR="00AF34A3" w:rsidRPr="00AF34A3" w:rsidRDefault="00AF34A3" w:rsidP="00AF34A3">
      <w:pPr>
        <w:ind w:left="1701" w:hanging="1701"/>
        <w:rPr>
          <w:rFonts w:eastAsiaTheme="minorEastAsia"/>
          <w:spacing w:val="-2"/>
        </w:rPr>
      </w:pPr>
    </w:p>
    <w:p w14:paraId="6F72C463" w14:textId="77777777" w:rsidR="00AF34A3" w:rsidRPr="00AF34A3" w:rsidRDefault="00AF34A3" w:rsidP="00AF34A3">
      <w:pPr>
        <w:ind w:left="1560" w:hanging="1560"/>
        <w:rPr>
          <w:rFonts w:eastAsiaTheme="minorEastAsia"/>
          <w:spacing w:val="-2"/>
        </w:rPr>
      </w:pPr>
      <w:r>
        <w:tab/>
      </w:r>
      <w:r>
        <w:rPr>
          <w:rFonts w:eastAsiaTheme="minorEastAsia"/>
          <w:spacing w:val="-2"/>
          <w:sz w:val="18"/>
        </w:rPr>
        <w:t>“Una diferencia de solo una letra o un número podrá considerarse susceptible de inducir en error o prestarse a confusión en relación con la identidad de la variedad. Sin embargo, los casos siguientes, en los que la diferencia es de solo una letra o un número, podrán considerarse no susceptibles de inducir en error o prestarse a confusión: […]”;</w:t>
      </w:r>
    </w:p>
    <w:p w14:paraId="20E4EDEC" w14:textId="77777777" w:rsidR="00AF34A3" w:rsidRPr="00AF34A3" w:rsidRDefault="00AF34A3" w:rsidP="00AF34A3">
      <w:pPr>
        <w:rPr>
          <w:rFonts w:eastAsiaTheme="minorEastAsia"/>
          <w:spacing w:val="-2"/>
        </w:rPr>
      </w:pPr>
    </w:p>
    <w:p w14:paraId="09883634" w14:textId="77777777" w:rsidR="00AF34A3" w:rsidRPr="00AF34A3" w:rsidRDefault="00AF34A3" w:rsidP="00AF34A3">
      <w:pPr>
        <w:ind w:left="1701" w:hanging="1701"/>
        <w:rPr>
          <w:rFonts w:eastAsiaTheme="minorEastAsia"/>
          <w:spacing w:val="-2"/>
        </w:rPr>
      </w:pPr>
      <w:r>
        <w:t xml:space="preserve">Sección 2.3.4.b): el texto debe ser el siguiente: </w:t>
      </w:r>
    </w:p>
    <w:p w14:paraId="49941699" w14:textId="77777777" w:rsidR="00AF34A3" w:rsidRPr="00AF34A3" w:rsidRDefault="00AF34A3" w:rsidP="00AF34A3">
      <w:pPr>
        <w:ind w:left="1701" w:hanging="1701"/>
        <w:rPr>
          <w:rFonts w:eastAsiaTheme="minorEastAsia"/>
          <w:spacing w:val="-2"/>
        </w:rPr>
      </w:pPr>
    </w:p>
    <w:p w14:paraId="5133BDC7" w14:textId="77777777" w:rsidR="00AF34A3" w:rsidRPr="00AF34A3" w:rsidRDefault="00AF34A3" w:rsidP="00AF34A3">
      <w:pPr>
        <w:ind w:left="1560" w:hanging="1560"/>
        <w:rPr>
          <w:rFonts w:eastAsiaTheme="minorEastAsia"/>
          <w:spacing w:val="-2"/>
          <w:sz w:val="18"/>
          <w:szCs w:val="18"/>
          <w:u w:val="single"/>
        </w:rPr>
      </w:pPr>
      <w:r>
        <w:tab/>
      </w:r>
      <w:r>
        <w:rPr>
          <w:rFonts w:eastAsiaTheme="minorEastAsia"/>
          <w:spacing w:val="-2"/>
          <w:sz w:val="18"/>
        </w:rPr>
        <w:t>“Un formato, una estructura o una combinación de palabras pueden llegar a asociarse a un obtentor por uso y costumbre. No obstante, para que se asocie a un obtentor, es necesario que incluya una palabra corriente, un prefijo o un sufijo. En ese caso, la autoridad podrá considerar que la utilización de ese formato, estructura o combinación de palabras por otro obtentor para denominaciones de variedades puede inducir a error o prestarse a confusión en cuanto a la identidad del obtentor;</w:t>
      </w:r>
    </w:p>
    <w:p w14:paraId="49045F19" w14:textId="77777777" w:rsidR="00AF34A3" w:rsidRPr="00AF34A3" w:rsidRDefault="00AF34A3" w:rsidP="00AF34A3">
      <w:pPr>
        <w:rPr>
          <w:rFonts w:eastAsiaTheme="minorEastAsia"/>
          <w:spacing w:val="-2"/>
          <w:sz w:val="18"/>
          <w:szCs w:val="18"/>
          <w:u w:val="single"/>
        </w:rPr>
      </w:pPr>
    </w:p>
    <w:p w14:paraId="47C119D3" w14:textId="77777777" w:rsidR="00AF34A3" w:rsidRPr="00AF34A3" w:rsidRDefault="00AF34A3" w:rsidP="00AF34A3">
      <w:pPr>
        <w:ind w:left="1560" w:hanging="1560"/>
        <w:rPr>
          <w:rFonts w:eastAsiaTheme="minorEastAsia"/>
          <w:spacing w:val="-2"/>
          <w:sz w:val="18"/>
          <w:szCs w:val="18"/>
        </w:rPr>
      </w:pPr>
      <w:r>
        <w:tab/>
      </w:r>
      <w:r>
        <w:rPr>
          <w:rFonts w:eastAsiaTheme="minorEastAsia"/>
          <w:i/>
          <w:spacing w:val="-2"/>
          <w:sz w:val="18"/>
        </w:rPr>
        <w:t>Ejemplos de denominaciones inadecuadas</w:t>
      </w:r>
      <w:r>
        <w:rPr>
          <w:rFonts w:eastAsiaTheme="minorEastAsia"/>
          <w:spacing w:val="-2"/>
          <w:sz w:val="18"/>
        </w:rPr>
        <w:t>: ‘ABC rojo’ propuesta por un obtentor (obtentor 2) cuando ‘ABC terciopelo’, ‘ABC estrella’ y ‘ABC verde’ están registradas por otro obtentor (obtentor 1).”</w:t>
      </w:r>
    </w:p>
    <w:p w14:paraId="56088207" w14:textId="77777777" w:rsidR="00AF34A3" w:rsidRPr="00AF34A3" w:rsidRDefault="00AF34A3" w:rsidP="00AF34A3">
      <w:pPr>
        <w:rPr>
          <w:rFonts w:eastAsiaTheme="minorEastAsia"/>
          <w:spacing w:val="-2"/>
        </w:rPr>
      </w:pPr>
    </w:p>
    <w:p w14:paraId="1F71203C" w14:textId="77777777" w:rsidR="00AF34A3" w:rsidRPr="00AF34A3" w:rsidRDefault="00AF34A3" w:rsidP="00AF34A3">
      <w:pPr>
        <w:rPr>
          <w:rFonts w:eastAsiaTheme="minorEastAsia"/>
          <w:spacing w:val="-2"/>
        </w:rPr>
      </w:pPr>
      <w:r>
        <w:t>Sección 5.3.a): aclarar el texto siguiente:</w:t>
      </w:r>
    </w:p>
    <w:p w14:paraId="51EE6188" w14:textId="77777777" w:rsidR="00AF34A3" w:rsidRPr="00AF34A3" w:rsidRDefault="00AF34A3" w:rsidP="00AF34A3">
      <w:pPr>
        <w:rPr>
          <w:rFonts w:eastAsiaTheme="minorEastAsia"/>
          <w:spacing w:val="-2"/>
        </w:rPr>
      </w:pPr>
    </w:p>
    <w:p w14:paraId="4120800A" w14:textId="77777777" w:rsidR="00AF34A3" w:rsidRPr="00AF34A3" w:rsidRDefault="00AF34A3" w:rsidP="00AF34A3">
      <w:pPr>
        <w:ind w:left="1560" w:hanging="142"/>
        <w:rPr>
          <w:rFonts w:eastAsiaTheme="minorEastAsia"/>
          <w:spacing w:val="-2"/>
          <w:sz w:val="18"/>
          <w:szCs w:val="18"/>
        </w:rPr>
      </w:pPr>
      <w:r>
        <w:tab/>
      </w:r>
      <w:r>
        <w:rPr>
          <w:rFonts w:eastAsiaTheme="minorEastAsia"/>
          <w:spacing w:val="-2"/>
          <w:sz w:val="18"/>
        </w:rPr>
        <w:t>“no está conforme con las disposiciones de los párrafos 2) (por ejemplo, la denominación propuesta no es diferente de la denominación de una variedad existente de la misma especie vegetal o de una especie vecina en su territorio) y 4) (por ejemplo, la denominación propuesta es idéntica a la marca registrada para un producto idéntico);”.</w:t>
      </w:r>
    </w:p>
    <w:p w14:paraId="16DCCD1D" w14:textId="77777777" w:rsidR="00AF34A3" w:rsidRPr="00AF34A3" w:rsidRDefault="00AF34A3" w:rsidP="00AF34A3">
      <w:pPr>
        <w:ind w:firstLine="567"/>
        <w:jc w:val="left"/>
        <w:rPr>
          <w:rFonts w:cs="Arial"/>
        </w:rPr>
      </w:pPr>
    </w:p>
    <w:p w14:paraId="2FB57DF8" w14:textId="77777777" w:rsidR="00AF34A3" w:rsidRPr="00AF34A3" w:rsidRDefault="00AF34A3" w:rsidP="00AF34A3">
      <w:pPr>
        <w:rPr>
          <w:rFonts w:cs="Arial"/>
        </w:rPr>
      </w:pPr>
      <w:r w:rsidRPr="00995C53">
        <w:rPr>
          <w:rFonts w:eastAsiaTheme="minorEastAsia"/>
        </w:rPr>
        <w:fldChar w:fldCharType="begin"/>
      </w:r>
      <w:r w:rsidRPr="00AF34A3">
        <w:rPr>
          <w:rFonts w:eastAsiaTheme="minorEastAsia"/>
        </w:rPr>
        <w:instrText xml:space="preserve"> AUTONUM  </w:instrText>
      </w:r>
      <w:r w:rsidRPr="00995C53">
        <w:rPr>
          <w:rFonts w:eastAsiaTheme="minorEastAsia"/>
        </w:rPr>
        <w:fldChar w:fldCharType="end"/>
      </w:r>
      <w:r>
        <w:tab/>
        <w:t>El WG-DEN convino en</w:t>
      </w:r>
      <w:r>
        <w:rPr>
          <w:rFonts w:eastAsiaTheme="minorEastAsia"/>
          <w:color w:val="000000"/>
        </w:rPr>
        <w:t xml:space="preserve"> </w:t>
      </w:r>
      <w:r>
        <w:t>que un proyecto del documento UPOV/EXN/DEN/1 se debe someter a la aprobación del Comité Administrativo y Jurídico </w:t>
      </w:r>
      <w:r>
        <w:rPr>
          <w:rFonts w:eastAsiaTheme="minorEastAsia"/>
          <w:color w:val="000000"/>
        </w:rPr>
        <w:t>(CAJ)</w:t>
      </w:r>
      <w:r>
        <w:t xml:space="preserve">, con arreglo a lo expuesto en los párrafos anteriores. </w:t>
      </w:r>
    </w:p>
    <w:p w14:paraId="60AE61EB" w14:textId="77777777" w:rsidR="00AF34A3" w:rsidRPr="00AF34A3" w:rsidRDefault="00AF34A3" w:rsidP="00AF34A3"/>
    <w:p w14:paraId="1CEF5182" w14:textId="77777777" w:rsidR="00AF34A3" w:rsidRPr="00AF34A3" w:rsidRDefault="00AF34A3" w:rsidP="00AF34A3"/>
    <w:p w14:paraId="2416B99A" w14:textId="77777777" w:rsidR="00AF34A3" w:rsidRPr="003E6A0B" w:rsidRDefault="00AF34A3" w:rsidP="00AF34A3">
      <w:pPr>
        <w:pStyle w:val="Heading2"/>
      </w:pPr>
      <w:bookmarkStart w:id="12" w:name="_Toc15481361"/>
      <w:bookmarkStart w:id="13" w:name="_Toc52996362"/>
      <w:bookmarkStart w:id="14" w:name="_Toc54030105"/>
      <w:r>
        <w:t>Comité Administrativo y Jurídico</w:t>
      </w:r>
      <w:bookmarkEnd w:id="12"/>
      <w:bookmarkEnd w:id="13"/>
      <w:bookmarkEnd w:id="14"/>
    </w:p>
    <w:p w14:paraId="16DB0677" w14:textId="77777777" w:rsidR="00AF34A3" w:rsidRPr="00AF34A3" w:rsidRDefault="00AF34A3" w:rsidP="00AF34A3">
      <w:pPr>
        <w:keepNext/>
      </w:pPr>
    </w:p>
    <w:p w14:paraId="6B93BB93" w14:textId="475E8D09" w:rsidR="00AF34A3" w:rsidRPr="00AF34A3" w:rsidRDefault="00AF34A3" w:rsidP="00AF34A3">
      <w:pPr>
        <w:keepNext/>
      </w:pPr>
      <w:r w:rsidRPr="005D76BF">
        <w:rPr>
          <w:rFonts w:eastAsiaTheme="minorEastAsia"/>
          <w:snapToGrid w:val="0"/>
        </w:rPr>
        <w:fldChar w:fldCharType="begin"/>
      </w:r>
      <w:r w:rsidRPr="00AF34A3">
        <w:rPr>
          <w:rFonts w:eastAsiaTheme="minorEastAsia"/>
          <w:snapToGrid w:val="0"/>
        </w:rPr>
        <w:instrText xml:space="preserve"> AUTONUM  </w:instrText>
      </w:r>
      <w:r w:rsidRPr="005D76BF">
        <w:rPr>
          <w:rFonts w:eastAsiaTheme="minorEastAsia"/>
          <w:snapToGrid w:val="0"/>
        </w:rPr>
        <w:fldChar w:fldCharType="end"/>
      </w:r>
      <w:r>
        <w:tab/>
        <w:t xml:space="preserve">En su septuagésima sexta sesión, el CAJ examinó los documentos CAJ/76/6 “Denominaciones de variedades” y CAJ/76/6 </w:t>
      </w:r>
      <w:proofErr w:type="spellStart"/>
      <w:r>
        <w:t>Add</w:t>
      </w:r>
      <w:proofErr w:type="spellEnd"/>
      <w:r>
        <w:t xml:space="preserve">. El CAJ tomó nota de que en el documento CAJ/76/6 </w:t>
      </w:r>
      <w:proofErr w:type="spellStart"/>
      <w:r>
        <w:t>Add</w:t>
      </w:r>
      <w:proofErr w:type="spellEnd"/>
      <w:r>
        <w:t>. se exponen las conclusiones alcanzadas en la sexta reunión del WG</w:t>
      </w:r>
      <w:r>
        <w:noBreakHyphen/>
        <w:t>DEN (véanse los párrafos 35 a 39 del documento</w:t>
      </w:r>
      <w:r w:rsidR="00A9710D">
        <w:t> </w:t>
      </w:r>
      <w:r>
        <w:t>CAJ/76/9 “Informe”).</w:t>
      </w:r>
    </w:p>
    <w:p w14:paraId="1D8FE706" w14:textId="77777777" w:rsidR="00AF34A3" w:rsidRPr="00AF34A3" w:rsidRDefault="00AF34A3" w:rsidP="00AF34A3">
      <w:pPr>
        <w:rPr>
          <w:kern w:val="28"/>
        </w:rPr>
      </w:pPr>
    </w:p>
    <w:p w14:paraId="349E84F5" w14:textId="77777777" w:rsidR="00AF34A3" w:rsidRPr="00AF34A3" w:rsidRDefault="00AF34A3" w:rsidP="00AF34A3">
      <w:pPr>
        <w:keepNext/>
        <w:keepLines/>
        <w:rPr>
          <w:rFonts w:eastAsiaTheme="minorEastAsia"/>
          <w:spacing w:val="-2"/>
          <w:sz w:val="18"/>
          <w:szCs w:val="18"/>
        </w:rPr>
      </w:pPr>
      <w:r w:rsidRPr="006B6F0F">
        <w:rPr>
          <w:kern w:val="28"/>
        </w:rPr>
        <w:fldChar w:fldCharType="begin"/>
      </w:r>
      <w:r w:rsidRPr="00AF34A3">
        <w:rPr>
          <w:kern w:val="28"/>
        </w:rPr>
        <w:instrText xml:space="preserve"> AUTONUM  </w:instrText>
      </w:r>
      <w:r w:rsidRPr="006B6F0F">
        <w:rPr>
          <w:kern w:val="28"/>
        </w:rPr>
        <w:fldChar w:fldCharType="end"/>
      </w:r>
      <w:r>
        <w:tab/>
        <w:t>El CAJ tomó nota de las revisiones del documento UPOV/INF/12/5, que se recogen en el documento UPOV/EXN/DEN/1 </w:t>
      </w:r>
      <w:proofErr w:type="spellStart"/>
      <w:r>
        <w:t>Draft</w:t>
      </w:r>
      <w:proofErr w:type="spellEnd"/>
      <w:r>
        <w:t> 2 con las modificaciones propuestas por el WG-DEN.</w:t>
      </w:r>
    </w:p>
    <w:p w14:paraId="405F7230" w14:textId="77777777" w:rsidR="00AF34A3" w:rsidRPr="00AF34A3" w:rsidRDefault="00AF34A3" w:rsidP="00AF34A3"/>
    <w:p w14:paraId="28AC6458" w14:textId="77777777" w:rsidR="00AF34A3" w:rsidRPr="00AF34A3" w:rsidRDefault="00AF34A3" w:rsidP="00AF34A3">
      <w:pPr>
        <w:keepNext/>
        <w:rPr>
          <w:rFonts w:eastAsiaTheme="minorEastAsia"/>
          <w:spacing w:val="-2"/>
        </w:rPr>
      </w:pPr>
      <w:r w:rsidRPr="00A74321">
        <w:rPr>
          <w:kern w:val="28"/>
        </w:rPr>
        <w:fldChar w:fldCharType="begin"/>
      </w:r>
      <w:r w:rsidRPr="00AF34A3">
        <w:rPr>
          <w:kern w:val="28"/>
        </w:rPr>
        <w:instrText xml:space="preserve"> AUTONUM  </w:instrText>
      </w:r>
      <w:r w:rsidRPr="00A74321">
        <w:rPr>
          <w:kern w:val="28"/>
        </w:rPr>
        <w:fldChar w:fldCharType="end"/>
      </w:r>
      <w:r>
        <w:tab/>
        <w:t>El CAJ tomó nota de que el WG-DEN ha pedido a la Oficina de la Unión que se aclare el texto siguiente:</w:t>
      </w:r>
    </w:p>
    <w:p w14:paraId="789253B0" w14:textId="77777777" w:rsidR="00AF34A3" w:rsidRPr="00AF34A3" w:rsidRDefault="00AF34A3" w:rsidP="00AF34A3">
      <w:pPr>
        <w:keepNext/>
        <w:rPr>
          <w:rFonts w:eastAsiaTheme="minorEastAsia"/>
          <w:spacing w:val="-2"/>
        </w:rPr>
      </w:pPr>
    </w:p>
    <w:p w14:paraId="20A19155" w14:textId="77777777" w:rsidR="00AF34A3" w:rsidRPr="00AF34A3" w:rsidRDefault="00AF34A3" w:rsidP="00AF34A3">
      <w:pPr>
        <w:keepNext/>
        <w:ind w:left="567" w:right="567"/>
        <w:rPr>
          <w:rFonts w:eastAsiaTheme="minorEastAsia"/>
          <w:spacing w:val="-2"/>
        </w:rPr>
      </w:pPr>
      <w:r>
        <w:t xml:space="preserve">“Sección 5.3.a): </w:t>
      </w:r>
    </w:p>
    <w:p w14:paraId="7151303C" w14:textId="2C577D3E" w:rsidR="00AF34A3" w:rsidRPr="00AF34A3" w:rsidRDefault="00AF34A3" w:rsidP="00AF34A3">
      <w:pPr>
        <w:ind w:left="567" w:right="567"/>
        <w:rPr>
          <w:rFonts w:eastAsiaTheme="minorEastAsia"/>
          <w:spacing w:val="-2"/>
          <w:sz w:val="18"/>
          <w:szCs w:val="18"/>
        </w:rPr>
      </w:pPr>
      <w:r>
        <w:rPr>
          <w:rFonts w:eastAsiaTheme="minorEastAsia"/>
          <w:spacing w:val="-2"/>
          <w:sz w:val="18"/>
        </w:rPr>
        <w:t xml:space="preserve">no está conforme con las disposiciones de los párrafos 2) (por ejemplo, la denominación propuesta no es diferente de la denominación de una variedad existente de la misma especie vegetal o de una especie vecina en su territorio) y 4) (por ejemplo, la denominación propuesta es idéntica a una marca registrada para un producto idéntico);” </w:t>
      </w:r>
    </w:p>
    <w:p w14:paraId="52B45D24" w14:textId="77777777" w:rsidR="00AF34A3" w:rsidRPr="00AF34A3" w:rsidRDefault="00AF34A3" w:rsidP="00AF34A3"/>
    <w:p w14:paraId="6C6604EB" w14:textId="63A7598C" w:rsidR="00AF34A3" w:rsidRPr="00AF34A3" w:rsidRDefault="00AF34A3" w:rsidP="00AF34A3">
      <w:pPr>
        <w:keepLines/>
      </w:pPr>
      <w:r w:rsidRPr="00A74321">
        <w:lastRenderedPageBreak/>
        <w:fldChar w:fldCharType="begin"/>
      </w:r>
      <w:r w:rsidRPr="00AF34A3">
        <w:instrText xml:space="preserve"> AUTONUM  </w:instrText>
      </w:r>
      <w:r w:rsidRPr="00A74321">
        <w:fldChar w:fldCharType="end"/>
      </w:r>
      <w:r>
        <w:tab/>
        <w:t>El CAJ tomó nota de que la delegación de la Unión Europea había solicitado que, en la sección</w:t>
      </w:r>
      <w:r w:rsidR="00A9710D">
        <w:t> </w:t>
      </w:r>
      <w:proofErr w:type="gramStart"/>
      <w:r>
        <w:t>2.3.3.a)i</w:t>
      </w:r>
      <w:proofErr w:type="gramEnd"/>
      <w:r>
        <w:t xml:space="preserve">), se considere la posibilidad de reemplazar "visual y fonética” por "visual o fonética” y de introducir el "concepto” como criterio adicional. La Oficina de la Unión indicó que el WG-DEN había considerado dichas propuestas, pero no las había aceptado porque podrían dar a lugar a incongruencias sin otras modificaciones. </w:t>
      </w:r>
    </w:p>
    <w:p w14:paraId="20D79938" w14:textId="77777777" w:rsidR="00AF34A3" w:rsidRPr="00AF34A3" w:rsidRDefault="00AF34A3" w:rsidP="00AF34A3"/>
    <w:p w14:paraId="0A1DB7EA" w14:textId="77777777" w:rsidR="00AF34A3" w:rsidRPr="00AF34A3" w:rsidRDefault="00AF34A3" w:rsidP="00AF34A3">
      <w:pPr>
        <w:rPr>
          <w:rFonts w:eastAsiaTheme="minorEastAsia"/>
          <w:spacing w:val="-4"/>
        </w:rPr>
      </w:pPr>
      <w:r w:rsidRPr="00A74321">
        <w:fldChar w:fldCharType="begin"/>
      </w:r>
      <w:r w:rsidRPr="00AF34A3">
        <w:instrText xml:space="preserve"> AUTONUM  </w:instrText>
      </w:r>
      <w:r w:rsidRPr="00A74321">
        <w:fldChar w:fldCharType="end"/>
      </w:r>
      <w:r>
        <w:tab/>
        <w:t>El CAJ convino en que la Oficina de la Unión invite a los miembros y los observadores a formular observaciones por correspondencia sobre el documento UPOV/EXN/DEN "Notas explicativas sobre las denominaciones de variedades con arreglo al Convenio de la UPOV” en relación con las cuestiones mencionadas en los párrafos 17 y 18. A partir de las observaciones recibidas por correspondencia, la Oficina de la Unión preparará un proyecto del documento UPOV/EXN/DEN “Notas explicativas sobre las denominaciones de variedades con arreglo al Convenio de la UPOV” para que el CAJ lo examine en su septuagésima séptima, prevista el 28 de octubre de 2020.</w:t>
      </w:r>
    </w:p>
    <w:p w14:paraId="312532D2" w14:textId="77777777" w:rsidR="00AF34A3" w:rsidRPr="00AF34A3" w:rsidRDefault="00AF34A3" w:rsidP="00AF34A3"/>
    <w:p w14:paraId="7B1B7F92" w14:textId="77777777" w:rsidR="00AF34A3" w:rsidRPr="00AF34A3" w:rsidRDefault="00AF34A3" w:rsidP="00AF34A3">
      <w:pPr>
        <w:rPr>
          <w:rFonts w:cs="Arial"/>
        </w:rPr>
      </w:pPr>
      <w:r>
        <w:rPr>
          <w:rFonts w:cs="Arial"/>
        </w:rPr>
        <w:fldChar w:fldCharType="begin"/>
      </w:r>
      <w:r w:rsidRPr="00AF34A3">
        <w:rPr>
          <w:rFonts w:cs="Arial"/>
        </w:rPr>
        <w:instrText xml:space="preserve"> AUTONUM  </w:instrText>
      </w:r>
      <w:r>
        <w:rPr>
          <w:rFonts w:cs="Arial"/>
        </w:rPr>
        <w:fldChar w:fldCharType="end"/>
      </w:r>
      <w:r>
        <w:tab/>
        <w:t xml:space="preserve">En su septuagésima séptima sesión, que se celebrará el 28 de octubre de 2020, se invitará al CAJ a examinar el documento UPOV/EXN/DEN/1 </w:t>
      </w:r>
      <w:proofErr w:type="spellStart"/>
      <w:r>
        <w:t>Draft</w:t>
      </w:r>
      <w:proofErr w:type="spellEnd"/>
      <w:r>
        <w:t xml:space="preserve"> 4.</w:t>
      </w:r>
    </w:p>
    <w:p w14:paraId="68FA09B5" w14:textId="77777777" w:rsidR="00AF34A3" w:rsidRPr="00AF34A3" w:rsidRDefault="00AF34A3" w:rsidP="00AF34A3">
      <w:pPr>
        <w:rPr>
          <w:rFonts w:eastAsiaTheme="minorEastAsia"/>
        </w:rPr>
      </w:pPr>
    </w:p>
    <w:p w14:paraId="5B5366C1" w14:textId="77777777" w:rsidR="00AF34A3" w:rsidRPr="00AF34A3" w:rsidRDefault="00AF34A3" w:rsidP="00AF34A3"/>
    <w:p w14:paraId="2999D993" w14:textId="77777777" w:rsidR="00AF34A3" w:rsidRPr="000D7945" w:rsidRDefault="00AF34A3" w:rsidP="00AF34A3">
      <w:pPr>
        <w:pStyle w:val="Heading1"/>
        <w:rPr>
          <w:rFonts w:eastAsiaTheme="minorEastAsia"/>
        </w:rPr>
      </w:pPr>
      <w:bookmarkStart w:id="15" w:name="_Toc382388623"/>
      <w:bookmarkStart w:id="16" w:name="_Toc477358706"/>
      <w:bookmarkStart w:id="17" w:name="_Toc52996363"/>
      <w:bookmarkStart w:id="18" w:name="_Toc54030106"/>
      <w:r>
        <w:t>POSIBLE ELABORACIÓN DE UN INSTRUMENTO DE LA UPOV DE BÚSQUEDA DE SIMILITUD A LOS FINES DE LA DENOMINACIÓN DE VARIEDADES</w:t>
      </w:r>
      <w:bookmarkEnd w:id="15"/>
      <w:bookmarkEnd w:id="16"/>
      <w:bookmarkEnd w:id="17"/>
      <w:bookmarkEnd w:id="18"/>
    </w:p>
    <w:p w14:paraId="0E3C9F9E" w14:textId="77777777" w:rsidR="00AF34A3" w:rsidRPr="00AF34A3" w:rsidRDefault="00AF34A3" w:rsidP="00AF34A3">
      <w:pPr>
        <w:jc w:val="left"/>
        <w:rPr>
          <w:rFonts w:cs="Arial"/>
          <w:sz w:val="19"/>
          <w:szCs w:val="19"/>
        </w:rPr>
      </w:pPr>
    </w:p>
    <w:p w14:paraId="46C42140" w14:textId="5E95146E" w:rsidR="00AF34A3" w:rsidRPr="00603ED2" w:rsidRDefault="00AF34A3" w:rsidP="00AF34A3">
      <w:pPr>
        <w:pStyle w:val="Heading2"/>
      </w:pPr>
      <w:bookmarkStart w:id="19" w:name="_Toc52819013"/>
      <w:bookmarkStart w:id="20" w:name="_Toc52996364"/>
      <w:bookmarkStart w:id="21" w:name="_Toc54030107"/>
      <w:r>
        <w:t>A</w:t>
      </w:r>
      <w:bookmarkEnd w:id="19"/>
      <w:bookmarkEnd w:id="20"/>
      <w:bookmarkEnd w:id="21"/>
      <w:r w:rsidR="00A9710D">
        <w:t>ntecedentes</w:t>
      </w:r>
    </w:p>
    <w:p w14:paraId="6D3C7E92" w14:textId="77777777" w:rsidR="00AF34A3" w:rsidRPr="00AF34A3" w:rsidRDefault="00AF34A3" w:rsidP="00AF34A3">
      <w:pPr>
        <w:autoSpaceDE w:val="0"/>
        <w:autoSpaceDN w:val="0"/>
        <w:adjustRightInd w:val="0"/>
        <w:jc w:val="left"/>
        <w:rPr>
          <w:rFonts w:cs="Arial"/>
          <w:sz w:val="19"/>
          <w:szCs w:val="19"/>
        </w:rPr>
      </w:pPr>
    </w:p>
    <w:p w14:paraId="44D09D93" w14:textId="189729F3" w:rsidR="00AF34A3" w:rsidRPr="00AF34A3" w:rsidRDefault="00AF34A3" w:rsidP="00AF34A3">
      <w:pPr>
        <w:autoSpaceDE w:val="0"/>
        <w:autoSpaceDN w:val="0"/>
        <w:adjustRightInd w:val="0"/>
        <w:rPr>
          <w:rFonts w:cs="Arial"/>
        </w:rPr>
      </w:pPr>
      <w:r w:rsidRPr="00603ED2">
        <w:rPr>
          <w:rFonts w:cs="Arial"/>
        </w:rPr>
        <w:fldChar w:fldCharType="begin"/>
      </w:r>
      <w:r w:rsidRPr="00AF34A3">
        <w:rPr>
          <w:rFonts w:cs="Arial"/>
        </w:rPr>
        <w:instrText xml:space="preserve"> AUTONUM  </w:instrText>
      </w:r>
      <w:r w:rsidRPr="00603ED2">
        <w:rPr>
          <w:rFonts w:cs="Arial"/>
        </w:rPr>
        <w:fldChar w:fldCharType="end"/>
      </w:r>
      <w:r>
        <w:tab/>
        <w:t xml:space="preserve">En su septuagésima sesión celebrada en Ginebra el 13 de octubre de 2014, el CAJ tomó nota de que el Grupo de trabajo para la elaboración de un instrumento de la UPOV de búsqueda de denominaciones similares (WG-DST) ha acordado que la función de un instrumento de la UPOV de búsqueda de similitud ha de ser la de identificar aquellas denominaciones que </w:t>
      </w:r>
      <w:r w:rsidR="00644D04">
        <w:t>s</w:t>
      </w:r>
      <w:r w:rsidR="00340D51">
        <w:t>ea</w:t>
      </w:r>
      <w:r>
        <w:t xml:space="preserve">n similares a las existentes hasta el punto de que </w:t>
      </w:r>
      <w:r w:rsidR="00644D04">
        <w:t>deba realizarse</w:t>
      </w:r>
      <w:r>
        <w:t xml:space="preserve"> un examen individual más profundo antes de decidir si la denominación es (lo suficientemente) diferente de las existentes (véase el párrafo 27 del documento </w:t>
      </w:r>
      <w:r w:rsidR="00DF4372">
        <w:t>CAJ/70/10</w:t>
      </w:r>
      <w:r>
        <w:t xml:space="preserve"> “Informe sobre las conclusiones”).</w:t>
      </w:r>
    </w:p>
    <w:p w14:paraId="1239F808" w14:textId="77777777" w:rsidR="00AF34A3" w:rsidRPr="00AF34A3" w:rsidRDefault="00AF34A3" w:rsidP="00AF34A3">
      <w:pPr>
        <w:autoSpaceDE w:val="0"/>
        <w:autoSpaceDN w:val="0"/>
        <w:adjustRightInd w:val="0"/>
        <w:rPr>
          <w:rFonts w:cs="Arial"/>
        </w:rPr>
      </w:pPr>
    </w:p>
    <w:p w14:paraId="54ED0666" w14:textId="77777777" w:rsidR="00AF34A3" w:rsidRPr="00AF34A3" w:rsidRDefault="00AF34A3" w:rsidP="00AF34A3">
      <w:pPr>
        <w:autoSpaceDE w:val="0"/>
        <w:autoSpaceDN w:val="0"/>
        <w:adjustRightInd w:val="0"/>
        <w:rPr>
          <w:rFonts w:cs="Arial"/>
        </w:rPr>
      </w:pPr>
      <w:r w:rsidRPr="00603ED2">
        <w:rPr>
          <w:rFonts w:cs="Arial"/>
        </w:rPr>
        <w:fldChar w:fldCharType="begin"/>
      </w:r>
      <w:r w:rsidRPr="00AF34A3">
        <w:rPr>
          <w:rFonts w:cs="Arial"/>
        </w:rPr>
        <w:instrText xml:space="preserve"> AUTONUM  </w:instrText>
      </w:r>
      <w:r w:rsidRPr="00603ED2">
        <w:rPr>
          <w:rFonts w:cs="Arial"/>
        </w:rPr>
        <w:fldChar w:fldCharType="end"/>
      </w:r>
      <w:r>
        <w:tab/>
        <w:t>En su quinta reunión, celebrada en Ginebra el 30 de octubre de 2018, el Grupo de Trabajo sobre Denominaciones de Variedades (WG-DEN) convino en que la Oficina de la Unión reanude su labor de estudiar, conjuntamente con la OCVV, posibilidades de mejora del instrumento de la UPOV de búsqueda de similitud a los fines de la denominación de variedades (véase el párrafo 28 del documento UPOV/WG-DEN/5/3 “</w:t>
      </w:r>
      <w:proofErr w:type="spellStart"/>
      <w:r>
        <w:rPr>
          <w:i/>
        </w:rPr>
        <w:t>Report</w:t>
      </w:r>
      <w:proofErr w:type="spellEnd"/>
      <w:r>
        <w:t>” (Informe)).</w:t>
      </w:r>
    </w:p>
    <w:p w14:paraId="241B5970" w14:textId="77777777" w:rsidR="00AF34A3" w:rsidRPr="00AF34A3" w:rsidRDefault="00AF34A3" w:rsidP="00AF34A3">
      <w:pPr>
        <w:autoSpaceDE w:val="0"/>
        <w:autoSpaceDN w:val="0"/>
        <w:adjustRightInd w:val="0"/>
        <w:rPr>
          <w:rFonts w:cs="Arial"/>
        </w:rPr>
      </w:pPr>
    </w:p>
    <w:p w14:paraId="4842E41F" w14:textId="77777777" w:rsidR="00AF34A3" w:rsidRPr="00AF34A3" w:rsidRDefault="00AF34A3" w:rsidP="00AF34A3">
      <w:pPr>
        <w:autoSpaceDE w:val="0"/>
        <w:autoSpaceDN w:val="0"/>
        <w:adjustRightInd w:val="0"/>
        <w:rPr>
          <w:rFonts w:cs="Arial"/>
        </w:rPr>
      </w:pPr>
      <w:r w:rsidRPr="00603ED2">
        <w:rPr>
          <w:rFonts w:cs="Arial"/>
        </w:rPr>
        <w:fldChar w:fldCharType="begin"/>
      </w:r>
      <w:r w:rsidRPr="00AF34A3">
        <w:rPr>
          <w:rFonts w:cs="Arial"/>
        </w:rPr>
        <w:instrText xml:space="preserve"> AUTONUM  </w:instrText>
      </w:r>
      <w:r w:rsidRPr="00603ED2">
        <w:rPr>
          <w:rFonts w:cs="Arial"/>
        </w:rPr>
        <w:fldChar w:fldCharType="end"/>
      </w:r>
      <w:r>
        <w:tab/>
        <w:t>El algoritmo de la OCVV es un algoritmo de reglas que ha obtenido resultados eficientes. No obstante, la OCVV ha comunicado a la Oficina de la Unión que tal vez sea posible mejorar los resultados del algoritmo.</w:t>
      </w:r>
    </w:p>
    <w:p w14:paraId="49364936" w14:textId="77777777" w:rsidR="00AF34A3" w:rsidRPr="00AF34A3" w:rsidRDefault="00AF34A3" w:rsidP="00AF34A3">
      <w:pPr>
        <w:autoSpaceDE w:val="0"/>
        <w:autoSpaceDN w:val="0"/>
        <w:adjustRightInd w:val="0"/>
        <w:rPr>
          <w:rFonts w:cs="Arial"/>
        </w:rPr>
      </w:pPr>
    </w:p>
    <w:p w14:paraId="42A36F30" w14:textId="2DF80A38" w:rsidR="00AF34A3" w:rsidRPr="00AF34A3" w:rsidRDefault="00AF34A3" w:rsidP="00AF34A3">
      <w:pPr>
        <w:autoSpaceDE w:val="0"/>
        <w:autoSpaceDN w:val="0"/>
        <w:adjustRightInd w:val="0"/>
        <w:rPr>
          <w:rFonts w:cs="Arial"/>
        </w:rPr>
      </w:pPr>
      <w:r w:rsidRPr="00603ED2">
        <w:rPr>
          <w:rFonts w:cs="Arial"/>
        </w:rPr>
        <w:fldChar w:fldCharType="begin"/>
      </w:r>
      <w:r w:rsidRPr="00AF34A3">
        <w:rPr>
          <w:rFonts w:cs="Arial"/>
        </w:rPr>
        <w:instrText xml:space="preserve"> AUTONUM  </w:instrText>
      </w:r>
      <w:r w:rsidRPr="00603ED2">
        <w:rPr>
          <w:rFonts w:cs="Arial"/>
        </w:rPr>
        <w:fldChar w:fldCharType="end"/>
      </w:r>
      <w:r>
        <w:tab/>
        <w:t>La Oficina de la Unión ha consultado a los expertos en aprendizaje automático de la OMPI con objeto de estudiar si podrían emplearse técnicas de aprendizaje automático en combinación con el algoritmo de la</w:t>
      </w:r>
      <w:r w:rsidR="00A9710D">
        <w:t> </w:t>
      </w:r>
      <w:r>
        <w:t>OCVV a fin de optimizar la eficiencia del instrumento de la UPOV de búsqueda de similitud a los fines de la denominación de variedades.</w:t>
      </w:r>
    </w:p>
    <w:p w14:paraId="12ED64B9" w14:textId="77777777" w:rsidR="00AF34A3" w:rsidRPr="00AF34A3" w:rsidRDefault="00AF34A3" w:rsidP="00AF34A3">
      <w:pPr>
        <w:autoSpaceDE w:val="0"/>
        <w:autoSpaceDN w:val="0"/>
        <w:adjustRightInd w:val="0"/>
        <w:jc w:val="left"/>
        <w:rPr>
          <w:rFonts w:cs="Arial"/>
        </w:rPr>
      </w:pPr>
    </w:p>
    <w:p w14:paraId="383DD058" w14:textId="77777777" w:rsidR="00AF34A3" w:rsidRPr="00AF34A3" w:rsidRDefault="00AF34A3" w:rsidP="00AF34A3">
      <w:pPr>
        <w:autoSpaceDE w:val="0"/>
        <w:autoSpaceDN w:val="0"/>
        <w:adjustRightInd w:val="0"/>
        <w:jc w:val="left"/>
        <w:rPr>
          <w:rFonts w:cs="Arial"/>
        </w:rPr>
      </w:pPr>
      <w:r w:rsidRPr="00603ED2">
        <w:rPr>
          <w:rFonts w:cs="Arial"/>
        </w:rPr>
        <w:fldChar w:fldCharType="begin"/>
      </w:r>
      <w:r w:rsidRPr="00AF34A3">
        <w:rPr>
          <w:rFonts w:cs="Arial"/>
        </w:rPr>
        <w:instrText xml:space="preserve"> AUTONUM  </w:instrText>
      </w:r>
      <w:r w:rsidRPr="00603ED2">
        <w:rPr>
          <w:rFonts w:cs="Arial"/>
        </w:rPr>
        <w:fldChar w:fldCharType="end"/>
      </w:r>
      <w:r>
        <w:tab/>
        <w:t>Para emplear técnicas de aprendizaje automático se requiere lo siguiente:</w:t>
      </w:r>
    </w:p>
    <w:p w14:paraId="366E9038" w14:textId="77777777" w:rsidR="00AF34A3" w:rsidRPr="00AF34A3" w:rsidRDefault="00AF34A3" w:rsidP="00AF34A3">
      <w:pPr>
        <w:autoSpaceDE w:val="0"/>
        <w:autoSpaceDN w:val="0"/>
        <w:adjustRightInd w:val="0"/>
        <w:jc w:val="left"/>
        <w:rPr>
          <w:rFonts w:cs="Arial"/>
        </w:rPr>
      </w:pPr>
    </w:p>
    <w:p w14:paraId="4A9F7C6D" w14:textId="77777777" w:rsidR="00AF34A3" w:rsidRPr="00D24962" w:rsidRDefault="00AF34A3" w:rsidP="00AF34A3">
      <w:pPr>
        <w:pStyle w:val="ListParagraph"/>
        <w:numPr>
          <w:ilvl w:val="0"/>
          <w:numId w:val="1"/>
        </w:numPr>
        <w:autoSpaceDE w:val="0"/>
        <w:autoSpaceDN w:val="0"/>
        <w:adjustRightInd w:val="0"/>
        <w:rPr>
          <w:rFonts w:cs="Arial"/>
        </w:rPr>
      </w:pPr>
      <w:r>
        <w:t>un gran número de casos reales en los que se haya rechazado la denominación. Se pueden utilizar los datos de la base PLUTO, pero no son suficientes;</w:t>
      </w:r>
    </w:p>
    <w:p w14:paraId="63753165" w14:textId="77777777" w:rsidR="00AF34A3" w:rsidRPr="00603ED2" w:rsidRDefault="00AF34A3" w:rsidP="00AF34A3">
      <w:pPr>
        <w:pStyle w:val="ListParagraph"/>
        <w:numPr>
          <w:ilvl w:val="0"/>
          <w:numId w:val="1"/>
        </w:numPr>
        <w:autoSpaceDE w:val="0"/>
        <w:autoSpaceDN w:val="0"/>
        <w:adjustRightInd w:val="0"/>
        <w:rPr>
          <w:rFonts w:cs="Arial"/>
        </w:rPr>
      </w:pPr>
      <w:r>
        <w:t>los motivos aducidos para rechazar una denominación deben estructurarse en forma de casillas;</w:t>
      </w:r>
    </w:p>
    <w:p w14:paraId="21F4DAB1" w14:textId="77777777" w:rsidR="00AF34A3" w:rsidRDefault="00AF34A3" w:rsidP="00AF34A3">
      <w:pPr>
        <w:pStyle w:val="ListParagraph"/>
        <w:numPr>
          <w:ilvl w:val="0"/>
          <w:numId w:val="1"/>
        </w:numPr>
        <w:autoSpaceDE w:val="0"/>
        <w:autoSpaceDN w:val="0"/>
        <w:adjustRightInd w:val="0"/>
        <w:rPr>
          <w:rFonts w:cs="Arial"/>
        </w:rPr>
      </w:pPr>
      <w:r>
        <w:t xml:space="preserve">es necesario definir con claridad el problema que se ha de resolver. </w:t>
      </w:r>
    </w:p>
    <w:p w14:paraId="49767A76" w14:textId="77777777" w:rsidR="00AF34A3" w:rsidRPr="00AF34A3" w:rsidRDefault="00AF34A3" w:rsidP="00AF34A3">
      <w:pPr>
        <w:autoSpaceDE w:val="0"/>
        <w:autoSpaceDN w:val="0"/>
        <w:adjustRightInd w:val="0"/>
        <w:jc w:val="left"/>
        <w:rPr>
          <w:rFonts w:cs="Arial"/>
        </w:rPr>
      </w:pPr>
    </w:p>
    <w:p w14:paraId="6144E99D" w14:textId="77777777" w:rsidR="00AF34A3" w:rsidRPr="00AF34A3" w:rsidRDefault="00AF34A3" w:rsidP="00AF34A3">
      <w:pPr>
        <w:keepNext/>
        <w:keepLines/>
        <w:autoSpaceDE w:val="0"/>
        <w:autoSpaceDN w:val="0"/>
        <w:adjustRightInd w:val="0"/>
        <w:rPr>
          <w:rFonts w:cs="Arial"/>
        </w:rPr>
      </w:pPr>
      <w:r w:rsidRPr="00603ED2">
        <w:rPr>
          <w:rFonts w:cs="Arial"/>
        </w:rPr>
        <w:fldChar w:fldCharType="begin"/>
      </w:r>
      <w:r w:rsidRPr="00AF34A3">
        <w:rPr>
          <w:rFonts w:cs="Arial"/>
        </w:rPr>
        <w:instrText xml:space="preserve"> AUTONUM  </w:instrText>
      </w:r>
      <w:r w:rsidRPr="00603ED2">
        <w:rPr>
          <w:rFonts w:cs="Arial"/>
        </w:rPr>
        <w:fldChar w:fldCharType="end"/>
      </w:r>
      <w:r>
        <w:tab/>
        <w:t xml:space="preserve">La OCVV convino en aportar información sobre denominaciones rechazadas y los motivos aducidos para rechazarlas, en un formato estructurado, con el fin de potenciar el proceso de aprendizaje automático. </w:t>
      </w:r>
    </w:p>
    <w:p w14:paraId="2BC329B1" w14:textId="77777777" w:rsidR="00AF34A3" w:rsidRPr="00AF34A3" w:rsidRDefault="00AF34A3" w:rsidP="00AF34A3">
      <w:pPr>
        <w:autoSpaceDE w:val="0"/>
        <w:autoSpaceDN w:val="0"/>
        <w:adjustRightInd w:val="0"/>
        <w:rPr>
          <w:rFonts w:cs="Arial"/>
        </w:rPr>
      </w:pPr>
    </w:p>
    <w:p w14:paraId="7923363A" w14:textId="64363473" w:rsidR="00AF34A3" w:rsidRPr="00A9710D" w:rsidRDefault="00AF34A3" w:rsidP="00AF34A3">
      <w:pPr>
        <w:pStyle w:val="Default"/>
        <w:jc w:val="both"/>
        <w:rPr>
          <w:color w:val="auto"/>
          <w:sz w:val="20"/>
          <w:szCs w:val="20"/>
        </w:rPr>
      </w:pPr>
      <w:r w:rsidRPr="00A9710D">
        <w:rPr>
          <w:color w:val="auto"/>
          <w:sz w:val="20"/>
          <w:szCs w:val="20"/>
        </w:rPr>
        <w:fldChar w:fldCharType="begin"/>
      </w:r>
      <w:r w:rsidRPr="00A9710D">
        <w:rPr>
          <w:color w:val="auto"/>
          <w:sz w:val="20"/>
          <w:szCs w:val="20"/>
        </w:rPr>
        <w:instrText xml:space="preserve"> AUTONUM  </w:instrText>
      </w:r>
      <w:r w:rsidRPr="00A9710D">
        <w:rPr>
          <w:color w:val="auto"/>
          <w:sz w:val="20"/>
          <w:szCs w:val="20"/>
        </w:rPr>
        <w:fldChar w:fldCharType="end"/>
      </w:r>
      <w:r w:rsidRPr="00A9710D">
        <w:rPr>
          <w:sz w:val="20"/>
          <w:szCs w:val="20"/>
        </w:rPr>
        <w:tab/>
        <w:t>En su sexta reunión, celebrada en Ginebra el 29 de octubre de 2019, el WG-DEN examinó el documento</w:t>
      </w:r>
      <w:r w:rsidR="00CE5AF2">
        <w:rPr>
          <w:sz w:val="20"/>
          <w:szCs w:val="20"/>
        </w:rPr>
        <w:t> </w:t>
      </w:r>
      <w:r w:rsidRPr="00A9710D">
        <w:rPr>
          <w:sz w:val="20"/>
          <w:szCs w:val="20"/>
        </w:rPr>
        <w:t>WG-DEN/6/3 “</w:t>
      </w:r>
      <w:r w:rsidRPr="00A9710D">
        <w:rPr>
          <w:i/>
          <w:sz w:val="20"/>
          <w:szCs w:val="20"/>
        </w:rPr>
        <w:t xml:space="preserve">UPOV </w:t>
      </w:r>
      <w:proofErr w:type="spellStart"/>
      <w:r w:rsidRPr="00A9710D">
        <w:rPr>
          <w:i/>
          <w:sz w:val="20"/>
          <w:szCs w:val="20"/>
        </w:rPr>
        <w:t>denomination</w:t>
      </w:r>
      <w:proofErr w:type="spellEnd"/>
      <w:r w:rsidRPr="00A9710D">
        <w:rPr>
          <w:i/>
          <w:sz w:val="20"/>
          <w:szCs w:val="20"/>
        </w:rPr>
        <w:t xml:space="preserve"> </w:t>
      </w:r>
      <w:proofErr w:type="spellStart"/>
      <w:r w:rsidRPr="00A9710D">
        <w:rPr>
          <w:i/>
          <w:sz w:val="20"/>
          <w:szCs w:val="20"/>
        </w:rPr>
        <w:t>similarity</w:t>
      </w:r>
      <w:proofErr w:type="spellEnd"/>
      <w:r w:rsidRPr="00A9710D">
        <w:rPr>
          <w:i/>
          <w:sz w:val="20"/>
          <w:szCs w:val="20"/>
        </w:rPr>
        <w:t xml:space="preserve"> </w:t>
      </w:r>
      <w:proofErr w:type="spellStart"/>
      <w:r w:rsidRPr="00A9710D">
        <w:rPr>
          <w:i/>
          <w:sz w:val="20"/>
          <w:szCs w:val="20"/>
        </w:rPr>
        <w:t>search</w:t>
      </w:r>
      <w:proofErr w:type="spellEnd"/>
      <w:r w:rsidRPr="00A9710D">
        <w:rPr>
          <w:i/>
          <w:sz w:val="20"/>
          <w:szCs w:val="20"/>
        </w:rPr>
        <w:t xml:space="preserve"> </w:t>
      </w:r>
      <w:proofErr w:type="spellStart"/>
      <w:r w:rsidRPr="00A9710D">
        <w:rPr>
          <w:i/>
          <w:sz w:val="20"/>
          <w:szCs w:val="20"/>
        </w:rPr>
        <w:t>tool</w:t>
      </w:r>
      <w:proofErr w:type="spellEnd"/>
      <w:r w:rsidRPr="00A9710D">
        <w:rPr>
          <w:sz w:val="20"/>
          <w:szCs w:val="20"/>
        </w:rPr>
        <w:t>” instrumento de la UPOV de búsqueda de similitud a los fines de la denominación de variedades) y asistió a una ponencia, a cargo de la Oficina de la Unión, sobre las novedades que se han producido en relación con el instrumento de la UPOV de búsqueda de similitud a los fines de la denominación de variedades.</w:t>
      </w:r>
      <w:r w:rsidRPr="00A9710D">
        <w:rPr>
          <w:color w:val="auto"/>
          <w:sz w:val="20"/>
          <w:szCs w:val="20"/>
        </w:rPr>
        <w:t xml:space="preserve"> </w:t>
      </w:r>
    </w:p>
    <w:p w14:paraId="56E4417C" w14:textId="77777777" w:rsidR="00AF34A3" w:rsidRPr="00603ED2" w:rsidRDefault="00AF34A3" w:rsidP="00AF34A3">
      <w:pPr>
        <w:pStyle w:val="Default"/>
        <w:rPr>
          <w:color w:val="auto"/>
          <w:sz w:val="20"/>
          <w:szCs w:val="20"/>
        </w:rPr>
      </w:pPr>
    </w:p>
    <w:p w14:paraId="0DB119FA" w14:textId="77777777" w:rsidR="00AF34A3" w:rsidRPr="00A9710D" w:rsidRDefault="00AF34A3" w:rsidP="00AF34A3">
      <w:pPr>
        <w:pStyle w:val="Default"/>
        <w:jc w:val="both"/>
        <w:rPr>
          <w:color w:val="auto"/>
          <w:sz w:val="20"/>
          <w:szCs w:val="20"/>
        </w:rPr>
      </w:pPr>
      <w:r w:rsidRPr="00A9710D">
        <w:rPr>
          <w:color w:val="auto"/>
          <w:sz w:val="20"/>
          <w:szCs w:val="20"/>
        </w:rPr>
        <w:fldChar w:fldCharType="begin"/>
      </w:r>
      <w:r w:rsidRPr="00A9710D">
        <w:rPr>
          <w:color w:val="auto"/>
          <w:sz w:val="20"/>
          <w:szCs w:val="20"/>
        </w:rPr>
        <w:instrText xml:space="preserve"> AUTONUM  </w:instrText>
      </w:r>
      <w:r w:rsidRPr="00A9710D">
        <w:rPr>
          <w:color w:val="auto"/>
          <w:sz w:val="20"/>
          <w:szCs w:val="20"/>
        </w:rPr>
        <w:fldChar w:fldCharType="end"/>
      </w:r>
      <w:r w:rsidRPr="00A9710D">
        <w:rPr>
          <w:sz w:val="20"/>
          <w:szCs w:val="20"/>
        </w:rPr>
        <w:tab/>
        <w:t>El WG-DEN tomó nota de los planes de elaboración de un instrumento de la UPOV de búsqueda de similitud a los fines de la denominación de variedades y convino en que las novedades que se produzcan sobre esta cuestión han de notificarse al CAJ, para su examen en coincidencia con las deliberaciones sobre el proyecto de documento UPOV/EXN/DEN, con miras a la posible inclusión de una referencia a dicho instrumento (véanse los párrafos 6 y 7 del documento UPOV/WG-DEN/6/5 “</w:t>
      </w:r>
      <w:proofErr w:type="spellStart"/>
      <w:r w:rsidRPr="00A9710D">
        <w:rPr>
          <w:i/>
          <w:sz w:val="20"/>
          <w:szCs w:val="20"/>
        </w:rPr>
        <w:t>Report</w:t>
      </w:r>
      <w:proofErr w:type="spellEnd"/>
      <w:r w:rsidRPr="00A9710D">
        <w:rPr>
          <w:sz w:val="20"/>
          <w:szCs w:val="20"/>
        </w:rPr>
        <w:t>”)</w:t>
      </w:r>
      <w:r w:rsidRPr="00A9710D">
        <w:rPr>
          <w:color w:val="auto"/>
          <w:sz w:val="20"/>
          <w:szCs w:val="20"/>
        </w:rPr>
        <w:t xml:space="preserve">. </w:t>
      </w:r>
    </w:p>
    <w:p w14:paraId="5E3E3CD2" w14:textId="77777777" w:rsidR="00AF34A3" w:rsidRPr="00A9710D" w:rsidRDefault="00AF34A3" w:rsidP="00AF34A3">
      <w:pPr>
        <w:autoSpaceDE w:val="0"/>
        <w:autoSpaceDN w:val="0"/>
        <w:adjustRightInd w:val="0"/>
        <w:rPr>
          <w:rFonts w:cs="Arial"/>
        </w:rPr>
      </w:pPr>
    </w:p>
    <w:p w14:paraId="14B03C8D" w14:textId="77777777" w:rsidR="00AF34A3" w:rsidRPr="00A9710D" w:rsidRDefault="00AF34A3" w:rsidP="00AF34A3">
      <w:pPr>
        <w:pStyle w:val="Default"/>
        <w:jc w:val="both"/>
        <w:rPr>
          <w:sz w:val="20"/>
          <w:szCs w:val="20"/>
        </w:rPr>
      </w:pPr>
      <w:r w:rsidRPr="00A9710D">
        <w:rPr>
          <w:sz w:val="20"/>
          <w:szCs w:val="20"/>
        </w:rPr>
        <w:fldChar w:fldCharType="begin"/>
      </w:r>
      <w:r w:rsidRPr="00A9710D">
        <w:rPr>
          <w:sz w:val="20"/>
          <w:szCs w:val="20"/>
        </w:rPr>
        <w:instrText xml:space="preserve"> AUTONUM  </w:instrText>
      </w:r>
      <w:r w:rsidRPr="00A9710D">
        <w:rPr>
          <w:sz w:val="20"/>
          <w:szCs w:val="20"/>
        </w:rPr>
        <w:fldChar w:fldCharType="end"/>
      </w:r>
      <w:r w:rsidRPr="00A9710D">
        <w:rPr>
          <w:sz w:val="20"/>
          <w:szCs w:val="20"/>
        </w:rPr>
        <w:tab/>
        <w:t xml:space="preserve">En su septuagésima sexta sesión, celebrada en Ginebra el 30 de octubre de 2019, el CAJ tomó nota de las novedades expuestas en el documento CAJ/76/6 </w:t>
      </w:r>
      <w:proofErr w:type="spellStart"/>
      <w:r w:rsidRPr="00A9710D">
        <w:rPr>
          <w:sz w:val="20"/>
          <w:szCs w:val="20"/>
        </w:rPr>
        <w:t>Add</w:t>
      </w:r>
      <w:proofErr w:type="spellEnd"/>
      <w:r w:rsidRPr="00A9710D">
        <w:rPr>
          <w:sz w:val="20"/>
          <w:szCs w:val="20"/>
        </w:rPr>
        <w:t>. en relación con la posible elaboración de un instrumento de la UPOV búsqueda de similitud a los fines de la denominación de variedades (véase el párrafo 40 del documento CAJ/76/9 “Informe”).</w:t>
      </w:r>
    </w:p>
    <w:p w14:paraId="480FB527" w14:textId="77777777" w:rsidR="00AF34A3" w:rsidRPr="00AF34A3" w:rsidRDefault="00AF34A3" w:rsidP="00AF34A3">
      <w:pPr>
        <w:jc w:val="left"/>
        <w:rPr>
          <w:rFonts w:cs="Arial"/>
        </w:rPr>
      </w:pPr>
    </w:p>
    <w:p w14:paraId="1DA58165" w14:textId="77777777" w:rsidR="00AF34A3" w:rsidRPr="00AF34A3" w:rsidRDefault="00AF34A3" w:rsidP="00AF34A3">
      <w:pPr>
        <w:jc w:val="left"/>
        <w:rPr>
          <w:rFonts w:cs="Arial"/>
        </w:rPr>
      </w:pPr>
    </w:p>
    <w:p w14:paraId="7161CC91" w14:textId="77777777" w:rsidR="00AF34A3" w:rsidRPr="00603ED2" w:rsidRDefault="00AF34A3" w:rsidP="00AF34A3">
      <w:pPr>
        <w:pStyle w:val="Heading2"/>
      </w:pPr>
      <w:bookmarkStart w:id="22" w:name="_Toc52996365"/>
      <w:bookmarkStart w:id="23" w:name="_Toc54030108"/>
      <w:r>
        <w:t>Últimas novedades</w:t>
      </w:r>
      <w:bookmarkEnd w:id="22"/>
      <w:bookmarkEnd w:id="23"/>
      <w:r>
        <w:t xml:space="preserve"> </w:t>
      </w:r>
    </w:p>
    <w:p w14:paraId="4FF1BE73" w14:textId="77777777" w:rsidR="00AF34A3" w:rsidRPr="00AF34A3" w:rsidRDefault="00AF34A3" w:rsidP="00AF34A3">
      <w:pPr>
        <w:jc w:val="left"/>
        <w:rPr>
          <w:rFonts w:cs="Arial"/>
        </w:rPr>
      </w:pPr>
    </w:p>
    <w:p w14:paraId="082431A6" w14:textId="6E78ADA8" w:rsidR="00AF34A3" w:rsidRPr="00AF34A3" w:rsidRDefault="00AF34A3" w:rsidP="00AF34A3">
      <w:pPr>
        <w:rPr>
          <w:rFonts w:cs="Arial"/>
        </w:rPr>
      </w:pPr>
      <w:r w:rsidRPr="00C93148">
        <w:rPr>
          <w:rFonts w:cs="Arial"/>
        </w:rPr>
        <w:fldChar w:fldCharType="begin"/>
      </w:r>
      <w:r w:rsidRPr="00AF34A3">
        <w:rPr>
          <w:rFonts w:cs="Arial"/>
        </w:rPr>
        <w:instrText xml:space="preserve"> AUTONUM  </w:instrText>
      </w:r>
      <w:r w:rsidRPr="00C93148">
        <w:rPr>
          <w:rFonts w:cs="Arial"/>
        </w:rPr>
        <w:fldChar w:fldCharType="end"/>
      </w:r>
      <w:r>
        <w:tab/>
        <w:t>En un taller organizado por la OCVV y la Oficina de la Unión, que tuvo lugar el 21 de noviembre de</w:t>
      </w:r>
      <w:r w:rsidR="00CE5AF2">
        <w:t> </w:t>
      </w:r>
      <w:r>
        <w:t>2019, se llegó a la conclusión de que el algoritmo de similitud de la OCVV funciona de forma satisfactoria y que, por el momento, intentar mejorar el algoritmo a efectos de comprobar la similitud entre denominaciones de variedades no constituiría un uso adecuado de los recursos. Se convino en que, no obstante, sería útil analizar la posibilidad de que el instrumento para la búsqueda de denominaciones de variedades considere otros aspectos además de la similitud, en particular para comprobar las características de la variedad.</w:t>
      </w:r>
    </w:p>
    <w:p w14:paraId="6F91680C" w14:textId="77777777" w:rsidR="00AF34A3" w:rsidRPr="00AF34A3" w:rsidRDefault="00AF34A3" w:rsidP="00AF34A3">
      <w:pPr>
        <w:rPr>
          <w:rFonts w:cs="Arial"/>
        </w:rPr>
      </w:pPr>
    </w:p>
    <w:p w14:paraId="38517DC9" w14:textId="77777777" w:rsidR="00AF34A3" w:rsidRPr="00AF34A3" w:rsidRDefault="00AF34A3" w:rsidP="00AF34A3">
      <w:pPr>
        <w:rPr>
          <w:rFonts w:cs="Arial"/>
        </w:rPr>
      </w:pPr>
      <w:r>
        <w:rPr>
          <w:rFonts w:cs="Arial"/>
        </w:rPr>
        <w:fldChar w:fldCharType="begin"/>
      </w:r>
      <w:r w:rsidRPr="00AF34A3">
        <w:rPr>
          <w:rFonts w:cs="Arial"/>
        </w:rPr>
        <w:instrText xml:space="preserve"> AUTONUM  </w:instrText>
      </w:r>
      <w:r>
        <w:rPr>
          <w:rFonts w:cs="Arial"/>
        </w:rPr>
        <w:fldChar w:fldCharType="end"/>
      </w:r>
      <w:r>
        <w:tab/>
        <w:t>En el documento UPOV/INF/12 “Notas explicativas sobre las denominaciones de variedades con arreglo al Convenio de la UPOV” se establece lo siguiente:</w:t>
      </w:r>
    </w:p>
    <w:p w14:paraId="29535160" w14:textId="77777777" w:rsidR="00AF34A3" w:rsidRPr="00AF34A3" w:rsidRDefault="00AF34A3" w:rsidP="00AF34A3">
      <w:pPr>
        <w:rPr>
          <w:rFonts w:cs="Arial"/>
        </w:rPr>
      </w:pPr>
    </w:p>
    <w:p w14:paraId="7C65A30B" w14:textId="77777777" w:rsidR="00AF34A3" w:rsidRPr="00C9483D" w:rsidRDefault="00AF34A3" w:rsidP="00AF34A3">
      <w:pPr>
        <w:ind w:left="567"/>
        <w:rPr>
          <w:sz w:val="18"/>
          <w:szCs w:val="18"/>
        </w:rPr>
      </w:pPr>
      <w:r w:rsidRPr="00C9483D">
        <w:rPr>
          <w:sz w:val="18"/>
          <w:szCs w:val="18"/>
        </w:rPr>
        <w:t>“2.3.1</w:t>
      </w:r>
      <w:r w:rsidRPr="00C9483D">
        <w:rPr>
          <w:sz w:val="18"/>
          <w:szCs w:val="18"/>
        </w:rPr>
        <w:tab/>
        <w:t>Características de la variedad</w:t>
      </w:r>
    </w:p>
    <w:p w14:paraId="622CCEA9" w14:textId="77777777" w:rsidR="00AF34A3" w:rsidRPr="00C9483D" w:rsidRDefault="00AF34A3" w:rsidP="00AF34A3">
      <w:pPr>
        <w:ind w:left="567"/>
        <w:rPr>
          <w:sz w:val="18"/>
          <w:szCs w:val="18"/>
        </w:rPr>
      </w:pPr>
    </w:p>
    <w:p w14:paraId="6C01185C" w14:textId="77777777" w:rsidR="00AF34A3" w:rsidRPr="00C9483D" w:rsidRDefault="00AF34A3" w:rsidP="00AF34A3">
      <w:pPr>
        <w:ind w:left="567"/>
        <w:rPr>
          <w:sz w:val="18"/>
          <w:szCs w:val="18"/>
        </w:rPr>
      </w:pPr>
      <w:r w:rsidRPr="00C9483D">
        <w:rPr>
          <w:sz w:val="18"/>
          <w:szCs w:val="18"/>
        </w:rPr>
        <w:t>La denominación no deberá:</w:t>
      </w:r>
    </w:p>
    <w:p w14:paraId="01108201" w14:textId="77777777" w:rsidR="00AF34A3" w:rsidRPr="00C9483D" w:rsidRDefault="00AF34A3" w:rsidP="00AF34A3">
      <w:pPr>
        <w:ind w:left="567"/>
        <w:rPr>
          <w:sz w:val="18"/>
          <w:szCs w:val="18"/>
        </w:rPr>
      </w:pPr>
    </w:p>
    <w:p w14:paraId="71580826" w14:textId="77777777" w:rsidR="00AF34A3" w:rsidRPr="00C9483D" w:rsidRDefault="00AF34A3" w:rsidP="00AF34A3">
      <w:pPr>
        <w:ind w:left="567" w:firstLine="567"/>
        <w:rPr>
          <w:sz w:val="18"/>
          <w:szCs w:val="18"/>
        </w:rPr>
      </w:pPr>
      <w:r w:rsidRPr="00C9483D">
        <w:rPr>
          <w:sz w:val="18"/>
          <w:szCs w:val="18"/>
        </w:rPr>
        <w:t>a)</w:t>
      </w:r>
      <w:r w:rsidRPr="00C9483D">
        <w:rPr>
          <w:sz w:val="18"/>
          <w:szCs w:val="18"/>
        </w:rPr>
        <w:tab/>
        <w:t xml:space="preserve">dar la impresión de que la variedad tiene características particulares que, en realidad, no tiene; </w:t>
      </w:r>
    </w:p>
    <w:p w14:paraId="593D84F4" w14:textId="77777777" w:rsidR="00AF34A3" w:rsidRPr="00C9483D" w:rsidRDefault="00AF34A3" w:rsidP="00AF34A3">
      <w:pPr>
        <w:ind w:left="567" w:firstLine="567"/>
        <w:rPr>
          <w:sz w:val="18"/>
          <w:szCs w:val="18"/>
        </w:rPr>
      </w:pPr>
    </w:p>
    <w:p w14:paraId="28226048" w14:textId="77777777" w:rsidR="00AF34A3" w:rsidRPr="00C9483D" w:rsidRDefault="00AF34A3" w:rsidP="00AF34A3">
      <w:pPr>
        <w:ind w:left="1134"/>
        <w:rPr>
          <w:sz w:val="18"/>
          <w:szCs w:val="18"/>
        </w:rPr>
      </w:pPr>
      <w:r w:rsidRPr="00C9483D">
        <w:rPr>
          <w:i/>
          <w:sz w:val="18"/>
          <w:szCs w:val="18"/>
        </w:rPr>
        <w:t>Ejemplo</w:t>
      </w:r>
      <w:r w:rsidRPr="00C9483D">
        <w:rPr>
          <w:sz w:val="18"/>
          <w:szCs w:val="18"/>
        </w:rPr>
        <w:t>: la denominación de variedad “enana” para una variedad que tenga una altura normal, cuando exista un rasgo de enanismo en la especie que la variedad no posea.</w:t>
      </w:r>
    </w:p>
    <w:p w14:paraId="49D46340" w14:textId="77777777" w:rsidR="00AF34A3" w:rsidRPr="00C9483D" w:rsidRDefault="00AF34A3" w:rsidP="00AF34A3">
      <w:pPr>
        <w:ind w:left="567"/>
        <w:rPr>
          <w:sz w:val="18"/>
          <w:szCs w:val="18"/>
        </w:rPr>
      </w:pPr>
    </w:p>
    <w:p w14:paraId="73F077D2" w14:textId="77777777" w:rsidR="00AF34A3" w:rsidRPr="00C9483D" w:rsidRDefault="00AF34A3" w:rsidP="00AF34A3">
      <w:pPr>
        <w:ind w:left="567" w:firstLine="567"/>
        <w:rPr>
          <w:color w:val="000000"/>
          <w:sz w:val="18"/>
          <w:szCs w:val="18"/>
        </w:rPr>
      </w:pPr>
      <w:r w:rsidRPr="00C9483D">
        <w:rPr>
          <w:sz w:val="18"/>
          <w:szCs w:val="18"/>
        </w:rPr>
        <w:t>b)</w:t>
      </w:r>
      <w:r w:rsidRPr="00C9483D">
        <w:rPr>
          <w:sz w:val="18"/>
          <w:szCs w:val="18"/>
        </w:rPr>
        <w:tab/>
        <w:t>referirse a caracteres específicos de la variedad de manera tal que se dé la impresión de que solo la variedad los posee, mientras que en realidad otras variedades de la especie en cuestión también tienen o pueden tener los mismos caracteres; por ejemplo, cuando la denominación de la variedad consista únicamente en palabras que describan atributos de la variedad que otras variedades de la especie puedan también poseer.</w:t>
      </w:r>
    </w:p>
    <w:p w14:paraId="6B31B0DE" w14:textId="77777777" w:rsidR="00AF34A3" w:rsidRPr="00C9483D" w:rsidRDefault="00AF34A3" w:rsidP="00AF34A3">
      <w:pPr>
        <w:ind w:left="567" w:firstLine="567"/>
        <w:rPr>
          <w:color w:val="000000"/>
          <w:sz w:val="18"/>
          <w:szCs w:val="18"/>
          <w:u w:val="single"/>
        </w:rPr>
      </w:pPr>
    </w:p>
    <w:p w14:paraId="6C5B1EF8" w14:textId="77777777" w:rsidR="00AF34A3" w:rsidRPr="00C9483D" w:rsidRDefault="00AF34A3" w:rsidP="00AF34A3">
      <w:pPr>
        <w:ind w:left="567" w:firstLine="567"/>
        <w:jc w:val="left"/>
        <w:rPr>
          <w:color w:val="000000"/>
          <w:sz w:val="18"/>
          <w:szCs w:val="18"/>
          <w:u w:val="single"/>
        </w:rPr>
      </w:pPr>
      <w:r w:rsidRPr="00C9483D">
        <w:rPr>
          <w:i/>
          <w:sz w:val="18"/>
          <w:szCs w:val="18"/>
        </w:rPr>
        <w:t>Ejemplo 1</w:t>
      </w:r>
      <w:r w:rsidRPr="00C9483D">
        <w:rPr>
          <w:sz w:val="18"/>
          <w:szCs w:val="18"/>
        </w:rPr>
        <w:t>: “Dulce” para una variedad frutal;</w:t>
      </w:r>
      <w:r w:rsidRPr="00C9483D">
        <w:rPr>
          <w:sz w:val="18"/>
          <w:szCs w:val="18"/>
        </w:rPr>
        <w:br/>
      </w:r>
      <w:r w:rsidRPr="00C9483D">
        <w:rPr>
          <w:sz w:val="18"/>
          <w:szCs w:val="18"/>
        </w:rPr>
        <w:br/>
      </w:r>
    </w:p>
    <w:p w14:paraId="7EC006B4" w14:textId="77777777" w:rsidR="00AF34A3" w:rsidRPr="00C9483D" w:rsidRDefault="00AF34A3" w:rsidP="00AF34A3">
      <w:pPr>
        <w:ind w:left="567" w:firstLine="567"/>
        <w:jc w:val="left"/>
        <w:rPr>
          <w:sz w:val="18"/>
          <w:szCs w:val="18"/>
        </w:rPr>
      </w:pPr>
      <w:r w:rsidRPr="00C9483D">
        <w:rPr>
          <w:i/>
          <w:sz w:val="18"/>
          <w:szCs w:val="18"/>
        </w:rPr>
        <w:t>Ejemplo 2</w:t>
      </w:r>
      <w:r w:rsidRPr="00C9483D">
        <w:rPr>
          <w:sz w:val="18"/>
          <w:szCs w:val="18"/>
        </w:rPr>
        <w:t>: “Blanca grande” para una variedad de crisantemo.</w:t>
      </w:r>
      <w:r w:rsidRPr="00C9483D">
        <w:rPr>
          <w:sz w:val="18"/>
          <w:szCs w:val="18"/>
        </w:rPr>
        <w:br/>
      </w:r>
    </w:p>
    <w:p w14:paraId="27CE15E9" w14:textId="77777777" w:rsidR="00AF34A3" w:rsidRPr="00C9483D" w:rsidRDefault="00AF34A3" w:rsidP="00AF34A3">
      <w:pPr>
        <w:keepNext/>
        <w:ind w:left="567" w:firstLine="567"/>
        <w:rPr>
          <w:sz w:val="18"/>
          <w:szCs w:val="18"/>
        </w:rPr>
      </w:pPr>
      <w:r w:rsidRPr="00C9483D">
        <w:rPr>
          <w:sz w:val="18"/>
          <w:szCs w:val="18"/>
        </w:rPr>
        <w:t>c)</w:t>
      </w:r>
      <w:r w:rsidRPr="00C9483D">
        <w:rPr>
          <w:sz w:val="18"/>
          <w:szCs w:val="18"/>
        </w:rPr>
        <w:tab/>
        <w:t>dar la impresión de que la variedad se deriva de otra variedad o está relacionada con esta cuando, en realidad, no es el caso;</w:t>
      </w:r>
    </w:p>
    <w:p w14:paraId="282B627D" w14:textId="77777777" w:rsidR="00AF34A3" w:rsidRPr="00C9483D" w:rsidRDefault="00AF34A3" w:rsidP="00AF34A3">
      <w:pPr>
        <w:keepNext/>
        <w:ind w:left="567" w:firstLine="567"/>
        <w:rPr>
          <w:sz w:val="18"/>
          <w:szCs w:val="18"/>
        </w:rPr>
      </w:pPr>
    </w:p>
    <w:p w14:paraId="236E1CE5" w14:textId="77777777" w:rsidR="00AF34A3" w:rsidRPr="00C9483D" w:rsidRDefault="00AF34A3" w:rsidP="00AF34A3">
      <w:pPr>
        <w:ind w:left="1134"/>
        <w:rPr>
          <w:sz w:val="18"/>
          <w:szCs w:val="18"/>
        </w:rPr>
      </w:pPr>
      <w:r w:rsidRPr="00C9483D">
        <w:rPr>
          <w:i/>
          <w:sz w:val="18"/>
          <w:szCs w:val="18"/>
        </w:rPr>
        <w:t>Ejemplo</w:t>
      </w:r>
      <w:r w:rsidRPr="00C9483D">
        <w:rPr>
          <w:sz w:val="18"/>
          <w:szCs w:val="18"/>
        </w:rPr>
        <w:t>: una denominación que sea similar a la de otra variedad de la misma especie o de especies vecinas; por ejemplo, “</w:t>
      </w:r>
      <w:proofErr w:type="spellStart"/>
      <w:r w:rsidRPr="00C9483D">
        <w:rPr>
          <w:sz w:val="18"/>
          <w:szCs w:val="18"/>
        </w:rPr>
        <w:t>Southern</w:t>
      </w:r>
      <w:proofErr w:type="spellEnd"/>
      <w:r w:rsidRPr="00C9483D">
        <w:rPr>
          <w:sz w:val="18"/>
          <w:szCs w:val="18"/>
        </w:rPr>
        <w:t> </w:t>
      </w:r>
      <w:proofErr w:type="spellStart"/>
      <w:r w:rsidRPr="00C9483D">
        <w:rPr>
          <w:sz w:val="18"/>
          <w:szCs w:val="18"/>
        </w:rPr>
        <w:t>cross</w:t>
      </w:r>
      <w:proofErr w:type="spellEnd"/>
      <w:r w:rsidRPr="00C9483D">
        <w:rPr>
          <w:sz w:val="18"/>
          <w:szCs w:val="18"/>
        </w:rPr>
        <w:t> 1”, “</w:t>
      </w:r>
      <w:proofErr w:type="spellStart"/>
      <w:r w:rsidRPr="00C9483D">
        <w:rPr>
          <w:sz w:val="18"/>
          <w:szCs w:val="18"/>
        </w:rPr>
        <w:t>Southern</w:t>
      </w:r>
      <w:proofErr w:type="spellEnd"/>
      <w:r w:rsidRPr="00C9483D">
        <w:rPr>
          <w:sz w:val="18"/>
          <w:szCs w:val="18"/>
        </w:rPr>
        <w:t> </w:t>
      </w:r>
      <w:proofErr w:type="spellStart"/>
      <w:r w:rsidRPr="00C9483D">
        <w:rPr>
          <w:sz w:val="18"/>
          <w:szCs w:val="18"/>
        </w:rPr>
        <w:t>cross</w:t>
      </w:r>
      <w:proofErr w:type="spellEnd"/>
      <w:r w:rsidRPr="00C9483D">
        <w:rPr>
          <w:sz w:val="18"/>
          <w:szCs w:val="18"/>
        </w:rPr>
        <w:t> 2”, etc., lo que da la impresión de que estas variedades son una serie de variedades relacionadas entre sí con los mismos caracteres cuando, en realidad, tal no es el caso.</w:t>
      </w:r>
    </w:p>
    <w:p w14:paraId="52573B9B" w14:textId="77777777" w:rsidR="00AF34A3" w:rsidRPr="00C9483D" w:rsidRDefault="00AF34A3" w:rsidP="00AF34A3">
      <w:pPr>
        <w:ind w:left="567" w:firstLine="567"/>
        <w:rPr>
          <w:sz w:val="18"/>
          <w:szCs w:val="18"/>
        </w:rPr>
      </w:pPr>
    </w:p>
    <w:p w14:paraId="77968EE9" w14:textId="77777777" w:rsidR="00AF34A3" w:rsidRPr="00C9483D" w:rsidRDefault="00AF34A3" w:rsidP="00AF34A3">
      <w:pPr>
        <w:ind w:left="567"/>
        <w:rPr>
          <w:sz w:val="18"/>
          <w:szCs w:val="18"/>
        </w:rPr>
      </w:pPr>
      <w:r w:rsidRPr="00C9483D">
        <w:rPr>
          <w:sz w:val="18"/>
          <w:szCs w:val="18"/>
        </w:rPr>
        <w:t>2.3.2</w:t>
      </w:r>
      <w:r w:rsidRPr="00C9483D">
        <w:rPr>
          <w:sz w:val="18"/>
          <w:szCs w:val="18"/>
        </w:rPr>
        <w:tab/>
        <w:t>Valor de la variedad</w:t>
      </w:r>
    </w:p>
    <w:p w14:paraId="65F5662C" w14:textId="77777777" w:rsidR="00AF34A3" w:rsidRPr="00C9483D" w:rsidRDefault="00AF34A3" w:rsidP="00AF34A3">
      <w:pPr>
        <w:ind w:left="567"/>
        <w:rPr>
          <w:sz w:val="18"/>
          <w:szCs w:val="18"/>
        </w:rPr>
      </w:pPr>
    </w:p>
    <w:p w14:paraId="125D849F" w14:textId="77777777" w:rsidR="00AF34A3" w:rsidRPr="00C9483D" w:rsidRDefault="00AF34A3" w:rsidP="00AF34A3">
      <w:pPr>
        <w:ind w:left="567"/>
        <w:rPr>
          <w:sz w:val="18"/>
          <w:szCs w:val="18"/>
        </w:rPr>
      </w:pPr>
      <w:r w:rsidRPr="00C9483D">
        <w:rPr>
          <w:sz w:val="18"/>
          <w:szCs w:val="18"/>
        </w:rPr>
        <w:t xml:space="preserve">La denominación no deberá componerse de designaciones superlativas o comparativas, o contener estas designaciones. </w:t>
      </w:r>
    </w:p>
    <w:p w14:paraId="28B58B0D" w14:textId="77777777" w:rsidR="00AF34A3" w:rsidRPr="00AF34A3" w:rsidRDefault="00AF34A3" w:rsidP="00AF34A3">
      <w:pPr>
        <w:ind w:left="567" w:firstLine="567"/>
        <w:rPr>
          <w:sz w:val="18"/>
          <w:szCs w:val="18"/>
        </w:rPr>
      </w:pPr>
    </w:p>
    <w:p w14:paraId="57A4298B" w14:textId="77777777" w:rsidR="00AF34A3" w:rsidRPr="00C9483D" w:rsidRDefault="00AF34A3" w:rsidP="00AF34A3">
      <w:pPr>
        <w:ind w:left="1134"/>
        <w:rPr>
          <w:sz w:val="16"/>
          <w:szCs w:val="18"/>
        </w:rPr>
      </w:pPr>
      <w:r w:rsidRPr="00C9483D">
        <w:rPr>
          <w:i/>
          <w:sz w:val="18"/>
        </w:rPr>
        <w:t>Ejemplo</w:t>
      </w:r>
      <w:r w:rsidRPr="00C9483D">
        <w:rPr>
          <w:sz w:val="18"/>
        </w:rPr>
        <w:t>:  una denominación que contenga términos tales como “mejor”, “superior”, “más dulce”.</w:t>
      </w:r>
      <w:r w:rsidRPr="00C9483D">
        <w:rPr>
          <w:sz w:val="16"/>
        </w:rPr>
        <w:t xml:space="preserve"> </w:t>
      </w:r>
    </w:p>
    <w:p w14:paraId="4FDA9FB3" w14:textId="77777777" w:rsidR="00AF34A3" w:rsidRPr="00AF34A3" w:rsidRDefault="00AF34A3" w:rsidP="00AF34A3">
      <w:pPr>
        <w:rPr>
          <w:rFonts w:cs="Arial"/>
        </w:rPr>
      </w:pPr>
    </w:p>
    <w:p w14:paraId="112D6694" w14:textId="77777777" w:rsidR="00AF34A3" w:rsidRPr="00AF34A3" w:rsidRDefault="00AF34A3" w:rsidP="00AF34A3">
      <w:pPr>
        <w:rPr>
          <w:rFonts w:cs="Arial"/>
        </w:rPr>
      </w:pPr>
      <w:r>
        <w:rPr>
          <w:rFonts w:cs="Arial"/>
        </w:rPr>
        <w:fldChar w:fldCharType="begin"/>
      </w:r>
      <w:r w:rsidRPr="00AF34A3">
        <w:rPr>
          <w:rFonts w:cs="Arial"/>
        </w:rPr>
        <w:instrText xml:space="preserve"> AUTONUM  </w:instrText>
      </w:r>
      <w:r>
        <w:rPr>
          <w:rFonts w:cs="Arial"/>
        </w:rPr>
        <w:fldChar w:fldCharType="end"/>
      </w:r>
      <w:r>
        <w:tab/>
        <w:t>En lo que respecta a la comprobación de las denominaciones, la denominación no deberá “dar la impresión de que la variedad tiene características particulares que, en realidad, no tiene”. La finalidad de esa función del instrumento para la búsqueda de denominaciones de variedades no sería juzgar la admisibilidad de una denominación, sino alertar al examinador de que la denominación presenta una característica que podría ser necesario evaluar.</w:t>
      </w:r>
    </w:p>
    <w:p w14:paraId="15C4F95C" w14:textId="77777777" w:rsidR="00AF34A3" w:rsidRPr="00AF34A3" w:rsidRDefault="00AF34A3" w:rsidP="00AF34A3">
      <w:pPr>
        <w:rPr>
          <w:rFonts w:cs="Arial"/>
        </w:rPr>
      </w:pPr>
    </w:p>
    <w:p w14:paraId="409EFDBD" w14:textId="7C19F7CA" w:rsidR="00AF34A3" w:rsidRPr="00AF34A3" w:rsidRDefault="00AF34A3" w:rsidP="00AF34A3">
      <w:pPr>
        <w:keepLines/>
        <w:rPr>
          <w:rFonts w:cs="Arial"/>
        </w:rPr>
      </w:pPr>
      <w:r>
        <w:rPr>
          <w:rFonts w:cs="Arial"/>
        </w:rPr>
        <w:fldChar w:fldCharType="begin"/>
      </w:r>
      <w:r w:rsidRPr="00AF34A3">
        <w:rPr>
          <w:rFonts w:cs="Arial"/>
        </w:rPr>
        <w:instrText xml:space="preserve"> AUTONUM  </w:instrText>
      </w:r>
      <w:r>
        <w:rPr>
          <w:rFonts w:cs="Arial"/>
        </w:rPr>
        <w:fldChar w:fldCharType="end"/>
      </w:r>
      <w:r>
        <w:tab/>
        <w:t>La plantilla de los documentos TG contiene una base de datos de los caracteres incluidos en las directrices de examen de la UPOV y, en el caso de los miembros de la Unión que participan en</w:t>
      </w:r>
      <w:r w:rsidR="00CE5AF2">
        <w:t> </w:t>
      </w:r>
      <w:r>
        <w:t>UPOV</w:t>
      </w:r>
      <w:r w:rsidR="00CE5AF2">
        <w:t> </w:t>
      </w:r>
      <w:r>
        <w:t>PRISMA, de los caracteres incluidos en las directrices de examen propias de cada autoridad. Dichos caracteres están disponibles en alemán, español, francés e inglés, así como en los idiomas de navegación y de salida admitidos en UPOV PRISMA (si los proporcionan los miembros de la Unión que participan en</w:t>
      </w:r>
      <w:r w:rsidR="00CE5AF2">
        <w:t> </w:t>
      </w:r>
      <w:r>
        <w:t>UPOV</w:t>
      </w:r>
      <w:r w:rsidR="00CE5AF2">
        <w:t> </w:t>
      </w:r>
      <w:r>
        <w:t>PRISMA). Por consiguiente, los caracteres que figuran en la plantilla de los documentos TG pueden servir de base para la comprobación de las denominaciones que contengan características.</w:t>
      </w:r>
    </w:p>
    <w:p w14:paraId="2E7901CB" w14:textId="77777777" w:rsidR="00AF34A3" w:rsidRPr="00AF34A3" w:rsidRDefault="00AF34A3" w:rsidP="00AF34A3">
      <w:pPr>
        <w:rPr>
          <w:rFonts w:cs="Arial"/>
        </w:rPr>
      </w:pPr>
    </w:p>
    <w:p w14:paraId="7346A32F" w14:textId="717BB644" w:rsidR="00AF34A3" w:rsidRPr="00AF34A3" w:rsidRDefault="00AF34A3" w:rsidP="00AF34A3">
      <w:pPr>
        <w:rPr>
          <w:rFonts w:cs="Arial"/>
        </w:rPr>
      </w:pPr>
      <w:r w:rsidRPr="00781F38">
        <w:rPr>
          <w:rFonts w:cs="Arial"/>
        </w:rPr>
        <w:fldChar w:fldCharType="begin"/>
      </w:r>
      <w:r w:rsidRPr="00AF34A3">
        <w:rPr>
          <w:rFonts w:cs="Arial"/>
        </w:rPr>
        <w:instrText xml:space="preserve"> AUTONUM  </w:instrText>
      </w:r>
      <w:r w:rsidRPr="00781F38">
        <w:rPr>
          <w:rFonts w:cs="Arial"/>
        </w:rPr>
        <w:fldChar w:fldCharType="end"/>
      </w:r>
      <w:r>
        <w:tab/>
        <w:t>Se recuerda que, en su septuagésima séptima sesión, se invitará al CAJ a examinar un proyecto del documento UPOV/EXN/DEN/1 “Notas explicativas sobre las denominaciones de variedades con arreglo al</w:t>
      </w:r>
      <w:r w:rsidR="00CE5AF2">
        <w:t> </w:t>
      </w:r>
      <w:r>
        <w:t>Convenio de la UPOV”. Todo trabajo relativo al instrumento para la comprobación de las características habrá de atenerse a las orientaciones ofrecidas en el documento UPOV/EXN/DEN/1, una vez aprobado.</w:t>
      </w:r>
    </w:p>
    <w:p w14:paraId="77EF2520" w14:textId="77777777" w:rsidR="00AF34A3" w:rsidRPr="00AF34A3" w:rsidRDefault="00AF34A3" w:rsidP="00AF34A3">
      <w:pPr>
        <w:rPr>
          <w:rFonts w:eastAsiaTheme="minorEastAsia"/>
        </w:rPr>
      </w:pPr>
    </w:p>
    <w:p w14:paraId="2C7041ED" w14:textId="77777777" w:rsidR="00AF34A3" w:rsidRPr="00AF34A3" w:rsidRDefault="00AF34A3" w:rsidP="00AF34A3">
      <w:pPr>
        <w:rPr>
          <w:rFonts w:eastAsiaTheme="minorEastAsia"/>
        </w:rPr>
      </w:pPr>
    </w:p>
    <w:p w14:paraId="699DD9F7" w14:textId="77777777" w:rsidR="00AF34A3" w:rsidRPr="000D7945" w:rsidRDefault="00AF34A3" w:rsidP="00AF34A3">
      <w:pPr>
        <w:pStyle w:val="Heading1"/>
        <w:rPr>
          <w:rFonts w:eastAsiaTheme="minorEastAsia"/>
        </w:rPr>
      </w:pPr>
      <w:bookmarkStart w:id="24" w:name="_Toc477358709"/>
      <w:bookmarkStart w:id="25" w:name="_Toc52996366"/>
      <w:bookmarkStart w:id="26" w:name="_Toc54030109"/>
      <w:r>
        <w:t>Ampliación del contenido de la base de datos PLUTO</w:t>
      </w:r>
      <w:bookmarkEnd w:id="24"/>
      <w:bookmarkEnd w:id="25"/>
      <w:bookmarkEnd w:id="26"/>
    </w:p>
    <w:p w14:paraId="67BFD3C3" w14:textId="77777777" w:rsidR="00AF34A3" w:rsidRPr="00AF34A3" w:rsidRDefault="00AF34A3" w:rsidP="00AF34A3">
      <w:pPr>
        <w:keepNext/>
        <w:rPr>
          <w:rFonts w:eastAsiaTheme="minorEastAsia"/>
          <w:snapToGrid w:val="0"/>
        </w:rPr>
      </w:pPr>
    </w:p>
    <w:p w14:paraId="452BC36B" w14:textId="77777777" w:rsidR="00AF34A3" w:rsidRDefault="00AF34A3" w:rsidP="00AF34A3">
      <w:pPr>
        <w:pStyle w:val="Heading2"/>
        <w:rPr>
          <w:rFonts w:eastAsiaTheme="minorEastAsia"/>
        </w:rPr>
      </w:pPr>
      <w:bookmarkStart w:id="27" w:name="_Toc52996367"/>
      <w:bookmarkStart w:id="28" w:name="_Toc54030110"/>
      <w:r>
        <w:t>Grupo de Trabajo sobre Denominaciones de Variedades en 2019</w:t>
      </w:r>
      <w:bookmarkEnd w:id="27"/>
      <w:bookmarkEnd w:id="28"/>
    </w:p>
    <w:p w14:paraId="3AF4C912" w14:textId="77777777" w:rsidR="00AF34A3" w:rsidRPr="00AF34A3" w:rsidRDefault="00AF34A3" w:rsidP="00AF34A3">
      <w:pPr>
        <w:keepNext/>
        <w:keepLines/>
        <w:rPr>
          <w:rFonts w:eastAsiaTheme="minorEastAsia"/>
        </w:rPr>
      </w:pPr>
    </w:p>
    <w:p w14:paraId="5BD29247" w14:textId="77777777" w:rsidR="00AF34A3" w:rsidRPr="00AF34A3" w:rsidRDefault="00AF34A3" w:rsidP="00AF34A3">
      <w:pPr>
        <w:keepNext/>
        <w:rPr>
          <w:rFonts w:eastAsiaTheme="minorEastAsia"/>
        </w:rPr>
      </w:pPr>
      <w:r w:rsidRPr="000D7945">
        <w:rPr>
          <w:rFonts w:eastAsiaTheme="minorEastAsia"/>
        </w:rPr>
        <w:fldChar w:fldCharType="begin"/>
      </w:r>
      <w:r w:rsidRPr="00AF34A3">
        <w:rPr>
          <w:rFonts w:eastAsiaTheme="minorEastAsia"/>
        </w:rPr>
        <w:instrText xml:space="preserve"> AUTONUM  </w:instrText>
      </w:r>
      <w:r w:rsidRPr="000D7945">
        <w:rPr>
          <w:rFonts w:eastAsiaTheme="minorEastAsia"/>
        </w:rPr>
        <w:fldChar w:fldCharType="end"/>
      </w:r>
      <w:r>
        <w:tab/>
        <w:t>Los antecedentes de esta cuestión figuran en los párrafos 11 a 17 del documento TC/55/INF/7.</w:t>
      </w:r>
    </w:p>
    <w:p w14:paraId="3842865C" w14:textId="77777777" w:rsidR="00AF34A3" w:rsidRPr="00AF34A3" w:rsidRDefault="00AF34A3" w:rsidP="00AF34A3">
      <w:pPr>
        <w:ind w:left="1701" w:hanging="1134"/>
        <w:jc w:val="left"/>
        <w:rPr>
          <w:rFonts w:eastAsiaTheme="minorEastAsia" w:cs="Arial"/>
          <w:snapToGrid w:val="0"/>
        </w:rPr>
      </w:pPr>
    </w:p>
    <w:p w14:paraId="6B2945B8" w14:textId="77777777" w:rsidR="00AF34A3" w:rsidRPr="00AF34A3" w:rsidRDefault="00AF34A3" w:rsidP="00AF34A3">
      <w:r w:rsidRPr="00102F80">
        <w:rPr>
          <w:rFonts w:eastAsiaTheme="minorEastAsia"/>
          <w:spacing w:val="-2"/>
        </w:rPr>
        <w:fldChar w:fldCharType="begin"/>
      </w:r>
      <w:r w:rsidRPr="00AF34A3">
        <w:rPr>
          <w:rFonts w:eastAsiaTheme="minorEastAsia"/>
          <w:spacing w:val="-2"/>
        </w:rPr>
        <w:instrText xml:space="preserve"> AUTONUM  </w:instrText>
      </w:r>
      <w:r w:rsidRPr="00102F80">
        <w:rPr>
          <w:rFonts w:eastAsiaTheme="minorEastAsia"/>
          <w:spacing w:val="-2"/>
        </w:rPr>
        <w:fldChar w:fldCharType="end"/>
      </w:r>
      <w:r>
        <w:tab/>
        <w:t xml:space="preserve">En su sexta reunión, el WG-DEN </w:t>
      </w:r>
      <w:bookmarkStart w:id="29" w:name="_Toc13678267"/>
      <w:r>
        <w:t>asistió a una ponencia sobre la posible introducción de un identificador único de los registros de variedades de la base de datos PLUTO.</w:t>
      </w:r>
    </w:p>
    <w:p w14:paraId="29649CEE" w14:textId="77777777" w:rsidR="00AF34A3" w:rsidRPr="00AF34A3" w:rsidRDefault="00AF34A3" w:rsidP="00AF34A3">
      <w:pPr>
        <w:ind w:left="1701" w:hanging="1134"/>
        <w:jc w:val="left"/>
        <w:rPr>
          <w:rFonts w:eastAsiaTheme="minorEastAsia" w:cs="Arial"/>
          <w:snapToGrid w:val="0"/>
        </w:rPr>
      </w:pPr>
    </w:p>
    <w:p w14:paraId="13E51E52" w14:textId="77777777" w:rsidR="00AF34A3" w:rsidRPr="00AF34A3" w:rsidRDefault="00AF34A3" w:rsidP="00AF34A3">
      <w:r w:rsidRPr="00102F80">
        <w:rPr>
          <w:rFonts w:eastAsiaTheme="minorEastAsia"/>
          <w:spacing w:val="-2"/>
        </w:rPr>
        <w:fldChar w:fldCharType="begin"/>
      </w:r>
      <w:r w:rsidRPr="00AF34A3">
        <w:rPr>
          <w:rFonts w:eastAsiaTheme="minorEastAsia"/>
          <w:spacing w:val="-2"/>
        </w:rPr>
        <w:instrText xml:space="preserve"> AUTONUM  </w:instrText>
      </w:r>
      <w:r w:rsidRPr="00102F80">
        <w:rPr>
          <w:rFonts w:eastAsiaTheme="minorEastAsia"/>
          <w:spacing w:val="-2"/>
        </w:rPr>
        <w:fldChar w:fldCharType="end"/>
      </w:r>
      <w:r>
        <w:tab/>
        <w:t>El WG-DEN tomó nota de los planes de introducir un identificador único de los registros de variedades de la base de datos PLUTO.</w:t>
      </w:r>
    </w:p>
    <w:p w14:paraId="57C8EAAE" w14:textId="77777777" w:rsidR="00AF34A3" w:rsidRPr="00AF34A3" w:rsidRDefault="00AF34A3" w:rsidP="00AF34A3">
      <w:pPr>
        <w:rPr>
          <w:rFonts w:eastAsiaTheme="minorEastAsia"/>
        </w:rPr>
      </w:pPr>
    </w:p>
    <w:p w14:paraId="51E00C92" w14:textId="49DD376A" w:rsidR="00AF34A3" w:rsidRPr="00AF34A3" w:rsidRDefault="00AF34A3" w:rsidP="00AF34A3">
      <w:pPr>
        <w:keepLines/>
      </w:pPr>
      <w:r w:rsidRPr="00102F80">
        <w:rPr>
          <w:rFonts w:eastAsiaTheme="minorEastAsia"/>
          <w:spacing w:val="-2"/>
        </w:rPr>
        <w:fldChar w:fldCharType="begin"/>
      </w:r>
      <w:r w:rsidRPr="00AF34A3">
        <w:rPr>
          <w:rFonts w:eastAsiaTheme="minorEastAsia"/>
          <w:spacing w:val="-2"/>
        </w:rPr>
        <w:instrText xml:space="preserve"> AUTONUM  </w:instrText>
      </w:r>
      <w:r w:rsidRPr="00102F80">
        <w:rPr>
          <w:rFonts w:eastAsiaTheme="minorEastAsia"/>
          <w:spacing w:val="-2"/>
        </w:rPr>
        <w:fldChar w:fldCharType="end"/>
      </w:r>
      <w:r>
        <w:tab/>
        <w:t>El WG-DEN examinó las propuestas sobre datos nuevos que se han de incluir en la base de datos</w:t>
      </w:r>
      <w:r w:rsidR="00CE5AF2">
        <w:t> </w:t>
      </w:r>
      <w:r>
        <w:t xml:space="preserve">PLUTO y respaldó la propuesta de añadir nombres comunes en otros idiomas a esta base de datos, en la medida en que lo permitan los recursos. </w:t>
      </w:r>
    </w:p>
    <w:p w14:paraId="1B4F2471" w14:textId="77777777" w:rsidR="00AF34A3" w:rsidRPr="00AF34A3" w:rsidRDefault="00AF34A3" w:rsidP="00AF34A3">
      <w:pPr>
        <w:keepLines/>
        <w:rPr>
          <w:rFonts w:eastAsiaTheme="minorEastAsia"/>
        </w:rPr>
      </w:pPr>
    </w:p>
    <w:p w14:paraId="4635D001" w14:textId="77777777" w:rsidR="00AF34A3" w:rsidRPr="00AF34A3" w:rsidRDefault="00AF34A3" w:rsidP="00AF34A3">
      <w:pPr>
        <w:keepLines/>
      </w:pPr>
      <w:r w:rsidRPr="00102F80">
        <w:rPr>
          <w:rFonts w:eastAsiaTheme="minorEastAsia"/>
          <w:spacing w:val="-2"/>
        </w:rPr>
        <w:fldChar w:fldCharType="begin"/>
      </w:r>
      <w:r w:rsidRPr="00AF34A3">
        <w:rPr>
          <w:rFonts w:eastAsiaTheme="minorEastAsia"/>
          <w:spacing w:val="-2"/>
        </w:rPr>
        <w:instrText xml:space="preserve"> AUTONUM  </w:instrText>
      </w:r>
      <w:r w:rsidRPr="00102F80">
        <w:rPr>
          <w:rFonts w:eastAsiaTheme="minorEastAsia"/>
          <w:spacing w:val="-2"/>
        </w:rPr>
        <w:fldChar w:fldCharType="end"/>
      </w:r>
      <w:r>
        <w:tab/>
        <w:t xml:space="preserve">El WG-DEN tomó nota de que el TC está considerando la manera de abordar las cuestiones relativas a los tipos de variedades a los fines del examen DHE y convino en que las novedades que se produzcan en el TC se han de comunicar al CAJ. </w:t>
      </w:r>
    </w:p>
    <w:bookmarkEnd w:id="29"/>
    <w:p w14:paraId="19797EBF" w14:textId="77777777" w:rsidR="00AF34A3" w:rsidRPr="00AF34A3" w:rsidRDefault="00AF34A3" w:rsidP="00AF34A3">
      <w:pPr>
        <w:rPr>
          <w:rFonts w:cs="Arial"/>
          <w:iCs/>
        </w:rPr>
      </w:pPr>
    </w:p>
    <w:p w14:paraId="65002AB2" w14:textId="77777777" w:rsidR="00AF34A3" w:rsidRPr="00AF34A3" w:rsidRDefault="00AF34A3" w:rsidP="00AF34A3">
      <w:pPr>
        <w:rPr>
          <w:rFonts w:cs="Arial"/>
          <w:iCs/>
        </w:rPr>
      </w:pPr>
    </w:p>
    <w:p w14:paraId="5272C92D" w14:textId="77777777" w:rsidR="00AF34A3" w:rsidRPr="00102F80" w:rsidRDefault="00AF34A3" w:rsidP="00AF34A3">
      <w:pPr>
        <w:pStyle w:val="Heading2"/>
      </w:pPr>
      <w:bookmarkStart w:id="30" w:name="_Toc52996368"/>
      <w:bookmarkStart w:id="31" w:name="_Toc54030111"/>
      <w:r>
        <w:t>Comité Administrativo y Jurídico en 2019</w:t>
      </w:r>
      <w:bookmarkEnd w:id="30"/>
      <w:bookmarkEnd w:id="31"/>
    </w:p>
    <w:p w14:paraId="189CAD60" w14:textId="77777777" w:rsidR="00AF34A3" w:rsidRPr="00AF34A3" w:rsidRDefault="00AF34A3" w:rsidP="00AF34A3">
      <w:pPr>
        <w:keepNext/>
        <w:jc w:val="left"/>
        <w:rPr>
          <w:rFonts w:eastAsiaTheme="minorEastAsia" w:cs="Arial"/>
          <w:snapToGrid w:val="0"/>
          <w:highlight w:val="lightGray"/>
        </w:rPr>
      </w:pPr>
    </w:p>
    <w:p w14:paraId="4DB3F02D" w14:textId="13A92CE4" w:rsidR="00AF34A3" w:rsidRPr="00AF34A3" w:rsidRDefault="00AF34A3" w:rsidP="00AF34A3">
      <w:r w:rsidRPr="008E097D">
        <w:rPr>
          <w:rFonts w:eastAsiaTheme="minorEastAsia"/>
        </w:rPr>
        <w:fldChar w:fldCharType="begin"/>
      </w:r>
      <w:r w:rsidRPr="00AF34A3">
        <w:rPr>
          <w:rFonts w:eastAsiaTheme="minorEastAsia"/>
        </w:rPr>
        <w:instrText xml:space="preserve"> AUTONUM  </w:instrText>
      </w:r>
      <w:r w:rsidRPr="008E097D">
        <w:rPr>
          <w:rFonts w:eastAsiaTheme="minorEastAsia"/>
        </w:rPr>
        <w:fldChar w:fldCharType="end"/>
      </w:r>
      <w:r>
        <w:tab/>
        <w:t>En su septuagésima sexta sesión, el CAJ tomó nota de las novedades expuestas en el documento</w:t>
      </w:r>
      <w:r w:rsidR="00CE5AF2">
        <w:t> </w:t>
      </w:r>
      <w:r>
        <w:t xml:space="preserve">CAJ/76/6 </w:t>
      </w:r>
      <w:bookmarkStart w:id="32" w:name="_GoBack"/>
      <w:bookmarkEnd w:id="32"/>
      <w:proofErr w:type="spellStart"/>
      <w:r>
        <w:t>Add</w:t>
      </w:r>
      <w:proofErr w:type="spellEnd"/>
      <w:r>
        <w:t>. en relación con la “ampliación del contenido de la base de datos PLUTO” y los planes de introducir un identificador único de los registros de variedades de la base de datos PLUTO (véanse los párrafos 40 a 42 del documento CAJ/76/9 “Informe”).</w:t>
      </w:r>
    </w:p>
    <w:p w14:paraId="0B11BFF3" w14:textId="77777777" w:rsidR="00AF34A3" w:rsidRPr="00AF34A3" w:rsidRDefault="00AF34A3" w:rsidP="00AF34A3">
      <w:pPr>
        <w:rPr>
          <w:rFonts w:cs="Arial"/>
          <w:iCs/>
        </w:rPr>
      </w:pPr>
    </w:p>
    <w:p w14:paraId="42FD7956" w14:textId="77777777" w:rsidR="00AF34A3" w:rsidRPr="00AF34A3" w:rsidRDefault="00AF34A3" w:rsidP="00AF34A3">
      <w:pPr>
        <w:keepLines/>
      </w:pPr>
      <w:r w:rsidRPr="008E097D">
        <w:rPr>
          <w:rFonts w:eastAsiaTheme="minorEastAsia"/>
          <w:spacing w:val="-2"/>
        </w:rPr>
        <w:fldChar w:fldCharType="begin"/>
      </w:r>
      <w:r w:rsidRPr="00AF34A3">
        <w:rPr>
          <w:rFonts w:eastAsiaTheme="minorEastAsia"/>
          <w:spacing w:val="-2"/>
        </w:rPr>
        <w:instrText xml:space="preserve"> AUTONUM  </w:instrText>
      </w:r>
      <w:r w:rsidRPr="008E097D">
        <w:rPr>
          <w:rFonts w:eastAsiaTheme="minorEastAsia"/>
          <w:spacing w:val="-2"/>
        </w:rPr>
        <w:fldChar w:fldCharType="end"/>
      </w:r>
      <w:r>
        <w:tab/>
        <w:t xml:space="preserve">Con respecto a la inclusión de otras variedades (datos nuevos) en la base de datos PLUTO, el CAJ tomó nota de las propuestas sobre datos nuevos que se han de incluir en la base de datos PLUTO y respaldó la propuesta de añadir nombres comunes en otros idiomas a esta base de datos. </w:t>
      </w:r>
    </w:p>
    <w:p w14:paraId="1124AA97" w14:textId="77777777" w:rsidR="00AF34A3" w:rsidRPr="00AF34A3" w:rsidRDefault="00AF34A3" w:rsidP="00AF34A3">
      <w:pPr>
        <w:keepLines/>
        <w:rPr>
          <w:rFonts w:eastAsiaTheme="minorEastAsia"/>
        </w:rPr>
      </w:pPr>
    </w:p>
    <w:p w14:paraId="46B12E3C" w14:textId="77777777" w:rsidR="00AF34A3" w:rsidRPr="00AF34A3" w:rsidRDefault="00AF34A3" w:rsidP="00AF34A3">
      <w:pPr>
        <w:keepLines/>
      </w:pPr>
      <w:r w:rsidRPr="00A74321">
        <w:rPr>
          <w:rFonts w:eastAsiaTheme="minorEastAsia"/>
          <w:spacing w:val="-2"/>
        </w:rPr>
        <w:fldChar w:fldCharType="begin"/>
      </w:r>
      <w:r w:rsidRPr="00AF34A3">
        <w:rPr>
          <w:rFonts w:eastAsiaTheme="minorEastAsia"/>
          <w:spacing w:val="-2"/>
        </w:rPr>
        <w:instrText xml:space="preserve"> AUTONUM  </w:instrText>
      </w:r>
      <w:r w:rsidRPr="00A74321">
        <w:rPr>
          <w:rFonts w:eastAsiaTheme="minorEastAsia"/>
          <w:spacing w:val="-2"/>
        </w:rPr>
        <w:fldChar w:fldCharType="end"/>
      </w:r>
      <w:r>
        <w:tab/>
        <w:t xml:space="preserve">El CAJ tomó nota de que el TC está considerando la manera de abordar las cuestiones relativas a los tipos de variedades a los fines del examen DHE y convino en que las novedades que se produzcan en el TC se han de comunicar al CAJ. </w:t>
      </w:r>
    </w:p>
    <w:p w14:paraId="1647834C" w14:textId="77777777" w:rsidR="00AF34A3" w:rsidRPr="00AF34A3" w:rsidRDefault="00AF34A3" w:rsidP="00AF34A3"/>
    <w:p w14:paraId="5084C9BC" w14:textId="77777777" w:rsidR="00AF34A3" w:rsidRPr="00AF34A3" w:rsidRDefault="00AF34A3" w:rsidP="00AF34A3"/>
    <w:p w14:paraId="113C03F2" w14:textId="77777777" w:rsidR="00AF34A3" w:rsidRPr="000D7945" w:rsidRDefault="00AF34A3" w:rsidP="00AF34A3">
      <w:pPr>
        <w:pStyle w:val="Heading1"/>
        <w:rPr>
          <w:rFonts w:eastAsiaTheme="minorEastAsia"/>
        </w:rPr>
      </w:pPr>
      <w:bookmarkStart w:id="33" w:name="_Toc52996369"/>
      <w:bookmarkStart w:id="34" w:name="_Toc54030112"/>
      <w:r>
        <w:t>Grupo de Trabajo sobre Denominaciones de Variedades</w:t>
      </w:r>
      <w:bookmarkEnd w:id="33"/>
      <w:bookmarkEnd w:id="34"/>
    </w:p>
    <w:p w14:paraId="46701BCD" w14:textId="77777777" w:rsidR="00AF34A3" w:rsidRPr="00AF34A3" w:rsidRDefault="00AF34A3" w:rsidP="0065029E">
      <w:pPr>
        <w:jc w:val="left"/>
        <w:rPr>
          <w:rFonts w:eastAsiaTheme="minorEastAsia" w:cs="Arial"/>
          <w:snapToGrid w:val="0"/>
        </w:rPr>
      </w:pPr>
    </w:p>
    <w:p w14:paraId="55E76CDA" w14:textId="77777777" w:rsidR="00AF34A3" w:rsidRPr="00AF34A3" w:rsidRDefault="00AF34A3" w:rsidP="00AF34A3">
      <w:pPr>
        <w:rPr>
          <w:rFonts w:cs="Arial"/>
          <w:iCs/>
        </w:rPr>
      </w:pPr>
      <w:r w:rsidRPr="00102F80">
        <w:rPr>
          <w:rFonts w:cs="Arial"/>
          <w:iCs/>
        </w:rPr>
        <w:fldChar w:fldCharType="begin"/>
      </w:r>
      <w:r w:rsidRPr="00AF34A3">
        <w:rPr>
          <w:rFonts w:cs="Arial"/>
          <w:iCs/>
        </w:rPr>
        <w:instrText xml:space="preserve"> AUTONUM  </w:instrText>
      </w:r>
      <w:r w:rsidRPr="00102F80">
        <w:rPr>
          <w:rFonts w:cs="Arial"/>
          <w:iCs/>
        </w:rPr>
        <w:fldChar w:fldCharType="end"/>
      </w:r>
      <w:r>
        <w:tab/>
        <w:t>En su sexta reunión, el WG-DEN convino en que ha concluido la labor encomendada por el CAJ y en que no será necesario celebrar otra reunión.</w:t>
      </w:r>
    </w:p>
    <w:p w14:paraId="2A47B7D2" w14:textId="77777777" w:rsidR="00AF34A3" w:rsidRPr="00AF34A3" w:rsidRDefault="00AF34A3" w:rsidP="00AF34A3">
      <w:pPr>
        <w:keepNext/>
        <w:rPr>
          <w:rFonts w:eastAsiaTheme="minorEastAsia"/>
          <w:color w:val="000000" w:themeColor="text1"/>
        </w:rPr>
      </w:pPr>
    </w:p>
    <w:p w14:paraId="1C63B7DA" w14:textId="77777777" w:rsidR="00AF34A3" w:rsidRPr="00AF34A3" w:rsidRDefault="00AF34A3" w:rsidP="00AF34A3">
      <w:pPr>
        <w:keepNext/>
        <w:rPr>
          <w:rFonts w:eastAsiaTheme="minorEastAsia"/>
          <w:color w:val="000000" w:themeColor="text1"/>
        </w:rPr>
      </w:pPr>
      <w:r w:rsidRPr="00102F80">
        <w:rPr>
          <w:rFonts w:eastAsiaTheme="minorEastAsia"/>
          <w:color w:val="000000" w:themeColor="text1"/>
        </w:rPr>
        <w:fldChar w:fldCharType="begin"/>
      </w:r>
      <w:r w:rsidRPr="00AF34A3">
        <w:rPr>
          <w:rFonts w:eastAsiaTheme="minorEastAsia"/>
          <w:color w:val="000000" w:themeColor="text1"/>
        </w:rPr>
        <w:instrText xml:space="preserve"> AUTONUM  </w:instrText>
      </w:r>
      <w:r w:rsidRPr="00102F80">
        <w:rPr>
          <w:rFonts w:eastAsiaTheme="minorEastAsia"/>
          <w:color w:val="000000" w:themeColor="text1"/>
        </w:rPr>
        <w:fldChar w:fldCharType="end"/>
      </w:r>
      <w:r>
        <w:tab/>
      </w:r>
      <w:r>
        <w:rPr>
          <w:rFonts w:eastAsiaTheme="minorEastAsia"/>
          <w:color w:val="000000" w:themeColor="text1"/>
        </w:rPr>
        <w:t>En su septuagésima sexta</w:t>
      </w:r>
      <w:r>
        <w:t xml:space="preserve"> sesión, el CAJ tomó nota de que no será necesario celebrar más reuniones del </w:t>
      </w:r>
      <w:r>
        <w:rPr>
          <w:rFonts w:eastAsiaTheme="minorEastAsia"/>
          <w:color w:val="000000" w:themeColor="text1"/>
        </w:rPr>
        <w:t>WG</w:t>
      </w:r>
      <w:r>
        <w:noBreakHyphen/>
      </w:r>
      <w:r>
        <w:rPr>
          <w:rFonts w:eastAsiaTheme="minorEastAsia"/>
          <w:color w:val="000000" w:themeColor="text1"/>
        </w:rPr>
        <w:t>DEN</w:t>
      </w:r>
      <w:r>
        <w:t xml:space="preserve"> (véase el párrafo 43 del documento CAJ/76/9 “Informe”).</w:t>
      </w:r>
    </w:p>
    <w:p w14:paraId="3890E164" w14:textId="77777777" w:rsidR="00AF34A3" w:rsidRPr="00AF34A3" w:rsidRDefault="00AF34A3" w:rsidP="00AF34A3">
      <w:pPr>
        <w:jc w:val="left"/>
      </w:pPr>
    </w:p>
    <w:p w14:paraId="29237FD6" w14:textId="77777777" w:rsidR="00AF34A3" w:rsidRPr="00AF34A3" w:rsidRDefault="00AF34A3" w:rsidP="00AF34A3">
      <w:pPr>
        <w:jc w:val="left"/>
      </w:pPr>
    </w:p>
    <w:p w14:paraId="51EC0BA9" w14:textId="77777777" w:rsidR="00AF34A3" w:rsidRPr="00C5280D" w:rsidRDefault="00AF34A3" w:rsidP="00AF34A3">
      <w:pPr>
        <w:jc w:val="left"/>
      </w:pPr>
    </w:p>
    <w:p w14:paraId="678820D8" w14:textId="77777777" w:rsidR="00050E16" w:rsidRPr="00C5280D" w:rsidRDefault="00050E16" w:rsidP="00AF34A3">
      <w:pPr>
        <w:jc w:val="right"/>
      </w:pPr>
      <w:r>
        <w:t>[Fin del documento]</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791D" w14:textId="77777777" w:rsidR="00E342D6" w:rsidRDefault="00E342D6" w:rsidP="006655D3">
      <w:r>
        <w:separator/>
      </w:r>
    </w:p>
    <w:p w14:paraId="349E3F34" w14:textId="77777777" w:rsidR="00E342D6" w:rsidRDefault="00E342D6" w:rsidP="006655D3"/>
    <w:p w14:paraId="35EB767F" w14:textId="77777777" w:rsidR="00E342D6" w:rsidRDefault="00E342D6" w:rsidP="006655D3"/>
  </w:endnote>
  <w:endnote w:type="continuationSeparator" w:id="0">
    <w:p w14:paraId="67390AD8" w14:textId="77777777" w:rsidR="00E342D6" w:rsidRDefault="00E342D6" w:rsidP="006655D3">
      <w:r>
        <w:separator/>
      </w:r>
    </w:p>
    <w:p w14:paraId="1261EB9F" w14:textId="77777777" w:rsidR="00E342D6" w:rsidRPr="00294751" w:rsidRDefault="00E342D6">
      <w:pPr>
        <w:pStyle w:val="Footer"/>
        <w:spacing w:after="60"/>
        <w:rPr>
          <w:sz w:val="18"/>
          <w:lang w:val="fr-FR"/>
        </w:rPr>
      </w:pPr>
      <w:r w:rsidRPr="00294751">
        <w:rPr>
          <w:sz w:val="18"/>
          <w:lang w:val="fr-FR"/>
        </w:rPr>
        <w:t>[Suite de la note de la page précédente]</w:t>
      </w:r>
    </w:p>
    <w:p w14:paraId="5198DC7F" w14:textId="77777777" w:rsidR="00E342D6" w:rsidRPr="00294751" w:rsidRDefault="00E342D6" w:rsidP="006655D3">
      <w:pPr>
        <w:rPr>
          <w:lang w:val="fr-FR"/>
        </w:rPr>
      </w:pPr>
    </w:p>
    <w:p w14:paraId="704FD4A4" w14:textId="77777777" w:rsidR="00E342D6" w:rsidRPr="00294751" w:rsidRDefault="00E342D6" w:rsidP="006655D3">
      <w:pPr>
        <w:rPr>
          <w:lang w:val="fr-FR"/>
        </w:rPr>
      </w:pPr>
    </w:p>
  </w:endnote>
  <w:endnote w:type="continuationNotice" w:id="1">
    <w:p w14:paraId="558FA881" w14:textId="77777777" w:rsidR="00E342D6" w:rsidRPr="00294751" w:rsidRDefault="00E342D6" w:rsidP="006655D3">
      <w:pPr>
        <w:rPr>
          <w:lang w:val="fr-FR"/>
        </w:rPr>
      </w:pPr>
      <w:r w:rsidRPr="00294751">
        <w:rPr>
          <w:lang w:val="fr-FR"/>
        </w:rPr>
        <w:t>[Suite de la note page suivante]</w:t>
      </w:r>
    </w:p>
    <w:p w14:paraId="03405367" w14:textId="77777777" w:rsidR="00E342D6" w:rsidRPr="00294751" w:rsidRDefault="00E342D6" w:rsidP="006655D3">
      <w:pPr>
        <w:rPr>
          <w:lang w:val="fr-FR"/>
        </w:rPr>
      </w:pPr>
    </w:p>
    <w:p w14:paraId="55CC5788" w14:textId="77777777" w:rsidR="00E342D6" w:rsidRPr="00294751" w:rsidRDefault="00E342D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0DE62" w14:textId="77777777" w:rsidR="00E342D6" w:rsidRDefault="00E342D6" w:rsidP="006655D3">
      <w:r>
        <w:separator/>
      </w:r>
    </w:p>
  </w:footnote>
  <w:footnote w:type="continuationSeparator" w:id="0">
    <w:p w14:paraId="6D6FDD17" w14:textId="77777777" w:rsidR="00E342D6" w:rsidRDefault="00E342D6" w:rsidP="006655D3">
      <w:r>
        <w:separator/>
      </w:r>
    </w:p>
  </w:footnote>
  <w:footnote w:type="continuationNotice" w:id="1">
    <w:p w14:paraId="425C444B" w14:textId="77777777" w:rsidR="00E342D6" w:rsidRPr="00AB530F" w:rsidRDefault="00E342D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708E" w14:textId="77777777" w:rsidR="00182B99" w:rsidRPr="00AF34A3" w:rsidRDefault="00467B42" w:rsidP="00AF34A3">
    <w:pPr>
      <w:pStyle w:val="Header"/>
      <w:rPr>
        <w:rStyle w:val="PageNumber"/>
      </w:rPr>
    </w:pPr>
    <w:r>
      <w:rPr>
        <w:rStyle w:val="PageNumber"/>
      </w:rPr>
      <w:t>TC/56/INF/7</w:t>
    </w:r>
  </w:p>
  <w:p w14:paraId="0432B75B" w14:textId="266EE983" w:rsidR="00182B99" w:rsidRPr="00AF34A3" w:rsidRDefault="008B3D8D" w:rsidP="00AF34A3">
    <w:pPr>
      <w:pStyle w:val="Header"/>
    </w:pPr>
    <w:r>
      <w:t xml:space="preserve">página </w:t>
    </w:r>
    <w:r w:rsidR="00182B99" w:rsidRPr="00AF34A3">
      <w:rPr>
        <w:rStyle w:val="PageNumber"/>
      </w:rPr>
      <w:fldChar w:fldCharType="begin"/>
    </w:r>
    <w:r w:rsidR="00182B99" w:rsidRPr="00AF34A3">
      <w:rPr>
        <w:rStyle w:val="PageNumber"/>
      </w:rPr>
      <w:instrText xml:space="preserve"> PAGE </w:instrText>
    </w:r>
    <w:r w:rsidR="00182B99" w:rsidRPr="00AF34A3">
      <w:rPr>
        <w:rStyle w:val="PageNumber"/>
      </w:rPr>
      <w:fldChar w:fldCharType="separate"/>
    </w:r>
    <w:r w:rsidR="00C9483D">
      <w:rPr>
        <w:rStyle w:val="PageNumber"/>
        <w:noProof/>
      </w:rPr>
      <w:t>5</w:t>
    </w:r>
    <w:r w:rsidR="00182B99" w:rsidRPr="00AF34A3">
      <w:rPr>
        <w:rStyle w:val="PageNumber"/>
      </w:rPr>
      <w:fldChar w:fldCharType="end"/>
    </w:r>
  </w:p>
  <w:p w14:paraId="28B0C147" w14:textId="77777777" w:rsidR="00182B99" w:rsidRPr="00AF34A3" w:rsidRDefault="00182B99" w:rsidP="00AF34A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73CA0"/>
    <w:rsid w:val="002800A0"/>
    <w:rsid w:val="002801B3"/>
    <w:rsid w:val="00281060"/>
    <w:rsid w:val="002940E8"/>
    <w:rsid w:val="00294751"/>
    <w:rsid w:val="002A6E50"/>
    <w:rsid w:val="002B4298"/>
    <w:rsid w:val="002C256A"/>
    <w:rsid w:val="002E0E6F"/>
    <w:rsid w:val="002E5944"/>
    <w:rsid w:val="00305A7F"/>
    <w:rsid w:val="003152FE"/>
    <w:rsid w:val="00327436"/>
    <w:rsid w:val="00340D51"/>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D1D17"/>
    <w:rsid w:val="005F7B92"/>
    <w:rsid w:val="006047B9"/>
    <w:rsid w:val="00612379"/>
    <w:rsid w:val="006153B6"/>
    <w:rsid w:val="0061555F"/>
    <w:rsid w:val="00631E71"/>
    <w:rsid w:val="00636CA6"/>
    <w:rsid w:val="00637EDD"/>
    <w:rsid w:val="00641200"/>
    <w:rsid w:val="00644D04"/>
    <w:rsid w:val="00645CA8"/>
    <w:rsid w:val="0065029E"/>
    <w:rsid w:val="006655D3"/>
    <w:rsid w:val="00667404"/>
    <w:rsid w:val="006746CA"/>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850CF"/>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9710D"/>
    <w:rsid w:val="00AB2B93"/>
    <w:rsid w:val="00AB530F"/>
    <w:rsid w:val="00AB7E5B"/>
    <w:rsid w:val="00AC2883"/>
    <w:rsid w:val="00AE0EF1"/>
    <w:rsid w:val="00AE2937"/>
    <w:rsid w:val="00AF34A3"/>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483D"/>
    <w:rsid w:val="00C973F2"/>
    <w:rsid w:val="00CA304C"/>
    <w:rsid w:val="00CA774A"/>
    <w:rsid w:val="00CC11B0"/>
    <w:rsid w:val="00CC2841"/>
    <w:rsid w:val="00CC7570"/>
    <w:rsid w:val="00CE49AB"/>
    <w:rsid w:val="00CE5AF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C56A5"/>
    <w:rsid w:val="00DF4372"/>
    <w:rsid w:val="00E07D87"/>
    <w:rsid w:val="00E32F7E"/>
    <w:rsid w:val="00E342D6"/>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14F4A"/>
    <w:rsid w:val="00F22CBD"/>
    <w:rsid w:val="00F272F1"/>
    <w:rsid w:val="00F45372"/>
    <w:rsid w:val="00F52629"/>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46EF7A"/>
  <w15:docId w15:val="{96AF58D6-9A03-4855-8B3A-EF95874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C9483D"/>
    <w:pPr>
      <w:tabs>
        <w:tab w:val="right" w:leader="dot" w:pos="9639"/>
      </w:tabs>
      <w:ind w:left="568" w:right="851" w:hanging="284"/>
      <w:contextualSpacing/>
      <w:jc w:val="left"/>
    </w:pPr>
    <w:rPr>
      <w:smallCaps/>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C9483D"/>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F34A3"/>
    <w:pPr>
      <w:ind w:left="720"/>
      <w:contextualSpacing/>
    </w:pPr>
  </w:style>
  <w:style w:type="character" w:customStyle="1" w:styleId="Heading1Char">
    <w:name w:val="Heading 1 Char"/>
    <w:basedOn w:val="DefaultParagraphFont"/>
    <w:link w:val="Heading1"/>
    <w:rsid w:val="00AF34A3"/>
    <w:rPr>
      <w:rFonts w:ascii="Arial" w:hAnsi="Arial"/>
      <w:caps/>
    </w:rPr>
  </w:style>
  <w:style w:type="paragraph" w:customStyle="1" w:styleId="Default">
    <w:name w:val="Default"/>
    <w:rsid w:val="00AF34A3"/>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2767</Words>
  <Characters>15403</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TC/56/INF/7</vt:lpstr>
      <vt:lpstr>TC/56/INF/7</vt:lpstr>
    </vt:vector>
  </TitlesOfParts>
  <Company>UPOV</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TC/56/INF/7</dc:title>
  <dc:creator>BOU LLORET Amparo</dc:creator>
  <cp:lastModifiedBy>MAY Jessica</cp:lastModifiedBy>
  <cp:revision>3</cp:revision>
  <cp:lastPrinted>2016-11-22T15:41:00Z</cp:lastPrinted>
  <dcterms:created xsi:type="dcterms:W3CDTF">2020-10-20T14:34:00Z</dcterms:created>
  <dcterms:modified xsi:type="dcterms:W3CDTF">2020-10-21T13:13:00Z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478825dc-b598-4372-bdfd-88dcd99bfa7d</vt:lpwstr>
  </property>
</Properties>
</file>