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33BD0" w:rsidTr="00EB4E9C">
        <w:tc>
          <w:tcPr>
            <w:tcW w:w="6522" w:type="dxa"/>
          </w:tcPr>
          <w:p w:rsidR="00DC3802" w:rsidRPr="00133BD0" w:rsidRDefault="00DC3802" w:rsidP="00133BD0">
            <w:r w:rsidRPr="00133BD0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133BD0" w:rsidRDefault="002E5944" w:rsidP="00133BD0">
            <w:pPr>
              <w:pStyle w:val="Lettrine"/>
            </w:pPr>
            <w:r w:rsidRPr="00133BD0">
              <w:t>S</w:t>
            </w:r>
          </w:p>
        </w:tc>
      </w:tr>
      <w:tr w:rsidR="00DC3802" w:rsidRPr="00133BD0" w:rsidTr="00645CA8">
        <w:trPr>
          <w:trHeight w:val="219"/>
        </w:trPr>
        <w:tc>
          <w:tcPr>
            <w:tcW w:w="6522" w:type="dxa"/>
          </w:tcPr>
          <w:p w:rsidR="00DC3802" w:rsidRPr="00133BD0" w:rsidRDefault="002E5944" w:rsidP="00133BD0">
            <w:pPr>
              <w:pStyle w:val="upove"/>
            </w:pPr>
            <w:r w:rsidRPr="00133BD0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133BD0" w:rsidRDefault="00DC3802" w:rsidP="00133BD0"/>
        </w:tc>
      </w:tr>
    </w:tbl>
    <w:p w:rsidR="007D5558" w:rsidRPr="00133BD0" w:rsidRDefault="007D5558" w:rsidP="00133BD0"/>
    <w:p w:rsidR="00DA4973" w:rsidRPr="00133BD0" w:rsidRDefault="00DA4973" w:rsidP="00133BD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33BD0" w:rsidTr="00EB4E9C">
        <w:tc>
          <w:tcPr>
            <w:tcW w:w="6512" w:type="dxa"/>
          </w:tcPr>
          <w:p w:rsidR="007D5558" w:rsidRPr="00133BD0" w:rsidRDefault="002E5944" w:rsidP="00133BD0">
            <w:pPr>
              <w:pStyle w:val="Sessiontc"/>
              <w:spacing w:line="240" w:lineRule="auto"/>
            </w:pPr>
            <w:r w:rsidRPr="00133BD0">
              <w:t>Comité Técnico</w:t>
            </w:r>
          </w:p>
          <w:p w:rsidR="00EB4E9C" w:rsidRPr="00133BD0" w:rsidRDefault="002E5944" w:rsidP="00133BD0">
            <w:pPr>
              <w:pStyle w:val="Sessiontcplacedate"/>
              <w:rPr>
                <w:sz w:val="22"/>
              </w:rPr>
            </w:pPr>
            <w:r w:rsidRPr="00133BD0">
              <w:t xml:space="preserve">Quincuagésima </w:t>
            </w:r>
            <w:r w:rsidR="00467B42" w:rsidRPr="00133BD0">
              <w:t>sex</w:t>
            </w:r>
            <w:r w:rsidR="005A1EC1" w:rsidRPr="00133BD0">
              <w:t>ta</w:t>
            </w:r>
            <w:r w:rsidRPr="00133BD0">
              <w:t xml:space="preserve"> sesión</w:t>
            </w:r>
            <w:r w:rsidR="00EB4E9C" w:rsidRPr="00133BD0">
              <w:br/>
            </w:r>
            <w:r w:rsidRPr="00133BD0">
              <w:t>Ginebra</w:t>
            </w:r>
            <w:r w:rsidR="00EB4E9C" w:rsidRPr="00133BD0">
              <w:t xml:space="preserve">, </w:t>
            </w:r>
            <w:r w:rsidR="005A1EC1" w:rsidRPr="00133BD0">
              <w:t>2</w:t>
            </w:r>
            <w:r w:rsidR="00467B42" w:rsidRPr="00133BD0">
              <w:t>6</w:t>
            </w:r>
            <w:r w:rsidR="005A1EC1" w:rsidRPr="00133BD0">
              <w:t xml:space="preserve"> y </w:t>
            </w:r>
            <w:r w:rsidR="000B7BB9" w:rsidRPr="00133BD0">
              <w:t>2</w:t>
            </w:r>
            <w:r w:rsidR="00467B42" w:rsidRPr="00133BD0">
              <w:t>7</w:t>
            </w:r>
            <w:r w:rsidR="005A1EC1" w:rsidRPr="00133BD0">
              <w:t xml:space="preserve"> de octubre </w:t>
            </w:r>
            <w:r w:rsidRPr="00133BD0">
              <w:t>de</w:t>
            </w:r>
            <w:r w:rsidR="00A706D3" w:rsidRPr="00133BD0">
              <w:t xml:space="preserve"> </w:t>
            </w:r>
            <w:r w:rsidR="00467B42" w:rsidRPr="00133BD0">
              <w:t>2020</w:t>
            </w:r>
          </w:p>
        </w:tc>
        <w:tc>
          <w:tcPr>
            <w:tcW w:w="3127" w:type="dxa"/>
          </w:tcPr>
          <w:p w:rsidR="007D5558" w:rsidRPr="00133BD0" w:rsidRDefault="00467B42" w:rsidP="00133BD0">
            <w:pPr>
              <w:pStyle w:val="Doccode"/>
              <w:rPr>
                <w:lang w:val="es-ES_tradnl"/>
              </w:rPr>
            </w:pPr>
            <w:r w:rsidRPr="00133BD0">
              <w:rPr>
                <w:lang w:val="es-ES_tradnl"/>
              </w:rPr>
              <w:t>TC/56</w:t>
            </w:r>
            <w:r w:rsidR="00EB4E9C" w:rsidRPr="00133BD0">
              <w:rPr>
                <w:lang w:val="es-ES_tradnl"/>
              </w:rPr>
              <w:t>/</w:t>
            </w:r>
            <w:r w:rsidR="007D5558" w:rsidRPr="00133BD0">
              <w:rPr>
                <w:lang w:val="es-ES_tradnl"/>
              </w:rPr>
              <w:t>9</w:t>
            </w:r>
          </w:p>
          <w:p w:rsidR="007D5558" w:rsidRPr="00133BD0" w:rsidRDefault="00EB4E9C" w:rsidP="00133BD0">
            <w:pPr>
              <w:pStyle w:val="Docoriginal"/>
            </w:pPr>
            <w:r w:rsidRPr="00133BD0">
              <w:t>Original:</w:t>
            </w:r>
            <w:r w:rsidR="00133BD0" w:rsidRPr="00133BD0">
              <w:rPr>
                <w:b w:val="0"/>
                <w:spacing w:val="0"/>
              </w:rPr>
              <w:t xml:space="preserve"> </w:t>
            </w:r>
            <w:proofErr w:type="gramStart"/>
            <w:r w:rsidR="002E5944" w:rsidRPr="00133BD0">
              <w:rPr>
                <w:b w:val="0"/>
                <w:spacing w:val="0"/>
              </w:rPr>
              <w:t>Inglés</w:t>
            </w:r>
            <w:proofErr w:type="gramEnd"/>
          </w:p>
          <w:p w:rsidR="00EB4E9C" w:rsidRPr="00133BD0" w:rsidRDefault="002E5944" w:rsidP="00133BD0">
            <w:pPr>
              <w:pStyle w:val="Docoriginal"/>
            </w:pPr>
            <w:r w:rsidRPr="00133BD0">
              <w:t>Fecha</w:t>
            </w:r>
            <w:r w:rsidR="00EB4E9C" w:rsidRPr="00F80248">
              <w:t>:</w:t>
            </w:r>
            <w:r w:rsidR="00133BD0" w:rsidRPr="00F80248">
              <w:rPr>
                <w:b w:val="0"/>
                <w:spacing w:val="0"/>
              </w:rPr>
              <w:t xml:space="preserve"> </w:t>
            </w:r>
            <w:r w:rsidR="007D5558" w:rsidRPr="00F80248">
              <w:rPr>
                <w:b w:val="0"/>
                <w:spacing w:val="0"/>
              </w:rPr>
              <w:t xml:space="preserve">19 de octubre </w:t>
            </w:r>
            <w:r w:rsidRPr="00F80248">
              <w:rPr>
                <w:b w:val="0"/>
                <w:spacing w:val="0"/>
              </w:rPr>
              <w:t xml:space="preserve">de </w:t>
            </w:r>
            <w:r w:rsidR="00467B42" w:rsidRPr="00F80248">
              <w:rPr>
                <w:b w:val="0"/>
                <w:spacing w:val="0"/>
              </w:rPr>
              <w:t>2020</w:t>
            </w:r>
          </w:p>
        </w:tc>
      </w:tr>
    </w:tbl>
    <w:p w:rsidR="007D5558" w:rsidRPr="00133BD0" w:rsidRDefault="003346C9" w:rsidP="00133BD0">
      <w:pPr>
        <w:pStyle w:val="Titleofdoc0"/>
      </w:pPr>
      <w:bookmarkStart w:id="0" w:name="TitleOfDoc"/>
      <w:bookmarkEnd w:id="0"/>
      <w:r w:rsidRPr="00133BD0">
        <w:rPr>
          <w:color w:val="000000"/>
        </w:rPr>
        <w:t>TALLERES PREPARATORIOS</w:t>
      </w:r>
    </w:p>
    <w:p w:rsidR="007D5558" w:rsidRPr="00133BD0" w:rsidRDefault="000638A9" w:rsidP="00133BD0">
      <w:pPr>
        <w:pStyle w:val="preparedby1"/>
        <w:jc w:val="left"/>
      </w:pPr>
      <w:bookmarkStart w:id="1" w:name="Prepared"/>
      <w:bookmarkEnd w:id="1"/>
      <w:r w:rsidRPr="00133BD0">
        <w:t>Documento preparado por la Oficina de la Unión</w:t>
      </w:r>
    </w:p>
    <w:p w:rsidR="007D5558" w:rsidRPr="00133BD0" w:rsidRDefault="000638A9" w:rsidP="00133BD0">
      <w:pPr>
        <w:pStyle w:val="Disclaimer"/>
      </w:pPr>
      <w:r w:rsidRPr="00133BD0">
        <w:t>Descargo de responsabilidad: el presente documento no constituye un documento de política u orientación de la UPOV</w:t>
      </w:r>
    </w:p>
    <w:p w:rsidR="007D5558" w:rsidRPr="00133BD0" w:rsidRDefault="003346C9" w:rsidP="00133BD0">
      <w:pPr>
        <w:pStyle w:val="Heading1"/>
        <w:keepNext w:val="0"/>
      </w:pPr>
      <w:bookmarkStart w:id="2" w:name="_Toc54020157"/>
      <w:r w:rsidRPr="00133BD0">
        <w:t>RESUMEN</w:t>
      </w:r>
      <w:bookmarkEnd w:id="2"/>
    </w:p>
    <w:p w:rsidR="007D5558" w:rsidRPr="00133BD0" w:rsidRDefault="007D5558" w:rsidP="00133BD0">
      <w:pPr>
        <w:autoSpaceDE w:val="0"/>
        <w:autoSpaceDN w:val="0"/>
        <w:adjustRightInd w:val="0"/>
        <w:rPr>
          <w:rFonts w:cs="Arial"/>
        </w:rPr>
      </w:pPr>
    </w:p>
    <w:p w:rsidR="007D5558" w:rsidRPr="00133BD0" w:rsidRDefault="007D5558" w:rsidP="00133BD0">
      <w:pPr>
        <w:rPr>
          <w:rFonts w:cs="Arial"/>
        </w:rPr>
      </w:pPr>
      <w:r w:rsidRPr="00133BD0">
        <w:rPr>
          <w:rFonts w:cs="Arial"/>
        </w:rPr>
        <w:fldChar w:fldCharType="begin"/>
      </w:r>
      <w:r w:rsidRPr="00133BD0">
        <w:rPr>
          <w:rFonts w:cs="Arial"/>
        </w:rPr>
        <w:instrText xml:space="preserve"> AUTONUM  </w:instrText>
      </w:r>
      <w:r w:rsidRPr="00133BD0">
        <w:rPr>
          <w:rFonts w:cs="Arial"/>
        </w:rPr>
        <w:fldChar w:fldCharType="end"/>
      </w:r>
      <w:r w:rsidRPr="00133BD0">
        <w:rPr>
          <w:rFonts w:cs="Arial"/>
        </w:rPr>
        <w:tab/>
      </w:r>
      <w:r w:rsidR="003346C9" w:rsidRPr="00133BD0">
        <w:rPr>
          <w:rFonts w:cs="Arial"/>
        </w:rPr>
        <w:t>El presente documento tiene por objeto proporcionar un informe sobre los talleres preparatorios realizados en 2020 y presentar propuestas para 2021.</w:t>
      </w:r>
    </w:p>
    <w:p w:rsidR="007D5558" w:rsidRPr="00133BD0" w:rsidRDefault="007D5558" w:rsidP="00133BD0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cs="Arial"/>
        </w:rPr>
      </w:pPr>
    </w:p>
    <w:p w:rsidR="007D5558" w:rsidRPr="00133BD0" w:rsidRDefault="007D5558" w:rsidP="00133BD0">
      <w:pPr>
        <w:pStyle w:val="DecisionParagraphs"/>
        <w:tabs>
          <w:tab w:val="left" w:pos="567"/>
          <w:tab w:val="left" w:pos="1134"/>
        </w:tabs>
        <w:ind w:left="0"/>
        <w:rPr>
          <w:rFonts w:cs="Arial"/>
          <w:i w:val="0"/>
        </w:rPr>
      </w:pPr>
      <w:r w:rsidRPr="00133BD0">
        <w:rPr>
          <w:rFonts w:cs="Arial"/>
          <w:i w:val="0"/>
        </w:rPr>
        <w:fldChar w:fldCharType="begin"/>
      </w:r>
      <w:r w:rsidRPr="00133BD0">
        <w:rPr>
          <w:rFonts w:cs="Arial"/>
          <w:i w:val="0"/>
        </w:rPr>
        <w:instrText xml:space="preserve"> AUTONUM  </w:instrText>
      </w:r>
      <w:r w:rsidRPr="00133BD0">
        <w:rPr>
          <w:rFonts w:cs="Arial"/>
          <w:i w:val="0"/>
        </w:rPr>
        <w:fldChar w:fldCharType="end"/>
      </w:r>
      <w:r w:rsidRPr="00133BD0">
        <w:rPr>
          <w:rFonts w:cs="Arial"/>
          <w:i w:val="0"/>
        </w:rPr>
        <w:tab/>
      </w:r>
      <w:r w:rsidR="0094748C" w:rsidRPr="00133BD0">
        <w:rPr>
          <w:rFonts w:cs="Arial"/>
          <w:i w:val="0"/>
        </w:rPr>
        <w:t xml:space="preserve">Se invita al Comité Técnico (TC) a considerar la posibilidad de organizar talleres preparatorios en forma de una serie de seminarios web en fechas acordes al calendario de las </w:t>
      </w:r>
      <w:r w:rsidR="00921519">
        <w:rPr>
          <w:rFonts w:cs="Arial"/>
          <w:i w:val="0"/>
        </w:rPr>
        <w:t>reuniones</w:t>
      </w:r>
      <w:r w:rsidR="0094748C" w:rsidRPr="00133BD0">
        <w:rPr>
          <w:rFonts w:cs="Arial"/>
          <w:i w:val="0"/>
        </w:rPr>
        <w:t xml:space="preserve"> de los Grupos de Trabajo Técnico (TWP), conjuntamente con talleres presenciales, cuando así se solicite, conforme a lo expuesto en </w:t>
      </w:r>
      <w:r w:rsidR="0094748C" w:rsidRPr="00F80248">
        <w:rPr>
          <w:rFonts w:cs="Arial"/>
          <w:i w:val="0"/>
        </w:rPr>
        <w:t>los párrafos 14 a 21 del</w:t>
      </w:r>
      <w:r w:rsidR="0094748C" w:rsidRPr="00133BD0">
        <w:rPr>
          <w:rFonts w:cs="Arial"/>
          <w:i w:val="0"/>
        </w:rPr>
        <w:t xml:space="preserve"> presente documento.</w:t>
      </w:r>
    </w:p>
    <w:p w:rsidR="007D5558" w:rsidRPr="00133BD0" w:rsidRDefault="007D5558" w:rsidP="00133BD0">
      <w:pPr>
        <w:pStyle w:val="DecisionParagraphs"/>
        <w:tabs>
          <w:tab w:val="left" w:pos="567"/>
          <w:tab w:val="left" w:pos="1134"/>
          <w:tab w:val="num" w:pos="5387"/>
          <w:tab w:val="left" w:pos="5954"/>
        </w:tabs>
        <w:ind w:left="567"/>
        <w:rPr>
          <w:rFonts w:cs="Arial"/>
          <w:i w:val="0"/>
        </w:rPr>
      </w:pPr>
    </w:p>
    <w:p w:rsidR="007D5558" w:rsidRPr="00133BD0" w:rsidRDefault="007D5558" w:rsidP="00133BD0">
      <w:pPr>
        <w:rPr>
          <w:rFonts w:cs="Arial"/>
          <w:color w:val="000000"/>
        </w:rPr>
      </w:pPr>
      <w:r w:rsidRPr="00133BD0">
        <w:rPr>
          <w:rFonts w:cs="Arial"/>
          <w:color w:val="000000"/>
        </w:rPr>
        <w:fldChar w:fldCharType="begin"/>
      </w:r>
      <w:r w:rsidRPr="00133BD0">
        <w:rPr>
          <w:rFonts w:cs="Arial"/>
          <w:color w:val="000000"/>
        </w:rPr>
        <w:instrText xml:space="preserve"> AUTONUM  </w:instrText>
      </w:r>
      <w:r w:rsidRPr="00133BD0">
        <w:rPr>
          <w:rFonts w:cs="Arial"/>
          <w:color w:val="000000"/>
        </w:rPr>
        <w:fldChar w:fldCharType="end"/>
      </w:r>
      <w:r w:rsidRPr="00133BD0">
        <w:rPr>
          <w:rFonts w:cs="Arial"/>
          <w:color w:val="000000"/>
        </w:rPr>
        <w:tab/>
      </w:r>
      <w:r w:rsidR="0094748C" w:rsidRPr="00133BD0">
        <w:rPr>
          <w:rFonts w:cs="Arial"/>
          <w:color w:val="000000"/>
        </w:rPr>
        <w:t>En el presente documento se utilizan las abreviaturas siguientes:</w:t>
      </w:r>
    </w:p>
    <w:p w:rsidR="007D5558" w:rsidRPr="00133BD0" w:rsidRDefault="007D5558" w:rsidP="00133BD0">
      <w:pPr>
        <w:rPr>
          <w:rFonts w:cs="Arial"/>
          <w:color w:val="000000"/>
        </w:rPr>
      </w:pPr>
    </w:p>
    <w:p w:rsidR="007D5558" w:rsidRPr="00133BD0" w:rsidRDefault="0094748C" w:rsidP="00133BD0">
      <w:pPr>
        <w:tabs>
          <w:tab w:val="left" w:pos="567"/>
        </w:tabs>
        <w:ind w:left="1418" w:hanging="851"/>
        <w:rPr>
          <w:rFonts w:cs="Arial"/>
          <w:color w:val="000000"/>
        </w:rPr>
      </w:pPr>
      <w:r w:rsidRPr="00133BD0">
        <w:rPr>
          <w:rFonts w:cs="Arial"/>
          <w:color w:val="000000"/>
        </w:rPr>
        <w:t>TC:</w:t>
      </w:r>
      <w:r w:rsidRPr="00133BD0">
        <w:rPr>
          <w:rFonts w:cs="Arial"/>
          <w:color w:val="000000"/>
        </w:rPr>
        <w:tab/>
        <w:t>Comité Técnico</w:t>
      </w:r>
    </w:p>
    <w:p w:rsidR="007D5558" w:rsidRPr="00133BD0" w:rsidRDefault="0094748C" w:rsidP="00133BD0">
      <w:pPr>
        <w:tabs>
          <w:tab w:val="left" w:pos="567"/>
        </w:tabs>
        <w:ind w:left="1418" w:hanging="851"/>
        <w:rPr>
          <w:rFonts w:cs="Arial"/>
          <w:color w:val="000000"/>
        </w:rPr>
      </w:pPr>
      <w:r w:rsidRPr="00133BD0">
        <w:rPr>
          <w:rFonts w:cs="Arial"/>
          <w:color w:val="000000"/>
        </w:rPr>
        <w:t>TWA:</w:t>
      </w:r>
      <w:r w:rsidRPr="00133BD0">
        <w:rPr>
          <w:rFonts w:cs="Arial"/>
          <w:color w:val="000000"/>
        </w:rPr>
        <w:tab/>
        <w:t>Grupo de Trabajo Técnico sobre Plantas Agrícolas</w:t>
      </w:r>
    </w:p>
    <w:p w:rsidR="007D5558" w:rsidRPr="00133BD0" w:rsidRDefault="0094748C" w:rsidP="00133BD0">
      <w:pPr>
        <w:ind w:left="1418" w:hanging="851"/>
        <w:rPr>
          <w:rFonts w:cs="Arial"/>
          <w:color w:val="000000"/>
        </w:rPr>
      </w:pPr>
      <w:r w:rsidRPr="00133BD0">
        <w:rPr>
          <w:rFonts w:cs="Arial"/>
          <w:color w:val="000000"/>
        </w:rPr>
        <w:t>TWC:</w:t>
      </w:r>
      <w:r w:rsidRPr="00133BD0">
        <w:rPr>
          <w:rFonts w:cs="Arial"/>
          <w:color w:val="000000"/>
        </w:rPr>
        <w:tab/>
        <w:t>Grupo de Trabajo Técnico sobre Automatización y Programas Informáticos</w:t>
      </w:r>
    </w:p>
    <w:p w:rsidR="007D5558" w:rsidRPr="00133BD0" w:rsidRDefault="0094748C" w:rsidP="00133BD0">
      <w:pPr>
        <w:ind w:left="1418" w:hanging="851"/>
        <w:rPr>
          <w:rFonts w:cs="Arial"/>
          <w:color w:val="000000"/>
        </w:rPr>
      </w:pPr>
      <w:r w:rsidRPr="00133BD0">
        <w:rPr>
          <w:rFonts w:cs="Arial"/>
          <w:color w:val="000000"/>
        </w:rPr>
        <w:t>TWF:</w:t>
      </w:r>
      <w:r w:rsidRPr="00133BD0">
        <w:rPr>
          <w:rFonts w:cs="Arial"/>
          <w:color w:val="000000"/>
        </w:rPr>
        <w:tab/>
        <w:t>Grupo de Trabajo Técnico sobre Plantas Frutales</w:t>
      </w:r>
    </w:p>
    <w:p w:rsidR="007D5558" w:rsidRPr="00133BD0" w:rsidRDefault="0094748C" w:rsidP="00133BD0">
      <w:pPr>
        <w:ind w:left="1418" w:hanging="851"/>
        <w:rPr>
          <w:rFonts w:cs="Arial"/>
          <w:color w:val="000000"/>
        </w:rPr>
      </w:pPr>
      <w:r w:rsidRPr="00133BD0">
        <w:rPr>
          <w:rFonts w:cs="Arial"/>
          <w:color w:val="000000"/>
        </w:rPr>
        <w:t>TWO:</w:t>
      </w:r>
      <w:r w:rsidRPr="00133BD0">
        <w:rPr>
          <w:rFonts w:cs="Arial"/>
          <w:color w:val="000000"/>
        </w:rPr>
        <w:tab/>
        <w:t>Grupo de Trabajo Técnico sobre Plantas Ornamentales y Árboles Forestales</w:t>
      </w:r>
    </w:p>
    <w:p w:rsidR="007D5558" w:rsidRPr="00133BD0" w:rsidRDefault="0094748C" w:rsidP="00133BD0">
      <w:pPr>
        <w:ind w:left="1418" w:hanging="851"/>
        <w:rPr>
          <w:rFonts w:cs="Arial"/>
          <w:color w:val="000000"/>
        </w:rPr>
      </w:pPr>
      <w:r w:rsidRPr="00133BD0">
        <w:rPr>
          <w:rFonts w:cs="Arial"/>
          <w:color w:val="000000"/>
        </w:rPr>
        <w:t>TWV:</w:t>
      </w:r>
      <w:r w:rsidRPr="00133BD0">
        <w:rPr>
          <w:rFonts w:cs="Arial"/>
          <w:color w:val="000000"/>
        </w:rPr>
        <w:tab/>
        <w:t>Grupo de Trabajo Técnico sobre Hortalizas</w:t>
      </w:r>
    </w:p>
    <w:p w:rsidR="007D5558" w:rsidRPr="00133BD0" w:rsidRDefault="0094748C" w:rsidP="00133BD0">
      <w:pPr>
        <w:pStyle w:val="BodyTextIndent3"/>
        <w:tabs>
          <w:tab w:val="left" w:pos="567"/>
        </w:tabs>
        <w:ind w:left="1418" w:hanging="851"/>
        <w:rPr>
          <w:rFonts w:cs="Arial"/>
          <w:sz w:val="20"/>
          <w:szCs w:val="20"/>
        </w:rPr>
      </w:pPr>
      <w:r w:rsidRPr="00133BD0">
        <w:rPr>
          <w:rFonts w:cs="Arial"/>
          <w:sz w:val="20"/>
          <w:szCs w:val="20"/>
        </w:rPr>
        <w:t>BMT:</w:t>
      </w:r>
      <w:r w:rsidRPr="00133BD0">
        <w:rPr>
          <w:rFonts w:cs="Arial"/>
          <w:sz w:val="20"/>
          <w:szCs w:val="20"/>
        </w:rPr>
        <w:tab/>
        <w:t>Grupo de Trabajo sobre Técnicas Bioquímicas y Moleculares, y Perfiles de ADN en particular</w:t>
      </w:r>
    </w:p>
    <w:p w:rsidR="007D5558" w:rsidRPr="00133BD0" w:rsidRDefault="0094748C" w:rsidP="00133BD0">
      <w:pPr>
        <w:pStyle w:val="BodyTextIndent3"/>
        <w:tabs>
          <w:tab w:val="left" w:pos="567"/>
        </w:tabs>
        <w:ind w:left="1418" w:hanging="851"/>
        <w:rPr>
          <w:rFonts w:cs="Arial"/>
          <w:sz w:val="20"/>
          <w:szCs w:val="20"/>
        </w:rPr>
      </w:pPr>
      <w:r w:rsidRPr="00133BD0">
        <w:rPr>
          <w:rFonts w:cs="Arial"/>
          <w:sz w:val="20"/>
          <w:szCs w:val="20"/>
        </w:rPr>
        <w:t>TWP:</w:t>
      </w:r>
      <w:r w:rsidRPr="00133BD0">
        <w:rPr>
          <w:rFonts w:cs="Arial"/>
          <w:sz w:val="20"/>
          <w:szCs w:val="20"/>
        </w:rPr>
        <w:tab/>
        <w:t>Grupos de Trabajo Técnico</w:t>
      </w:r>
    </w:p>
    <w:p w:rsidR="007D5558" w:rsidRPr="00133BD0" w:rsidRDefault="007D5558" w:rsidP="00133BD0">
      <w:pPr>
        <w:autoSpaceDE w:val="0"/>
        <w:autoSpaceDN w:val="0"/>
        <w:adjustRightInd w:val="0"/>
        <w:rPr>
          <w:rFonts w:cs="Arial"/>
          <w:snapToGrid w:val="0"/>
        </w:rPr>
      </w:pPr>
    </w:p>
    <w:p w:rsidR="007D5558" w:rsidRPr="00133BD0" w:rsidRDefault="007D5558" w:rsidP="00133BD0">
      <w:pPr>
        <w:autoSpaceDE w:val="0"/>
        <w:autoSpaceDN w:val="0"/>
        <w:adjustRightInd w:val="0"/>
        <w:rPr>
          <w:rFonts w:cs="Arial"/>
          <w:snapToGrid w:val="0"/>
          <w:lang w:eastAsia="ja-JP"/>
        </w:rPr>
      </w:pPr>
      <w:r w:rsidRPr="00133BD0">
        <w:rPr>
          <w:rFonts w:cs="Arial"/>
          <w:snapToGrid w:val="0"/>
        </w:rPr>
        <w:fldChar w:fldCharType="begin"/>
      </w:r>
      <w:r w:rsidRPr="00133BD0">
        <w:rPr>
          <w:rFonts w:cs="Arial"/>
          <w:snapToGrid w:val="0"/>
        </w:rPr>
        <w:instrText xml:space="preserve"> AUTONUM  </w:instrText>
      </w:r>
      <w:r w:rsidRPr="00133BD0">
        <w:rPr>
          <w:rFonts w:cs="Arial"/>
          <w:snapToGrid w:val="0"/>
        </w:rPr>
        <w:fldChar w:fldCharType="end"/>
      </w:r>
      <w:r w:rsidRPr="00133BD0">
        <w:rPr>
          <w:rFonts w:cs="Arial"/>
          <w:snapToGrid w:val="0"/>
        </w:rPr>
        <w:tab/>
      </w:r>
      <w:r w:rsidR="0094748C" w:rsidRPr="00133BD0">
        <w:rPr>
          <w:rFonts w:cs="Arial"/>
          <w:snapToGrid w:val="0"/>
        </w:rPr>
        <w:t>El presente documento se estructura del modo siguiente:</w:t>
      </w:r>
    </w:p>
    <w:p w:rsidR="007D5558" w:rsidRPr="00133BD0" w:rsidRDefault="007D5558" w:rsidP="00133BD0">
      <w:pPr>
        <w:autoSpaceDE w:val="0"/>
        <w:autoSpaceDN w:val="0"/>
        <w:adjustRightInd w:val="0"/>
        <w:rPr>
          <w:rFonts w:cs="Arial"/>
          <w:snapToGrid w:val="0"/>
          <w:lang w:eastAsia="ja-JP"/>
        </w:rPr>
      </w:pPr>
    </w:p>
    <w:p w:rsidR="006D1BA7" w:rsidRPr="00133BD0" w:rsidRDefault="007D5558" w:rsidP="00F80248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33BD0">
        <w:rPr>
          <w:rFonts w:eastAsiaTheme="minorEastAsia"/>
          <w:bCs/>
          <w:noProof/>
          <w:snapToGrid w:val="0"/>
          <w:lang w:eastAsia="ja-JP"/>
        </w:rPr>
        <w:fldChar w:fldCharType="begin"/>
      </w:r>
      <w:r w:rsidRPr="00133BD0">
        <w:rPr>
          <w:snapToGrid w:val="0"/>
        </w:rPr>
        <w:instrText xml:space="preserve"> TOC \o "1-3" \h \z \u </w:instrText>
      </w:r>
      <w:r w:rsidRPr="00133BD0">
        <w:rPr>
          <w:rFonts w:eastAsiaTheme="minorEastAsia"/>
          <w:bCs/>
          <w:noProof/>
          <w:snapToGrid w:val="0"/>
          <w:lang w:eastAsia="ja-JP"/>
        </w:rPr>
        <w:fldChar w:fldCharType="separate"/>
      </w:r>
      <w:hyperlink w:anchor="_Toc54020157" w:history="1">
        <w:r w:rsidR="006D1BA7" w:rsidRPr="00133BD0">
          <w:rPr>
            <w:rStyle w:val="Hyperlink"/>
            <w:noProof/>
          </w:rPr>
          <w:t>RESUMEN</w:t>
        </w:r>
        <w:r w:rsidR="006D1BA7" w:rsidRPr="00133BD0">
          <w:rPr>
            <w:noProof/>
            <w:webHidden/>
          </w:rPr>
          <w:tab/>
        </w:r>
        <w:r w:rsidR="006D1BA7" w:rsidRPr="00133BD0">
          <w:rPr>
            <w:noProof/>
            <w:webHidden/>
          </w:rPr>
          <w:fldChar w:fldCharType="begin"/>
        </w:r>
        <w:r w:rsidR="006D1BA7" w:rsidRPr="00133BD0">
          <w:rPr>
            <w:noProof/>
            <w:webHidden/>
          </w:rPr>
          <w:instrText xml:space="preserve"> PAGEREF _Toc54020157 \h </w:instrText>
        </w:r>
        <w:r w:rsidR="006D1BA7" w:rsidRPr="00133BD0">
          <w:rPr>
            <w:noProof/>
            <w:webHidden/>
          </w:rPr>
        </w:r>
        <w:r w:rsidR="006D1BA7" w:rsidRPr="00133BD0">
          <w:rPr>
            <w:noProof/>
            <w:webHidden/>
          </w:rPr>
          <w:fldChar w:fldCharType="separate"/>
        </w:r>
        <w:r w:rsidR="00133BD0" w:rsidRPr="00133BD0">
          <w:rPr>
            <w:noProof/>
            <w:webHidden/>
          </w:rPr>
          <w:t>1</w:t>
        </w:r>
        <w:r w:rsidR="006D1BA7" w:rsidRPr="00133BD0">
          <w:rPr>
            <w:noProof/>
            <w:webHidden/>
          </w:rPr>
          <w:fldChar w:fldCharType="end"/>
        </w:r>
      </w:hyperlink>
    </w:p>
    <w:p w:rsidR="006D1BA7" w:rsidRPr="00133BD0" w:rsidRDefault="00F80248" w:rsidP="00F80248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20158" w:history="1">
        <w:r w:rsidR="006D1BA7" w:rsidRPr="00133BD0">
          <w:rPr>
            <w:rStyle w:val="Hyperlink"/>
            <w:noProof/>
          </w:rPr>
          <w:t>ANTECEDENTES</w:t>
        </w:r>
        <w:r w:rsidR="006D1BA7" w:rsidRPr="00133BD0">
          <w:rPr>
            <w:noProof/>
            <w:webHidden/>
          </w:rPr>
          <w:tab/>
        </w:r>
        <w:r w:rsidR="006D1BA7" w:rsidRPr="00133BD0">
          <w:rPr>
            <w:noProof/>
            <w:webHidden/>
          </w:rPr>
          <w:fldChar w:fldCharType="begin"/>
        </w:r>
        <w:r w:rsidR="006D1BA7" w:rsidRPr="00133BD0">
          <w:rPr>
            <w:noProof/>
            <w:webHidden/>
          </w:rPr>
          <w:instrText xml:space="preserve"> PAGEREF _Toc54020158 \h </w:instrText>
        </w:r>
        <w:r w:rsidR="006D1BA7" w:rsidRPr="00133BD0">
          <w:rPr>
            <w:noProof/>
            <w:webHidden/>
          </w:rPr>
        </w:r>
        <w:r w:rsidR="006D1BA7" w:rsidRPr="00133BD0">
          <w:rPr>
            <w:noProof/>
            <w:webHidden/>
          </w:rPr>
          <w:fldChar w:fldCharType="separate"/>
        </w:r>
        <w:r w:rsidR="00133BD0" w:rsidRPr="00133BD0">
          <w:rPr>
            <w:noProof/>
            <w:webHidden/>
          </w:rPr>
          <w:t>1</w:t>
        </w:r>
        <w:r w:rsidR="006D1BA7" w:rsidRPr="00133BD0">
          <w:rPr>
            <w:noProof/>
            <w:webHidden/>
          </w:rPr>
          <w:fldChar w:fldCharType="end"/>
        </w:r>
      </w:hyperlink>
    </w:p>
    <w:p w:rsidR="006D1BA7" w:rsidRPr="00133BD0" w:rsidRDefault="00F80248" w:rsidP="00F80248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20159" w:history="1">
        <w:r w:rsidR="006D1BA7" w:rsidRPr="00133BD0">
          <w:rPr>
            <w:rStyle w:val="Hyperlink"/>
            <w:noProof/>
          </w:rPr>
          <w:t>INFORME SOBRE LOS TALLERES PREPARATORIOS REALIZADOS EN 2020</w:t>
        </w:r>
        <w:r w:rsidR="006D1BA7" w:rsidRPr="00133BD0">
          <w:rPr>
            <w:noProof/>
            <w:webHidden/>
          </w:rPr>
          <w:tab/>
        </w:r>
        <w:r w:rsidR="006D1BA7" w:rsidRPr="00133BD0">
          <w:rPr>
            <w:noProof/>
            <w:webHidden/>
          </w:rPr>
          <w:fldChar w:fldCharType="begin"/>
        </w:r>
        <w:r w:rsidR="006D1BA7" w:rsidRPr="00133BD0">
          <w:rPr>
            <w:noProof/>
            <w:webHidden/>
          </w:rPr>
          <w:instrText xml:space="preserve"> PAGEREF _Toc54020159 \h </w:instrText>
        </w:r>
        <w:r w:rsidR="006D1BA7" w:rsidRPr="00133BD0">
          <w:rPr>
            <w:noProof/>
            <w:webHidden/>
          </w:rPr>
        </w:r>
        <w:r w:rsidR="006D1BA7" w:rsidRPr="00133BD0">
          <w:rPr>
            <w:noProof/>
            <w:webHidden/>
          </w:rPr>
          <w:fldChar w:fldCharType="separate"/>
        </w:r>
        <w:r w:rsidR="00133BD0" w:rsidRPr="00133BD0">
          <w:rPr>
            <w:noProof/>
            <w:webHidden/>
          </w:rPr>
          <w:t>2</w:t>
        </w:r>
        <w:r w:rsidR="006D1BA7" w:rsidRPr="00133BD0">
          <w:rPr>
            <w:noProof/>
            <w:webHidden/>
          </w:rPr>
          <w:fldChar w:fldCharType="end"/>
        </w:r>
      </w:hyperlink>
    </w:p>
    <w:p w:rsidR="006D1BA7" w:rsidRPr="00133BD0" w:rsidRDefault="00F80248" w:rsidP="00F80248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020160" w:history="1">
        <w:r w:rsidR="006D1BA7" w:rsidRPr="00133BD0">
          <w:rPr>
            <w:rStyle w:val="Hyperlink"/>
            <w:noProof/>
          </w:rPr>
          <w:t>PROGRAMA Y FORMATO DE LA LABOR PREPARATORIA DE 2021</w:t>
        </w:r>
        <w:r w:rsidR="006D1BA7" w:rsidRPr="00133BD0">
          <w:rPr>
            <w:noProof/>
            <w:webHidden/>
          </w:rPr>
          <w:tab/>
        </w:r>
        <w:r w:rsidR="006D1BA7" w:rsidRPr="00133BD0">
          <w:rPr>
            <w:noProof/>
            <w:webHidden/>
          </w:rPr>
          <w:fldChar w:fldCharType="begin"/>
        </w:r>
        <w:r w:rsidR="006D1BA7" w:rsidRPr="00133BD0">
          <w:rPr>
            <w:noProof/>
            <w:webHidden/>
          </w:rPr>
          <w:instrText xml:space="preserve"> PAGEREF _Toc54020160 \h </w:instrText>
        </w:r>
        <w:r w:rsidR="006D1BA7" w:rsidRPr="00133BD0">
          <w:rPr>
            <w:noProof/>
            <w:webHidden/>
          </w:rPr>
        </w:r>
        <w:r w:rsidR="006D1BA7" w:rsidRPr="00133BD0">
          <w:rPr>
            <w:noProof/>
            <w:webHidden/>
          </w:rPr>
          <w:fldChar w:fldCharType="separate"/>
        </w:r>
        <w:r w:rsidR="00133BD0" w:rsidRPr="00133BD0">
          <w:rPr>
            <w:noProof/>
            <w:webHidden/>
          </w:rPr>
          <w:t>2</w:t>
        </w:r>
        <w:r w:rsidR="006D1BA7" w:rsidRPr="00133BD0">
          <w:rPr>
            <w:noProof/>
            <w:webHidden/>
          </w:rPr>
          <w:fldChar w:fldCharType="end"/>
        </w:r>
      </w:hyperlink>
    </w:p>
    <w:p w:rsidR="006D1BA7" w:rsidRPr="00133BD0" w:rsidRDefault="00F80248" w:rsidP="00133BD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4020161" w:history="1">
        <w:r w:rsidR="006D1BA7" w:rsidRPr="00133BD0">
          <w:rPr>
            <w:rStyle w:val="Hyperlink"/>
            <w:smallCaps w:val="0"/>
            <w:noProof/>
            <w:snapToGrid w:val="0"/>
          </w:rPr>
          <w:t>Propuesta:</w:t>
        </w:r>
        <w:r w:rsidR="006D1BA7" w:rsidRPr="00133BD0">
          <w:rPr>
            <w:noProof/>
            <w:webHidden/>
          </w:rPr>
          <w:tab/>
        </w:r>
        <w:r w:rsidR="006D1BA7" w:rsidRPr="00133BD0">
          <w:rPr>
            <w:noProof/>
            <w:webHidden/>
          </w:rPr>
          <w:fldChar w:fldCharType="begin"/>
        </w:r>
        <w:r w:rsidR="006D1BA7" w:rsidRPr="00133BD0">
          <w:rPr>
            <w:noProof/>
            <w:webHidden/>
          </w:rPr>
          <w:instrText xml:space="preserve"> PAGEREF _Toc54020161 \h </w:instrText>
        </w:r>
        <w:r w:rsidR="006D1BA7" w:rsidRPr="00133BD0">
          <w:rPr>
            <w:noProof/>
            <w:webHidden/>
          </w:rPr>
        </w:r>
        <w:r w:rsidR="006D1BA7" w:rsidRPr="00133BD0">
          <w:rPr>
            <w:noProof/>
            <w:webHidden/>
          </w:rPr>
          <w:fldChar w:fldCharType="separate"/>
        </w:r>
        <w:r w:rsidR="00133BD0" w:rsidRPr="00133BD0">
          <w:rPr>
            <w:noProof/>
            <w:webHidden/>
          </w:rPr>
          <w:t>2</w:t>
        </w:r>
        <w:r w:rsidR="006D1BA7" w:rsidRPr="00133BD0">
          <w:rPr>
            <w:noProof/>
            <w:webHidden/>
          </w:rPr>
          <w:fldChar w:fldCharType="end"/>
        </w:r>
      </w:hyperlink>
    </w:p>
    <w:p w:rsidR="007D5558" w:rsidRPr="00133BD0" w:rsidRDefault="007D5558" w:rsidP="00133BD0">
      <w:r w:rsidRPr="00133BD0">
        <w:rPr>
          <w:rFonts w:cs="Arial"/>
          <w:snapToGrid w:val="0"/>
        </w:rPr>
        <w:fldChar w:fldCharType="end"/>
      </w:r>
    </w:p>
    <w:p w:rsidR="007D5558" w:rsidRPr="00133BD0" w:rsidRDefault="0094748C" w:rsidP="00133BD0">
      <w:pPr>
        <w:pStyle w:val="Heading1"/>
        <w:keepNext w:val="0"/>
      </w:pPr>
      <w:bookmarkStart w:id="3" w:name="_Toc54020158"/>
      <w:r w:rsidRPr="00133BD0">
        <w:t>ANTECEDENTES</w:t>
      </w:r>
      <w:bookmarkEnd w:id="3"/>
    </w:p>
    <w:p w:rsidR="007D5558" w:rsidRPr="00133BD0" w:rsidRDefault="007D5558" w:rsidP="00133BD0"/>
    <w:p w:rsidR="007D5558" w:rsidRPr="00133BD0" w:rsidRDefault="007D5558" w:rsidP="00133BD0">
      <w:pPr>
        <w:autoSpaceDE w:val="0"/>
        <w:autoSpaceDN w:val="0"/>
        <w:adjustRightInd w:val="0"/>
        <w:rPr>
          <w:rFonts w:cs="Arial"/>
          <w:snapToGrid w:val="0"/>
        </w:rPr>
      </w:pPr>
      <w:r w:rsidRPr="00133BD0">
        <w:rPr>
          <w:rFonts w:cs="Arial"/>
        </w:rPr>
        <w:fldChar w:fldCharType="begin"/>
      </w:r>
      <w:r w:rsidRPr="00133BD0">
        <w:rPr>
          <w:rFonts w:cs="Arial"/>
        </w:rPr>
        <w:instrText xml:space="preserve"> AUTONUM  </w:instrText>
      </w:r>
      <w:r w:rsidRPr="00133BD0">
        <w:rPr>
          <w:rFonts w:cs="Arial"/>
        </w:rPr>
        <w:fldChar w:fldCharType="end"/>
      </w:r>
      <w:r w:rsidRPr="00133BD0">
        <w:rPr>
          <w:rFonts w:cs="Arial"/>
        </w:rPr>
        <w:tab/>
      </w:r>
      <w:r w:rsidR="0094748C" w:rsidRPr="00133BD0">
        <w:rPr>
          <w:rFonts w:cs="Arial"/>
        </w:rPr>
        <w:t>En su trigésima octava sesión,</w:t>
      </w:r>
      <w:r w:rsidR="0094748C" w:rsidRPr="00133BD0">
        <w:rPr>
          <w:rStyle w:val="FootnoteReference"/>
          <w:rFonts w:cs="Arial"/>
        </w:rPr>
        <w:footnoteReference w:id="2"/>
      </w:r>
      <w:r w:rsidR="0094748C" w:rsidRPr="00133BD0">
        <w:rPr>
          <w:rFonts w:cs="Arial"/>
        </w:rPr>
        <w:t xml:space="preserve"> sobre la base del documento TC/38/12, el TC decidió que se organicen talleres preparatorios antes de cada </w:t>
      </w:r>
      <w:r w:rsidR="006C56B4">
        <w:rPr>
          <w:rFonts w:cs="Arial"/>
        </w:rPr>
        <w:t>reunión</w:t>
      </w:r>
      <w:r w:rsidR="0094748C" w:rsidRPr="00133BD0">
        <w:rPr>
          <w:rFonts w:cs="Arial"/>
        </w:rPr>
        <w:t xml:space="preserve"> de los </w:t>
      </w:r>
      <w:r w:rsidR="00B20324" w:rsidRPr="00133BD0">
        <w:rPr>
          <w:rFonts w:cs="Arial"/>
        </w:rPr>
        <w:t>TWP</w:t>
      </w:r>
      <w:r w:rsidR="0094748C" w:rsidRPr="00133BD0">
        <w:rPr>
          <w:rFonts w:cs="Arial"/>
        </w:rPr>
        <w:t xml:space="preserve"> a fin de facilitar a algunos de los delegados una participación más activa en las </w:t>
      </w:r>
      <w:r w:rsidR="006C56B4">
        <w:rPr>
          <w:rFonts w:cs="Arial"/>
        </w:rPr>
        <w:t>reuniones</w:t>
      </w:r>
      <w:r w:rsidR="0094748C" w:rsidRPr="00133BD0">
        <w:rPr>
          <w:rFonts w:cs="Arial"/>
        </w:rPr>
        <w:t xml:space="preserve"> (véanse los párrafos 215 a 218 del documento TC/38/16 “Informe”).</w:t>
      </w:r>
    </w:p>
    <w:p w:rsidR="007D5558" w:rsidRPr="00133BD0" w:rsidRDefault="007D5558" w:rsidP="00133BD0">
      <w:pPr>
        <w:ind w:left="567" w:hanging="567"/>
        <w:rPr>
          <w:rFonts w:cs="Arial"/>
          <w:snapToGrid w:val="0"/>
        </w:rPr>
      </w:pPr>
    </w:p>
    <w:p w:rsidR="007D5558" w:rsidRPr="00133BD0" w:rsidRDefault="007D5558" w:rsidP="00133BD0">
      <w:pPr>
        <w:rPr>
          <w:rFonts w:cs="Arial"/>
        </w:rPr>
      </w:pPr>
      <w:r w:rsidRPr="00133BD0">
        <w:rPr>
          <w:snapToGrid w:val="0"/>
        </w:rPr>
        <w:fldChar w:fldCharType="begin"/>
      </w:r>
      <w:r w:rsidRPr="00133BD0">
        <w:rPr>
          <w:snapToGrid w:val="0"/>
        </w:rPr>
        <w:instrText xml:space="preserve"> AUTONUM  </w:instrText>
      </w:r>
      <w:r w:rsidRPr="00133BD0">
        <w:rPr>
          <w:snapToGrid w:val="0"/>
        </w:rPr>
        <w:fldChar w:fldCharType="end"/>
      </w:r>
      <w:r w:rsidRPr="00133BD0">
        <w:rPr>
          <w:snapToGrid w:val="0"/>
        </w:rPr>
        <w:tab/>
      </w:r>
      <w:r w:rsidR="003F195B" w:rsidRPr="00133BD0">
        <w:rPr>
          <w:snapToGrid w:val="0"/>
        </w:rPr>
        <w:t>En su quincuagésima cuarta sesión,</w:t>
      </w:r>
      <w:r w:rsidR="003F195B" w:rsidRPr="00133BD0">
        <w:rPr>
          <w:rStyle w:val="FootnoteReference"/>
          <w:snapToGrid w:val="0"/>
        </w:rPr>
        <w:footnoteReference w:id="3"/>
      </w:r>
      <w:r w:rsidR="003F195B" w:rsidRPr="00133BD0">
        <w:rPr>
          <w:snapToGrid w:val="0"/>
        </w:rPr>
        <w:t xml:space="preserve"> el TC aprobó el programa de los talleres preparatorios de 2019.</w:t>
      </w:r>
      <w:r w:rsidR="00CE441A" w:rsidRPr="00133BD0">
        <w:rPr>
          <w:rFonts w:cs="Arial"/>
        </w:rPr>
        <w:t xml:space="preserve"> </w:t>
      </w:r>
      <w:r w:rsidR="003F195B" w:rsidRPr="00133BD0">
        <w:rPr>
          <w:rFonts w:cs="Arial"/>
        </w:rPr>
        <w:t>El TC convino en que deben añadirse los siguientes contenidos a los talleres preparatorios (véanse los párrafos 323 a 327 del documento TC/54/31 “Informe”):</w:t>
      </w:r>
    </w:p>
    <w:p w:rsidR="007D5558" w:rsidRPr="00133BD0" w:rsidRDefault="007D5558" w:rsidP="00133BD0">
      <w:pPr>
        <w:rPr>
          <w:rFonts w:cs="Arial"/>
        </w:rPr>
      </w:pPr>
    </w:p>
    <w:p w:rsidR="007D5558" w:rsidRPr="00133BD0" w:rsidRDefault="003F195B" w:rsidP="00133BD0">
      <w:pPr>
        <w:pStyle w:val="ListParagraph"/>
        <w:numPr>
          <w:ilvl w:val="0"/>
          <w:numId w:val="1"/>
        </w:numPr>
        <w:rPr>
          <w:rFonts w:cs="Arial"/>
          <w:lang w:val="es-ES_tradnl"/>
        </w:rPr>
      </w:pPr>
      <w:r w:rsidRPr="00133BD0">
        <w:rPr>
          <w:rFonts w:cs="Arial"/>
          <w:lang w:val="es-ES_tradnl"/>
        </w:rPr>
        <w:lastRenderedPageBreak/>
        <w:t>Procedimiento para aprobar directrices de examen por correspondencia</w:t>
      </w:r>
    </w:p>
    <w:p w:rsidR="007D5558" w:rsidRPr="00133BD0" w:rsidRDefault="003F195B" w:rsidP="00133BD0">
      <w:pPr>
        <w:pStyle w:val="ListParagraph"/>
        <w:numPr>
          <w:ilvl w:val="0"/>
          <w:numId w:val="1"/>
        </w:numPr>
        <w:rPr>
          <w:rFonts w:cs="Arial"/>
          <w:lang w:val="es-ES_tradnl"/>
        </w:rPr>
      </w:pPr>
      <w:r w:rsidRPr="00133BD0">
        <w:rPr>
          <w:rFonts w:cs="Arial"/>
          <w:lang w:val="es-ES_tradnl"/>
        </w:rPr>
        <w:t>Función del experto principal en la elaboración de las directrices de examen y modo de participar como experto interesado</w:t>
      </w:r>
    </w:p>
    <w:p w:rsidR="007D5558" w:rsidRPr="00133BD0" w:rsidRDefault="003F195B" w:rsidP="00133BD0">
      <w:pPr>
        <w:pStyle w:val="ListParagraph"/>
        <w:numPr>
          <w:ilvl w:val="0"/>
          <w:numId w:val="1"/>
        </w:numPr>
        <w:rPr>
          <w:rFonts w:cs="Arial"/>
          <w:lang w:val="es-ES_tradnl"/>
        </w:rPr>
      </w:pPr>
      <w:r w:rsidRPr="00133BD0">
        <w:rPr>
          <w:rFonts w:cs="Arial"/>
          <w:lang w:val="es-ES_tradnl"/>
        </w:rPr>
        <w:t>Posibilidades de cooperación internacional en materia de examen DHE</w:t>
      </w:r>
    </w:p>
    <w:p w:rsidR="007D5558" w:rsidRPr="00133BD0" w:rsidRDefault="007D5558" w:rsidP="00133BD0">
      <w:pPr>
        <w:rPr>
          <w:snapToGrid w:val="0"/>
        </w:rPr>
      </w:pPr>
    </w:p>
    <w:p w:rsidR="007D5558" w:rsidRPr="00133BD0" w:rsidRDefault="007D5558" w:rsidP="00133BD0">
      <w:pPr>
        <w:rPr>
          <w:snapToGrid w:val="0"/>
        </w:rPr>
      </w:pPr>
      <w:r w:rsidRPr="00133BD0">
        <w:rPr>
          <w:snapToGrid w:val="0"/>
        </w:rPr>
        <w:fldChar w:fldCharType="begin"/>
      </w:r>
      <w:r w:rsidRPr="00133BD0">
        <w:rPr>
          <w:snapToGrid w:val="0"/>
        </w:rPr>
        <w:instrText xml:space="preserve"> AUTONUM  </w:instrText>
      </w:r>
      <w:r w:rsidRPr="00133BD0">
        <w:rPr>
          <w:snapToGrid w:val="0"/>
        </w:rPr>
        <w:fldChar w:fldCharType="end"/>
      </w:r>
      <w:r w:rsidRPr="00133BD0">
        <w:rPr>
          <w:snapToGrid w:val="0"/>
        </w:rPr>
        <w:tab/>
      </w:r>
      <w:r w:rsidR="003F195B" w:rsidRPr="00133BD0">
        <w:rPr>
          <w:snapToGrid w:val="0"/>
        </w:rPr>
        <w:t>En su quincuagésima cuarta sesión, el TC convino en que el procedimiento para casos particulares deben establecerlo los presidentes de los TWP conjuntamente con los organizadores, el presidente del TC y la Oficina de la UPOV.</w:t>
      </w:r>
    </w:p>
    <w:p w:rsidR="007D5558" w:rsidRPr="00133BD0" w:rsidRDefault="007D5558" w:rsidP="00133BD0"/>
    <w:p w:rsidR="007D5558" w:rsidRPr="00133BD0" w:rsidRDefault="007D5558" w:rsidP="00133BD0">
      <w:r w:rsidRPr="00133BD0">
        <w:fldChar w:fldCharType="begin"/>
      </w:r>
      <w:r w:rsidRPr="00133BD0">
        <w:instrText xml:space="preserve"> AUTONUM  </w:instrText>
      </w:r>
      <w:r w:rsidRPr="00133BD0">
        <w:fldChar w:fldCharType="end"/>
      </w:r>
      <w:r w:rsidRPr="00133BD0">
        <w:tab/>
      </w:r>
      <w:r w:rsidR="003F195B" w:rsidRPr="00133BD0">
        <w:t>En su quincuagésima quinta sesión,</w:t>
      </w:r>
      <w:r w:rsidR="003F195B" w:rsidRPr="00133BD0">
        <w:rPr>
          <w:rStyle w:val="FootnoteReference"/>
        </w:rPr>
        <w:footnoteReference w:id="4"/>
      </w:r>
      <w:r w:rsidR="003F195B" w:rsidRPr="00133BD0">
        <w:t xml:space="preserve"> el TC recordó que los talleres preparatorios constituyen una oportunidad para la formación de los participantes locales y acordó que los anfitriones de los TWP deben tener la posibilidad de decidir si organizan o no un taller preparatorio antes de la sesión del TWP en cuestión (véanse los párrafos 226 y 227 del documento TC/55/25 “Informe”).</w:t>
      </w:r>
    </w:p>
    <w:p w:rsidR="007D5558" w:rsidRPr="00133BD0" w:rsidRDefault="007D5558" w:rsidP="00133BD0"/>
    <w:p w:rsidR="007D5558" w:rsidRPr="00133BD0" w:rsidRDefault="007D5558" w:rsidP="00133BD0">
      <w:r w:rsidRPr="00133BD0">
        <w:fldChar w:fldCharType="begin"/>
      </w:r>
      <w:r w:rsidRPr="00133BD0">
        <w:instrText xml:space="preserve"> AUTONUM  </w:instrText>
      </w:r>
      <w:r w:rsidRPr="00133BD0">
        <w:fldChar w:fldCharType="end"/>
      </w:r>
      <w:r w:rsidRPr="00133BD0">
        <w:tab/>
      </w:r>
      <w:r w:rsidR="009246B6" w:rsidRPr="00133BD0">
        <w:t xml:space="preserve">En su quincuagésima quinta sesión, el TC convino en que se debe invitar a los TWP a examinar la posibilidad de la organización de talleres preparatorios al estudiar el lugar y la fecha de sus futuras </w:t>
      </w:r>
      <w:r w:rsidR="006C56B4">
        <w:t>reuniones</w:t>
      </w:r>
      <w:r w:rsidR="009246B6" w:rsidRPr="00133BD0">
        <w:t>.</w:t>
      </w:r>
    </w:p>
    <w:p w:rsidR="007D5558" w:rsidRPr="00133BD0" w:rsidRDefault="007D5558" w:rsidP="00133BD0"/>
    <w:p w:rsidR="007D5558" w:rsidRPr="00133BD0" w:rsidRDefault="009246B6" w:rsidP="00133BD0">
      <w:pPr>
        <w:pStyle w:val="Heading1"/>
        <w:keepNext w:val="0"/>
      </w:pPr>
      <w:bookmarkStart w:id="4" w:name="_Toc54020159"/>
      <w:r w:rsidRPr="00133BD0">
        <w:t>INFORME SOBRE LOS TALLERES PREPARATORIOS REALIZADOS EN 2020</w:t>
      </w:r>
      <w:bookmarkEnd w:id="4"/>
    </w:p>
    <w:p w:rsidR="007D5558" w:rsidRPr="00133BD0" w:rsidRDefault="007D5558" w:rsidP="00133BD0">
      <w:pPr>
        <w:rPr>
          <w:rFonts w:cs="Arial"/>
          <w:i/>
        </w:rPr>
      </w:pPr>
    </w:p>
    <w:p w:rsidR="007D5558" w:rsidRPr="00133BD0" w:rsidRDefault="007D5558" w:rsidP="00133BD0">
      <w:r w:rsidRPr="00133BD0">
        <w:rPr>
          <w:rFonts w:cs="Arial"/>
        </w:rPr>
        <w:fldChar w:fldCharType="begin"/>
      </w:r>
      <w:r w:rsidRPr="00133BD0">
        <w:rPr>
          <w:rFonts w:cs="Arial"/>
        </w:rPr>
        <w:instrText xml:space="preserve"> AUTONUM  </w:instrText>
      </w:r>
      <w:r w:rsidRPr="00133BD0">
        <w:rPr>
          <w:rFonts w:cs="Arial"/>
        </w:rPr>
        <w:fldChar w:fldCharType="end"/>
      </w:r>
      <w:r w:rsidRPr="00133BD0">
        <w:rPr>
          <w:rFonts w:cs="Arial"/>
        </w:rPr>
        <w:tab/>
      </w:r>
      <w:r w:rsidR="009246B6" w:rsidRPr="00133BD0">
        <w:rPr>
          <w:rFonts w:cs="Arial"/>
        </w:rPr>
        <w:t>No se celebraron talleres preparatorios en 2020 por las medidas adoptadas como consecuencia de la pandemia de COVID-19.</w:t>
      </w:r>
      <w:r w:rsidR="00CE441A" w:rsidRPr="00133BD0">
        <w:t xml:space="preserve"> </w:t>
      </w:r>
      <w:r w:rsidR="009246B6" w:rsidRPr="00133BD0">
        <w:t xml:space="preserve">Las </w:t>
      </w:r>
      <w:r w:rsidR="006C56B4">
        <w:t>reuniones</w:t>
      </w:r>
      <w:r w:rsidR="009246B6" w:rsidRPr="00133BD0">
        <w:t xml:space="preserve"> de los TWP y del BMT en 2020 se celebraron por medios electrónicos y se organizaron reuniones preparatorias para ayudar a los participantes a usar la plataforma de reuniones.</w:t>
      </w:r>
      <w:r w:rsidR="00CE441A" w:rsidRPr="00133BD0">
        <w:t xml:space="preserve"> </w:t>
      </w:r>
      <w:r w:rsidR="00E8556E" w:rsidRPr="00133BD0">
        <w:t>Se redactó material de orientación para los distintos tipos de participantes en las reuniones en línea (delegados, expertos principales, presidentes).</w:t>
      </w:r>
    </w:p>
    <w:p w:rsidR="007D5558" w:rsidRPr="00133BD0" w:rsidRDefault="007D5558" w:rsidP="00133BD0"/>
    <w:p w:rsidR="007D5558" w:rsidRPr="00133BD0" w:rsidRDefault="00E8556E" w:rsidP="00133BD0">
      <w:pPr>
        <w:pStyle w:val="Heading1"/>
        <w:keepNext w:val="0"/>
      </w:pPr>
      <w:bookmarkStart w:id="5" w:name="_Toc54020160"/>
      <w:r w:rsidRPr="00133BD0">
        <w:t>PROGRAMA Y FORMATO DE LA LABOR PREPARATORIA DE 2021</w:t>
      </w:r>
      <w:bookmarkEnd w:id="5"/>
    </w:p>
    <w:p w:rsidR="007D5558" w:rsidRPr="00133BD0" w:rsidRDefault="007D5558" w:rsidP="00133BD0">
      <w:pPr>
        <w:rPr>
          <w:rFonts w:cs="Arial"/>
        </w:rPr>
      </w:pPr>
    </w:p>
    <w:p w:rsidR="007D5558" w:rsidRPr="00133BD0" w:rsidRDefault="007D5558" w:rsidP="00133BD0">
      <w:pPr>
        <w:rPr>
          <w:snapToGrid w:val="0"/>
        </w:rPr>
      </w:pPr>
      <w:r w:rsidRPr="00133BD0">
        <w:rPr>
          <w:snapToGrid w:val="0"/>
        </w:rPr>
        <w:fldChar w:fldCharType="begin"/>
      </w:r>
      <w:r w:rsidRPr="00133BD0">
        <w:rPr>
          <w:snapToGrid w:val="0"/>
        </w:rPr>
        <w:instrText xml:space="preserve"> AUTONUM  </w:instrText>
      </w:r>
      <w:r w:rsidRPr="00133BD0">
        <w:rPr>
          <w:snapToGrid w:val="0"/>
        </w:rPr>
        <w:fldChar w:fldCharType="end"/>
      </w:r>
      <w:r w:rsidRPr="00133BD0">
        <w:rPr>
          <w:snapToGrid w:val="0"/>
        </w:rPr>
        <w:tab/>
      </w:r>
      <w:r w:rsidR="00E8556E" w:rsidRPr="00133BD0">
        <w:rPr>
          <w:snapToGrid w:val="0"/>
        </w:rPr>
        <w:t xml:space="preserve">En su quincuagésima cuarta sesión, el TC convino en que los temas que se vayan a tratar en el taller preparatorio pueden presentarse como introducción a los respectivos puntos del orden del día durante el programa ordinario de </w:t>
      </w:r>
      <w:r w:rsidR="006C56B4">
        <w:rPr>
          <w:snapToGrid w:val="0"/>
        </w:rPr>
        <w:t>reuniones</w:t>
      </w:r>
      <w:r w:rsidR="00E8556E" w:rsidRPr="00133BD0">
        <w:rPr>
          <w:snapToGrid w:val="0"/>
        </w:rPr>
        <w:t xml:space="preserve"> de los TWP y el BMT.</w:t>
      </w:r>
      <w:r w:rsidRPr="00133BD0">
        <w:rPr>
          <w:snapToGrid w:val="0"/>
        </w:rPr>
        <w:t xml:space="preserve"> </w:t>
      </w:r>
      <w:r w:rsidR="00E8556E" w:rsidRPr="00133BD0">
        <w:rPr>
          <w:snapToGrid w:val="0"/>
        </w:rPr>
        <w:t>Convino asimismo en que deben seguir realizándose los ejercicios en grupo y en que, el día antes de la sesión del TWP, podría celebrarse un taller nacional para expertos locales</w:t>
      </w:r>
      <w:r w:rsidRPr="00133BD0">
        <w:t xml:space="preserve"> </w:t>
      </w:r>
      <w:r w:rsidR="00E8556E" w:rsidRPr="00133BD0">
        <w:t>(véase el párrafo 325 del documento TC/54/31 “Informe”).</w:t>
      </w:r>
      <w:r w:rsidR="00085D5E" w:rsidRPr="00133BD0">
        <w:rPr>
          <w:snapToGrid w:val="0"/>
        </w:rPr>
        <w:t xml:space="preserve"> </w:t>
      </w:r>
    </w:p>
    <w:p w:rsidR="007D5558" w:rsidRPr="00133BD0" w:rsidRDefault="007D5558" w:rsidP="00133BD0">
      <w:pPr>
        <w:rPr>
          <w:snapToGrid w:val="0"/>
        </w:rPr>
      </w:pPr>
    </w:p>
    <w:p w:rsidR="007D5558" w:rsidRPr="00133BD0" w:rsidRDefault="007D5558" w:rsidP="00133BD0">
      <w:pPr>
        <w:rPr>
          <w:snapToGrid w:val="0"/>
        </w:rPr>
      </w:pPr>
      <w:r w:rsidRPr="00133BD0">
        <w:rPr>
          <w:snapToGrid w:val="0"/>
        </w:rPr>
        <w:fldChar w:fldCharType="begin"/>
      </w:r>
      <w:r w:rsidRPr="00133BD0">
        <w:rPr>
          <w:snapToGrid w:val="0"/>
        </w:rPr>
        <w:instrText xml:space="preserve"> AUTONUM  </w:instrText>
      </w:r>
      <w:r w:rsidRPr="00133BD0">
        <w:rPr>
          <w:snapToGrid w:val="0"/>
        </w:rPr>
        <w:fldChar w:fldCharType="end"/>
      </w:r>
      <w:r w:rsidRPr="00133BD0">
        <w:rPr>
          <w:snapToGrid w:val="0"/>
        </w:rPr>
        <w:tab/>
      </w:r>
      <w:r w:rsidR="005A2AB2" w:rsidRPr="00133BD0">
        <w:rPr>
          <w:snapToGrid w:val="0"/>
        </w:rPr>
        <w:t xml:space="preserve">Los temas a tratar en los talleres preparatorios se presentaron como introducción a los respectivos puntos del orden del día durante el programa ordinario del TWA, el TWC, el TWF y el BMT, en sus </w:t>
      </w:r>
      <w:r w:rsidR="006C56B4">
        <w:rPr>
          <w:snapToGrid w:val="0"/>
        </w:rPr>
        <w:t>reuniones</w:t>
      </w:r>
      <w:r w:rsidR="005A2AB2" w:rsidRPr="00133BD0">
        <w:rPr>
          <w:snapToGrid w:val="0"/>
        </w:rPr>
        <w:t xml:space="preserve"> de 2019.</w:t>
      </w:r>
      <w:r w:rsidRPr="00133BD0">
        <w:rPr>
          <w:snapToGrid w:val="0"/>
        </w:rPr>
        <w:t xml:space="preserve"> </w:t>
      </w:r>
      <w:r w:rsidR="005A2AB2" w:rsidRPr="00133BD0">
        <w:rPr>
          <w:snapToGrid w:val="0"/>
        </w:rPr>
        <w:t>Los comentarios de los participantes no fueron satisfactorios, mencionándose la falta de tiempo para abordar los temas presentados y la falta de interacción entre los participantes nuevos y los experimentados.</w:t>
      </w:r>
    </w:p>
    <w:p w:rsidR="007D5558" w:rsidRPr="00133BD0" w:rsidRDefault="007D5558" w:rsidP="00133BD0">
      <w:pPr>
        <w:rPr>
          <w:rFonts w:cs="Arial"/>
        </w:rPr>
      </w:pPr>
    </w:p>
    <w:p w:rsidR="007D5558" w:rsidRPr="00133BD0" w:rsidRDefault="007D5558" w:rsidP="00133BD0">
      <w:r w:rsidRPr="00133BD0">
        <w:fldChar w:fldCharType="begin"/>
      </w:r>
      <w:r w:rsidRPr="00133BD0">
        <w:instrText xml:space="preserve"> AUTONUM  </w:instrText>
      </w:r>
      <w:r w:rsidRPr="00133BD0">
        <w:fldChar w:fldCharType="end"/>
      </w:r>
      <w:r w:rsidRPr="00133BD0">
        <w:tab/>
      </w:r>
      <w:r w:rsidR="005A2AB2" w:rsidRPr="00133BD0">
        <w:t xml:space="preserve">En su quincuagésima quinta sesión, el TC convino en que la Oficina de la UPOV debe considerar la </w:t>
      </w:r>
      <w:r w:rsidR="00CE441A" w:rsidRPr="00133BD0">
        <w:t>posibilidad</w:t>
      </w:r>
      <w:r w:rsidR="005A2AB2" w:rsidRPr="00133BD0">
        <w:t xml:space="preserve"> de grabar un seminario en Internet (</w:t>
      </w:r>
      <w:proofErr w:type="spellStart"/>
      <w:r w:rsidR="005A2AB2" w:rsidRPr="00133BD0">
        <w:rPr>
          <w:i/>
        </w:rPr>
        <w:t>webinar</w:t>
      </w:r>
      <w:proofErr w:type="spellEnd"/>
      <w:r w:rsidR="005A2AB2" w:rsidRPr="00133BD0">
        <w:t>) para que parte del contenido del taller preparatorio se publique en línea para la enseñanza a distancia (véase el párrafo 228 del documento TC/55/25 “Informe”).</w:t>
      </w:r>
      <w:r w:rsidR="00085D5E" w:rsidRPr="00133BD0">
        <w:t xml:space="preserve"> </w:t>
      </w:r>
    </w:p>
    <w:p w:rsidR="007D5558" w:rsidRPr="00133BD0" w:rsidRDefault="007D5558" w:rsidP="00133BD0">
      <w:pPr>
        <w:rPr>
          <w:snapToGrid w:val="0"/>
        </w:rPr>
      </w:pPr>
    </w:p>
    <w:p w:rsidR="007D5558" w:rsidRPr="00133BD0" w:rsidRDefault="00544D5F" w:rsidP="00133BD0">
      <w:pPr>
        <w:pStyle w:val="Heading2"/>
        <w:keepNext w:val="0"/>
        <w:rPr>
          <w:snapToGrid w:val="0"/>
          <w:lang w:val="es-ES_tradnl"/>
        </w:rPr>
      </w:pPr>
      <w:bookmarkStart w:id="6" w:name="_Toc54020161"/>
      <w:r w:rsidRPr="00133BD0">
        <w:rPr>
          <w:snapToGrid w:val="0"/>
          <w:lang w:val="es-ES_tradnl"/>
        </w:rPr>
        <w:t>Propuesta:</w:t>
      </w:r>
      <w:bookmarkEnd w:id="6"/>
    </w:p>
    <w:p w:rsidR="007D5558" w:rsidRPr="00133BD0" w:rsidRDefault="007D5558" w:rsidP="00133BD0">
      <w:pPr>
        <w:rPr>
          <w:snapToGrid w:val="0"/>
        </w:rPr>
      </w:pPr>
    </w:p>
    <w:p w:rsidR="007D5558" w:rsidRPr="00133BD0" w:rsidRDefault="007D5558" w:rsidP="00133BD0">
      <w:pPr>
        <w:rPr>
          <w:snapToGrid w:val="0"/>
        </w:rPr>
      </w:pPr>
      <w:r w:rsidRPr="00133BD0">
        <w:rPr>
          <w:snapToGrid w:val="0"/>
        </w:rPr>
        <w:fldChar w:fldCharType="begin"/>
      </w:r>
      <w:r w:rsidRPr="00133BD0">
        <w:rPr>
          <w:snapToGrid w:val="0"/>
        </w:rPr>
        <w:instrText xml:space="preserve"> AUTONUM  </w:instrText>
      </w:r>
      <w:r w:rsidRPr="00133BD0">
        <w:rPr>
          <w:snapToGrid w:val="0"/>
        </w:rPr>
        <w:fldChar w:fldCharType="end"/>
      </w:r>
      <w:r w:rsidRPr="00133BD0">
        <w:rPr>
          <w:snapToGrid w:val="0"/>
        </w:rPr>
        <w:tab/>
      </w:r>
      <w:r w:rsidR="00544D5F" w:rsidRPr="00133BD0">
        <w:rPr>
          <w:snapToGrid w:val="0"/>
        </w:rPr>
        <w:t xml:space="preserve">Se propone que los talleres preparatorios de 2021 se organicen en forma de una serie de seminarios web en fechas acordes al calendario de las </w:t>
      </w:r>
      <w:r w:rsidR="006C56B4">
        <w:rPr>
          <w:snapToGrid w:val="0"/>
        </w:rPr>
        <w:t>reuniones</w:t>
      </w:r>
      <w:r w:rsidR="006C56B4" w:rsidRPr="00133BD0">
        <w:rPr>
          <w:snapToGrid w:val="0"/>
        </w:rPr>
        <w:t xml:space="preserve"> </w:t>
      </w:r>
      <w:r w:rsidR="00544D5F" w:rsidRPr="00133BD0">
        <w:rPr>
          <w:snapToGrid w:val="0"/>
        </w:rPr>
        <w:t>de los TWP.</w:t>
      </w:r>
      <w:r w:rsidRPr="00133BD0">
        <w:rPr>
          <w:snapToGrid w:val="0"/>
        </w:rPr>
        <w:t xml:space="preserve"> </w:t>
      </w:r>
      <w:r w:rsidR="00544D5F" w:rsidRPr="00133BD0">
        <w:rPr>
          <w:snapToGrid w:val="0"/>
        </w:rPr>
        <w:t>Las presentaciones de los seminarios web se grabarían y se publicarían en línea, pero no los debates.</w:t>
      </w:r>
    </w:p>
    <w:p w:rsidR="007D5558" w:rsidRPr="00133BD0" w:rsidRDefault="007D5558" w:rsidP="00133BD0">
      <w:pPr>
        <w:rPr>
          <w:snapToGrid w:val="0"/>
        </w:rPr>
      </w:pPr>
    </w:p>
    <w:p w:rsidR="007D5558" w:rsidRPr="00133BD0" w:rsidRDefault="007D5558" w:rsidP="00133BD0">
      <w:pPr>
        <w:rPr>
          <w:snapToGrid w:val="0"/>
        </w:rPr>
      </w:pPr>
      <w:r w:rsidRPr="00133BD0">
        <w:rPr>
          <w:snapToGrid w:val="0"/>
        </w:rPr>
        <w:fldChar w:fldCharType="begin"/>
      </w:r>
      <w:r w:rsidRPr="00133BD0">
        <w:rPr>
          <w:snapToGrid w:val="0"/>
        </w:rPr>
        <w:instrText xml:space="preserve"> AUTONUM  </w:instrText>
      </w:r>
      <w:r w:rsidRPr="00133BD0">
        <w:rPr>
          <w:snapToGrid w:val="0"/>
        </w:rPr>
        <w:fldChar w:fldCharType="end"/>
      </w:r>
      <w:r w:rsidRPr="00133BD0">
        <w:rPr>
          <w:snapToGrid w:val="0"/>
        </w:rPr>
        <w:tab/>
      </w:r>
      <w:r w:rsidR="00544D5F" w:rsidRPr="00133BD0">
        <w:rPr>
          <w:snapToGrid w:val="0"/>
        </w:rPr>
        <w:t>Se invitaría a los expertos de los miembros a presentar ponencias sobre determinados contenidos y a servir de panelistas en los debates.</w:t>
      </w:r>
    </w:p>
    <w:p w:rsidR="007D5558" w:rsidRPr="00133BD0" w:rsidRDefault="007D5558" w:rsidP="00133BD0">
      <w:pPr>
        <w:rPr>
          <w:snapToGrid w:val="0"/>
        </w:rPr>
      </w:pPr>
    </w:p>
    <w:p w:rsidR="007D5558" w:rsidRPr="00133BD0" w:rsidRDefault="007D5558" w:rsidP="00133BD0">
      <w:pPr>
        <w:rPr>
          <w:snapToGrid w:val="0"/>
        </w:rPr>
      </w:pPr>
      <w:r w:rsidRPr="00133BD0">
        <w:fldChar w:fldCharType="begin"/>
      </w:r>
      <w:r w:rsidRPr="00133BD0">
        <w:instrText xml:space="preserve"> AUTONUM  </w:instrText>
      </w:r>
      <w:r w:rsidRPr="00133BD0">
        <w:fldChar w:fldCharType="end"/>
      </w:r>
      <w:r w:rsidRPr="00133BD0">
        <w:tab/>
      </w:r>
      <w:r w:rsidR="00544D5F" w:rsidRPr="00133BD0">
        <w:t>Se organizarían ejercicios prácticos de conformidad con el acuerdo del TC en su quincuagésima cuarta sesión.</w:t>
      </w:r>
    </w:p>
    <w:p w:rsidR="007D5558" w:rsidRPr="00133BD0" w:rsidRDefault="007D5558" w:rsidP="00133BD0">
      <w:pPr>
        <w:rPr>
          <w:rFonts w:cs="Arial"/>
        </w:rPr>
      </w:pPr>
    </w:p>
    <w:p w:rsidR="007D5558" w:rsidRPr="00133BD0" w:rsidRDefault="007D5558" w:rsidP="00133BD0">
      <w:pPr>
        <w:rPr>
          <w:snapToGrid w:val="0"/>
        </w:rPr>
      </w:pPr>
      <w:r w:rsidRPr="00133BD0">
        <w:rPr>
          <w:snapToGrid w:val="0"/>
        </w:rPr>
        <w:fldChar w:fldCharType="begin"/>
      </w:r>
      <w:r w:rsidRPr="00133BD0">
        <w:rPr>
          <w:snapToGrid w:val="0"/>
        </w:rPr>
        <w:instrText xml:space="preserve"> AUTONUM  </w:instrText>
      </w:r>
      <w:r w:rsidRPr="00133BD0">
        <w:rPr>
          <w:snapToGrid w:val="0"/>
        </w:rPr>
        <w:fldChar w:fldCharType="end"/>
      </w:r>
      <w:r w:rsidRPr="00133BD0">
        <w:rPr>
          <w:snapToGrid w:val="0"/>
        </w:rPr>
        <w:tab/>
      </w:r>
      <w:r w:rsidR="0044199D" w:rsidRPr="00133BD0">
        <w:rPr>
          <w:snapToGrid w:val="0"/>
        </w:rPr>
        <w:t>En el documento TC/56/12 “Aumento de la participación de nuevos miembros de la Unión en la labor del TC y de los TWP”, se examina también una propuesta de organizar los talleres preparatorios como seminarios web.</w:t>
      </w:r>
    </w:p>
    <w:p w:rsidR="007D5558" w:rsidRPr="00133BD0" w:rsidRDefault="007D5558" w:rsidP="00133BD0">
      <w:pPr>
        <w:rPr>
          <w:snapToGrid w:val="0"/>
        </w:rPr>
      </w:pPr>
    </w:p>
    <w:p w:rsidR="007D5558" w:rsidRPr="00133BD0" w:rsidRDefault="007D5558" w:rsidP="00133BD0">
      <w:pPr>
        <w:rPr>
          <w:snapToGrid w:val="0"/>
        </w:rPr>
      </w:pPr>
      <w:r w:rsidRPr="00133BD0">
        <w:rPr>
          <w:snapToGrid w:val="0"/>
        </w:rPr>
        <w:fldChar w:fldCharType="begin"/>
      </w:r>
      <w:r w:rsidRPr="00133BD0">
        <w:rPr>
          <w:snapToGrid w:val="0"/>
        </w:rPr>
        <w:instrText xml:space="preserve"> AUTONUM  </w:instrText>
      </w:r>
      <w:r w:rsidRPr="00133BD0">
        <w:rPr>
          <w:snapToGrid w:val="0"/>
        </w:rPr>
        <w:fldChar w:fldCharType="end"/>
      </w:r>
      <w:r w:rsidRPr="00133BD0">
        <w:rPr>
          <w:snapToGrid w:val="0"/>
        </w:rPr>
        <w:tab/>
      </w:r>
      <w:r w:rsidR="0044199D" w:rsidRPr="00133BD0">
        <w:rPr>
          <w:snapToGrid w:val="0"/>
        </w:rPr>
        <w:t>La Oficina de la Unión ultimará los detalles relativos a los seminarios web en coordinación con los presidentes de los TWP y el BMT.</w:t>
      </w:r>
    </w:p>
    <w:p w:rsidR="007D5558" w:rsidRPr="00133BD0" w:rsidRDefault="007D5558" w:rsidP="00133BD0">
      <w:pPr>
        <w:spacing w:before="240"/>
      </w:pPr>
      <w:r w:rsidRPr="00133BD0">
        <w:rPr>
          <w:rFonts w:cs="Arial"/>
        </w:rPr>
        <w:lastRenderedPageBreak/>
        <w:fldChar w:fldCharType="begin"/>
      </w:r>
      <w:r w:rsidRPr="00133BD0">
        <w:rPr>
          <w:rFonts w:cs="Arial"/>
        </w:rPr>
        <w:instrText xml:space="preserve"> AUTONUM  </w:instrText>
      </w:r>
      <w:r w:rsidRPr="00133BD0">
        <w:rPr>
          <w:rFonts w:cs="Arial"/>
        </w:rPr>
        <w:fldChar w:fldCharType="end"/>
      </w:r>
      <w:r w:rsidRPr="00133BD0">
        <w:rPr>
          <w:rFonts w:cs="Arial"/>
        </w:rPr>
        <w:tab/>
      </w:r>
      <w:r w:rsidR="0044199D" w:rsidRPr="00133BD0">
        <w:rPr>
          <w:rFonts w:cs="Arial"/>
        </w:rPr>
        <w:t>Se propone el siguiente contenido para los seminarios web de 2021:</w:t>
      </w:r>
    </w:p>
    <w:p w:rsidR="007D5558" w:rsidRPr="00133BD0" w:rsidRDefault="007D5558" w:rsidP="00133BD0">
      <w:pPr>
        <w:rPr>
          <w:rFonts w:cs="Arial"/>
        </w:rPr>
      </w:pPr>
    </w:p>
    <w:p w:rsidR="007D5558" w:rsidRPr="00133BD0" w:rsidRDefault="0044199D" w:rsidP="00133BD0">
      <w:pPr>
        <w:spacing w:after="120"/>
        <w:rPr>
          <w:rFonts w:cs="Arial"/>
        </w:rPr>
      </w:pPr>
      <w:r w:rsidRPr="00133BD0">
        <w:rPr>
          <w:rFonts w:cs="Arial"/>
        </w:rPr>
        <w:t>Seminario web 1:</w:t>
      </w:r>
    </w:p>
    <w:p w:rsidR="007D5558" w:rsidRPr="00133BD0" w:rsidRDefault="0044199D" w:rsidP="00133BD0">
      <w:pPr>
        <w:pStyle w:val="ListParagraph"/>
        <w:numPr>
          <w:ilvl w:val="1"/>
          <w:numId w:val="6"/>
        </w:numPr>
        <w:ind w:left="1134" w:hanging="567"/>
        <w:contextualSpacing w:val="0"/>
        <w:rPr>
          <w:rFonts w:cs="Arial"/>
          <w:lang w:val="es-ES_tradnl"/>
        </w:rPr>
      </w:pPr>
      <w:r w:rsidRPr="00133BD0">
        <w:rPr>
          <w:rFonts w:cs="Arial"/>
          <w:lang w:val="es-ES_tradnl"/>
        </w:rPr>
        <w:t>Introducción a la UPOV y función de los Grupos de Trabajo Técnico de la UPOV</w:t>
      </w:r>
    </w:p>
    <w:p w:rsidR="007D5558" w:rsidRPr="00133BD0" w:rsidRDefault="0044199D" w:rsidP="00133BD0">
      <w:pPr>
        <w:pStyle w:val="ListParagraph"/>
        <w:numPr>
          <w:ilvl w:val="1"/>
          <w:numId w:val="6"/>
        </w:numPr>
        <w:ind w:left="1134" w:hanging="567"/>
        <w:contextualSpacing w:val="0"/>
        <w:rPr>
          <w:rFonts w:cs="Arial"/>
          <w:lang w:val="es-ES_tradnl"/>
        </w:rPr>
      </w:pPr>
      <w:r w:rsidRPr="00133BD0">
        <w:rPr>
          <w:rFonts w:cs="Arial"/>
          <w:lang w:val="es-ES_tradnl"/>
        </w:rPr>
        <w:t>Resumen de la Introducción general (documento TG/1/3 y documentos TGP)</w:t>
      </w:r>
    </w:p>
    <w:p w:rsidR="007D5558" w:rsidRPr="00133BD0" w:rsidRDefault="0044199D" w:rsidP="00133BD0">
      <w:pPr>
        <w:numPr>
          <w:ilvl w:val="0"/>
          <w:numId w:val="2"/>
        </w:numPr>
        <w:tabs>
          <w:tab w:val="left" w:pos="1134"/>
        </w:tabs>
        <w:ind w:left="1134" w:firstLine="0"/>
        <w:rPr>
          <w:rFonts w:cs="Arial"/>
        </w:rPr>
      </w:pPr>
      <w:r w:rsidRPr="00133BD0">
        <w:rPr>
          <w:rFonts w:cs="Arial"/>
        </w:rPr>
        <w:t>Caracteres: base del examen DHE y selección de caracteres.</w:t>
      </w:r>
    </w:p>
    <w:p w:rsidR="007D5558" w:rsidRPr="00133BD0" w:rsidRDefault="007D5558" w:rsidP="00133BD0">
      <w:pPr>
        <w:rPr>
          <w:rFonts w:cs="Arial"/>
        </w:rPr>
      </w:pPr>
    </w:p>
    <w:p w:rsidR="007D5558" w:rsidRPr="00133BD0" w:rsidRDefault="0044199D" w:rsidP="00133BD0">
      <w:pPr>
        <w:rPr>
          <w:rFonts w:cs="Arial"/>
        </w:rPr>
      </w:pPr>
      <w:r w:rsidRPr="00133BD0">
        <w:rPr>
          <w:rFonts w:cs="Arial"/>
        </w:rPr>
        <w:t>Seminario web 2:</w:t>
      </w:r>
    </w:p>
    <w:p w:rsidR="007D5558" w:rsidRPr="00133BD0" w:rsidRDefault="007D5558" w:rsidP="00133BD0">
      <w:pPr>
        <w:rPr>
          <w:rFonts w:cs="Arial"/>
        </w:rPr>
      </w:pPr>
    </w:p>
    <w:p w:rsidR="007D5558" w:rsidRPr="00133BD0" w:rsidRDefault="0044199D" w:rsidP="00133BD0">
      <w:pPr>
        <w:ind w:left="567"/>
        <w:rPr>
          <w:rFonts w:cs="Arial"/>
        </w:rPr>
      </w:pPr>
      <w:r w:rsidRPr="00133BD0">
        <w:rPr>
          <w:rFonts w:cs="Arial"/>
        </w:rPr>
        <w:t>Orientaciones para la redacción de directrices de examen – parte I (documento TGP/7)</w:t>
      </w:r>
      <w:r w:rsidR="007D5558" w:rsidRPr="00133BD0">
        <w:rPr>
          <w:rFonts w:cs="Arial"/>
        </w:rPr>
        <w:t xml:space="preserve"> </w:t>
      </w:r>
    </w:p>
    <w:p w:rsidR="007D5558" w:rsidRPr="00133BD0" w:rsidRDefault="0044199D" w:rsidP="00133BD0">
      <w:pPr>
        <w:numPr>
          <w:ilvl w:val="0"/>
          <w:numId w:val="4"/>
        </w:numPr>
        <w:tabs>
          <w:tab w:val="clear" w:pos="1689"/>
          <w:tab w:val="num" w:pos="1134"/>
        </w:tabs>
        <w:ind w:left="567" w:firstLine="0"/>
        <w:rPr>
          <w:rFonts w:cs="Arial"/>
        </w:rPr>
      </w:pPr>
      <w:r w:rsidRPr="00133BD0">
        <w:rPr>
          <w:rFonts w:cs="Arial"/>
        </w:rPr>
        <w:t>Método de observación (MS, MG, VS, VG);</w:t>
      </w:r>
    </w:p>
    <w:p w:rsidR="007D5558" w:rsidRPr="00133BD0" w:rsidRDefault="0044199D" w:rsidP="00133BD0">
      <w:pPr>
        <w:numPr>
          <w:ilvl w:val="0"/>
          <w:numId w:val="4"/>
        </w:numPr>
        <w:tabs>
          <w:tab w:val="clear" w:pos="1689"/>
          <w:tab w:val="left" w:pos="567"/>
          <w:tab w:val="num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ind w:left="567" w:firstLine="0"/>
        <w:rPr>
          <w:rFonts w:cs="Arial"/>
        </w:rPr>
      </w:pPr>
      <w:r w:rsidRPr="00133BD0">
        <w:rPr>
          <w:rFonts w:cs="Arial"/>
        </w:rPr>
        <w:t>Tipos de expresión (QL, QN y PQ), notas y distinción;</w:t>
      </w:r>
    </w:p>
    <w:p w:rsidR="007D5558" w:rsidRPr="00133BD0" w:rsidRDefault="007D5558" w:rsidP="00133BD0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rPr>
          <w:rFonts w:cs="Arial"/>
        </w:rPr>
      </w:pPr>
    </w:p>
    <w:p w:rsidR="007D5558" w:rsidRPr="00133BD0" w:rsidRDefault="0044199D" w:rsidP="00133BD0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rPr>
          <w:rFonts w:cs="Arial"/>
        </w:rPr>
      </w:pPr>
      <w:r w:rsidRPr="00133BD0">
        <w:rPr>
          <w:rFonts w:cs="Arial"/>
        </w:rPr>
        <w:t>Seminario web 3:</w:t>
      </w:r>
    </w:p>
    <w:p w:rsidR="007D5558" w:rsidRPr="00133BD0" w:rsidRDefault="007D5558" w:rsidP="00133BD0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rPr>
          <w:rFonts w:cs="Arial"/>
        </w:rPr>
      </w:pPr>
    </w:p>
    <w:p w:rsidR="007D5558" w:rsidRPr="00133BD0" w:rsidRDefault="0044199D" w:rsidP="00133BD0">
      <w:pPr>
        <w:ind w:left="567"/>
        <w:rPr>
          <w:rFonts w:cs="Arial"/>
        </w:rPr>
      </w:pPr>
      <w:r w:rsidRPr="00133BD0">
        <w:rPr>
          <w:rFonts w:cs="Arial"/>
        </w:rPr>
        <w:t>Orientaciones para la redacción de directrices de examen – parte II (documento TGP/7)</w:t>
      </w:r>
      <w:r w:rsidR="007D5558" w:rsidRPr="00133BD0">
        <w:rPr>
          <w:rFonts w:cs="Arial"/>
        </w:rPr>
        <w:t xml:space="preserve"> </w:t>
      </w:r>
    </w:p>
    <w:p w:rsidR="007D5558" w:rsidRPr="00133BD0" w:rsidRDefault="008A7A47" w:rsidP="00133BD0">
      <w:pPr>
        <w:numPr>
          <w:ilvl w:val="0"/>
          <w:numId w:val="5"/>
        </w:numPr>
        <w:tabs>
          <w:tab w:val="left" w:pos="1134"/>
        </w:tabs>
        <w:ind w:left="567" w:firstLine="0"/>
        <w:rPr>
          <w:rFonts w:cs="Arial"/>
        </w:rPr>
      </w:pPr>
      <w:r w:rsidRPr="00133BD0">
        <w:rPr>
          <w:rFonts w:cs="Arial"/>
        </w:rPr>
        <w:t>Objeto de las directrices de examen, material necesario y método de examen;</w:t>
      </w:r>
    </w:p>
    <w:p w:rsidR="007D5558" w:rsidRPr="00133BD0" w:rsidRDefault="008A7A47" w:rsidP="00133BD0">
      <w:pPr>
        <w:numPr>
          <w:ilvl w:val="0"/>
          <w:numId w:val="5"/>
        </w:numPr>
        <w:tabs>
          <w:tab w:val="left" w:pos="1134"/>
        </w:tabs>
        <w:ind w:left="567" w:firstLine="0"/>
        <w:rPr>
          <w:rFonts w:cs="Arial"/>
        </w:rPr>
      </w:pPr>
      <w:r w:rsidRPr="00133BD0">
        <w:rPr>
          <w:rFonts w:cs="Arial"/>
        </w:rPr>
        <w:t>Caracteres relativos a la forma y el color;</w:t>
      </w:r>
    </w:p>
    <w:p w:rsidR="007D5558" w:rsidRPr="00133BD0" w:rsidRDefault="008A7A47" w:rsidP="00133BD0">
      <w:pPr>
        <w:numPr>
          <w:ilvl w:val="0"/>
          <w:numId w:val="5"/>
        </w:numPr>
        <w:tabs>
          <w:tab w:val="left" w:pos="1134"/>
        </w:tabs>
        <w:ind w:left="567" w:firstLine="0"/>
        <w:rPr>
          <w:rFonts w:cs="Arial"/>
        </w:rPr>
      </w:pPr>
      <w:r w:rsidRPr="00133BD0">
        <w:rPr>
          <w:rFonts w:cs="Arial"/>
        </w:rPr>
        <w:t>Variedades ejemplo;</w:t>
      </w:r>
    </w:p>
    <w:p w:rsidR="007D5558" w:rsidRPr="00133BD0" w:rsidRDefault="007D5558" w:rsidP="00133BD0">
      <w:pPr>
        <w:rPr>
          <w:rFonts w:cs="Arial"/>
        </w:rPr>
      </w:pPr>
    </w:p>
    <w:p w:rsidR="007D5558" w:rsidRPr="00133BD0" w:rsidRDefault="008A7A47" w:rsidP="00133BD0">
      <w:pPr>
        <w:rPr>
          <w:rFonts w:cs="Arial"/>
        </w:rPr>
      </w:pPr>
      <w:r w:rsidRPr="00133BD0">
        <w:rPr>
          <w:rFonts w:cs="Arial"/>
        </w:rPr>
        <w:t>Seminario web 4:</w:t>
      </w:r>
    </w:p>
    <w:p w:rsidR="007D5558" w:rsidRPr="00133BD0" w:rsidRDefault="007D5558" w:rsidP="00133BD0">
      <w:pPr>
        <w:rPr>
          <w:rFonts w:cs="Arial"/>
        </w:rPr>
      </w:pPr>
    </w:p>
    <w:p w:rsidR="007D5558" w:rsidRPr="00133BD0" w:rsidRDefault="008A7A47" w:rsidP="00133BD0">
      <w:pPr>
        <w:tabs>
          <w:tab w:val="left" w:pos="1134"/>
        </w:tabs>
        <w:ind w:left="567"/>
        <w:rPr>
          <w:rFonts w:cs="Arial"/>
          <w:snapToGrid w:val="0"/>
          <w:color w:val="000000"/>
        </w:rPr>
      </w:pPr>
      <w:r w:rsidRPr="00133BD0">
        <w:rPr>
          <w:rFonts w:cs="Arial"/>
          <w:snapToGrid w:val="0"/>
          <w:color w:val="000000"/>
        </w:rPr>
        <w:t>Proceso de elaboración de directrices de examen de la UPOV:</w:t>
      </w:r>
    </w:p>
    <w:p w:rsidR="007D5558" w:rsidRPr="00133BD0" w:rsidRDefault="008A7A47" w:rsidP="00133BD0">
      <w:pPr>
        <w:tabs>
          <w:tab w:val="left" w:pos="1134"/>
        </w:tabs>
        <w:ind w:left="567"/>
        <w:rPr>
          <w:rFonts w:cs="Arial"/>
        </w:rPr>
      </w:pPr>
      <w:r w:rsidRPr="00133BD0">
        <w:rPr>
          <w:rFonts w:cs="Arial"/>
        </w:rPr>
        <w:t>a)</w:t>
      </w:r>
      <w:r w:rsidRPr="00133BD0">
        <w:rPr>
          <w:rFonts w:cs="Arial"/>
        </w:rPr>
        <w:tab/>
        <w:t>Plantilla en Internet de los documentos TG; texto estándar adicional; y notas orientativas;</w:t>
      </w:r>
    </w:p>
    <w:p w:rsidR="007D5558" w:rsidRPr="00133BD0" w:rsidRDefault="008A7A47" w:rsidP="00133BD0">
      <w:pPr>
        <w:tabs>
          <w:tab w:val="left" w:pos="1134"/>
        </w:tabs>
        <w:ind w:left="567"/>
        <w:rPr>
          <w:rFonts w:cs="Arial"/>
        </w:rPr>
      </w:pPr>
      <w:r w:rsidRPr="00133BD0">
        <w:rPr>
          <w:rFonts w:cs="Arial"/>
        </w:rPr>
        <w:t>b)</w:t>
      </w:r>
      <w:r w:rsidRPr="00133BD0">
        <w:rPr>
          <w:rFonts w:cs="Arial"/>
        </w:rPr>
        <w:tab/>
        <w:t>Función del experto principal en la elaboración de las directrices de examen y modo de participar como experto interesado</w:t>
      </w:r>
    </w:p>
    <w:p w:rsidR="007D5558" w:rsidRPr="00133BD0" w:rsidRDefault="007D5558" w:rsidP="00133BD0">
      <w:pPr>
        <w:tabs>
          <w:tab w:val="left" w:pos="567"/>
        </w:tabs>
        <w:rPr>
          <w:rFonts w:cs="Arial"/>
        </w:rPr>
      </w:pPr>
    </w:p>
    <w:p w:rsidR="007D5558" w:rsidRPr="00133BD0" w:rsidRDefault="008A7A47" w:rsidP="00133BD0">
      <w:pPr>
        <w:tabs>
          <w:tab w:val="left" w:pos="567"/>
        </w:tabs>
        <w:rPr>
          <w:rFonts w:cs="Arial"/>
        </w:rPr>
      </w:pPr>
      <w:r w:rsidRPr="00133BD0">
        <w:rPr>
          <w:rFonts w:cs="Arial"/>
        </w:rPr>
        <w:t>Seminario web 5:</w:t>
      </w:r>
    </w:p>
    <w:p w:rsidR="007D5558" w:rsidRPr="00133BD0" w:rsidRDefault="007D5558" w:rsidP="00133BD0">
      <w:pPr>
        <w:tabs>
          <w:tab w:val="left" w:pos="567"/>
        </w:tabs>
        <w:rPr>
          <w:rFonts w:cs="Arial"/>
        </w:rPr>
      </w:pPr>
    </w:p>
    <w:p w:rsidR="007D5558" w:rsidRPr="00133BD0" w:rsidRDefault="008A7A47" w:rsidP="00133BD0">
      <w:pPr>
        <w:ind w:firstLine="567"/>
        <w:rPr>
          <w:rFonts w:cs="Arial"/>
        </w:rPr>
      </w:pPr>
      <w:r w:rsidRPr="00133BD0">
        <w:rPr>
          <w:rFonts w:cs="Arial"/>
        </w:rPr>
        <w:t>Recursos de la UPOV en Internet</w:t>
      </w:r>
    </w:p>
    <w:p w:rsidR="007D5558" w:rsidRPr="00133BD0" w:rsidRDefault="008A7A47" w:rsidP="00133BD0">
      <w:pPr>
        <w:numPr>
          <w:ilvl w:val="2"/>
          <w:numId w:val="3"/>
        </w:numPr>
        <w:ind w:left="1134" w:hanging="567"/>
        <w:rPr>
          <w:rFonts w:cs="Arial"/>
        </w:rPr>
      </w:pPr>
      <w:r w:rsidRPr="00133BD0">
        <w:rPr>
          <w:rFonts w:cs="Arial"/>
        </w:rPr>
        <w:t xml:space="preserve">Legislación de los miembros de la UPOV: UPOV </w:t>
      </w:r>
      <w:proofErr w:type="spellStart"/>
      <w:r w:rsidRPr="00133BD0">
        <w:rPr>
          <w:rFonts w:cs="Arial"/>
        </w:rPr>
        <w:t>Lex</w:t>
      </w:r>
      <w:proofErr w:type="spellEnd"/>
    </w:p>
    <w:p w:rsidR="007D5558" w:rsidRPr="00133BD0" w:rsidRDefault="008A7A47" w:rsidP="00133BD0">
      <w:pPr>
        <w:numPr>
          <w:ilvl w:val="2"/>
          <w:numId w:val="3"/>
        </w:numPr>
        <w:ind w:left="1134" w:hanging="567"/>
        <w:rPr>
          <w:rFonts w:cs="Arial"/>
          <w:spacing w:val="-2"/>
        </w:rPr>
      </w:pPr>
      <w:r w:rsidRPr="00133BD0">
        <w:rPr>
          <w:rFonts w:cs="Arial"/>
          <w:spacing w:val="-2"/>
        </w:rPr>
        <w:t>Solicitudes de derechos de obtentor: herramienta de solicitudes de derechos de obtentor UPOV PRISMA</w:t>
      </w:r>
    </w:p>
    <w:p w:rsidR="007D5558" w:rsidRPr="00133BD0" w:rsidRDefault="008A7A47" w:rsidP="00133BD0">
      <w:pPr>
        <w:numPr>
          <w:ilvl w:val="2"/>
          <w:numId w:val="3"/>
        </w:numPr>
        <w:ind w:left="1134" w:hanging="567"/>
        <w:rPr>
          <w:rFonts w:cs="Arial"/>
          <w:spacing w:val="-2"/>
        </w:rPr>
      </w:pPr>
      <w:r w:rsidRPr="00133BD0">
        <w:rPr>
          <w:rFonts w:cs="Arial"/>
          <w:spacing w:val="-2"/>
        </w:rPr>
        <w:t>Examen DHE: base de datos GENIE, código de la UPOV</w:t>
      </w:r>
    </w:p>
    <w:p w:rsidR="007D5558" w:rsidRPr="00133BD0" w:rsidRDefault="008A7A47" w:rsidP="00133BD0">
      <w:pPr>
        <w:numPr>
          <w:ilvl w:val="2"/>
          <w:numId w:val="3"/>
        </w:numPr>
        <w:ind w:left="1134" w:hanging="567"/>
        <w:rPr>
          <w:rFonts w:cs="Arial"/>
          <w:spacing w:val="-2"/>
        </w:rPr>
      </w:pPr>
      <w:r w:rsidRPr="00133BD0">
        <w:rPr>
          <w:rFonts w:cs="Arial"/>
          <w:spacing w:val="-2"/>
        </w:rPr>
        <w:t>Denominaciones de variedades y novedad: base de datos PLUTO</w:t>
      </w:r>
    </w:p>
    <w:p w:rsidR="007D5558" w:rsidRPr="00133BD0" w:rsidRDefault="007D5558" w:rsidP="00133BD0">
      <w:pPr>
        <w:rPr>
          <w:rFonts w:cs="Arial"/>
          <w:spacing w:val="-2"/>
        </w:rPr>
      </w:pPr>
    </w:p>
    <w:p w:rsidR="007D5558" w:rsidRPr="00133BD0" w:rsidRDefault="008A7A47" w:rsidP="00133BD0">
      <w:pPr>
        <w:rPr>
          <w:rFonts w:cs="Arial"/>
          <w:spacing w:val="-2"/>
        </w:rPr>
      </w:pPr>
      <w:r w:rsidRPr="00133BD0">
        <w:rPr>
          <w:rFonts w:cs="Arial"/>
          <w:spacing w:val="-2"/>
        </w:rPr>
        <w:t>Seminario web 6:</w:t>
      </w:r>
    </w:p>
    <w:p w:rsidR="007D5558" w:rsidRPr="00133BD0" w:rsidRDefault="007D5558" w:rsidP="00133BD0">
      <w:pPr>
        <w:rPr>
          <w:rFonts w:cs="Arial"/>
          <w:spacing w:val="-2"/>
        </w:rPr>
      </w:pPr>
    </w:p>
    <w:p w:rsidR="007D5558" w:rsidRPr="00133BD0" w:rsidRDefault="008A7A47" w:rsidP="00133BD0">
      <w:pPr>
        <w:pStyle w:val="ListParagraph"/>
        <w:numPr>
          <w:ilvl w:val="0"/>
          <w:numId w:val="7"/>
        </w:numPr>
        <w:ind w:left="1134" w:hanging="567"/>
        <w:contextualSpacing w:val="0"/>
        <w:rPr>
          <w:lang w:val="es-ES_tradnl"/>
        </w:rPr>
      </w:pPr>
      <w:r w:rsidRPr="00133BD0">
        <w:rPr>
          <w:lang w:val="es-ES_tradnl"/>
        </w:rPr>
        <w:t>Situación en la UPOV en relación con el posible uso de técnicas moleculares en el examen DHE</w:t>
      </w:r>
    </w:p>
    <w:p w:rsidR="007D5558" w:rsidRPr="00133BD0" w:rsidRDefault="008A7A47" w:rsidP="00133BD0">
      <w:pPr>
        <w:pStyle w:val="ListParagraph"/>
        <w:numPr>
          <w:ilvl w:val="0"/>
          <w:numId w:val="7"/>
        </w:numPr>
        <w:ind w:left="1134" w:hanging="567"/>
        <w:contextualSpacing w:val="0"/>
        <w:rPr>
          <w:lang w:val="es-ES_tradnl"/>
        </w:rPr>
      </w:pPr>
      <w:r w:rsidRPr="00133BD0">
        <w:rPr>
          <w:lang w:val="es-ES_tradnl"/>
        </w:rPr>
        <w:t>El concepto de variedad esencialmente derivada</w:t>
      </w:r>
    </w:p>
    <w:p w:rsidR="007D5558" w:rsidRPr="00133BD0" w:rsidRDefault="008A7A47" w:rsidP="00133BD0">
      <w:pPr>
        <w:pStyle w:val="ListParagraph"/>
        <w:numPr>
          <w:ilvl w:val="0"/>
          <w:numId w:val="7"/>
        </w:numPr>
        <w:ind w:left="1134" w:hanging="567"/>
        <w:contextualSpacing w:val="0"/>
        <w:rPr>
          <w:lang w:val="es-ES_tradnl"/>
        </w:rPr>
      </w:pPr>
      <w:r w:rsidRPr="00133BD0">
        <w:rPr>
          <w:lang w:val="es-ES_tradnl"/>
        </w:rPr>
        <w:t>Función de la UPOV en la identificación de variedades</w:t>
      </w:r>
    </w:p>
    <w:p w:rsidR="007D5558" w:rsidRPr="00133BD0" w:rsidRDefault="007D5558" w:rsidP="00133BD0">
      <w:pPr>
        <w:rPr>
          <w:rFonts w:cs="Arial"/>
        </w:rPr>
      </w:pPr>
    </w:p>
    <w:p w:rsidR="007D5558" w:rsidRPr="00133BD0" w:rsidRDefault="007D5558" w:rsidP="00133BD0">
      <w:pPr>
        <w:rPr>
          <w:snapToGrid w:val="0"/>
        </w:rPr>
      </w:pPr>
      <w:r w:rsidRPr="00133BD0">
        <w:rPr>
          <w:rFonts w:cs="Arial"/>
        </w:rPr>
        <w:fldChar w:fldCharType="begin"/>
      </w:r>
      <w:r w:rsidRPr="00133BD0">
        <w:rPr>
          <w:rFonts w:cs="Arial"/>
        </w:rPr>
        <w:instrText xml:space="preserve"> AUTONUM  </w:instrText>
      </w:r>
      <w:r w:rsidRPr="00133BD0">
        <w:rPr>
          <w:rFonts w:cs="Arial"/>
        </w:rPr>
        <w:fldChar w:fldCharType="end"/>
      </w:r>
      <w:r w:rsidRPr="00133BD0">
        <w:rPr>
          <w:rFonts w:cs="Arial"/>
        </w:rPr>
        <w:tab/>
      </w:r>
      <w:r w:rsidR="002A31A0" w:rsidRPr="00133BD0">
        <w:rPr>
          <w:rFonts w:cs="Arial"/>
        </w:rPr>
        <w:t>Las presentaciones de los seminarios web se grabarían y se publicarían en línea, pero no los debates.</w:t>
      </w:r>
    </w:p>
    <w:p w:rsidR="007D5558" w:rsidRPr="00133BD0" w:rsidRDefault="007D5558" w:rsidP="00133BD0">
      <w:pPr>
        <w:rPr>
          <w:rFonts w:cs="Arial"/>
        </w:rPr>
      </w:pPr>
    </w:p>
    <w:p w:rsidR="007D5558" w:rsidRPr="00133BD0" w:rsidRDefault="007D5558" w:rsidP="00133BD0">
      <w:pPr>
        <w:rPr>
          <w:rFonts w:cs="Arial"/>
        </w:rPr>
      </w:pPr>
      <w:r w:rsidRPr="00133BD0">
        <w:rPr>
          <w:rFonts w:cs="Arial"/>
        </w:rPr>
        <w:fldChar w:fldCharType="begin"/>
      </w:r>
      <w:r w:rsidRPr="00133BD0">
        <w:rPr>
          <w:rFonts w:cs="Arial"/>
        </w:rPr>
        <w:instrText xml:space="preserve"> AUTONUM  </w:instrText>
      </w:r>
      <w:r w:rsidRPr="00133BD0">
        <w:rPr>
          <w:rFonts w:cs="Arial"/>
        </w:rPr>
        <w:fldChar w:fldCharType="end"/>
      </w:r>
      <w:r w:rsidRPr="00133BD0">
        <w:rPr>
          <w:rFonts w:cs="Arial"/>
        </w:rPr>
        <w:tab/>
      </w:r>
      <w:r w:rsidR="009D5671" w:rsidRPr="00133BD0">
        <w:rPr>
          <w:rFonts w:cs="Arial"/>
        </w:rPr>
        <w:t xml:space="preserve">Además, previa petición de los anfitriones de los TWP, incluido el BMT, se podría organizar talleres con participación presencial junto con las </w:t>
      </w:r>
      <w:r w:rsidR="00C64CFC">
        <w:rPr>
          <w:snapToGrid w:val="0"/>
        </w:rPr>
        <w:t>reuniones</w:t>
      </w:r>
      <w:r w:rsidR="00C64CFC" w:rsidRPr="00133BD0">
        <w:rPr>
          <w:rFonts w:cs="Arial"/>
        </w:rPr>
        <w:t xml:space="preserve"> </w:t>
      </w:r>
      <w:r w:rsidR="009D5671" w:rsidRPr="00133BD0">
        <w:rPr>
          <w:rFonts w:cs="Arial"/>
        </w:rPr>
        <w:t>de los TWP.</w:t>
      </w:r>
      <w:r w:rsidRPr="00133BD0">
        <w:rPr>
          <w:rFonts w:cs="Arial"/>
        </w:rPr>
        <w:t xml:space="preserve"> </w:t>
      </w:r>
      <w:r w:rsidR="009D5671" w:rsidRPr="00133BD0">
        <w:rPr>
          <w:rFonts w:cs="Arial"/>
        </w:rPr>
        <w:t>En ese caso, el contenido se adaptaría al contexto particular.</w:t>
      </w:r>
    </w:p>
    <w:p w:rsidR="007D5558" w:rsidRPr="00133BD0" w:rsidRDefault="007D5558" w:rsidP="00133BD0">
      <w:pPr>
        <w:rPr>
          <w:rFonts w:cs="Arial"/>
        </w:rPr>
      </w:pPr>
    </w:p>
    <w:p w:rsidR="007D5558" w:rsidRPr="00133BD0" w:rsidRDefault="007D5558" w:rsidP="00133BD0">
      <w:pPr>
        <w:pStyle w:val="DecisionParagraphs"/>
        <w:spacing w:after="600"/>
        <w:rPr>
          <w:rFonts w:cs="Arial"/>
        </w:rPr>
      </w:pPr>
      <w:r w:rsidRPr="00133BD0">
        <w:rPr>
          <w:rFonts w:cs="Arial"/>
          <w:i w:val="0"/>
        </w:rPr>
        <w:fldChar w:fldCharType="begin"/>
      </w:r>
      <w:r w:rsidRPr="00133BD0">
        <w:rPr>
          <w:rFonts w:cs="Arial"/>
        </w:rPr>
        <w:instrText xml:space="preserve"> AUTONUM  </w:instrText>
      </w:r>
      <w:r w:rsidRPr="00133BD0">
        <w:rPr>
          <w:rFonts w:cs="Arial"/>
          <w:i w:val="0"/>
        </w:rPr>
        <w:fldChar w:fldCharType="end"/>
      </w:r>
      <w:r w:rsidRPr="00133BD0">
        <w:rPr>
          <w:rFonts w:cs="Arial"/>
        </w:rPr>
        <w:tab/>
      </w:r>
      <w:r w:rsidR="009D5671" w:rsidRPr="00133BD0">
        <w:rPr>
          <w:rFonts w:cs="Arial"/>
        </w:rPr>
        <w:t xml:space="preserve">Se invita al TC a considerar la posibilidad de organizar talleres preparatorios en forma de una serie de seminarios web en fechas acordes al calendario de las </w:t>
      </w:r>
      <w:r w:rsidR="00C64CFC">
        <w:rPr>
          <w:snapToGrid w:val="0"/>
        </w:rPr>
        <w:t>reuniones</w:t>
      </w:r>
      <w:r w:rsidR="00C64CFC" w:rsidRPr="00133BD0">
        <w:rPr>
          <w:rFonts w:cs="Arial"/>
        </w:rPr>
        <w:t xml:space="preserve"> </w:t>
      </w:r>
      <w:r w:rsidR="009D5671" w:rsidRPr="00133BD0">
        <w:rPr>
          <w:rFonts w:cs="Arial"/>
        </w:rPr>
        <w:t xml:space="preserve">de los TWP, conjuntamente con talleres presenciales, cuando así se solicite, conforme a lo expuesto en los </w:t>
      </w:r>
      <w:r w:rsidR="009D5671" w:rsidRPr="00F80248">
        <w:rPr>
          <w:rFonts w:cs="Arial"/>
        </w:rPr>
        <w:t>párrafos 14 a 21</w:t>
      </w:r>
      <w:bookmarkStart w:id="7" w:name="_GoBack"/>
      <w:bookmarkEnd w:id="7"/>
      <w:r w:rsidR="009D5671" w:rsidRPr="00133BD0">
        <w:rPr>
          <w:rFonts w:cs="Arial"/>
        </w:rPr>
        <w:t xml:space="preserve"> del presente documento.</w:t>
      </w:r>
    </w:p>
    <w:p w:rsidR="00050E16" w:rsidRPr="00133BD0" w:rsidRDefault="00050E16" w:rsidP="00133BD0">
      <w:pPr>
        <w:jc w:val="right"/>
      </w:pPr>
      <w:r w:rsidRPr="00133BD0">
        <w:t>[</w:t>
      </w:r>
      <w:r w:rsidR="000638A9" w:rsidRPr="00133BD0">
        <w:t>Fin del documento</w:t>
      </w:r>
      <w:r w:rsidRPr="00133BD0">
        <w:t>]</w:t>
      </w:r>
    </w:p>
    <w:sectPr w:rsidR="00050E16" w:rsidRPr="00133BD0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875" w:rsidRDefault="00A05875" w:rsidP="006655D3">
      <w:r>
        <w:separator/>
      </w:r>
    </w:p>
    <w:p w:rsidR="00A05875" w:rsidRDefault="00A05875" w:rsidP="006655D3"/>
    <w:p w:rsidR="00A05875" w:rsidRDefault="00A05875" w:rsidP="006655D3"/>
  </w:endnote>
  <w:endnote w:type="continuationSeparator" w:id="0">
    <w:p w:rsidR="00A05875" w:rsidRDefault="00A05875" w:rsidP="006655D3">
      <w:r>
        <w:separator/>
      </w:r>
    </w:p>
    <w:p w:rsidR="00A05875" w:rsidRPr="00294751" w:rsidRDefault="00A0587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05875" w:rsidRPr="00294751" w:rsidRDefault="00A05875" w:rsidP="006655D3">
      <w:pPr>
        <w:rPr>
          <w:lang w:val="fr-FR"/>
        </w:rPr>
      </w:pPr>
    </w:p>
    <w:p w:rsidR="00A05875" w:rsidRPr="00294751" w:rsidRDefault="00A05875" w:rsidP="006655D3">
      <w:pPr>
        <w:rPr>
          <w:lang w:val="fr-FR"/>
        </w:rPr>
      </w:pPr>
    </w:p>
  </w:endnote>
  <w:endnote w:type="continuationNotice" w:id="1">
    <w:p w:rsidR="00A05875" w:rsidRPr="00294751" w:rsidRDefault="00A0587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05875" w:rsidRPr="00294751" w:rsidRDefault="00A05875" w:rsidP="006655D3">
      <w:pPr>
        <w:rPr>
          <w:lang w:val="fr-FR"/>
        </w:rPr>
      </w:pPr>
    </w:p>
    <w:p w:rsidR="00A05875" w:rsidRPr="00294751" w:rsidRDefault="00A0587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875" w:rsidRDefault="00A05875" w:rsidP="006655D3">
      <w:r>
        <w:separator/>
      </w:r>
    </w:p>
  </w:footnote>
  <w:footnote w:type="continuationSeparator" w:id="0">
    <w:p w:rsidR="00A05875" w:rsidRDefault="00A05875" w:rsidP="006655D3">
      <w:r>
        <w:separator/>
      </w:r>
    </w:p>
  </w:footnote>
  <w:footnote w:type="continuationNotice" w:id="1">
    <w:p w:rsidR="00A05875" w:rsidRPr="00AB530F" w:rsidRDefault="00A05875" w:rsidP="00AB530F">
      <w:pPr>
        <w:pStyle w:val="Footer"/>
      </w:pPr>
    </w:p>
  </w:footnote>
  <w:footnote w:id="2">
    <w:p w:rsidR="0094748C" w:rsidRPr="00CE441A" w:rsidRDefault="0094748C" w:rsidP="0094748C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CE441A">
        <w:rPr>
          <w:lang w:val="es-ES"/>
        </w:rPr>
        <w:t xml:space="preserve"> </w:t>
      </w:r>
      <w:r w:rsidRPr="0094748C">
        <w:t>Celebrada en Ginebr</w:t>
      </w:r>
      <w:r w:rsidR="00CE441A">
        <w:t>a del 15 al 17 de abril de 2002</w:t>
      </w:r>
    </w:p>
  </w:footnote>
  <w:footnote w:id="3">
    <w:p w:rsidR="003F195B" w:rsidRPr="00133BD0" w:rsidRDefault="003F195B" w:rsidP="003F195B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133BD0">
        <w:rPr>
          <w:lang w:val="es-ES"/>
        </w:rPr>
        <w:t xml:space="preserve"> </w:t>
      </w:r>
      <w:r w:rsidRPr="003F195B">
        <w:t>Celebrada en Ginebra los días 29 y 30 de octubre de 2018</w:t>
      </w:r>
    </w:p>
  </w:footnote>
  <w:footnote w:id="4">
    <w:p w:rsidR="003F195B" w:rsidRPr="00133BD0" w:rsidRDefault="003F195B" w:rsidP="003F195B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133BD0">
        <w:rPr>
          <w:lang w:val="es-ES"/>
        </w:rPr>
        <w:t xml:space="preserve"> </w:t>
      </w:r>
      <w:r w:rsidRPr="003F195B">
        <w:t>Celebrada en Ginebra los días 28 y 29 de octubre de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133BD0" w:rsidRDefault="00467B42" w:rsidP="00133BD0">
    <w:pPr>
      <w:pStyle w:val="Header"/>
      <w:rPr>
        <w:rStyle w:val="PageNumber"/>
      </w:rPr>
    </w:pPr>
    <w:r w:rsidRPr="00133BD0">
      <w:rPr>
        <w:rStyle w:val="PageNumber"/>
      </w:rPr>
      <w:t>TC/56</w:t>
    </w:r>
    <w:r w:rsidR="00667404" w:rsidRPr="00133BD0">
      <w:rPr>
        <w:rStyle w:val="PageNumber"/>
      </w:rPr>
      <w:t>/</w:t>
    </w:r>
    <w:r w:rsidR="00133BD0" w:rsidRPr="00133BD0">
      <w:rPr>
        <w:rStyle w:val="PageNumber"/>
      </w:rPr>
      <w:t>9</w:t>
    </w:r>
  </w:p>
  <w:p w:rsidR="00182B99" w:rsidRPr="00133BD0" w:rsidRDefault="008B3D8D" w:rsidP="00133BD0">
    <w:pPr>
      <w:pStyle w:val="Header"/>
    </w:pPr>
    <w:r w:rsidRPr="00133BD0">
      <w:t>página</w:t>
    </w:r>
    <w:r w:rsidR="00182B99" w:rsidRPr="00133BD0">
      <w:t xml:space="preserve"> </w:t>
    </w:r>
    <w:r w:rsidR="00182B99" w:rsidRPr="00133BD0">
      <w:rPr>
        <w:rStyle w:val="PageNumber"/>
      </w:rPr>
      <w:fldChar w:fldCharType="begin"/>
    </w:r>
    <w:r w:rsidR="00182B99" w:rsidRPr="00133BD0">
      <w:rPr>
        <w:rStyle w:val="PageNumber"/>
      </w:rPr>
      <w:instrText xml:space="preserve"> PAGE </w:instrText>
    </w:r>
    <w:r w:rsidR="00182B99" w:rsidRPr="00133BD0">
      <w:rPr>
        <w:rStyle w:val="PageNumber"/>
      </w:rPr>
      <w:fldChar w:fldCharType="separate"/>
    </w:r>
    <w:r w:rsidR="00F80248">
      <w:rPr>
        <w:rStyle w:val="PageNumber"/>
        <w:noProof/>
      </w:rPr>
      <w:t>2</w:t>
    </w:r>
    <w:r w:rsidR="00182B99" w:rsidRPr="00133BD0">
      <w:rPr>
        <w:rStyle w:val="PageNumber"/>
      </w:rPr>
      <w:fldChar w:fldCharType="end"/>
    </w:r>
  </w:p>
  <w:p w:rsidR="00182B99" w:rsidRPr="00133BD0" w:rsidRDefault="00182B99" w:rsidP="00133BD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4EA"/>
    <w:multiLevelType w:val="hybridMultilevel"/>
    <w:tmpl w:val="1DC0AC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23CC79E">
      <w:start w:val="1"/>
      <w:numFmt w:val="lowerLetter"/>
      <w:lvlText w:val="%3)"/>
      <w:lvlJc w:val="left"/>
      <w:pPr>
        <w:tabs>
          <w:tab w:val="num" w:pos="2742"/>
        </w:tabs>
        <w:ind w:left="2742" w:hanging="5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C0151A4"/>
    <w:multiLevelType w:val="hybridMultilevel"/>
    <w:tmpl w:val="7308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0482C"/>
    <w:multiLevelType w:val="hybridMultilevel"/>
    <w:tmpl w:val="FD94E268"/>
    <w:lvl w:ilvl="0" w:tplc="823CC79E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203F7B"/>
    <w:multiLevelType w:val="hybridMultilevel"/>
    <w:tmpl w:val="BAC463B8"/>
    <w:lvl w:ilvl="0" w:tplc="823CC79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99D0B31"/>
    <w:multiLevelType w:val="hybridMultilevel"/>
    <w:tmpl w:val="A7D4FA5E"/>
    <w:lvl w:ilvl="0" w:tplc="823CC79E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7EAE3516"/>
    <w:multiLevelType w:val="hybridMultilevel"/>
    <w:tmpl w:val="AB043C16"/>
    <w:lvl w:ilvl="0" w:tplc="A49C906C">
      <w:start w:val="1"/>
      <w:numFmt w:val="bullet"/>
      <w:lvlText w:val="-"/>
      <w:lvlJc w:val="left"/>
      <w:pPr>
        <w:tabs>
          <w:tab w:val="num" w:pos="2064"/>
        </w:tabs>
        <w:ind w:left="2064" w:hanging="360"/>
      </w:pPr>
      <w:rPr>
        <w:rFonts w:ascii="Courier New" w:hAnsi="Courier New" w:cs="Times New Roman" w:hint="default"/>
      </w:rPr>
    </w:lvl>
    <w:lvl w:ilvl="1" w:tplc="823CC79E">
      <w:start w:val="1"/>
      <w:numFmt w:val="lowerLetter"/>
      <w:lvlText w:val="%2)"/>
      <w:lvlJc w:val="left"/>
      <w:pPr>
        <w:ind w:left="2007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UPOV\UPOV Main|TextBase TMs\WorkspaceSTS\UPOV\U Instruments|TextBase TMs\WorkspaceSTS\UPOV\TGs Template|TextBase TMs\WorkspaceSTS\UPOV\TGs|TextBase TMs\WorkspaceSTS\UPOV\TGPs|Team Server TMs\Spanish|TextBase TMs\WorkspaceSTS\Administration &amp; Finance\FAB Main|TextBase TMs\WorkspaceSTS\Administration &amp; Finance\FAB Instruments|TextBase TMs\WorkspaceSTS\Administration &amp; Finance\UN Staff Rules|TextBase TMs\WorkspaceSTS\Patents &amp; Innovation\Patents Main|TextBase TMs\WorkspaceSTS\Patents &amp; Innovation\P Instruments|TextBase TMs\WorkspaceSTS\Brands, Designs &amp; DN\Trademarks|TextBase TMs\WorkspaceSTS\Brands, Designs &amp; DN\Hague|TextBase TMs\WorkspaceSTS\Brands, Designs &amp; DN\T Instruments|TextBase TMs\WorkspaceSTS\Brands, Designs &amp; DN\Lisbon|TextBase TMs\WorkspaceSTS\Brands, Designs &amp; DN\L Instruments|TextBase TMs\WorkspaceSTS\Brands, Designs &amp; DN\H Instruments|TextBase TMs\WorkspaceSTS\Outreach\POW Main|TextBase TMs\WorkspaceSTS\GRTKF\GRTKF|TextBase TMs\WorkspaceSTS\Development\Dev_Agenda"/>
    <w:docVar w:name="TextBaseURL" w:val="empty"/>
    <w:docVar w:name="UILng" w:val="en"/>
  </w:docVars>
  <w:rsids>
    <w:rsidRoot w:val="002877F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85D5E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3BD0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877FE"/>
    <w:rsid w:val="002940E8"/>
    <w:rsid w:val="00294751"/>
    <w:rsid w:val="002A31A0"/>
    <w:rsid w:val="002A6E50"/>
    <w:rsid w:val="002B4298"/>
    <w:rsid w:val="002C256A"/>
    <w:rsid w:val="002E5944"/>
    <w:rsid w:val="00305A7F"/>
    <w:rsid w:val="003152FE"/>
    <w:rsid w:val="00327436"/>
    <w:rsid w:val="003346C9"/>
    <w:rsid w:val="00344BD6"/>
    <w:rsid w:val="0035528D"/>
    <w:rsid w:val="00361821"/>
    <w:rsid w:val="00361E9E"/>
    <w:rsid w:val="003A3358"/>
    <w:rsid w:val="003B031A"/>
    <w:rsid w:val="003C7FBE"/>
    <w:rsid w:val="003D227C"/>
    <w:rsid w:val="003D2B4D"/>
    <w:rsid w:val="003F195B"/>
    <w:rsid w:val="0040557F"/>
    <w:rsid w:val="0044199D"/>
    <w:rsid w:val="00444A88"/>
    <w:rsid w:val="00467B42"/>
    <w:rsid w:val="00474DA4"/>
    <w:rsid w:val="004762B3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4D5F"/>
    <w:rsid w:val="00545E42"/>
    <w:rsid w:val="0055268D"/>
    <w:rsid w:val="00576BE4"/>
    <w:rsid w:val="005A1EC1"/>
    <w:rsid w:val="005A2AB2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56B4"/>
    <w:rsid w:val="006D1BA7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022B"/>
    <w:rsid w:val="007A2854"/>
    <w:rsid w:val="007C1D92"/>
    <w:rsid w:val="007C4C55"/>
    <w:rsid w:val="007C4CB9"/>
    <w:rsid w:val="007D0B9D"/>
    <w:rsid w:val="007D19B0"/>
    <w:rsid w:val="007D2014"/>
    <w:rsid w:val="007D5558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A7A47"/>
    <w:rsid w:val="008B3D8D"/>
    <w:rsid w:val="008C0970"/>
    <w:rsid w:val="008D0BC5"/>
    <w:rsid w:val="008D2CF7"/>
    <w:rsid w:val="00900C26"/>
    <w:rsid w:val="0090197F"/>
    <w:rsid w:val="00903C08"/>
    <w:rsid w:val="00906DDC"/>
    <w:rsid w:val="00921519"/>
    <w:rsid w:val="009246B6"/>
    <w:rsid w:val="00934E09"/>
    <w:rsid w:val="00936253"/>
    <w:rsid w:val="00940D46"/>
    <w:rsid w:val="0094748C"/>
    <w:rsid w:val="00952DD4"/>
    <w:rsid w:val="0096175D"/>
    <w:rsid w:val="00965AE7"/>
    <w:rsid w:val="00970FED"/>
    <w:rsid w:val="00992D82"/>
    <w:rsid w:val="00997029"/>
    <w:rsid w:val="009A7339"/>
    <w:rsid w:val="009B440E"/>
    <w:rsid w:val="009D5671"/>
    <w:rsid w:val="009D690D"/>
    <w:rsid w:val="009E65B6"/>
    <w:rsid w:val="00A05875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0324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4CFC"/>
    <w:rsid w:val="00C66290"/>
    <w:rsid w:val="00C72B7A"/>
    <w:rsid w:val="00C973F2"/>
    <w:rsid w:val="00CA304C"/>
    <w:rsid w:val="00CA774A"/>
    <w:rsid w:val="00CC11B0"/>
    <w:rsid w:val="00CC2841"/>
    <w:rsid w:val="00CE441A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8556E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80248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33E48D1-8747-4891-AE5E-3E92BC60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D1BA7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F80248"/>
    <w:pPr>
      <w:tabs>
        <w:tab w:val="right" w:leader="dot" w:pos="9639"/>
      </w:tabs>
      <w:ind w:left="568" w:right="851" w:hanging="284"/>
      <w:contextualSpacing/>
      <w:jc w:val="left"/>
    </w:pPr>
    <w:rPr>
      <w:smallCaps/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F80248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7D555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D5558"/>
    <w:rPr>
      <w:rFonts w:ascii="Arial" w:hAnsi="Arial"/>
      <w:sz w:val="16"/>
      <w:szCs w:val="16"/>
      <w:lang w:val="es-ES_tradnl"/>
    </w:rPr>
  </w:style>
  <w:style w:type="paragraph" w:styleId="ListParagraph">
    <w:name w:val="List Paragraph"/>
    <w:basedOn w:val="Normal"/>
    <w:uiPriority w:val="34"/>
    <w:qFormat/>
    <w:rsid w:val="007D5558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133B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3BD0"/>
  </w:style>
  <w:style w:type="character" w:customStyle="1" w:styleId="CommentTextChar">
    <w:name w:val="Comment Text Char"/>
    <w:basedOn w:val="DefaultParagraphFont"/>
    <w:link w:val="CommentText"/>
    <w:semiHidden/>
    <w:rsid w:val="00133BD0"/>
    <w:rPr>
      <w:rFonts w:ascii="Arial" w:hAnsi="Arial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3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3BD0"/>
    <w:rPr>
      <w:rFonts w:ascii="Arial" w:hAnsi="Arial"/>
      <w:b/>
      <w:bCs/>
      <w:lang w:val="es-ES_tradnl"/>
    </w:rPr>
  </w:style>
  <w:style w:type="paragraph" w:styleId="Revision">
    <w:name w:val="Revision"/>
    <w:hidden/>
    <w:uiPriority w:val="99"/>
    <w:semiHidden/>
    <w:rsid w:val="00133BD0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</vt:lpstr>
    </vt:vector>
  </TitlesOfParts>
  <Company>UPOV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</dc:title>
  <dc:creator>MATEOS CLERIGUÉ Roberto</dc:creator>
  <cp:lastModifiedBy>MAY Jessica</cp:lastModifiedBy>
  <cp:revision>3</cp:revision>
  <cp:lastPrinted>2020-10-19T15:37:00Z</cp:lastPrinted>
  <dcterms:created xsi:type="dcterms:W3CDTF">2020-10-21T08:39:00Z</dcterms:created>
  <dcterms:modified xsi:type="dcterms:W3CDTF">2020-10-21T08:42:00Z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6b0c7c42-5108-46e0-a483-70127f0804c7</vt:lpwstr>
  </property>
</Properties>
</file>