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S</w:t>
            </w:r>
          </w:p>
        </w:tc>
      </w:tr>
      <w:tr w:rsidR="00DC3802" w:rsidRPr="00DA4973" w:rsidTr="00645CA8">
        <w:trPr>
          <w:trHeight w:val="219"/>
        </w:trPr>
        <w:tc>
          <w:tcPr>
            <w:tcW w:w="6522" w:type="dxa"/>
          </w:tcPr>
          <w:p w:rsidR="00DC3802" w:rsidRPr="00AC2883" w:rsidRDefault="00DC3802" w:rsidP="00AC2883">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Comité Técnico</w:t>
            </w:r>
          </w:p>
          <w:p w:rsidR="00EB4E9C" w:rsidRPr="00DC3802" w:rsidRDefault="00EB4E9C" w:rsidP="006D7435">
            <w:pPr>
              <w:pStyle w:val="Sessiontcplacedate"/>
              <w:rPr>
                <w:sz w:val="22"/>
              </w:rPr>
            </w:pPr>
            <w:r>
              <w:t>Quincuagésima quinta sesión</w:t>
            </w:r>
            <w:r>
              <w:br/>
              <w:t>Ginebra, 28 y 29 de octubre de 2019</w:t>
            </w:r>
          </w:p>
        </w:tc>
        <w:tc>
          <w:tcPr>
            <w:tcW w:w="3127" w:type="dxa"/>
          </w:tcPr>
          <w:p w:rsidR="00EB4E9C" w:rsidRPr="003C7FBE" w:rsidRDefault="006D7435" w:rsidP="003C7FBE">
            <w:pPr>
              <w:pStyle w:val="Doccode"/>
            </w:pPr>
            <w:r>
              <w:t>TC/55/INF/7</w:t>
            </w:r>
          </w:p>
          <w:p w:rsidR="00EB4E9C" w:rsidRPr="003C7FBE" w:rsidRDefault="00EB4E9C" w:rsidP="003C7FBE">
            <w:pPr>
              <w:pStyle w:val="Docoriginal"/>
            </w:pPr>
            <w:r>
              <w:t>Original:</w:t>
            </w:r>
            <w:r w:rsidR="002C1E84">
              <w:rPr>
                <w:b w:val="0"/>
                <w:spacing w:val="0"/>
              </w:rPr>
              <w:t xml:space="preserve"> </w:t>
            </w:r>
            <w:r>
              <w:rPr>
                <w:b w:val="0"/>
                <w:spacing w:val="0"/>
              </w:rPr>
              <w:t>Inglés</w:t>
            </w:r>
          </w:p>
          <w:p w:rsidR="00EB4E9C" w:rsidRPr="007C1D92" w:rsidRDefault="00EB4E9C" w:rsidP="00164B5E">
            <w:pPr>
              <w:pStyle w:val="Docoriginal"/>
            </w:pPr>
            <w:r>
              <w:t>Fecha</w:t>
            </w:r>
            <w:r w:rsidRPr="006B7BFC">
              <w:t>:</w:t>
            </w:r>
            <w:r w:rsidR="002C1E84" w:rsidRPr="006B7BFC">
              <w:rPr>
                <w:b w:val="0"/>
                <w:spacing w:val="0"/>
              </w:rPr>
              <w:t xml:space="preserve"> </w:t>
            </w:r>
            <w:r w:rsidRPr="006B7BFC">
              <w:rPr>
                <w:b w:val="0"/>
                <w:spacing w:val="0"/>
              </w:rPr>
              <w:t>12 de agosto de 2019</w:t>
            </w:r>
          </w:p>
        </w:tc>
      </w:tr>
    </w:tbl>
    <w:p w:rsidR="000D7780" w:rsidRPr="006A644A" w:rsidRDefault="003E646B" w:rsidP="006A644A">
      <w:pPr>
        <w:pStyle w:val="Titleofdoc0"/>
      </w:pPr>
      <w:bookmarkStart w:id="0" w:name="TitleOfDoc"/>
      <w:bookmarkEnd w:id="0"/>
      <w:r>
        <w:t>Denominaciones de variedades</w:t>
      </w:r>
      <w:r w:rsidR="00271AEF">
        <w:t xml:space="preserve"> – cuestiones </w:t>
      </w:r>
      <w:bookmarkStart w:id="1" w:name="_GoBack"/>
      <w:bookmarkEnd w:id="1"/>
      <w:r>
        <w:t>para información</w:t>
      </w:r>
    </w:p>
    <w:p w:rsidR="006A644A" w:rsidRPr="006A644A" w:rsidRDefault="00AE0EF1" w:rsidP="006A644A">
      <w:pPr>
        <w:pStyle w:val="preparedby1"/>
        <w:jc w:val="left"/>
      </w:pPr>
      <w:bookmarkStart w:id="2" w:name="Prepared"/>
      <w:bookmarkEnd w:id="2"/>
      <w:r>
        <w:t>Documento preparado por la Oficina de la Unión</w:t>
      </w:r>
    </w:p>
    <w:p w:rsidR="00050E16" w:rsidRPr="006A644A" w:rsidRDefault="00050E16" w:rsidP="006A644A">
      <w:pPr>
        <w:pStyle w:val="Disclaimer"/>
      </w:pPr>
      <w:r>
        <w:t>Descargo de responsabilidad:</w:t>
      </w:r>
      <w:r w:rsidR="002C1E84">
        <w:t xml:space="preserve"> </w:t>
      </w:r>
      <w:r>
        <w:t>el presente documento no constituye un documento de política u orientación de la UPOV</w:t>
      </w:r>
    </w:p>
    <w:p w:rsidR="0006356C" w:rsidRPr="0006356C" w:rsidRDefault="0006356C" w:rsidP="00C621D8">
      <w:pPr>
        <w:pStyle w:val="Heading1"/>
        <w:rPr>
          <w:rFonts w:eastAsia="MS Mincho"/>
        </w:rPr>
      </w:pPr>
      <w:bookmarkStart w:id="3" w:name="_Toc438649862"/>
      <w:bookmarkStart w:id="4" w:name="_Ref438649598"/>
      <w:bookmarkStart w:id="5" w:name="_Toc477358702"/>
      <w:bookmarkStart w:id="6" w:name="_Toc16505385"/>
      <w:bookmarkStart w:id="7" w:name="_Toc17357397"/>
      <w:r>
        <w:t>RESUMEN</w:t>
      </w:r>
      <w:bookmarkEnd w:id="3"/>
      <w:bookmarkEnd w:id="4"/>
      <w:bookmarkEnd w:id="5"/>
      <w:bookmarkEnd w:id="6"/>
      <w:bookmarkEnd w:id="7"/>
    </w:p>
    <w:p w:rsidR="0006356C" w:rsidRPr="0006356C" w:rsidRDefault="0006356C" w:rsidP="0006356C">
      <w:pPr>
        <w:rPr>
          <w:rFonts w:eastAsia="MS Mincho"/>
          <w:sz w:val="18"/>
        </w:rPr>
      </w:pPr>
    </w:p>
    <w:p w:rsidR="0006356C" w:rsidRPr="00130D27" w:rsidRDefault="0006356C" w:rsidP="00130D27">
      <w:pPr>
        <w:pStyle w:val="ListParagraph"/>
        <w:numPr>
          <w:ilvl w:val="0"/>
          <w:numId w:val="3"/>
        </w:numPr>
        <w:rPr>
          <w:rFonts w:eastAsiaTheme="minorEastAsia" w:cs="Arial"/>
          <w:snapToGrid w:val="0"/>
        </w:rPr>
      </w:pPr>
      <w:r>
        <w:t xml:space="preserve">Este documento tiene por objeto informar sobre la posible elaboración de un instrumento de la UPOV de búsqueda de similitud a los fines de la denominación de variedades, la ampliación del contenido de la base de datos PLUTO, los términos inadmisibles, la fecha y </w:t>
      </w:r>
      <w:r w:rsidR="00B84A84">
        <w:t xml:space="preserve">el </w:t>
      </w:r>
      <w:r>
        <w:t>programa de la próxima reunión del Grupo de Trabajo sobre Denominaciones de Variedades (WG</w:t>
      </w:r>
      <w:r>
        <w:noBreakHyphen/>
        <w:t>DEN) y la revisión de la novena edición del Código Internacional de Nomenclatura de Plantas Cultivadas (CINPC).</w:t>
      </w:r>
    </w:p>
    <w:p w:rsidR="008A4562" w:rsidRPr="007E09E9" w:rsidRDefault="008A4562" w:rsidP="008A4562"/>
    <w:p w:rsidR="008A4562" w:rsidRPr="007E09E9" w:rsidRDefault="008A4562" w:rsidP="00130D27">
      <w:pPr>
        <w:pStyle w:val="ListParagraph"/>
        <w:numPr>
          <w:ilvl w:val="0"/>
          <w:numId w:val="3"/>
        </w:numPr>
      </w:pPr>
      <w:r>
        <w:t>Las cuestiones sujetas al examen del Comité Técnico (TC) relativas a las propuestas de revis</w:t>
      </w:r>
      <w:r w:rsidR="00283962">
        <w:t>ión de</w:t>
      </w:r>
      <w:r>
        <w:t xml:space="preserve"> la lista de clases que figura en el documento UPOV/INF/12/5 “Notas explicativas sobre las denominaciones de variedades con arreglo al Convenio de la UPOV” se exponen en el documento TC/55/8 “Denominaciones de variedades”.</w:t>
      </w:r>
    </w:p>
    <w:p w:rsidR="0006356C" w:rsidRPr="0006356C" w:rsidRDefault="0006356C" w:rsidP="0006356C">
      <w:pPr>
        <w:rPr>
          <w:rFonts w:eastAsiaTheme="minorEastAsia" w:cs="Arial"/>
          <w:snapToGrid w:val="0"/>
        </w:rPr>
      </w:pPr>
    </w:p>
    <w:p w:rsidR="0006356C" w:rsidRPr="00130D27" w:rsidRDefault="0006356C" w:rsidP="00130D27">
      <w:pPr>
        <w:pStyle w:val="ListParagraph"/>
        <w:keepNext/>
        <w:numPr>
          <w:ilvl w:val="0"/>
          <w:numId w:val="3"/>
        </w:numPr>
        <w:rPr>
          <w:rFonts w:eastAsiaTheme="minorEastAsia" w:cs="Arial"/>
          <w:snapToGrid w:val="0"/>
        </w:rPr>
      </w:pPr>
      <w:r>
        <w:t>En el presente documento se utilizan las abreviaturas siguientes:</w:t>
      </w:r>
    </w:p>
    <w:p w:rsidR="0006356C" w:rsidRPr="0006356C" w:rsidRDefault="0006356C" w:rsidP="0006356C">
      <w:pPr>
        <w:keepNext/>
        <w:rPr>
          <w:rFonts w:eastAsiaTheme="minorEastAsia" w:cs="Arial"/>
          <w:snapToGrid w:val="0"/>
        </w:rPr>
      </w:pPr>
    </w:p>
    <w:p w:rsidR="0006356C" w:rsidRPr="0006356C" w:rsidRDefault="0006356C" w:rsidP="00B84A84">
      <w:pPr>
        <w:keepNext/>
        <w:tabs>
          <w:tab w:val="left" w:pos="2552"/>
        </w:tabs>
        <w:ind w:left="2552" w:hanging="1985"/>
        <w:rPr>
          <w:rFonts w:eastAsiaTheme="minorEastAsia"/>
          <w:snapToGrid w:val="0"/>
        </w:rPr>
      </w:pPr>
      <w:r>
        <w:t>CAJ:</w:t>
      </w:r>
      <w:r w:rsidR="002C1E84">
        <w:t xml:space="preserve"> </w:t>
      </w:r>
      <w:r>
        <w:tab/>
        <w:t xml:space="preserve">Comité Administrativo y Jurídico </w:t>
      </w:r>
    </w:p>
    <w:p w:rsidR="00F60347" w:rsidRPr="00FC48A4" w:rsidRDefault="00F60347" w:rsidP="00B84A84">
      <w:pPr>
        <w:keepNext/>
        <w:tabs>
          <w:tab w:val="left" w:pos="2552"/>
          <w:tab w:val="right" w:pos="9639"/>
        </w:tabs>
        <w:ind w:left="2552" w:hanging="1985"/>
        <w:jc w:val="left"/>
        <w:rPr>
          <w:rFonts w:eastAsiaTheme="minorEastAsia"/>
          <w:snapToGrid w:val="0"/>
        </w:rPr>
      </w:pPr>
      <w:r>
        <w:t>Comisión de la UICB:</w:t>
      </w:r>
      <w:r>
        <w:tab/>
        <w:t xml:space="preserve">Comisión Internacional para la Nomenclatura de Plantas Cultivadas de la Unión Internacional de Ciencias Biológicas </w:t>
      </w:r>
    </w:p>
    <w:p w:rsidR="0006356C" w:rsidRPr="0006356C" w:rsidRDefault="0006356C" w:rsidP="00B84A84">
      <w:pPr>
        <w:keepNext/>
        <w:tabs>
          <w:tab w:val="left" w:pos="2552"/>
        </w:tabs>
        <w:ind w:left="2552" w:hanging="1985"/>
        <w:rPr>
          <w:rFonts w:eastAsiaTheme="minorEastAsia"/>
          <w:snapToGrid w:val="0"/>
        </w:rPr>
      </w:pPr>
      <w:r>
        <w:t>ICNCP:</w:t>
      </w:r>
      <w:r>
        <w:tab/>
        <w:t>Código Internacional de Nomenclatura de Plantas Cultivadas</w:t>
      </w:r>
      <w:r w:rsidR="002C1E84">
        <w:t xml:space="preserve"> </w:t>
      </w:r>
    </w:p>
    <w:p w:rsidR="0006356C" w:rsidRPr="0006356C" w:rsidRDefault="0006356C" w:rsidP="00B84A84">
      <w:pPr>
        <w:keepNext/>
        <w:tabs>
          <w:tab w:val="left" w:pos="2552"/>
        </w:tabs>
        <w:ind w:left="2552" w:hanging="1985"/>
        <w:rPr>
          <w:rFonts w:eastAsiaTheme="minorEastAsia"/>
          <w:snapToGrid w:val="0"/>
        </w:rPr>
      </w:pPr>
      <w:r>
        <w:t>TC:</w:t>
      </w:r>
      <w:r w:rsidR="002C1E84">
        <w:t xml:space="preserve"> </w:t>
      </w:r>
      <w:r>
        <w:tab/>
        <w:t xml:space="preserve">Comité Técnico </w:t>
      </w:r>
    </w:p>
    <w:p w:rsidR="0006356C" w:rsidRPr="0006356C" w:rsidRDefault="0006356C" w:rsidP="00B84A84">
      <w:pPr>
        <w:keepNext/>
        <w:tabs>
          <w:tab w:val="left" w:pos="567"/>
          <w:tab w:val="left" w:pos="1701"/>
          <w:tab w:val="left" w:pos="2552"/>
        </w:tabs>
        <w:ind w:left="2552" w:hanging="1985"/>
        <w:rPr>
          <w:rFonts w:eastAsiaTheme="minorEastAsia"/>
          <w:snapToGrid w:val="0"/>
        </w:rPr>
      </w:pPr>
      <w:r>
        <w:t>WG-DEN:</w:t>
      </w:r>
      <w:r>
        <w:tab/>
      </w:r>
      <w:r>
        <w:tab/>
        <w:t>Grupo de Trabajo sobre Denominaciones de Variedades</w:t>
      </w:r>
    </w:p>
    <w:p w:rsidR="0006356C" w:rsidRPr="0006356C" w:rsidRDefault="0006356C" w:rsidP="0006356C">
      <w:pPr>
        <w:jc w:val="left"/>
        <w:rPr>
          <w:rFonts w:eastAsiaTheme="minorEastAsia" w:cs="Arial"/>
          <w:snapToGrid w:val="0"/>
        </w:rPr>
      </w:pPr>
    </w:p>
    <w:p w:rsidR="0006356C" w:rsidRPr="0006356C" w:rsidRDefault="0006356C" w:rsidP="00130D27">
      <w:pPr>
        <w:pStyle w:val="ListParagraph"/>
        <w:keepNext/>
        <w:numPr>
          <w:ilvl w:val="0"/>
          <w:numId w:val="3"/>
        </w:numPr>
      </w:pPr>
      <w:r>
        <w:t>El presente documento se estructura del modo siguiente:</w:t>
      </w:r>
    </w:p>
    <w:sdt>
      <w:sdtPr>
        <w:rPr>
          <w:caps/>
          <w:smallCaps/>
          <w:sz w:val="18"/>
        </w:rPr>
        <w:id w:val="-1800911247"/>
        <w:docPartObj>
          <w:docPartGallery w:val="Table of Contents"/>
          <w:docPartUnique/>
        </w:docPartObj>
      </w:sdtPr>
      <w:sdtEndPr>
        <w:rPr>
          <w:b/>
          <w:bCs/>
          <w:noProof/>
        </w:rPr>
      </w:sdtEndPr>
      <w:sdtContent>
        <w:p w:rsidR="0006356C" w:rsidRPr="0006356C" w:rsidRDefault="0006356C" w:rsidP="0006356C">
          <w:pPr>
            <w:keepNext/>
            <w:rPr>
              <w:rFonts w:cs="Arial"/>
              <w:b/>
            </w:rPr>
          </w:pPr>
        </w:p>
        <w:p w:rsidR="00B84A84" w:rsidRDefault="0006356C">
          <w:pPr>
            <w:pStyle w:val="TOC1"/>
            <w:rPr>
              <w:rFonts w:asciiTheme="minorHAnsi" w:eastAsiaTheme="minorEastAsia" w:hAnsiTheme="minorHAnsi" w:cstheme="minorBidi"/>
              <w:caps w:val="0"/>
              <w:noProof/>
              <w:sz w:val="22"/>
              <w:szCs w:val="22"/>
              <w:lang w:bidi="ar-SA"/>
            </w:rPr>
          </w:pPr>
          <w:r w:rsidRPr="0006356C">
            <w:rPr>
              <w:rFonts w:cs="Arial"/>
              <w:bCs/>
              <w:noProof/>
            </w:rPr>
            <w:fldChar w:fldCharType="begin"/>
          </w:r>
          <w:r w:rsidRPr="0006356C">
            <w:rPr>
              <w:rFonts w:cs="Arial"/>
              <w:bCs/>
              <w:noProof/>
            </w:rPr>
            <w:instrText xml:space="preserve"> TOC \o "1-3" \h \z \u </w:instrText>
          </w:r>
          <w:r w:rsidRPr="0006356C">
            <w:rPr>
              <w:rFonts w:cs="Arial"/>
              <w:bCs/>
              <w:noProof/>
            </w:rPr>
            <w:fldChar w:fldCharType="separate"/>
          </w:r>
          <w:hyperlink w:anchor="_Toc17357397" w:history="1">
            <w:r w:rsidR="00B84A84" w:rsidRPr="00E87507">
              <w:rPr>
                <w:rStyle w:val="Hyperlink"/>
                <w:noProof/>
              </w:rPr>
              <w:t>RESUMEN</w:t>
            </w:r>
            <w:r w:rsidR="00B84A84">
              <w:rPr>
                <w:noProof/>
                <w:webHidden/>
              </w:rPr>
              <w:tab/>
            </w:r>
            <w:r w:rsidR="00B84A84">
              <w:rPr>
                <w:noProof/>
                <w:webHidden/>
              </w:rPr>
              <w:fldChar w:fldCharType="begin"/>
            </w:r>
            <w:r w:rsidR="00B84A84">
              <w:rPr>
                <w:noProof/>
                <w:webHidden/>
              </w:rPr>
              <w:instrText xml:space="preserve"> PAGEREF _Toc17357397 \h </w:instrText>
            </w:r>
            <w:r w:rsidR="00B84A84">
              <w:rPr>
                <w:noProof/>
                <w:webHidden/>
              </w:rPr>
            </w:r>
            <w:r w:rsidR="00B84A84">
              <w:rPr>
                <w:noProof/>
                <w:webHidden/>
              </w:rPr>
              <w:fldChar w:fldCharType="separate"/>
            </w:r>
            <w:r w:rsidR="00B278E8">
              <w:rPr>
                <w:noProof/>
                <w:webHidden/>
              </w:rPr>
              <w:t>1</w:t>
            </w:r>
            <w:r w:rsidR="00B84A84">
              <w:rPr>
                <w:noProof/>
                <w:webHidden/>
              </w:rPr>
              <w:fldChar w:fldCharType="end"/>
            </w:r>
          </w:hyperlink>
        </w:p>
        <w:p w:rsidR="00B84A84" w:rsidRDefault="00271AEF">
          <w:pPr>
            <w:pStyle w:val="TOC1"/>
            <w:rPr>
              <w:rFonts w:asciiTheme="minorHAnsi" w:eastAsiaTheme="minorEastAsia" w:hAnsiTheme="minorHAnsi" w:cstheme="minorBidi"/>
              <w:caps w:val="0"/>
              <w:noProof/>
              <w:sz w:val="22"/>
              <w:szCs w:val="22"/>
              <w:lang w:bidi="ar-SA"/>
            </w:rPr>
          </w:pPr>
          <w:hyperlink w:anchor="_Toc17357398" w:history="1">
            <w:r w:rsidR="00B84A84" w:rsidRPr="00E87507">
              <w:rPr>
                <w:rStyle w:val="Hyperlink"/>
                <w:noProof/>
              </w:rPr>
              <w:t>REVISIÓN DE LA NOVENA EDICIÓN DEL CINPC</w:t>
            </w:r>
            <w:r w:rsidR="00B84A84">
              <w:rPr>
                <w:noProof/>
                <w:webHidden/>
              </w:rPr>
              <w:tab/>
            </w:r>
            <w:r w:rsidR="00B84A84">
              <w:rPr>
                <w:noProof/>
                <w:webHidden/>
              </w:rPr>
              <w:fldChar w:fldCharType="begin"/>
            </w:r>
            <w:r w:rsidR="00B84A84">
              <w:rPr>
                <w:noProof/>
                <w:webHidden/>
              </w:rPr>
              <w:instrText xml:space="preserve"> PAGEREF _Toc17357398 \h </w:instrText>
            </w:r>
            <w:r w:rsidR="00B84A84">
              <w:rPr>
                <w:noProof/>
                <w:webHidden/>
              </w:rPr>
            </w:r>
            <w:r w:rsidR="00B84A84">
              <w:rPr>
                <w:noProof/>
                <w:webHidden/>
              </w:rPr>
              <w:fldChar w:fldCharType="separate"/>
            </w:r>
            <w:r w:rsidR="00B278E8">
              <w:rPr>
                <w:noProof/>
                <w:webHidden/>
              </w:rPr>
              <w:t>1</w:t>
            </w:r>
            <w:r w:rsidR="00B84A84">
              <w:rPr>
                <w:noProof/>
                <w:webHidden/>
              </w:rPr>
              <w:fldChar w:fldCharType="end"/>
            </w:r>
          </w:hyperlink>
        </w:p>
        <w:p w:rsidR="00B84A84" w:rsidRDefault="00271AEF" w:rsidP="008D5CB4">
          <w:pPr>
            <w:pStyle w:val="TOC1"/>
            <w:jc w:val="both"/>
            <w:rPr>
              <w:rFonts w:asciiTheme="minorHAnsi" w:eastAsiaTheme="minorEastAsia" w:hAnsiTheme="minorHAnsi" w:cstheme="minorBidi"/>
              <w:caps w:val="0"/>
              <w:noProof/>
              <w:sz w:val="22"/>
              <w:szCs w:val="22"/>
              <w:lang w:bidi="ar-SA"/>
            </w:rPr>
          </w:pPr>
          <w:hyperlink w:anchor="_Toc17357399" w:history="1">
            <w:r w:rsidR="00B84A84" w:rsidRPr="00E87507">
              <w:rPr>
                <w:rStyle w:val="Hyperlink"/>
                <w:noProof/>
              </w:rPr>
              <w:t>POSIBLE ELABORACIÓN DE UN INSTRUMENTO DE LA UPOV DE BÚSQUEDA DE SIMILITUD A</w:t>
            </w:r>
            <w:r w:rsidR="00B278E8">
              <w:rPr>
                <w:rStyle w:val="Hyperlink"/>
                <w:noProof/>
              </w:rPr>
              <w:t> </w:t>
            </w:r>
            <w:r w:rsidR="00B84A84" w:rsidRPr="00E87507">
              <w:rPr>
                <w:rStyle w:val="Hyperlink"/>
                <w:noProof/>
              </w:rPr>
              <w:t>LOS FINES DE LA DENOMINACIÓN DE VARIEDADES</w:t>
            </w:r>
            <w:r w:rsidR="00B84A84">
              <w:rPr>
                <w:noProof/>
                <w:webHidden/>
              </w:rPr>
              <w:tab/>
            </w:r>
            <w:r w:rsidR="00B84A84">
              <w:rPr>
                <w:noProof/>
                <w:webHidden/>
              </w:rPr>
              <w:fldChar w:fldCharType="begin"/>
            </w:r>
            <w:r w:rsidR="00B84A84">
              <w:rPr>
                <w:noProof/>
                <w:webHidden/>
              </w:rPr>
              <w:instrText xml:space="preserve"> PAGEREF _Toc17357399 \h </w:instrText>
            </w:r>
            <w:r w:rsidR="00B84A84">
              <w:rPr>
                <w:noProof/>
                <w:webHidden/>
              </w:rPr>
            </w:r>
            <w:r w:rsidR="00B84A84">
              <w:rPr>
                <w:noProof/>
                <w:webHidden/>
              </w:rPr>
              <w:fldChar w:fldCharType="separate"/>
            </w:r>
            <w:r w:rsidR="00B278E8">
              <w:rPr>
                <w:noProof/>
                <w:webHidden/>
              </w:rPr>
              <w:t>2</w:t>
            </w:r>
            <w:r w:rsidR="00B84A84">
              <w:rPr>
                <w:noProof/>
                <w:webHidden/>
              </w:rPr>
              <w:fldChar w:fldCharType="end"/>
            </w:r>
          </w:hyperlink>
        </w:p>
        <w:p w:rsidR="00B84A84" w:rsidRDefault="00271AEF">
          <w:pPr>
            <w:pStyle w:val="TOC1"/>
            <w:rPr>
              <w:rFonts w:asciiTheme="minorHAnsi" w:eastAsiaTheme="minorEastAsia" w:hAnsiTheme="minorHAnsi" w:cstheme="minorBidi"/>
              <w:caps w:val="0"/>
              <w:noProof/>
              <w:sz w:val="22"/>
              <w:szCs w:val="22"/>
              <w:lang w:bidi="ar-SA"/>
            </w:rPr>
          </w:pPr>
          <w:hyperlink w:anchor="_Toc17357400" w:history="1">
            <w:r w:rsidR="00B84A84" w:rsidRPr="00E87507">
              <w:rPr>
                <w:rStyle w:val="Hyperlink"/>
                <w:noProof/>
              </w:rPr>
              <w:t>Ampliación del contenido de la base de datos PLUTO</w:t>
            </w:r>
            <w:r w:rsidR="00B84A84">
              <w:rPr>
                <w:noProof/>
                <w:webHidden/>
              </w:rPr>
              <w:tab/>
            </w:r>
            <w:r w:rsidR="00B84A84">
              <w:rPr>
                <w:noProof/>
                <w:webHidden/>
              </w:rPr>
              <w:fldChar w:fldCharType="begin"/>
            </w:r>
            <w:r w:rsidR="00B84A84">
              <w:rPr>
                <w:noProof/>
                <w:webHidden/>
              </w:rPr>
              <w:instrText xml:space="preserve"> PAGEREF _Toc17357400 \h </w:instrText>
            </w:r>
            <w:r w:rsidR="00B84A84">
              <w:rPr>
                <w:noProof/>
                <w:webHidden/>
              </w:rPr>
            </w:r>
            <w:r w:rsidR="00B84A84">
              <w:rPr>
                <w:noProof/>
                <w:webHidden/>
              </w:rPr>
              <w:fldChar w:fldCharType="separate"/>
            </w:r>
            <w:r w:rsidR="00B278E8">
              <w:rPr>
                <w:noProof/>
                <w:webHidden/>
              </w:rPr>
              <w:t>2</w:t>
            </w:r>
            <w:r w:rsidR="00B84A84">
              <w:rPr>
                <w:noProof/>
                <w:webHidden/>
              </w:rPr>
              <w:fldChar w:fldCharType="end"/>
            </w:r>
          </w:hyperlink>
        </w:p>
        <w:p w:rsidR="00B84A84" w:rsidRDefault="00271AEF">
          <w:pPr>
            <w:pStyle w:val="TOC2"/>
            <w:rPr>
              <w:rFonts w:asciiTheme="minorHAnsi" w:eastAsiaTheme="minorEastAsia" w:hAnsiTheme="minorHAnsi" w:cstheme="minorBidi"/>
              <w:noProof/>
              <w:sz w:val="22"/>
              <w:szCs w:val="22"/>
              <w:lang w:bidi="ar-SA"/>
            </w:rPr>
          </w:pPr>
          <w:hyperlink w:anchor="_Toc17357401" w:history="1">
            <w:r w:rsidR="00B84A84" w:rsidRPr="00E87507">
              <w:rPr>
                <w:rStyle w:val="Hyperlink"/>
                <w:noProof/>
              </w:rPr>
              <w:t>Acentos y caracteres especiales en las denominaciones que figuran en la base de datos PLUTO</w:t>
            </w:r>
            <w:r w:rsidR="00B84A84">
              <w:rPr>
                <w:noProof/>
                <w:webHidden/>
              </w:rPr>
              <w:tab/>
            </w:r>
            <w:r w:rsidR="00B84A84">
              <w:rPr>
                <w:noProof/>
                <w:webHidden/>
              </w:rPr>
              <w:fldChar w:fldCharType="begin"/>
            </w:r>
            <w:r w:rsidR="00B84A84">
              <w:rPr>
                <w:noProof/>
                <w:webHidden/>
              </w:rPr>
              <w:instrText xml:space="preserve"> PAGEREF _Toc17357401 \h </w:instrText>
            </w:r>
            <w:r w:rsidR="00B84A84">
              <w:rPr>
                <w:noProof/>
                <w:webHidden/>
              </w:rPr>
            </w:r>
            <w:r w:rsidR="00B84A84">
              <w:rPr>
                <w:noProof/>
                <w:webHidden/>
              </w:rPr>
              <w:fldChar w:fldCharType="separate"/>
            </w:r>
            <w:r w:rsidR="00B278E8">
              <w:rPr>
                <w:noProof/>
                <w:webHidden/>
              </w:rPr>
              <w:t>3</w:t>
            </w:r>
            <w:r w:rsidR="00B84A84">
              <w:rPr>
                <w:noProof/>
                <w:webHidden/>
              </w:rPr>
              <w:fldChar w:fldCharType="end"/>
            </w:r>
          </w:hyperlink>
        </w:p>
        <w:p w:rsidR="00B84A84" w:rsidRDefault="00271AEF">
          <w:pPr>
            <w:pStyle w:val="TOC2"/>
            <w:rPr>
              <w:rFonts w:asciiTheme="minorHAnsi" w:eastAsiaTheme="minorEastAsia" w:hAnsiTheme="minorHAnsi" w:cstheme="minorBidi"/>
              <w:noProof/>
              <w:sz w:val="22"/>
              <w:szCs w:val="22"/>
              <w:lang w:bidi="ar-SA"/>
            </w:rPr>
          </w:pPr>
          <w:hyperlink w:anchor="_Toc17357402" w:history="1">
            <w:r w:rsidR="00B84A84" w:rsidRPr="00E87507">
              <w:rPr>
                <w:rStyle w:val="Hyperlink"/>
                <w:noProof/>
              </w:rPr>
              <w:t>Datos sobre variedades que ya no figuran en la base de datos PLUTO (datos históricos)</w:t>
            </w:r>
            <w:r w:rsidR="00B84A84">
              <w:rPr>
                <w:noProof/>
                <w:webHidden/>
              </w:rPr>
              <w:tab/>
            </w:r>
            <w:r w:rsidR="00B84A84">
              <w:rPr>
                <w:noProof/>
                <w:webHidden/>
              </w:rPr>
              <w:fldChar w:fldCharType="begin"/>
            </w:r>
            <w:r w:rsidR="00B84A84">
              <w:rPr>
                <w:noProof/>
                <w:webHidden/>
              </w:rPr>
              <w:instrText xml:space="preserve"> PAGEREF _Toc17357402 \h </w:instrText>
            </w:r>
            <w:r w:rsidR="00B84A84">
              <w:rPr>
                <w:noProof/>
                <w:webHidden/>
              </w:rPr>
            </w:r>
            <w:r w:rsidR="00B84A84">
              <w:rPr>
                <w:noProof/>
                <w:webHidden/>
              </w:rPr>
              <w:fldChar w:fldCharType="separate"/>
            </w:r>
            <w:r w:rsidR="00B278E8">
              <w:rPr>
                <w:noProof/>
                <w:webHidden/>
              </w:rPr>
              <w:t>3</w:t>
            </w:r>
            <w:r w:rsidR="00B84A84">
              <w:rPr>
                <w:noProof/>
                <w:webHidden/>
              </w:rPr>
              <w:fldChar w:fldCharType="end"/>
            </w:r>
          </w:hyperlink>
        </w:p>
        <w:p w:rsidR="00B84A84" w:rsidRDefault="00271AEF">
          <w:pPr>
            <w:pStyle w:val="TOC2"/>
            <w:rPr>
              <w:rFonts w:asciiTheme="minorHAnsi" w:eastAsiaTheme="minorEastAsia" w:hAnsiTheme="minorHAnsi" w:cstheme="minorBidi"/>
              <w:noProof/>
              <w:sz w:val="22"/>
              <w:szCs w:val="22"/>
              <w:lang w:bidi="ar-SA"/>
            </w:rPr>
          </w:pPr>
          <w:hyperlink w:anchor="_Toc17357403" w:history="1">
            <w:r w:rsidR="00B84A84" w:rsidRPr="00E87507">
              <w:rPr>
                <w:rStyle w:val="Hyperlink"/>
                <w:noProof/>
              </w:rPr>
              <w:t>Otras variedades (datos nuevos)</w:t>
            </w:r>
            <w:r w:rsidR="00B84A84">
              <w:rPr>
                <w:noProof/>
                <w:webHidden/>
              </w:rPr>
              <w:tab/>
            </w:r>
            <w:r w:rsidR="00B84A84">
              <w:rPr>
                <w:noProof/>
                <w:webHidden/>
              </w:rPr>
              <w:fldChar w:fldCharType="begin"/>
            </w:r>
            <w:r w:rsidR="00B84A84">
              <w:rPr>
                <w:noProof/>
                <w:webHidden/>
              </w:rPr>
              <w:instrText xml:space="preserve"> PAGEREF _Toc17357403 \h </w:instrText>
            </w:r>
            <w:r w:rsidR="00B84A84">
              <w:rPr>
                <w:noProof/>
                <w:webHidden/>
              </w:rPr>
            </w:r>
            <w:r w:rsidR="00B84A84">
              <w:rPr>
                <w:noProof/>
                <w:webHidden/>
              </w:rPr>
              <w:fldChar w:fldCharType="separate"/>
            </w:r>
            <w:r w:rsidR="00B278E8">
              <w:rPr>
                <w:noProof/>
                <w:webHidden/>
              </w:rPr>
              <w:t>3</w:t>
            </w:r>
            <w:r w:rsidR="00B84A84">
              <w:rPr>
                <w:noProof/>
                <w:webHidden/>
              </w:rPr>
              <w:fldChar w:fldCharType="end"/>
            </w:r>
          </w:hyperlink>
        </w:p>
        <w:p w:rsidR="00B84A84" w:rsidRDefault="00271AEF">
          <w:pPr>
            <w:pStyle w:val="TOC1"/>
            <w:rPr>
              <w:rFonts w:asciiTheme="minorHAnsi" w:eastAsiaTheme="minorEastAsia" w:hAnsiTheme="minorHAnsi" w:cstheme="minorBidi"/>
              <w:caps w:val="0"/>
              <w:noProof/>
              <w:sz w:val="22"/>
              <w:szCs w:val="22"/>
              <w:lang w:bidi="ar-SA"/>
            </w:rPr>
          </w:pPr>
          <w:hyperlink w:anchor="_Toc17357404" w:history="1">
            <w:r w:rsidR="00B84A84" w:rsidRPr="00E87507">
              <w:rPr>
                <w:rStyle w:val="Hyperlink"/>
                <w:noProof/>
              </w:rPr>
              <w:t>Términos inadmisibles</w:t>
            </w:r>
            <w:r w:rsidR="00B84A84">
              <w:rPr>
                <w:noProof/>
                <w:webHidden/>
              </w:rPr>
              <w:tab/>
            </w:r>
            <w:r w:rsidR="00B84A84">
              <w:rPr>
                <w:noProof/>
                <w:webHidden/>
              </w:rPr>
              <w:fldChar w:fldCharType="begin"/>
            </w:r>
            <w:r w:rsidR="00B84A84">
              <w:rPr>
                <w:noProof/>
                <w:webHidden/>
              </w:rPr>
              <w:instrText xml:space="preserve"> PAGEREF _Toc17357404 \h </w:instrText>
            </w:r>
            <w:r w:rsidR="00B84A84">
              <w:rPr>
                <w:noProof/>
                <w:webHidden/>
              </w:rPr>
            </w:r>
            <w:r w:rsidR="00B84A84">
              <w:rPr>
                <w:noProof/>
                <w:webHidden/>
              </w:rPr>
              <w:fldChar w:fldCharType="separate"/>
            </w:r>
            <w:r w:rsidR="00B278E8">
              <w:rPr>
                <w:noProof/>
                <w:webHidden/>
              </w:rPr>
              <w:t>3</w:t>
            </w:r>
            <w:r w:rsidR="00B84A84">
              <w:rPr>
                <w:noProof/>
                <w:webHidden/>
              </w:rPr>
              <w:fldChar w:fldCharType="end"/>
            </w:r>
          </w:hyperlink>
        </w:p>
        <w:p w:rsidR="00B84A84" w:rsidRDefault="00271AEF">
          <w:pPr>
            <w:pStyle w:val="TOC1"/>
            <w:rPr>
              <w:rFonts w:asciiTheme="minorHAnsi" w:eastAsiaTheme="minorEastAsia" w:hAnsiTheme="minorHAnsi" w:cstheme="minorBidi"/>
              <w:caps w:val="0"/>
              <w:noProof/>
              <w:sz w:val="22"/>
              <w:szCs w:val="22"/>
              <w:lang w:bidi="ar-SA"/>
            </w:rPr>
          </w:pPr>
          <w:hyperlink w:anchor="_Toc17357405" w:history="1">
            <w:r w:rsidR="00B84A84" w:rsidRPr="00E87507">
              <w:rPr>
                <w:rStyle w:val="Hyperlink"/>
                <w:noProof/>
              </w:rPr>
              <w:t>Fecha y programa de la próxima reunión</w:t>
            </w:r>
            <w:r w:rsidR="00B84A84">
              <w:rPr>
                <w:noProof/>
                <w:webHidden/>
              </w:rPr>
              <w:tab/>
            </w:r>
            <w:r w:rsidR="00B84A84">
              <w:rPr>
                <w:noProof/>
                <w:webHidden/>
              </w:rPr>
              <w:fldChar w:fldCharType="begin"/>
            </w:r>
            <w:r w:rsidR="00B84A84">
              <w:rPr>
                <w:noProof/>
                <w:webHidden/>
              </w:rPr>
              <w:instrText xml:space="preserve"> PAGEREF _Toc17357405 \h </w:instrText>
            </w:r>
            <w:r w:rsidR="00B84A84">
              <w:rPr>
                <w:noProof/>
                <w:webHidden/>
              </w:rPr>
            </w:r>
            <w:r w:rsidR="00B84A84">
              <w:rPr>
                <w:noProof/>
                <w:webHidden/>
              </w:rPr>
              <w:fldChar w:fldCharType="separate"/>
            </w:r>
            <w:r w:rsidR="00B278E8">
              <w:rPr>
                <w:noProof/>
                <w:webHidden/>
              </w:rPr>
              <w:t>3</w:t>
            </w:r>
            <w:r w:rsidR="00B84A84">
              <w:rPr>
                <w:noProof/>
                <w:webHidden/>
              </w:rPr>
              <w:fldChar w:fldCharType="end"/>
            </w:r>
          </w:hyperlink>
        </w:p>
        <w:p w:rsidR="00AF2E14" w:rsidRDefault="0006356C" w:rsidP="00AF2E14">
          <w:pPr>
            <w:pStyle w:val="TOC1"/>
            <w:rPr>
              <w:rFonts w:asciiTheme="minorHAnsi" w:eastAsiaTheme="minorEastAsia" w:hAnsiTheme="minorHAnsi" w:cstheme="minorBidi"/>
              <w:noProof/>
              <w:sz w:val="22"/>
              <w:szCs w:val="22"/>
            </w:rPr>
          </w:pPr>
          <w:r w:rsidRPr="0006356C">
            <w:rPr>
              <w:b/>
              <w:bCs/>
              <w:smallCaps/>
              <w:noProof/>
            </w:rPr>
            <w:fldChar w:fldCharType="end"/>
          </w:r>
        </w:p>
      </w:sdtContent>
    </w:sdt>
    <w:p w:rsidR="0006356C" w:rsidRDefault="0006356C" w:rsidP="0006356C"/>
    <w:p w:rsidR="00C740CE" w:rsidRPr="0006356C" w:rsidRDefault="00C740CE" w:rsidP="0006356C"/>
    <w:p w:rsidR="0006356C" w:rsidRPr="0006356C" w:rsidRDefault="0006356C" w:rsidP="00C621D8">
      <w:pPr>
        <w:pStyle w:val="Heading1"/>
        <w:rPr>
          <w:rFonts w:eastAsiaTheme="minorEastAsia"/>
        </w:rPr>
      </w:pPr>
      <w:bookmarkStart w:id="8" w:name="_Toc16505386"/>
      <w:bookmarkStart w:id="9" w:name="_Toc17357398"/>
      <w:r>
        <w:t>REVISIÓN DE LA NOVENA EDICIÓN DEL CINPC</w:t>
      </w:r>
      <w:bookmarkEnd w:id="8"/>
      <w:bookmarkEnd w:id="9"/>
    </w:p>
    <w:p w:rsidR="0006356C" w:rsidRPr="0006356C" w:rsidRDefault="0006356C" w:rsidP="0006356C">
      <w:pPr>
        <w:keepNext/>
        <w:rPr>
          <w:kern w:val="28"/>
        </w:rPr>
      </w:pPr>
    </w:p>
    <w:p w:rsidR="0006356C" w:rsidRPr="00130D27" w:rsidRDefault="0006356C" w:rsidP="00130D27">
      <w:pPr>
        <w:pStyle w:val="ListParagraph"/>
        <w:keepNext/>
        <w:numPr>
          <w:ilvl w:val="0"/>
          <w:numId w:val="3"/>
        </w:numPr>
        <w:rPr>
          <w:kern w:val="28"/>
        </w:rPr>
      </w:pPr>
      <w:r>
        <w:t>El 5 de agosto de 2018, el Sr. John C. David, presidente de la Comisión Internacional para la</w:t>
      </w:r>
      <w:r w:rsidR="008D5CB4">
        <w:t> </w:t>
      </w:r>
      <w:r>
        <w:t>Nomenclatura de Plantas Cultivadas</w:t>
      </w:r>
      <w:r w:rsidR="002C1E84">
        <w:t xml:space="preserve"> </w:t>
      </w:r>
      <w:r>
        <w:t>de la Unión Internacional de Ciencias Biológicas (Comisión</w:t>
      </w:r>
      <w:r w:rsidR="004962D1">
        <w:t> </w:t>
      </w:r>
      <w:r>
        <w:t>de</w:t>
      </w:r>
      <w:r w:rsidR="004962D1">
        <w:t> </w:t>
      </w:r>
      <w:r>
        <w:t>la</w:t>
      </w:r>
      <w:r w:rsidR="008D5CB4">
        <w:t> </w:t>
      </w:r>
      <w:r>
        <w:t xml:space="preserve">UICB), anunció a la Oficina de la Unión una “Convocatoria de propuestas para revisar el código de plantas cultivadas”. Se ha solicitado que las propuestas de modificación del Código Internacional de Nomenclatura de Plantas Cultivadas (CINPC) se envíen al presidente de la Comisión de la UICB a más </w:t>
      </w:r>
      <w:r>
        <w:lastRenderedPageBreak/>
        <w:t>tardar el 1 de enero de 2019 (véase el documento CAJ/75/7 Add. “Adición al documento: Denominaci</w:t>
      </w:r>
      <w:r w:rsidR="004962D1">
        <w:t>ones</w:t>
      </w:r>
      <w:r>
        <w:t xml:space="preserve"> de variedades”, párrafos</w:t>
      </w:r>
      <w:r w:rsidR="008D5CB4">
        <w:t> </w:t>
      </w:r>
      <w:r>
        <w:t>3</w:t>
      </w:r>
      <w:r w:rsidR="008D5CB4">
        <w:t> </w:t>
      </w:r>
      <w:r>
        <w:t>y 4).</w:t>
      </w:r>
    </w:p>
    <w:p w:rsidR="0006356C" w:rsidRPr="0006356C" w:rsidRDefault="0006356C" w:rsidP="0006356C">
      <w:pPr>
        <w:keepNext/>
        <w:rPr>
          <w:kern w:val="28"/>
        </w:rPr>
      </w:pPr>
    </w:p>
    <w:p w:rsidR="0006356C" w:rsidRPr="00130D27" w:rsidRDefault="0006356C" w:rsidP="00130D27">
      <w:pPr>
        <w:pStyle w:val="ListParagraph"/>
        <w:keepNext/>
        <w:numPr>
          <w:ilvl w:val="0"/>
          <w:numId w:val="3"/>
        </w:numPr>
        <w:rPr>
          <w:kern w:val="28"/>
        </w:rPr>
      </w:pPr>
      <w:r>
        <w:t>En su septuagésima quinta sesión, celebrada en Ginebra el 31 de octubre de 2018, el</w:t>
      </w:r>
      <w:r w:rsidR="008D5CB4">
        <w:t> </w:t>
      </w:r>
      <w:r>
        <w:t>Comité</w:t>
      </w:r>
      <w:r w:rsidR="008D5CB4">
        <w:t> </w:t>
      </w:r>
      <w:r>
        <w:t xml:space="preserve">Administrativo y Jurídico (CAJ) convino en que la Oficina de la Unión contribuya a la revisión de la novena edición del CINPC, sobre la base del documento UPOV/INF/12/5 “Notas explicativas sobre las denominaciones de variedades con arreglo al Convenio de la UPOV” y la labor del WG-DEN (véase el párrafo 45 del documento CAJ/75/14 “Informe”). </w:t>
      </w:r>
    </w:p>
    <w:p w:rsidR="0006356C" w:rsidRPr="0006356C" w:rsidRDefault="0006356C" w:rsidP="0006356C">
      <w:pPr>
        <w:keepNext/>
        <w:rPr>
          <w:kern w:val="28"/>
        </w:rPr>
      </w:pPr>
    </w:p>
    <w:p w:rsidR="0006356C" w:rsidRPr="00130D27" w:rsidRDefault="0006356C" w:rsidP="00130D27">
      <w:pPr>
        <w:pStyle w:val="ListParagraph"/>
        <w:keepNext/>
        <w:numPr>
          <w:ilvl w:val="0"/>
          <w:numId w:val="3"/>
        </w:numPr>
        <w:rPr>
          <w:kern w:val="28"/>
        </w:rPr>
      </w:pPr>
      <w:r>
        <w:t>El 17 de diciembre de 2018, el Sr. David comunicó a la Oficina de la Unión que la próxima reunión de la Comisión de la UICB se retrasará hasta fines de 2019 o principios de 2020. El 8 de julio de 2019, el Sr.</w:t>
      </w:r>
      <w:r w:rsidR="00047384">
        <w:t> </w:t>
      </w:r>
      <w:r>
        <w:t>David anunció a la Oficina de la Unión que se prevé celebrar la próxima reunión de la Comisión de la UICB, encargada de modificar el CINPC, en Angers (Francia), a principios de 2020. Se ha solicitado que las propuestas de modificación del CINPC se envíen al presidente de la Comisión de la UICB antes de que finalice noviembre de 2019. La Oficina de la Unión consultará al CAJ, en su septuagésima sexta sesión, que se celebrará en Ginebra el 30 de octubre de 2019, sobre las propuestas a hacer para el CINPC.</w:t>
      </w:r>
    </w:p>
    <w:p w:rsidR="0006356C" w:rsidRPr="0006356C" w:rsidRDefault="0006356C" w:rsidP="00C740CE">
      <w:pPr>
        <w:rPr>
          <w:rFonts w:eastAsiaTheme="minorEastAsia"/>
          <w:snapToGrid w:val="0"/>
        </w:rPr>
      </w:pPr>
    </w:p>
    <w:p w:rsidR="0006356C" w:rsidRPr="0006356C" w:rsidRDefault="0006356C" w:rsidP="0006356C">
      <w:pPr>
        <w:rPr>
          <w:rFonts w:eastAsiaTheme="minorEastAsia"/>
        </w:rPr>
      </w:pPr>
    </w:p>
    <w:p w:rsidR="0006356C" w:rsidRPr="00C621D8" w:rsidRDefault="0006356C" w:rsidP="00C621D8">
      <w:pPr>
        <w:pStyle w:val="Heading1"/>
        <w:rPr>
          <w:rFonts w:eastAsiaTheme="minorEastAsia"/>
          <w:spacing w:val="-4"/>
        </w:rPr>
      </w:pPr>
      <w:bookmarkStart w:id="10" w:name="_Toc382388623"/>
      <w:bookmarkStart w:id="11" w:name="_Toc477358706"/>
      <w:bookmarkStart w:id="12" w:name="_Toc16505387"/>
      <w:bookmarkStart w:id="13" w:name="_Toc17357399"/>
      <w:r>
        <w:t>POSIBLE ELABORACIÓN DE UN INSTRUMENTO DE LA UPOV DE BÚSQUEDA DE SIMILITUD A LOS FINES DE LA DENOMINACIÓN DE VARIEDADES</w:t>
      </w:r>
      <w:bookmarkEnd w:id="10"/>
      <w:bookmarkEnd w:id="11"/>
      <w:bookmarkEnd w:id="12"/>
      <w:bookmarkEnd w:id="13"/>
    </w:p>
    <w:p w:rsidR="0006356C" w:rsidRPr="0006356C" w:rsidRDefault="0006356C" w:rsidP="0006356C">
      <w:pPr>
        <w:rPr>
          <w:rFonts w:eastAsiaTheme="minorEastAsia"/>
        </w:rPr>
      </w:pPr>
    </w:p>
    <w:p w:rsidR="0006356C" w:rsidRPr="00130D27" w:rsidRDefault="0006356C" w:rsidP="00130D27">
      <w:pPr>
        <w:pStyle w:val="ListParagraph"/>
        <w:numPr>
          <w:ilvl w:val="0"/>
          <w:numId w:val="3"/>
        </w:numPr>
        <w:rPr>
          <w:rFonts w:eastAsiaTheme="minorEastAsia"/>
        </w:rPr>
      </w:pPr>
      <w:r>
        <w:t>Los antecedentes de esta cuestión figuran en el párrafo 12 del documento TC/54/12 “Denominaciones de variedades”.</w:t>
      </w:r>
    </w:p>
    <w:p w:rsidR="0006356C" w:rsidRPr="0006356C" w:rsidRDefault="0006356C" w:rsidP="0006356C"/>
    <w:p w:rsidR="0006356C" w:rsidRPr="0006356C" w:rsidRDefault="0006356C" w:rsidP="00130D27">
      <w:pPr>
        <w:pStyle w:val="ListParagraph"/>
        <w:numPr>
          <w:ilvl w:val="0"/>
          <w:numId w:val="3"/>
        </w:numPr>
      </w:pPr>
      <w:r>
        <w:t>En su quinta reunión, celebrada en Ginebra el 30 de octubre de 2018, el WG-DEN convino en que la</w:t>
      </w:r>
      <w:r w:rsidR="002D7A41">
        <w:t> </w:t>
      </w:r>
      <w:r>
        <w:t>Oficina de la Unión reanude su labor de estudiar, conjuntamente con la Oficina Comunitaria de Variedades Vegetales de la Unión Europea (OCVV), posibilidades de mejora del instrumento de la UPOV para la búsqueda de denominaciones similares (véase el párrafo 28 del documento UPOV/WG-DEN/5/3 “</w:t>
      </w:r>
      <w:r w:rsidRPr="00130D27">
        <w:rPr>
          <w:i/>
        </w:rPr>
        <w:t>Report</w:t>
      </w:r>
      <w:r>
        <w:t>” (Informe).</w:t>
      </w:r>
    </w:p>
    <w:p w:rsidR="00ED6BB2" w:rsidRPr="00ED6BB2" w:rsidRDefault="00ED6BB2" w:rsidP="00ED6BB2">
      <w:pPr>
        <w:rPr>
          <w:rFonts w:eastAsiaTheme="minorEastAsia" w:cs="Arial"/>
        </w:rPr>
      </w:pPr>
    </w:p>
    <w:p w:rsidR="00ED6BB2" w:rsidRPr="00ED6BB2" w:rsidRDefault="00ED6BB2" w:rsidP="00130D27">
      <w:pPr>
        <w:pStyle w:val="ListParagraph"/>
        <w:numPr>
          <w:ilvl w:val="0"/>
          <w:numId w:val="3"/>
        </w:numPr>
      </w:pPr>
      <w:r>
        <w:t>La Oficina de la Unión informará al WG-DEN, en su sexta reunión,</w:t>
      </w:r>
      <w:r w:rsidR="002C1E84">
        <w:t xml:space="preserve"> </w:t>
      </w:r>
      <w:r>
        <w:t>prevista en Ginebra el 29 de octubre de 2019, y al CAJ, en su septuagésima sexta sesión, de las últimas novedades acontecidas en relación con este asunto.</w:t>
      </w:r>
      <w:r w:rsidR="002C1E84">
        <w:t xml:space="preserve"> </w:t>
      </w:r>
    </w:p>
    <w:p w:rsidR="0006356C" w:rsidRPr="0006356C" w:rsidRDefault="0006356C" w:rsidP="0006356C">
      <w:pPr>
        <w:rPr>
          <w:rFonts w:eastAsiaTheme="minorEastAsia"/>
        </w:rPr>
      </w:pPr>
    </w:p>
    <w:p w:rsidR="0006356C" w:rsidRPr="0006356C" w:rsidRDefault="0006356C" w:rsidP="0006356C">
      <w:pPr>
        <w:rPr>
          <w:rFonts w:eastAsiaTheme="minorEastAsia"/>
        </w:rPr>
      </w:pPr>
    </w:p>
    <w:p w:rsidR="0006356C" w:rsidRPr="0006356C" w:rsidRDefault="0006356C" w:rsidP="00C621D8">
      <w:pPr>
        <w:pStyle w:val="Heading1"/>
        <w:rPr>
          <w:rFonts w:eastAsiaTheme="minorEastAsia"/>
        </w:rPr>
      </w:pPr>
      <w:bookmarkStart w:id="14" w:name="_Toc477358709"/>
      <w:bookmarkStart w:id="15" w:name="_Toc16505388"/>
      <w:bookmarkStart w:id="16" w:name="_Toc17357400"/>
      <w:r>
        <w:t>Ampliación del contenido de la base de datos PLUTO</w:t>
      </w:r>
      <w:bookmarkEnd w:id="14"/>
      <w:bookmarkEnd w:id="15"/>
      <w:bookmarkEnd w:id="16"/>
    </w:p>
    <w:p w:rsidR="0006356C" w:rsidRPr="0006356C" w:rsidRDefault="0006356C" w:rsidP="0006356C">
      <w:pPr>
        <w:keepNext/>
        <w:keepLines/>
        <w:rPr>
          <w:rFonts w:eastAsiaTheme="minorEastAsia"/>
        </w:rPr>
      </w:pPr>
    </w:p>
    <w:p w:rsidR="0006356C" w:rsidRPr="00130D27" w:rsidRDefault="0006356C" w:rsidP="00130D27">
      <w:pPr>
        <w:pStyle w:val="ListParagraph"/>
        <w:numPr>
          <w:ilvl w:val="0"/>
          <w:numId w:val="3"/>
        </w:numPr>
        <w:rPr>
          <w:rFonts w:eastAsiaTheme="minorEastAsia"/>
        </w:rPr>
      </w:pPr>
      <w:r>
        <w:t>Los antecedentes de esta cuestión figuran en el párrafo 14 del documento TC/54/12 “Denominaciones de variedades”.</w:t>
      </w:r>
    </w:p>
    <w:p w:rsidR="0006356C" w:rsidRPr="0006356C" w:rsidRDefault="0006356C" w:rsidP="0006356C"/>
    <w:p w:rsidR="0006356C" w:rsidRPr="0006356C" w:rsidRDefault="0006356C" w:rsidP="00130D27">
      <w:pPr>
        <w:pStyle w:val="ListParagraph"/>
        <w:numPr>
          <w:ilvl w:val="0"/>
          <w:numId w:val="3"/>
        </w:numPr>
      </w:pPr>
      <w:r>
        <w:t>En su quinta reunión, el WG-DEN convino en proponer</w:t>
      </w:r>
      <w:r w:rsidR="004962D1">
        <w:t xml:space="preserve"> que</w:t>
      </w:r>
      <w:r>
        <w:t xml:space="preserve"> (véase el párrafo 30 del documento UPOV/WG</w:t>
      </w:r>
      <w:r w:rsidR="004962D1">
        <w:noBreakHyphen/>
      </w:r>
      <w:r>
        <w:t>DEN/5/3 “</w:t>
      </w:r>
      <w:r w:rsidRPr="00130D27">
        <w:rPr>
          <w:i/>
        </w:rPr>
        <w:t>Report</w:t>
      </w:r>
      <w:r>
        <w:t>”</w:t>
      </w:r>
      <w:r w:rsidR="00F0206E">
        <w:t>):</w:t>
      </w:r>
    </w:p>
    <w:p w:rsidR="0006356C" w:rsidRPr="0006356C" w:rsidRDefault="0006356C" w:rsidP="0006356C"/>
    <w:p w:rsidR="0006356C" w:rsidRPr="0006356C" w:rsidRDefault="0006356C" w:rsidP="002760C2">
      <w:pPr>
        <w:pStyle w:val="ListParagraph"/>
        <w:numPr>
          <w:ilvl w:val="1"/>
          <w:numId w:val="6"/>
        </w:numPr>
      </w:pPr>
      <w:r>
        <w:t>se acepten acentos y caracteres especiales en las denominaciones que figuran en la base de datos PLUTO, teniendo en cuenta que el instrumento de búsqueda de denominaciones de dicha base de datos solo admite la representación en caracteres del conjunto ASCII, de conformidad con la definición que figura en la Norma ISO 646;</w:t>
      </w:r>
    </w:p>
    <w:p w:rsidR="0006356C" w:rsidRPr="0006356C" w:rsidRDefault="0006356C" w:rsidP="002760C2">
      <w:pPr>
        <w:ind w:firstLine="567"/>
      </w:pPr>
    </w:p>
    <w:p w:rsidR="00817866" w:rsidRDefault="0006356C" w:rsidP="00817866">
      <w:pPr>
        <w:pStyle w:val="ListParagraph"/>
        <w:numPr>
          <w:ilvl w:val="1"/>
          <w:numId w:val="6"/>
        </w:numPr>
        <w:spacing w:after="240"/>
      </w:pPr>
      <w:r>
        <w:t>se revise la sección 3.1.3 del “Programa de mejoras de la base de datos sobre variedades vegetales”, a fin de sustituir el conjunto válido de caracteres por el de la Norma ISO/IEC 8859 1: 1998;</w:t>
      </w:r>
    </w:p>
    <w:p w:rsidR="00817866" w:rsidRDefault="00817866" w:rsidP="00817866">
      <w:pPr>
        <w:pStyle w:val="ListParagraph"/>
      </w:pPr>
    </w:p>
    <w:p w:rsidR="0006356C" w:rsidRPr="0006356C" w:rsidRDefault="0006356C" w:rsidP="002760C2">
      <w:pPr>
        <w:pStyle w:val="ListParagraph"/>
        <w:numPr>
          <w:ilvl w:val="1"/>
          <w:numId w:val="6"/>
        </w:numPr>
      </w:pPr>
      <w:r>
        <w:t>se invite a los miembros de la Unión a que comprueben si disponen de datos de interés sobre variedades que ya no figuran en la base de datos PLUTO pero que se enviaban anteriormente a esta base de datos;</w:t>
      </w:r>
    </w:p>
    <w:p w:rsidR="0006356C" w:rsidRPr="0006356C" w:rsidRDefault="0006356C" w:rsidP="002760C2">
      <w:pPr>
        <w:ind w:firstLine="567"/>
      </w:pPr>
    </w:p>
    <w:p w:rsidR="0006356C" w:rsidRPr="0006356C" w:rsidRDefault="0006356C" w:rsidP="002760C2">
      <w:pPr>
        <w:pStyle w:val="ListParagraph"/>
        <w:numPr>
          <w:ilvl w:val="1"/>
          <w:numId w:val="6"/>
        </w:numPr>
      </w:pPr>
      <w:r>
        <w:t>la Oficina de la Unión estudie las posibilidades de introducir un identificador único de los registros de variedades en la base de datos PLUTO, a fin de que los nuevos datos aportados se añadan a los datos existentes en lugar de sustituirlos;</w:t>
      </w:r>
    </w:p>
    <w:p w:rsidR="0006356C" w:rsidRPr="0006356C" w:rsidRDefault="0006356C" w:rsidP="002760C2">
      <w:pPr>
        <w:ind w:firstLine="567"/>
      </w:pPr>
    </w:p>
    <w:p w:rsidR="0006356C" w:rsidRPr="0006356C" w:rsidRDefault="0006356C" w:rsidP="002760C2">
      <w:pPr>
        <w:pStyle w:val="ListParagraph"/>
        <w:numPr>
          <w:ilvl w:val="1"/>
          <w:numId w:val="6"/>
        </w:numPr>
      </w:pPr>
      <w:r>
        <w:t xml:space="preserve">los datos nuevos no deben incluirse en </w:t>
      </w:r>
      <w:proofErr w:type="gramStart"/>
      <w:r>
        <w:t>PLUTO</w:t>
      </w:r>
      <w:proofErr w:type="gramEnd"/>
      <w:r>
        <w:t xml:space="preserve"> sino que deben ser accesibles por medio de una plataforma de búsqueda en bases de datos independientes; y</w:t>
      </w:r>
    </w:p>
    <w:p w:rsidR="0006356C" w:rsidRPr="0006356C" w:rsidRDefault="0006356C" w:rsidP="002760C2">
      <w:pPr>
        <w:ind w:firstLine="567"/>
      </w:pPr>
    </w:p>
    <w:p w:rsidR="0006356C" w:rsidRPr="0006356C" w:rsidRDefault="0006356C" w:rsidP="002760C2">
      <w:pPr>
        <w:pStyle w:val="ListParagraph"/>
        <w:numPr>
          <w:ilvl w:val="1"/>
          <w:numId w:val="6"/>
        </w:numPr>
      </w:pPr>
      <w:r>
        <w:lastRenderedPageBreak/>
        <w:t>la Oficina de la Unión envíe una circular invitando a los miembros de la Unión a proponer datos que consideren conveniente incluir en la base de datos PLUTO o hacer accesibles por medio de una plataforma de búsqueda en bases de datos independientes.</w:t>
      </w:r>
    </w:p>
    <w:p w:rsidR="003E1AE0" w:rsidRPr="00BB18CA" w:rsidRDefault="003E1AE0" w:rsidP="003E1AE0">
      <w:pPr>
        <w:autoSpaceDE w:val="0"/>
        <w:autoSpaceDN w:val="0"/>
        <w:adjustRightInd w:val="0"/>
        <w:rPr>
          <w:rFonts w:eastAsiaTheme="minorEastAsia"/>
        </w:rPr>
      </w:pPr>
    </w:p>
    <w:p w:rsidR="003E1AE0" w:rsidRPr="00130D27" w:rsidRDefault="003E1AE0" w:rsidP="00130D27">
      <w:pPr>
        <w:pStyle w:val="ListParagraph"/>
        <w:numPr>
          <w:ilvl w:val="0"/>
          <w:numId w:val="3"/>
        </w:numPr>
        <w:autoSpaceDE w:val="0"/>
        <w:autoSpaceDN w:val="0"/>
        <w:adjustRightInd w:val="0"/>
        <w:rPr>
          <w:rFonts w:eastAsiaTheme="minorEastAsia"/>
        </w:rPr>
      </w:pPr>
      <w:r>
        <w:t>En su septuagésima quinta sesión, celebrada en Ginebra el 31 de octubre de 2018, el CAJ tomó nota del informe verbal</w:t>
      </w:r>
      <w:r w:rsidR="00F0206E">
        <w:t xml:space="preserve">, presentado en </w:t>
      </w:r>
      <w:r w:rsidR="007B6EFD">
        <w:t>la misma</w:t>
      </w:r>
      <w:r w:rsidR="00F0206E">
        <w:t xml:space="preserve"> sesión,</w:t>
      </w:r>
      <w:r>
        <w:t xml:space="preserve"> sobre las novedades relativas a esta cuestión que se han producido en la quinta reunión del WG-DEN, expuestas en el </w:t>
      </w:r>
      <w:r w:rsidRPr="00817866">
        <w:t>párrafo </w:t>
      </w:r>
      <w:r w:rsidRPr="00817866">
        <w:rPr>
          <w:rFonts w:eastAsiaTheme="minorEastAsia"/>
        </w:rPr>
        <w:t>12</w:t>
      </w:r>
      <w:r w:rsidRPr="00817866">
        <w:t xml:space="preserve"> de</w:t>
      </w:r>
      <w:r>
        <w:t xml:space="preserve"> este documento (véase el párrafo 41 del documento CAJ/75/14 “Informe”). </w:t>
      </w:r>
    </w:p>
    <w:p w:rsidR="0006356C" w:rsidRPr="0006356C" w:rsidRDefault="0006356C" w:rsidP="0006356C">
      <w:pPr>
        <w:rPr>
          <w:rFonts w:eastAsiaTheme="minorEastAsia"/>
        </w:rPr>
      </w:pPr>
    </w:p>
    <w:p w:rsidR="009463A9" w:rsidRPr="002B3B38" w:rsidRDefault="009463A9" w:rsidP="009463A9">
      <w:pPr>
        <w:pStyle w:val="Heading2"/>
      </w:pPr>
      <w:bookmarkStart w:id="17" w:name="_Toc13678265"/>
      <w:bookmarkStart w:id="18" w:name="_Toc16505389"/>
      <w:bookmarkStart w:id="19" w:name="_Toc17357401"/>
      <w:r>
        <w:t>Acentos y caracteres especiales en las denominaciones que figuran en la base de datos PLUTO</w:t>
      </w:r>
      <w:bookmarkEnd w:id="17"/>
      <w:bookmarkEnd w:id="18"/>
      <w:bookmarkEnd w:id="19"/>
    </w:p>
    <w:p w:rsidR="009463A9" w:rsidRPr="002B3B38" w:rsidRDefault="009463A9" w:rsidP="009463A9">
      <w:pPr>
        <w:keepNext/>
        <w:ind w:left="567" w:hanging="567"/>
      </w:pPr>
    </w:p>
    <w:p w:rsidR="009463A9" w:rsidRDefault="009463A9" w:rsidP="00130D27">
      <w:pPr>
        <w:pStyle w:val="ListParagraph"/>
        <w:keepNext/>
        <w:numPr>
          <w:ilvl w:val="0"/>
          <w:numId w:val="3"/>
        </w:numPr>
      </w:pPr>
      <w:r>
        <w:t xml:space="preserve">Las propuestas relativas a los acentos y los caracteres especiales en las denominaciones que figuran en la base de datos PLUTO, recogidas en el párrafo </w:t>
      </w:r>
      <w:r w:rsidRPr="00817866">
        <w:t>12.a)</w:t>
      </w:r>
      <w:r>
        <w:t xml:space="preserve"> y b) anterior, se presentan en el documento TC/55/5 “Bases de datos de información de la UPOV”.</w:t>
      </w:r>
      <w:r w:rsidR="002C1E84">
        <w:t xml:space="preserve"> </w:t>
      </w:r>
    </w:p>
    <w:p w:rsidR="009463A9" w:rsidRPr="00ED7A7A" w:rsidRDefault="009463A9" w:rsidP="009463A9">
      <w:pPr>
        <w:rPr>
          <w:rFonts w:eastAsiaTheme="minorEastAsia"/>
        </w:rPr>
      </w:pPr>
      <w:bookmarkStart w:id="20" w:name="_Toc13678267"/>
    </w:p>
    <w:p w:rsidR="009463A9" w:rsidRPr="002B3B38" w:rsidRDefault="009463A9" w:rsidP="009463A9">
      <w:pPr>
        <w:pStyle w:val="Heading2"/>
        <w:rPr>
          <w:rFonts w:eastAsiaTheme="minorEastAsia"/>
        </w:rPr>
      </w:pPr>
      <w:bookmarkStart w:id="21" w:name="_Toc16505390"/>
      <w:bookmarkStart w:id="22" w:name="_Toc17357402"/>
      <w:r>
        <w:t>Datos sobre variedades que ya no figuran en la base de datos PLUTO (datos históricos)</w:t>
      </w:r>
      <w:bookmarkEnd w:id="20"/>
      <w:bookmarkEnd w:id="21"/>
      <w:bookmarkEnd w:id="22"/>
    </w:p>
    <w:p w:rsidR="009463A9" w:rsidRPr="002B3B38" w:rsidRDefault="009463A9" w:rsidP="009463A9">
      <w:pPr>
        <w:ind w:left="567" w:hanging="567"/>
      </w:pPr>
    </w:p>
    <w:p w:rsidR="009463A9" w:rsidRPr="006040BF" w:rsidRDefault="009463A9" w:rsidP="00130D27">
      <w:pPr>
        <w:pStyle w:val="ListParagraph"/>
        <w:numPr>
          <w:ilvl w:val="0"/>
          <w:numId w:val="3"/>
        </w:numPr>
      </w:pPr>
      <w:r>
        <w:t xml:space="preserve">Con respecto a la invitación cursada a los miembros de la Unión para que comprueben si disponen de datos sobre variedades que ya no figuran en la base de datos PLUTO, mencionada en el párrafo </w:t>
      </w:r>
      <w:r w:rsidRPr="00817866">
        <w:t>12.c)</w:t>
      </w:r>
      <w:r>
        <w:t xml:space="preserve"> anterior, la Oficina de la Unión enviará una circular </w:t>
      </w:r>
      <w:r w:rsidR="000D0CBA">
        <w:t>en la que se invite</w:t>
      </w:r>
      <w:r>
        <w:t xml:space="preserve"> a quienes aportan datos a la base de datos</w:t>
      </w:r>
      <w:r w:rsidR="00FB578E">
        <w:t> </w:t>
      </w:r>
      <w:r>
        <w:t>PLUTO a que comuniquen a la Oficina de la Unión si disponen de datos de interés sobre variedades que ya no figuran en la base de datos PLUTO</w:t>
      </w:r>
      <w:r w:rsidR="00C741D4">
        <w:t>,</w:t>
      </w:r>
      <w:r>
        <w:t xml:space="preserve"> a pesar de haber sido enviados con anterioridad a esa base de datos. Si procede, se presentará al WG-DEN la información que se reciba en respuesta a es</w:t>
      </w:r>
      <w:r w:rsidR="00FB578E">
        <w:t>t</w:t>
      </w:r>
      <w:r>
        <w:t>a circular.</w:t>
      </w:r>
    </w:p>
    <w:p w:rsidR="009463A9" w:rsidRPr="006040BF" w:rsidRDefault="009463A9" w:rsidP="009463A9">
      <w:pPr>
        <w:ind w:left="567" w:hanging="567"/>
      </w:pPr>
    </w:p>
    <w:p w:rsidR="009463A9" w:rsidRDefault="009463A9" w:rsidP="00130D27">
      <w:pPr>
        <w:pStyle w:val="ListParagraph"/>
        <w:numPr>
          <w:ilvl w:val="0"/>
          <w:numId w:val="3"/>
        </w:numPr>
      </w:pPr>
      <w:r>
        <w:t xml:space="preserve">Con respecto a la posible introducción de un identificador único de los registros de variedades en la base de datos PLUTO, mencionada en el </w:t>
      </w:r>
      <w:r w:rsidRPr="00817866">
        <w:t>párrafo 12.d)</w:t>
      </w:r>
      <w:r>
        <w:t xml:space="preserve"> anterior, la Oficina de la Unión presentará propuestas sobre este asunto en la sexta reunión del WG-DEN.</w:t>
      </w:r>
      <w:r w:rsidR="002C1E84">
        <w:t xml:space="preserve"> </w:t>
      </w:r>
    </w:p>
    <w:p w:rsidR="009463A9" w:rsidRPr="00ED7A7A" w:rsidRDefault="009463A9" w:rsidP="009463A9">
      <w:pPr>
        <w:rPr>
          <w:rFonts w:eastAsiaTheme="minorEastAsia"/>
        </w:rPr>
      </w:pPr>
      <w:bookmarkStart w:id="23" w:name="_Toc13678268"/>
    </w:p>
    <w:p w:rsidR="009463A9" w:rsidRPr="002B3B38" w:rsidRDefault="009463A9" w:rsidP="009463A9">
      <w:pPr>
        <w:pStyle w:val="Heading2"/>
        <w:rPr>
          <w:rFonts w:eastAsiaTheme="minorEastAsia"/>
        </w:rPr>
      </w:pPr>
      <w:bookmarkStart w:id="24" w:name="_Toc16505391"/>
      <w:bookmarkStart w:id="25" w:name="_Toc17357403"/>
      <w:r>
        <w:t>Otras variedades (datos nuevos)</w:t>
      </w:r>
      <w:bookmarkEnd w:id="23"/>
      <w:bookmarkEnd w:id="24"/>
      <w:bookmarkEnd w:id="25"/>
    </w:p>
    <w:p w:rsidR="009463A9" w:rsidRPr="002B3B38" w:rsidRDefault="009463A9" w:rsidP="009463A9"/>
    <w:p w:rsidR="009463A9" w:rsidRPr="00660AA5" w:rsidRDefault="009463A9" w:rsidP="00130D27">
      <w:pPr>
        <w:pStyle w:val="ListParagraph"/>
        <w:numPr>
          <w:ilvl w:val="0"/>
          <w:numId w:val="3"/>
        </w:numPr>
      </w:pPr>
      <w:r>
        <w:t xml:space="preserve">Con respecto a la inclusión de otras variedades (datos nuevos) en la base de datos PLUTO, mencionada en el párrafo </w:t>
      </w:r>
      <w:r w:rsidRPr="00817866">
        <w:t>12.e</w:t>
      </w:r>
      <w:r>
        <w:t>) y f) anterior, la Oficina de la Unión envió, el 28 de junio de 2019, la</w:t>
      </w:r>
      <w:r w:rsidR="00FB578E">
        <w:t> </w:t>
      </w:r>
      <w:r>
        <w:t>Circular</w:t>
      </w:r>
      <w:r w:rsidR="00FB578E">
        <w:t> </w:t>
      </w:r>
      <w:r>
        <w:t xml:space="preserve">E19/082 a las personas designadas </w:t>
      </w:r>
      <w:r w:rsidR="00FB578E">
        <w:t>por</w:t>
      </w:r>
      <w:r>
        <w:t xml:space="preserve"> los miembros de la Unión </w:t>
      </w:r>
      <w:r w:rsidR="00FB578E">
        <w:t>para asistir</w:t>
      </w:r>
      <w:r>
        <w:t xml:space="preserve"> </w:t>
      </w:r>
      <w:r w:rsidR="00886268">
        <w:t>a</w:t>
      </w:r>
      <w:r>
        <w:t>l Consejo, el CAJ y el</w:t>
      </w:r>
      <w:r w:rsidR="00FB578E">
        <w:t> </w:t>
      </w:r>
      <w:r>
        <w:t>WG</w:t>
      </w:r>
      <w:r w:rsidR="00FB578E">
        <w:noBreakHyphen/>
      </w:r>
      <w:r>
        <w:t xml:space="preserve">DEN, </w:t>
      </w:r>
      <w:r w:rsidR="002C1E84">
        <w:t>en la que las invitaba</w:t>
      </w:r>
      <w:r>
        <w:t xml:space="preserve"> a proponer, a más tardar el 31 de julio de 2019, otros tipos de registro que consideren conveniente incluir en la base de datos PLUTO o hacer accesibles por medio de una plataforma de búsqueda en bases de datos independientes.</w:t>
      </w:r>
      <w:r w:rsidR="002C1E84">
        <w:t xml:space="preserve"> </w:t>
      </w:r>
      <w:r>
        <w:t>Si procede, se presentará al WG-DEN la información que se reciba en respuesta a es</w:t>
      </w:r>
      <w:r w:rsidR="002C1E84">
        <w:t>t</w:t>
      </w:r>
      <w:r>
        <w:t xml:space="preserve">a circular y las propuestas correspondientes. </w:t>
      </w:r>
    </w:p>
    <w:p w:rsidR="009463A9" w:rsidRDefault="009463A9" w:rsidP="009463A9">
      <w:pPr>
        <w:rPr>
          <w:rFonts w:eastAsiaTheme="minorEastAsia"/>
        </w:rPr>
      </w:pPr>
    </w:p>
    <w:p w:rsidR="0006356C" w:rsidRPr="0006356C" w:rsidRDefault="0006356C" w:rsidP="0006356C">
      <w:pPr>
        <w:rPr>
          <w:rFonts w:eastAsiaTheme="minorEastAsia"/>
        </w:rPr>
      </w:pPr>
    </w:p>
    <w:p w:rsidR="0006356C" w:rsidRPr="0006356C" w:rsidRDefault="0006356C" w:rsidP="00C621D8">
      <w:pPr>
        <w:pStyle w:val="Heading1"/>
        <w:rPr>
          <w:rFonts w:eastAsiaTheme="minorEastAsia"/>
        </w:rPr>
      </w:pPr>
      <w:bookmarkStart w:id="26" w:name="_Toc477358710"/>
      <w:bookmarkStart w:id="27" w:name="_Toc16505392"/>
      <w:bookmarkStart w:id="28" w:name="_Toc17357404"/>
      <w:r>
        <w:t>Términos inadmisibles</w:t>
      </w:r>
      <w:bookmarkEnd w:id="26"/>
      <w:bookmarkEnd w:id="27"/>
      <w:bookmarkEnd w:id="28"/>
    </w:p>
    <w:p w:rsidR="0006356C" w:rsidRPr="0006356C" w:rsidRDefault="0006356C" w:rsidP="0006356C">
      <w:pPr>
        <w:keepNext/>
        <w:keepLines/>
        <w:rPr>
          <w:rFonts w:eastAsiaTheme="minorEastAsia"/>
        </w:rPr>
      </w:pPr>
    </w:p>
    <w:p w:rsidR="0006356C" w:rsidRPr="00130D27" w:rsidRDefault="0006356C" w:rsidP="00130D27">
      <w:pPr>
        <w:pStyle w:val="ListParagraph"/>
        <w:numPr>
          <w:ilvl w:val="0"/>
          <w:numId w:val="3"/>
        </w:numPr>
        <w:rPr>
          <w:rFonts w:eastAsiaTheme="minorEastAsia"/>
        </w:rPr>
      </w:pPr>
      <w:r>
        <w:t>Los antecedentes de esta cuestión figuran en el párrafo 16 del documento TC/54/12 “Denominaciones de variedades”.</w:t>
      </w:r>
    </w:p>
    <w:p w:rsidR="0006356C" w:rsidRPr="0006356C" w:rsidRDefault="0006356C" w:rsidP="0006356C"/>
    <w:p w:rsidR="0006356C" w:rsidRPr="0006356C" w:rsidRDefault="0006356C" w:rsidP="00130D27">
      <w:pPr>
        <w:pStyle w:val="ListParagraph"/>
        <w:numPr>
          <w:ilvl w:val="0"/>
          <w:numId w:val="3"/>
        </w:numPr>
      </w:pPr>
      <w:r>
        <w:t>En su quinta reunión, el WG-DEN acordó no seguir adelante con la cuestión de los “términos inadmisibles” (véase el párrafo 32 del documento UPOV/WG-DEN/5/3 “</w:t>
      </w:r>
      <w:r w:rsidRPr="00130D27">
        <w:rPr>
          <w:i/>
        </w:rPr>
        <w:t>Report</w:t>
      </w:r>
      <w:r>
        <w:t>”).</w:t>
      </w:r>
    </w:p>
    <w:p w:rsidR="0006356C" w:rsidRPr="0006356C" w:rsidRDefault="0006356C" w:rsidP="0006356C"/>
    <w:p w:rsidR="0006356C" w:rsidRPr="0006356C" w:rsidRDefault="0006356C" w:rsidP="0006356C"/>
    <w:p w:rsidR="0006356C" w:rsidRPr="0006356C" w:rsidRDefault="0006356C" w:rsidP="00C621D8">
      <w:pPr>
        <w:pStyle w:val="Heading1"/>
        <w:rPr>
          <w:rFonts w:eastAsiaTheme="minorEastAsia"/>
        </w:rPr>
      </w:pPr>
      <w:bookmarkStart w:id="29" w:name="_Toc477358711"/>
      <w:bookmarkStart w:id="30" w:name="_Toc16505393"/>
      <w:bookmarkStart w:id="31" w:name="_Toc17357405"/>
      <w:r>
        <w:t>Fecha y programa de la próxima reunión</w:t>
      </w:r>
      <w:bookmarkEnd w:id="29"/>
      <w:bookmarkEnd w:id="30"/>
      <w:bookmarkEnd w:id="31"/>
    </w:p>
    <w:p w:rsidR="0006356C" w:rsidRPr="0006356C" w:rsidRDefault="0006356C" w:rsidP="0006356C">
      <w:pPr>
        <w:keepNext/>
        <w:rPr>
          <w:rFonts w:eastAsiaTheme="minorEastAsia"/>
          <w:color w:val="000000" w:themeColor="text1"/>
        </w:rPr>
      </w:pPr>
    </w:p>
    <w:p w:rsidR="0006356C" w:rsidRPr="00130D27" w:rsidRDefault="0006356C" w:rsidP="00130D27">
      <w:pPr>
        <w:pStyle w:val="ListParagraph"/>
        <w:numPr>
          <w:ilvl w:val="0"/>
          <w:numId w:val="3"/>
        </w:numPr>
        <w:rPr>
          <w:rFonts w:eastAsiaTheme="minorEastAsia"/>
          <w:color w:val="000000" w:themeColor="text1"/>
        </w:rPr>
      </w:pPr>
      <w:r>
        <w:t xml:space="preserve">En su quinta reunión, el WG-DEN convino en que su </w:t>
      </w:r>
      <w:r w:rsidRPr="00130D27">
        <w:rPr>
          <w:rFonts w:eastAsiaTheme="minorEastAsia"/>
          <w:color w:val="000000" w:themeColor="text1"/>
        </w:rPr>
        <w:t>sexta</w:t>
      </w:r>
      <w:r w:rsidR="002C1E84" w:rsidRPr="00130D27">
        <w:rPr>
          <w:rFonts w:eastAsiaTheme="minorEastAsia"/>
          <w:color w:val="000000" w:themeColor="text1"/>
        </w:rPr>
        <w:t xml:space="preserve"> </w:t>
      </w:r>
      <w:r>
        <w:t>reunión se celebre en Ginebra el 29 de octubre de 2019 por la noche.</w:t>
      </w:r>
    </w:p>
    <w:p w:rsidR="0006356C" w:rsidRPr="0006356C" w:rsidRDefault="0006356C" w:rsidP="0006356C">
      <w:pPr>
        <w:rPr>
          <w:rFonts w:eastAsiaTheme="minorEastAsia"/>
          <w:color w:val="000000" w:themeColor="text1"/>
        </w:rPr>
      </w:pPr>
    </w:p>
    <w:p w:rsidR="0006356C" w:rsidRPr="00F368BE" w:rsidRDefault="0006356C" w:rsidP="00F368BE">
      <w:pPr>
        <w:pStyle w:val="ListParagraph"/>
        <w:keepNext/>
        <w:numPr>
          <w:ilvl w:val="0"/>
          <w:numId w:val="3"/>
        </w:numPr>
        <w:rPr>
          <w:color w:val="000000" w:themeColor="text1"/>
        </w:rPr>
      </w:pPr>
      <w:r>
        <w:lastRenderedPageBreak/>
        <w:t>Para la sexta reunión del WG-DEN se acordó el siguiente programa:</w:t>
      </w:r>
    </w:p>
    <w:p w:rsidR="0006356C" w:rsidRPr="0006356C" w:rsidRDefault="0006356C" w:rsidP="0006356C">
      <w:pPr>
        <w:keepNext/>
        <w:ind w:left="540"/>
        <w:rPr>
          <w:color w:val="000000" w:themeColor="text1"/>
        </w:rPr>
      </w:pPr>
    </w:p>
    <w:p w:rsidR="0006356C" w:rsidRPr="0006356C" w:rsidRDefault="0006356C" w:rsidP="0006356C">
      <w:pPr>
        <w:keepNext/>
        <w:numPr>
          <w:ilvl w:val="0"/>
          <w:numId w:val="1"/>
        </w:numPr>
        <w:autoSpaceDE w:val="0"/>
        <w:autoSpaceDN w:val="0"/>
        <w:adjustRightInd w:val="0"/>
        <w:ind w:left="1134" w:hanging="594"/>
        <w:jc w:val="left"/>
        <w:rPr>
          <w:rFonts w:eastAsiaTheme="minorEastAsia"/>
          <w:szCs w:val="24"/>
        </w:rPr>
      </w:pPr>
      <w:r>
        <w:t>Apertura de la reunión</w:t>
      </w:r>
    </w:p>
    <w:p w:rsidR="0006356C" w:rsidRPr="0006356C" w:rsidRDefault="0006356C" w:rsidP="0006356C">
      <w:pPr>
        <w:keepNext/>
        <w:autoSpaceDE w:val="0"/>
        <w:autoSpaceDN w:val="0"/>
        <w:adjustRightInd w:val="0"/>
        <w:ind w:left="1134" w:hanging="594"/>
        <w:jc w:val="left"/>
        <w:rPr>
          <w:rFonts w:eastAsiaTheme="minorEastAsia"/>
          <w:szCs w:val="24"/>
        </w:rPr>
      </w:pPr>
    </w:p>
    <w:p w:rsidR="0006356C" w:rsidRPr="0006356C" w:rsidRDefault="0006356C" w:rsidP="0006356C">
      <w:pPr>
        <w:keepNext/>
        <w:numPr>
          <w:ilvl w:val="0"/>
          <w:numId w:val="1"/>
        </w:numPr>
        <w:autoSpaceDE w:val="0"/>
        <w:autoSpaceDN w:val="0"/>
        <w:adjustRightInd w:val="0"/>
        <w:ind w:left="1134" w:hanging="594"/>
        <w:jc w:val="left"/>
        <w:rPr>
          <w:rFonts w:eastAsiaTheme="minorEastAsia"/>
          <w:szCs w:val="24"/>
        </w:rPr>
      </w:pPr>
      <w:r>
        <w:t>Aprobación del orden del día</w:t>
      </w:r>
    </w:p>
    <w:p w:rsidR="0006356C" w:rsidRPr="0006356C" w:rsidRDefault="0006356C" w:rsidP="0006356C">
      <w:pPr>
        <w:keepNext/>
        <w:autoSpaceDE w:val="0"/>
        <w:autoSpaceDN w:val="0"/>
        <w:adjustRightInd w:val="0"/>
        <w:ind w:left="1134" w:hanging="594"/>
        <w:jc w:val="left"/>
        <w:rPr>
          <w:rFonts w:eastAsiaTheme="minorEastAsia"/>
          <w:szCs w:val="24"/>
        </w:rPr>
      </w:pPr>
    </w:p>
    <w:p w:rsidR="0006356C" w:rsidRPr="0006356C" w:rsidRDefault="0006356C" w:rsidP="0006356C">
      <w:pPr>
        <w:keepNext/>
        <w:numPr>
          <w:ilvl w:val="0"/>
          <w:numId w:val="1"/>
        </w:numPr>
        <w:autoSpaceDE w:val="0"/>
        <w:autoSpaceDN w:val="0"/>
        <w:adjustRightInd w:val="0"/>
        <w:ind w:left="1134" w:hanging="594"/>
        <w:rPr>
          <w:rFonts w:eastAsiaTheme="minorEastAsia"/>
          <w:szCs w:val="24"/>
        </w:rPr>
      </w:pPr>
      <w:r>
        <w:t>Revisión del documento UPOV/INF/12/5 “Notas explicativas sobre las denominaciones de variedades con arreglo al Convenio de la UPOV”</w:t>
      </w:r>
    </w:p>
    <w:p w:rsidR="0014256C" w:rsidRPr="0014256C" w:rsidRDefault="0014256C" w:rsidP="0014256C">
      <w:pPr>
        <w:keepNext/>
        <w:autoSpaceDE w:val="0"/>
        <w:autoSpaceDN w:val="0"/>
        <w:adjustRightInd w:val="0"/>
        <w:ind w:left="1134" w:hanging="594"/>
        <w:jc w:val="left"/>
        <w:rPr>
          <w:rFonts w:eastAsiaTheme="minorEastAsia"/>
          <w:szCs w:val="24"/>
        </w:rPr>
      </w:pPr>
    </w:p>
    <w:p w:rsidR="0014256C" w:rsidRPr="0014256C" w:rsidRDefault="0014256C" w:rsidP="0014256C">
      <w:pPr>
        <w:keepNext/>
        <w:numPr>
          <w:ilvl w:val="0"/>
          <w:numId w:val="1"/>
        </w:numPr>
        <w:autoSpaceDE w:val="0"/>
        <w:autoSpaceDN w:val="0"/>
        <w:adjustRightInd w:val="0"/>
        <w:ind w:left="1170" w:hanging="630"/>
        <w:jc w:val="left"/>
        <w:rPr>
          <w:rFonts w:eastAsiaTheme="minorEastAsia"/>
          <w:szCs w:val="24"/>
        </w:rPr>
      </w:pPr>
      <w:r>
        <w:t>Instrumento de la UPOV para la búsqueda de denominaciones similares</w:t>
      </w:r>
    </w:p>
    <w:p w:rsidR="0014256C" w:rsidRPr="0014256C" w:rsidRDefault="0014256C" w:rsidP="00F368BE">
      <w:pPr>
        <w:keepNext/>
        <w:autoSpaceDE w:val="0"/>
        <w:autoSpaceDN w:val="0"/>
        <w:adjustRightInd w:val="0"/>
        <w:ind w:left="540"/>
        <w:jc w:val="left"/>
        <w:rPr>
          <w:szCs w:val="24"/>
        </w:rPr>
      </w:pPr>
    </w:p>
    <w:p w:rsidR="0014256C" w:rsidRPr="0014256C" w:rsidRDefault="0014256C" w:rsidP="0014256C">
      <w:pPr>
        <w:keepNext/>
        <w:numPr>
          <w:ilvl w:val="0"/>
          <w:numId w:val="1"/>
        </w:numPr>
        <w:autoSpaceDE w:val="0"/>
        <w:autoSpaceDN w:val="0"/>
        <w:adjustRightInd w:val="0"/>
        <w:ind w:left="1170" w:hanging="630"/>
        <w:jc w:val="left"/>
        <w:rPr>
          <w:rFonts w:eastAsiaTheme="minorEastAsia"/>
          <w:szCs w:val="24"/>
        </w:rPr>
      </w:pPr>
      <w:r>
        <w:t>Ampliación del contenido de la base de datos PLUTO</w:t>
      </w:r>
    </w:p>
    <w:p w:rsidR="0006356C" w:rsidRPr="0006356C" w:rsidRDefault="0006356C" w:rsidP="0006356C">
      <w:pPr>
        <w:autoSpaceDE w:val="0"/>
        <w:autoSpaceDN w:val="0"/>
        <w:adjustRightInd w:val="0"/>
        <w:ind w:left="1134" w:hanging="594"/>
        <w:jc w:val="left"/>
        <w:rPr>
          <w:rFonts w:eastAsiaTheme="minorEastAsia"/>
          <w:szCs w:val="24"/>
        </w:rPr>
      </w:pPr>
    </w:p>
    <w:p w:rsidR="0006356C" w:rsidRPr="0006356C" w:rsidRDefault="0006356C" w:rsidP="0006356C">
      <w:pPr>
        <w:numPr>
          <w:ilvl w:val="0"/>
          <w:numId w:val="1"/>
        </w:numPr>
        <w:autoSpaceDE w:val="0"/>
        <w:autoSpaceDN w:val="0"/>
        <w:adjustRightInd w:val="0"/>
        <w:ind w:left="1134" w:hanging="594"/>
        <w:jc w:val="left"/>
        <w:rPr>
          <w:rFonts w:eastAsiaTheme="minorEastAsia"/>
          <w:szCs w:val="24"/>
        </w:rPr>
      </w:pPr>
      <w:r>
        <w:t>Fecha, lugar y programa de la próxima reunión</w:t>
      </w:r>
    </w:p>
    <w:p w:rsidR="0006356C" w:rsidRPr="0006356C" w:rsidRDefault="0006356C" w:rsidP="0006356C">
      <w:pPr>
        <w:rPr>
          <w:rFonts w:eastAsiaTheme="minorEastAsia"/>
        </w:rPr>
      </w:pPr>
    </w:p>
    <w:p w:rsidR="0006356C" w:rsidRDefault="0006356C" w:rsidP="0006356C">
      <w:pPr>
        <w:jc w:val="left"/>
      </w:pPr>
    </w:p>
    <w:p w:rsidR="0006356C" w:rsidRPr="0006356C" w:rsidRDefault="0006356C" w:rsidP="0006356C"/>
    <w:p w:rsidR="00050E16" w:rsidRPr="00C5280D" w:rsidRDefault="00817866" w:rsidP="003C0FDD">
      <w:pPr>
        <w:jc w:val="right"/>
      </w:pPr>
      <w:r>
        <w:t xml:space="preserve"> </w:t>
      </w:r>
      <w:r w:rsidR="0006356C">
        <w:t>[Fin del documento]</w:t>
      </w: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B18" w:rsidRDefault="00E66B18" w:rsidP="006655D3">
      <w:r>
        <w:separator/>
      </w:r>
    </w:p>
    <w:p w:rsidR="00E66B18" w:rsidRDefault="00E66B18" w:rsidP="006655D3"/>
    <w:p w:rsidR="00E66B18" w:rsidRDefault="00E66B18" w:rsidP="006655D3"/>
  </w:endnote>
  <w:endnote w:type="continuationSeparator" w:id="0">
    <w:p w:rsidR="00E66B18" w:rsidRDefault="00E66B18" w:rsidP="006655D3">
      <w:r>
        <w:separator/>
      </w:r>
    </w:p>
    <w:p w:rsidR="00E66B18" w:rsidRPr="00294751" w:rsidRDefault="00E66B18">
      <w:pPr>
        <w:pStyle w:val="Footer"/>
        <w:spacing w:after="60"/>
        <w:rPr>
          <w:sz w:val="18"/>
          <w:lang w:val="fr-FR"/>
        </w:rPr>
      </w:pPr>
      <w:r w:rsidRPr="00294751">
        <w:rPr>
          <w:sz w:val="18"/>
          <w:lang w:val="fr-FR"/>
        </w:rPr>
        <w:t>[Suite de la note de la page précédente]</w:t>
      </w:r>
    </w:p>
    <w:p w:rsidR="00E66B18" w:rsidRPr="00294751" w:rsidRDefault="00E66B18" w:rsidP="006655D3">
      <w:pPr>
        <w:rPr>
          <w:lang w:val="fr-FR"/>
        </w:rPr>
      </w:pPr>
    </w:p>
    <w:p w:rsidR="00E66B18" w:rsidRPr="00294751" w:rsidRDefault="00E66B18" w:rsidP="006655D3">
      <w:pPr>
        <w:rPr>
          <w:lang w:val="fr-FR"/>
        </w:rPr>
      </w:pPr>
    </w:p>
  </w:endnote>
  <w:endnote w:type="continuationNotice" w:id="1">
    <w:p w:rsidR="00E66B18" w:rsidRPr="00294751" w:rsidRDefault="00E66B18" w:rsidP="006655D3">
      <w:pPr>
        <w:rPr>
          <w:lang w:val="fr-FR"/>
        </w:rPr>
      </w:pPr>
      <w:r w:rsidRPr="00294751">
        <w:rPr>
          <w:lang w:val="fr-FR"/>
        </w:rPr>
        <w:t>[Suite de la note page suivante]</w:t>
      </w:r>
    </w:p>
    <w:p w:rsidR="00E66B18" w:rsidRPr="00294751" w:rsidRDefault="00E66B18" w:rsidP="006655D3">
      <w:pPr>
        <w:rPr>
          <w:lang w:val="fr-FR"/>
        </w:rPr>
      </w:pPr>
    </w:p>
    <w:p w:rsidR="00E66B18" w:rsidRPr="00294751" w:rsidRDefault="00E66B1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B18" w:rsidRDefault="00E66B18" w:rsidP="006655D3">
      <w:r>
        <w:separator/>
      </w:r>
    </w:p>
  </w:footnote>
  <w:footnote w:type="continuationSeparator" w:id="0">
    <w:p w:rsidR="00E66B18" w:rsidRDefault="00E66B18" w:rsidP="006655D3">
      <w:r>
        <w:separator/>
      </w:r>
    </w:p>
  </w:footnote>
  <w:footnote w:type="continuationNotice" w:id="1">
    <w:p w:rsidR="00E66B18" w:rsidRPr="00AB530F" w:rsidRDefault="00E66B1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rPr>
    </w:pPr>
    <w:r>
      <w:rPr>
        <w:rStyle w:val="PageNumber"/>
      </w:rPr>
      <w:t>TC/55/INF/7</w:t>
    </w:r>
  </w:p>
  <w:p w:rsidR="00182B99" w:rsidRPr="00C5280D" w:rsidRDefault="00182B99"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71AEF">
      <w:rPr>
        <w:rStyle w:val="PageNumber"/>
        <w:noProof/>
      </w:rPr>
      <w:t>2</w:t>
    </w:r>
    <w:r w:rsidRPr="00C5280D">
      <w:rPr>
        <w:rStyle w:val="PageNumber"/>
      </w:rPr>
      <w:fldChar w:fldCharType="end"/>
    </w:r>
  </w:p>
  <w:p w:rsidR="00182B99" w:rsidRPr="00C5280D" w:rsidRDefault="00182B99" w:rsidP="00130D2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619"/>
    <w:multiLevelType w:val="hybridMultilevel"/>
    <w:tmpl w:val="D782367A"/>
    <w:lvl w:ilvl="0" w:tplc="7F4620DA">
      <w:start w:val="1"/>
      <w:numFmt w:val="lowerLetter"/>
      <w:lvlText w:val="%1)"/>
      <w:lvlJc w:val="left"/>
      <w:pPr>
        <w:ind w:left="0" w:firstLine="56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58F92472"/>
    <w:multiLevelType w:val="hybridMultilevel"/>
    <w:tmpl w:val="29749A88"/>
    <w:lvl w:ilvl="0" w:tplc="F6C0D88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AC415E"/>
    <w:multiLevelType w:val="hybridMultilevel"/>
    <w:tmpl w:val="CB68C9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B3D5EF5"/>
    <w:multiLevelType w:val="hybridMultilevel"/>
    <w:tmpl w:val="B6186252"/>
    <w:lvl w:ilvl="0" w:tplc="0C0A0017">
      <w:start w:val="1"/>
      <w:numFmt w:val="lowerLetter"/>
      <w:lvlText w:val="%1)"/>
      <w:lvlJc w:val="left"/>
      <w:pPr>
        <w:ind w:left="1287" w:hanging="360"/>
      </w:pPr>
    </w:lvl>
    <w:lvl w:ilvl="1" w:tplc="7F4620DA">
      <w:start w:val="1"/>
      <w:numFmt w:val="lowerLetter"/>
      <w:lvlText w:val="%2)"/>
      <w:lvlJc w:val="left"/>
      <w:pPr>
        <w:ind w:left="0" w:firstLine="567"/>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7BAC3C9B"/>
    <w:multiLevelType w:val="hybridMultilevel"/>
    <w:tmpl w:val="91C6CAEE"/>
    <w:lvl w:ilvl="0" w:tplc="7D3CD634">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BFE1FFA"/>
    <w:multiLevelType w:val="hybridMultilevel"/>
    <w:tmpl w:val="073CF912"/>
    <w:lvl w:ilvl="0" w:tplc="7D3CD634">
      <w:start w:val="1"/>
      <w:numFmt w:val="decimal"/>
      <w:lvlText w:val="%1."/>
      <w:lvlJc w:val="left"/>
      <w:pPr>
        <w:ind w:left="0" w:firstLine="0"/>
      </w:pPr>
      <w:rPr>
        <w:rFonts w:hint="default"/>
      </w:rPr>
    </w:lvl>
    <w:lvl w:ilvl="1" w:tplc="C0ECC664">
      <w:start w:val="1"/>
      <w:numFmt w:val="lowerLetter"/>
      <w:lvlText w:val="%2)"/>
      <w:lvlJc w:val="left"/>
      <w:pPr>
        <w:ind w:left="1650" w:hanging="57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3360AF"/>
    <w:multiLevelType w:val="hybridMultilevel"/>
    <w:tmpl w:val="E86E82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6"/>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4642"/>
    <w:rsid w:val="000446B9"/>
    <w:rsid w:val="00047384"/>
    <w:rsid w:val="00047E21"/>
    <w:rsid w:val="00050E16"/>
    <w:rsid w:val="0006356C"/>
    <w:rsid w:val="00085505"/>
    <w:rsid w:val="000C4E25"/>
    <w:rsid w:val="000C7021"/>
    <w:rsid w:val="000D0CBA"/>
    <w:rsid w:val="000D6BBC"/>
    <w:rsid w:val="000D7780"/>
    <w:rsid w:val="000E636A"/>
    <w:rsid w:val="000F2F11"/>
    <w:rsid w:val="00105929"/>
    <w:rsid w:val="00110C36"/>
    <w:rsid w:val="001131D5"/>
    <w:rsid w:val="00130D27"/>
    <w:rsid w:val="00141DB8"/>
    <w:rsid w:val="0014256C"/>
    <w:rsid w:val="00160F9D"/>
    <w:rsid w:val="00164B5E"/>
    <w:rsid w:val="00172084"/>
    <w:rsid w:val="0017474A"/>
    <w:rsid w:val="001758C6"/>
    <w:rsid w:val="00182B99"/>
    <w:rsid w:val="001A473A"/>
    <w:rsid w:val="001D36AC"/>
    <w:rsid w:val="0021332C"/>
    <w:rsid w:val="00213982"/>
    <w:rsid w:val="0024416D"/>
    <w:rsid w:val="00271911"/>
    <w:rsid w:val="00271AEF"/>
    <w:rsid w:val="002760C2"/>
    <w:rsid w:val="002800A0"/>
    <w:rsid w:val="002801B3"/>
    <w:rsid w:val="00281060"/>
    <w:rsid w:val="00283962"/>
    <w:rsid w:val="002940E8"/>
    <w:rsid w:val="00294751"/>
    <w:rsid w:val="002A6E50"/>
    <w:rsid w:val="002B4298"/>
    <w:rsid w:val="002C1E84"/>
    <w:rsid w:val="002C256A"/>
    <w:rsid w:val="002D7A41"/>
    <w:rsid w:val="00304827"/>
    <w:rsid w:val="00305A7F"/>
    <w:rsid w:val="003152FE"/>
    <w:rsid w:val="00327436"/>
    <w:rsid w:val="00344BD6"/>
    <w:rsid w:val="0035528D"/>
    <w:rsid w:val="00361821"/>
    <w:rsid w:val="00361E9E"/>
    <w:rsid w:val="00382007"/>
    <w:rsid w:val="003874FF"/>
    <w:rsid w:val="003A1132"/>
    <w:rsid w:val="003C0FDD"/>
    <w:rsid w:val="003C7FBE"/>
    <w:rsid w:val="003D227C"/>
    <w:rsid w:val="003D2B4D"/>
    <w:rsid w:val="003E1AE0"/>
    <w:rsid w:val="003E646B"/>
    <w:rsid w:val="004138A1"/>
    <w:rsid w:val="00444A88"/>
    <w:rsid w:val="00474DA4"/>
    <w:rsid w:val="00476B4D"/>
    <w:rsid w:val="004805FA"/>
    <w:rsid w:val="004935D2"/>
    <w:rsid w:val="004962D1"/>
    <w:rsid w:val="004B1215"/>
    <w:rsid w:val="004D047D"/>
    <w:rsid w:val="004F1E9E"/>
    <w:rsid w:val="004F305A"/>
    <w:rsid w:val="00512164"/>
    <w:rsid w:val="00520297"/>
    <w:rsid w:val="005338F9"/>
    <w:rsid w:val="00536FFD"/>
    <w:rsid w:val="0054281C"/>
    <w:rsid w:val="00544581"/>
    <w:rsid w:val="0055268D"/>
    <w:rsid w:val="00576BE4"/>
    <w:rsid w:val="005A19FB"/>
    <w:rsid w:val="005A400A"/>
    <w:rsid w:val="005B46E9"/>
    <w:rsid w:val="005F333E"/>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74FD"/>
    <w:rsid w:val="006B7BFC"/>
    <w:rsid w:val="006C224E"/>
    <w:rsid w:val="006D7435"/>
    <w:rsid w:val="006D780A"/>
    <w:rsid w:val="0071271E"/>
    <w:rsid w:val="00732DEC"/>
    <w:rsid w:val="00735BD5"/>
    <w:rsid w:val="00751613"/>
    <w:rsid w:val="007556F6"/>
    <w:rsid w:val="00760EEF"/>
    <w:rsid w:val="00777EE5"/>
    <w:rsid w:val="00784836"/>
    <w:rsid w:val="0079023E"/>
    <w:rsid w:val="007A2854"/>
    <w:rsid w:val="007B6EFD"/>
    <w:rsid w:val="007C1D92"/>
    <w:rsid w:val="007C4CB9"/>
    <w:rsid w:val="007D0B9D"/>
    <w:rsid w:val="007D19B0"/>
    <w:rsid w:val="007F498F"/>
    <w:rsid w:val="0080679D"/>
    <w:rsid w:val="008108B0"/>
    <w:rsid w:val="00811B20"/>
    <w:rsid w:val="00817866"/>
    <w:rsid w:val="008211B5"/>
    <w:rsid w:val="0082296E"/>
    <w:rsid w:val="00824099"/>
    <w:rsid w:val="00846D7C"/>
    <w:rsid w:val="00867AC1"/>
    <w:rsid w:val="00886268"/>
    <w:rsid w:val="00886637"/>
    <w:rsid w:val="00890DF8"/>
    <w:rsid w:val="008A31C9"/>
    <w:rsid w:val="008A4562"/>
    <w:rsid w:val="008A743F"/>
    <w:rsid w:val="008B6E60"/>
    <w:rsid w:val="008C0970"/>
    <w:rsid w:val="008C68C0"/>
    <w:rsid w:val="008D0BC5"/>
    <w:rsid w:val="008D2CF7"/>
    <w:rsid w:val="008D5CB4"/>
    <w:rsid w:val="008D7E86"/>
    <w:rsid w:val="00900C26"/>
    <w:rsid w:val="00900C6F"/>
    <w:rsid w:val="0090197F"/>
    <w:rsid w:val="009035D2"/>
    <w:rsid w:val="00906DDC"/>
    <w:rsid w:val="00934E09"/>
    <w:rsid w:val="00936253"/>
    <w:rsid w:val="00940364"/>
    <w:rsid w:val="00940D46"/>
    <w:rsid w:val="009463A9"/>
    <w:rsid w:val="00952DD4"/>
    <w:rsid w:val="00965AE7"/>
    <w:rsid w:val="00970FED"/>
    <w:rsid w:val="00972CC5"/>
    <w:rsid w:val="00983ED6"/>
    <w:rsid w:val="00992D82"/>
    <w:rsid w:val="00997029"/>
    <w:rsid w:val="009A7339"/>
    <w:rsid w:val="009B440E"/>
    <w:rsid w:val="009C340B"/>
    <w:rsid w:val="009D690D"/>
    <w:rsid w:val="009E65B6"/>
    <w:rsid w:val="00A04A26"/>
    <w:rsid w:val="00A06D44"/>
    <w:rsid w:val="00A24C10"/>
    <w:rsid w:val="00A37C2B"/>
    <w:rsid w:val="00A42AC3"/>
    <w:rsid w:val="00A430CF"/>
    <w:rsid w:val="00A502AD"/>
    <w:rsid w:val="00A54309"/>
    <w:rsid w:val="00A85D1F"/>
    <w:rsid w:val="00AB2B93"/>
    <w:rsid w:val="00AB530F"/>
    <w:rsid w:val="00AB7E5B"/>
    <w:rsid w:val="00AC2883"/>
    <w:rsid w:val="00AE0EF1"/>
    <w:rsid w:val="00AE2937"/>
    <w:rsid w:val="00AF2E14"/>
    <w:rsid w:val="00B07301"/>
    <w:rsid w:val="00B11F3E"/>
    <w:rsid w:val="00B224DE"/>
    <w:rsid w:val="00B278E8"/>
    <w:rsid w:val="00B324D4"/>
    <w:rsid w:val="00B46575"/>
    <w:rsid w:val="00B61777"/>
    <w:rsid w:val="00B84A84"/>
    <w:rsid w:val="00B84BBD"/>
    <w:rsid w:val="00BA43FB"/>
    <w:rsid w:val="00BC127D"/>
    <w:rsid w:val="00BC1FE6"/>
    <w:rsid w:val="00C061B6"/>
    <w:rsid w:val="00C11CC3"/>
    <w:rsid w:val="00C2446C"/>
    <w:rsid w:val="00C36AE5"/>
    <w:rsid w:val="00C41F17"/>
    <w:rsid w:val="00C527FA"/>
    <w:rsid w:val="00C5280D"/>
    <w:rsid w:val="00C53EB3"/>
    <w:rsid w:val="00C5791C"/>
    <w:rsid w:val="00C61DC8"/>
    <w:rsid w:val="00C621D8"/>
    <w:rsid w:val="00C66290"/>
    <w:rsid w:val="00C72B7A"/>
    <w:rsid w:val="00C740CE"/>
    <w:rsid w:val="00C741D4"/>
    <w:rsid w:val="00C973F2"/>
    <w:rsid w:val="00CA304C"/>
    <w:rsid w:val="00CA774A"/>
    <w:rsid w:val="00CC11B0"/>
    <w:rsid w:val="00CC2841"/>
    <w:rsid w:val="00CF1330"/>
    <w:rsid w:val="00CF7E36"/>
    <w:rsid w:val="00D036E6"/>
    <w:rsid w:val="00D264CC"/>
    <w:rsid w:val="00D326F9"/>
    <w:rsid w:val="00D3708D"/>
    <w:rsid w:val="00D40426"/>
    <w:rsid w:val="00D57C96"/>
    <w:rsid w:val="00D57D18"/>
    <w:rsid w:val="00D811E3"/>
    <w:rsid w:val="00D91203"/>
    <w:rsid w:val="00D95174"/>
    <w:rsid w:val="00DA4973"/>
    <w:rsid w:val="00DA6F36"/>
    <w:rsid w:val="00DB596E"/>
    <w:rsid w:val="00DB7773"/>
    <w:rsid w:val="00DC00EA"/>
    <w:rsid w:val="00DC3802"/>
    <w:rsid w:val="00E07D87"/>
    <w:rsid w:val="00E2109F"/>
    <w:rsid w:val="00E32F7E"/>
    <w:rsid w:val="00E341FC"/>
    <w:rsid w:val="00E42EA0"/>
    <w:rsid w:val="00E5267B"/>
    <w:rsid w:val="00E63C0E"/>
    <w:rsid w:val="00E66B18"/>
    <w:rsid w:val="00E72D49"/>
    <w:rsid w:val="00E7593C"/>
    <w:rsid w:val="00E7678A"/>
    <w:rsid w:val="00E935F1"/>
    <w:rsid w:val="00E94A81"/>
    <w:rsid w:val="00EA1FFB"/>
    <w:rsid w:val="00EB048E"/>
    <w:rsid w:val="00EB4E9C"/>
    <w:rsid w:val="00ED6BB2"/>
    <w:rsid w:val="00EE34DF"/>
    <w:rsid w:val="00EF2F89"/>
    <w:rsid w:val="00F0206E"/>
    <w:rsid w:val="00F03E98"/>
    <w:rsid w:val="00F1237A"/>
    <w:rsid w:val="00F22CBD"/>
    <w:rsid w:val="00F272F1"/>
    <w:rsid w:val="00F368BE"/>
    <w:rsid w:val="00F45372"/>
    <w:rsid w:val="00F560F7"/>
    <w:rsid w:val="00F60347"/>
    <w:rsid w:val="00F6334D"/>
    <w:rsid w:val="00FA49AB"/>
    <w:rsid w:val="00FB578E"/>
    <w:rsid w:val="00FB585E"/>
    <w:rsid w:val="00FB6BD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1FEFC8"/>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rsid w:val="00AF2E14"/>
    <w:pPr>
      <w:tabs>
        <w:tab w:val="right" w:leader="dot" w:pos="9639"/>
      </w:tabs>
      <w:ind w:left="568" w:right="851" w:hanging="284"/>
      <w:contextualSpacing/>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AF2E14"/>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30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1557</Words>
  <Characters>8880</Characters>
  <Application>Microsoft Office Word</Application>
  <DocSecurity>0</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TC/55/INF/7</vt:lpstr>
      <vt:lpstr>TC/55/INF/7</vt:lpstr>
    </vt:vector>
  </TitlesOfParts>
  <Company>UPOV</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TC/55/INF/7</dc:title>
  <dc:creator>SANCHEZ VIZCAINO GOMEZ Rosa Maria</dc:creator>
  <cp:lastModifiedBy>SANTOS Carla Marina</cp:lastModifiedBy>
  <cp:revision>5</cp:revision>
  <cp:lastPrinted>2016-11-22T15:41:00Z</cp:lastPrinted>
  <dcterms:created xsi:type="dcterms:W3CDTF">2019-09-03T10:10:00Z</dcterms:created>
  <dcterms:modified xsi:type="dcterms:W3CDTF">2019-09-06T17:50:00Z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8a56ad52-7831-4307-88d3-00ac164ad0ae</vt:lpwstr>
  </property>
</Properties>
</file>