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895234F" w14:textId="77777777" w:rsidTr="00EB4E9C">
        <w:tc>
          <w:tcPr>
            <w:tcW w:w="6522" w:type="dxa"/>
          </w:tcPr>
          <w:p w14:paraId="78B50425" w14:textId="77777777" w:rsidR="00DC3802" w:rsidRPr="00AC2883" w:rsidRDefault="00DC3802" w:rsidP="00AC2883">
            <w:r>
              <w:rPr>
                <w:noProof/>
                <w:lang w:val="en-US" w:eastAsia="en-US" w:bidi="ar-SA"/>
              </w:rPr>
              <w:drawing>
                <wp:inline distT="0" distB="0" distL="0" distR="0" wp14:anchorId="1716EC25" wp14:editId="656E0F8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36D063D" w14:textId="77777777" w:rsidR="00DC3802" w:rsidRPr="007C1D92" w:rsidRDefault="00594FB3" w:rsidP="00AC2883">
            <w:pPr>
              <w:pStyle w:val="Lettrine"/>
            </w:pPr>
            <w:r>
              <w:t>S</w:t>
            </w:r>
          </w:p>
        </w:tc>
      </w:tr>
      <w:tr w:rsidR="00DC3802" w:rsidRPr="00594FB3" w14:paraId="20E2C015" w14:textId="77777777" w:rsidTr="00645CA8">
        <w:trPr>
          <w:trHeight w:val="219"/>
        </w:trPr>
        <w:tc>
          <w:tcPr>
            <w:tcW w:w="6522" w:type="dxa"/>
          </w:tcPr>
          <w:p w14:paraId="2C785CAD" w14:textId="77777777" w:rsidR="00DC3802" w:rsidRPr="00594FB3" w:rsidRDefault="00594FB3" w:rsidP="00AC2883">
            <w:pPr>
              <w:pStyle w:val="upove"/>
            </w:pPr>
            <w:r>
              <w:t>Unión Internacional para la Protección de las Obtenciones Vegetales</w:t>
            </w:r>
          </w:p>
        </w:tc>
        <w:tc>
          <w:tcPr>
            <w:tcW w:w="3117" w:type="dxa"/>
          </w:tcPr>
          <w:p w14:paraId="20881D8F" w14:textId="77777777" w:rsidR="00DC3802" w:rsidRPr="00594FB3" w:rsidRDefault="00DC3802" w:rsidP="00DA4973"/>
        </w:tc>
      </w:tr>
    </w:tbl>
    <w:p w14:paraId="35EFA3E5" w14:textId="77777777" w:rsidR="00DC3802" w:rsidRPr="00594FB3" w:rsidRDefault="00DC3802" w:rsidP="00DC3802"/>
    <w:p w14:paraId="456F5FDC" w14:textId="77777777" w:rsidR="00DA4973" w:rsidRPr="00594FB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94FB3" w14:paraId="50286D8D" w14:textId="77777777" w:rsidTr="00EB4E9C">
        <w:tc>
          <w:tcPr>
            <w:tcW w:w="6512" w:type="dxa"/>
          </w:tcPr>
          <w:p w14:paraId="5CBD4254" w14:textId="77777777" w:rsidR="00594FB3" w:rsidRPr="00AC2883" w:rsidRDefault="00594FB3" w:rsidP="00594FB3">
            <w:pPr>
              <w:pStyle w:val="Sessiontc"/>
              <w:spacing w:line="240" w:lineRule="auto"/>
            </w:pPr>
            <w:r>
              <w:t>Comité Técnico</w:t>
            </w:r>
          </w:p>
          <w:p w14:paraId="63A66E53" w14:textId="77777777" w:rsidR="00EB4E9C" w:rsidRPr="00594FB3" w:rsidRDefault="00594FB3" w:rsidP="00594FB3">
            <w:pPr>
              <w:pStyle w:val="Sessiontcplacedate"/>
              <w:rPr>
                <w:sz w:val="22"/>
              </w:rPr>
            </w:pPr>
            <w:r>
              <w:t>Quincuagésima quinta sesión</w:t>
            </w:r>
            <w:r>
              <w:br/>
              <w:t>Ginebra, 28 y 29 de octubre de 2019</w:t>
            </w:r>
          </w:p>
        </w:tc>
        <w:tc>
          <w:tcPr>
            <w:tcW w:w="3127" w:type="dxa"/>
          </w:tcPr>
          <w:p w14:paraId="02E34FE1" w14:textId="77777777" w:rsidR="00EB4E9C" w:rsidRPr="003C7FBE" w:rsidRDefault="006D7435" w:rsidP="003C7FBE">
            <w:pPr>
              <w:pStyle w:val="Doccode"/>
            </w:pPr>
            <w:r>
              <w:t>TC/55/INF/6</w:t>
            </w:r>
          </w:p>
          <w:p w14:paraId="657C2987" w14:textId="77777777" w:rsidR="00594FB3" w:rsidRPr="00594FB3" w:rsidRDefault="00594FB3" w:rsidP="00594FB3">
            <w:pPr>
              <w:pStyle w:val="Docoriginal"/>
            </w:pPr>
            <w:r>
              <w:t>Original:</w:t>
            </w:r>
            <w:r>
              <w:rPr>
                <w:b w:val="0"/>
                <w:spacing w:val="0"/>
              </w:rPr>
              <w:t xml:space="preserve"> </w:t>
            </w:r>
            <w:proofErr w:type="gramStart"/>
            <w:r>
              <w:rPr>
                <w:b w:val="0"/>
                <w:spacing w:val="0"/>
              </w:rPr>
              <w:t>Inglés</w:t>
            </w:r>
            <w:proofErr w:type="gramEnd"/>
          </w:p>
          <w:p w14:paraId="67520220" w14:textId="77777777" w:rsidR="00EB4E9C" w:rsidRPr="00594FB3" w:rsidRDefault="00594FB3" w:rsidP="00594FB3">
            <w:pPr>
              <w:pStyle w:val="Docoriginal"/>
            </w:pPr>
            <w:r>
              <w:t>Fecha:</w:t>
            </w:r>
            <w:r>
              <w:rPr>
                <w:b w:val="0"/>
                <w:spacing w:val="0"/>
              </w:rPr>
              <w:t xml:space="preserve"> 21 de octubre de 2019</w:t>
            </w:r>
          </w:p>
        </w:tc>
      </w:tr>
    </w:tbl>
    <w:p w14:paraId="39FF9197" w14:textId="1A9586DB" w:rsidR="000D7780" w:rsidRPr="006A644A" w:rsidRDefault="001A473A" w:rsidP="006A644A">
      <w:pPr>
        <w:pStyle w:val="Titleofdoc0"/>
      </w:pPr>
      <w:bookmarkStart w:id="0" w:name="TitleOfDoc"/>
      <w:bookmarkEnd w:id="0"/>
      <w:r>
        <w:t>Técnicas moleculares</w:t>
      </w:r>
      <w:r w:rsidR="00C87100">
        <w:t>:</w:t>
      </w:r>
      <w:r>
        <w:t xml:space="preserve"> Cuestiones para información</w:t>
      </w:r>
    </w:p>
    <w:p w14:paraId="1C811FC1" w14:textId="77777777" w:rsidR="00594FB3" w:rsidRPr="00594FB3" w:rsidRDefault="00594FB3" w:rsidP="00594FB3">
      <w:pPr>
        <w:pStyle w:val="preparedby1"/>
        <w:jc w:val="left"/>
      </w:pPr>
      <w:bookmarkStart w:id="1" w:name="Prepared"/>
      <w:bookmarkStart w:id="2" w:name="_Toc22569700"/>
      <w:bookmarkEnd w:id="1"/>
      <w:r>
        <w:t>Documento preparado por la Oficina de la Unión</w:t>
      </w:r>
    </w:p>
    <w:p w14:paraId="20ABF70C" w14:textId="77777777" w:rsidR="00594FB3" w:rsidRPr="00594FB3" w:rsidRDefault="00594FB3" w:rsidP="00594FB3">
      <w:pPr>
        <w:pStyle w:val="Disclaimer"/>
      </w:pPr>
      <w:r>
        <w:t>Descargo de responsabilidad: el presente documento no constituye un documento de política u orientación de la UPOV</w:t>
      </w:r>
    </w:p>
    <w:p w14:paraId="0031493A" w14:textId="77777777" w:rsidR="00440683" w:rsidRPr="00440683" w:rsidRDefault="00440683" w:rsidP="00B96116">
      <w:pPr>
        <w:pStyle w:val="Heading1"/>
      </w:pPr>
      <w:bookmarkStart w:id="3" w:name="_Toc24095747"/>
      <w:r>
        <w:t>RESUMEN</w:t>
      </w:r>
      <w:bookmarkEnd w:id="2"/>
      <w:bookmarkEnd w:id="3"/>
    </w:p>
    <w:p w14:paraId="7DD2DC94" w14:textId="77777777" w:rsidR="00440683" w:rsidRPr="00DF1E9C" w:rsidRDefault="00440683" w:rsidP="00440683">
      <w:pPr>
        <w:rPr>
          <w:sz w:val="18"/>
        </w:rPr>
      </w:pPr>
    </w:p>
    <w:p w14:paraId="1D6527E9" w14:textId="122F39F1" w:rsidR="00440683" w:rsidRPr="00440683" w:rsidRDefault="00440683" w:rsidP="00440683">
      <w:r w:rsidRPr="00440683">
        <w:fldChar w:fldCharType="begin"/>
      </w:r>
      <w:r w:rsidRPr="00440683">
        <w:instrText xml:space="preserve"> AUTONUM  </w:instrText>
      </w:r>
      <w:r w:rsidRPr="00440683">
        <w:fldChar w:fldCharType="end"/>
      </w:r>
      <w:r>
        <w:tab/>
        <w:t>Este documento tiene por objeto exponer</w:t>
      </w:r>
      <w:r w:rsidR="00C14653">
        <w:t>, a título informativo,</w:t>
      </w:r>
      <w:r>
        <w:t xml:space="preserve"> las novedades acaecidas en la decimoctava sesión del Grupo de Trabajo sobre Técnicas Bioquímicas y Moleculares, y Perfiles de ADN en particular (BMT).</w:t>
      </w:r>
    </w:p>
    <w:p w14:paraId="4CB8C72C" w14:textId="77777777" w:rsidR="009A13DE" w:rsidRPr="009A13DE" w:rsidRDefault="009A13DE" w:rsidP="009A13DE">
      <w:pPr>
        <w:rPr>
          <w:rFonts w:eastAsia="Times New Roman"/>
        </w:rPr>
      </w:pPr>
    </w:p>
    <w:p w14:paraId="67BDBF4B" w14:textId="77777777" w:rsidR="009A13DE" w:rsidRPr="009A13DE" w:rsidRDefault="009A13DE" w:rsidP="009A13DE">
      <w:pPr>
        <w:rPr>
          <w:rFonts w:eastAsia="Times New Roman"/>
        </w:rPr>
      </w:pPr>
      <w:r w:rsidRPr="009A13DE">
        <w:rPr>
          <w:rFonts w:eastAsia="Times New Roman"/>
        </w:rPr>
        <w:fldChar w:fldCharType="begin"/>
      </w:r>
      <w:r w:rsidRPr="009A13DE">
        <w:rPr>
          <w:rFonts w:eastAsia="Times New Roman"/>
        </w:rPr>
        <w:instrText xml:space="preserve"> AUTONUM  </w:instrText>
      </w:r>
      <w:r w:rsidRPr="009A13DE">
        <w:rPr>
          <w:rFonts w:eastAsia="Times New Roman"/>
        </w:rPr>
        <w:fldChar w:fldCharType="end"/>
      </w:r>
      <w:r>
        <w:tab/>
        <w:t>Las cuestiones sujetas al examen del Comité Técnico (TC) referidas al uso de técnicas bioquímicas y moleculares en el examen DHE y a las técnicas moleculares en relación con los Grupos de Trabajo Técnico (TWP) y el Grupo de Trabajo sobre Técnicas Bioquímicas y Moleculares, y Perfiles de ADN en particular (BMT) se presentan en los documentos TC/55/7 Corr. “Técnicas moleculares” y TC/55/7 Add. “Adición al documento: Técnicas moleculares”.</w:t>
      </w:r>
    </w:p>
    <w:p w14:paraId="7560980E" w14:textId="77777777" w:rsidR="009A13DE" w:rsidRPr="00995EAD" w:rsidRDefault="009A13DE" w:rsidP="00440683">
      <w:pPr>
        <w:jc w:val="left"/>
        <w:rPr>
          <w:rFonts w:cs="Arial"/>
          <w:snapToGrid w:val="0"/>
          <w:szCs w:val="24"/>
        </w:rPr>
      </w:pPr>
    </w:p>
    <w:p w14:paraId="15B63BF0" w14:textId="77777777" w:rsidR="00440683" w:rsidRPr="00440683" w:rsidRDefault="00440683" w:rsidP="00440683">
      <w:pPr>
        <w:keepNext/>
        <w:keepLines/>
      </w:pPr>
      <w:r w:rsidRPr="00440683">
        <w:fldChar w:fldCharType="begin"/>
      </w:r>
      <w:r w:rsidRPr="00440683">
        <w:instrText xml:space="preserve"> AUTONUM  </w:instrText>
      </w:r>
      <w:r w:rsidRPr="00440683">
        <w:fldChar w:fldCharType="end"/>
      </w:r>
      <w:r>
        <w:tab/>
        <w:t>El presente documento se estructura del modo siguiente:</w:t>
      </w:r>
    </w:p>
    <w:sdt>
      <w:sdtPr>
        <w:rPr>
          <w:caps/>
          <w:smallCaps/>
          <w:sz w:val="18"/>
        </w:rPr>
        <w:id w:val="-1800911247"/>
        <w:docPartObj>
          <w:docPartGallery w:val="Table of Contents"/>
          <w:docPartUnique/>
        </w:docPartObj>
      </w:sdtPr>
      <w:sdtEndPr>
        <w:rPr>
          <w:smallCaps w:val="0"/>
          <w:noProof/>
        </w:rPr>
      </w:sdtEndPr>
      <w:sdtContent>
        <w:p w14:paraId="0B261A91" w14:textId="77777777" w:rsidR="00440683" w:rsidRPr="00DF1E9C" w:rsidRDefault="00440683" w:rsidP="00440683">
          <w:pPr>
            <w:keepNext/>
            <w:keepLines/>
            <w:rPr>
              <w:rFonts w:cs="Arial"/>
              <w:b/>
              <w:sz w:val="18"/>
            </w:rPr>
          </w:pPr>
        </w:p>
        <w:p w14:paraId="064ED05C" w14:textId="6DEFC01B" w:rsidR="0091340F" w:rsidRDefault="00440683" w:rsidP="0091340F">
          <w:pPr>
            <w:pStyle w:val="TOC1"/>
            <w:rPr>
              <w:rFonts w:asciiTheme="minorHAnsi" w:hAnsiTheme="minorHAnsi" w:cstheme="minorBidi"/>
              <w:noProof/>
              <w:sz w:val="22"/>
              <w:szCs w:val="22"/>
              <w:lang w:bidi="ar-SA"/>
            </w:rPr>
          </w:pPr>
          <w:r w:rsidRPr="00440683">
            <w:rPr>
              <w:rFonts w:cs="Arial"/>
              <w:szCs w:val="18"/>
            </w:rPr>
            <w:fldChar w:fldCharType="begin"/>
          </w:r>
          <w:r w:rsidRPr="00440683">
            <w:rPr>
              <w:rFonts w:cs="Arial"/>
              <w:bCs/>
              <w:noProof/>
              <w:szCs w:val="18"/>
            </w:rPr>
            <w:instrText xml:space="preserve"> TOC \o "1-3" \h \z \u </w:instrText>
          </w:r>
          <w:r w:rsidRPr="00440683">
            <w:rPr>
              <w:rFonts w:cs="Arial"/>
              <w:szCs w:val="18"/>
            </w:rPr>
            <w:fldChar w:fldCharType="separate"/>
          </w:r>
          <w:hyperlink w:anchor="_Toc24095747" w:history="1">
            <w:r w:rsidR="0091340F" w:rsidRPr="009E435A">
              <w:rPr>
                <w:rStyle w:val="Hyperlink"/>
                <w:noProof/>
              </w:rPr>
              <w:t>RESUMEN</w:t>
            </w:r>
            <w:r w:rsidR="0091340F">
              <w:rPr>
                <w:noProof/>
                <w:webHidden/>
              </w:rPr>
              <w:tab/>
            </w:r>
            <w:r w:rsidR="0091340F">
              <w:rPr>
                <w:noProof/>
                <w:webHidden/>
              </w:rPr>
              <w:fldChar w:fldCharType="begin"/>
            </w:r>
            <w:r w:rsidR="0091340F">
              <w:rPr>
                <w:noProof/>
                <w:webHidden/>
              </w:rPr>
              <w:instrText xml:space="preserve"> PAGEREF _Toc24095747 \h </w:instrText>
            </w:r>
            <w:r w:rsidR="0091340F">
              <w:rPr>
                <w:noProof/>
                <w:webHidden/>
              </w:rPr>
            </w:r>
            <w:r w:rsidR="0091340F">
              <w:rPr>
                <w:noProof/>
                <w:webHidden/>
              </w:rPr>
              <w:fldChar w:fldCharType="separate"/>
            </w:r>
            <w:r w:rsidR="0091340F">
              <w:rPr>
                <w:noProof/>
                <w:webHidden/>
              </w:rPr>
              <w:t>1</w:t>
            </w:r>
            <w:r w:rsidR="0091340F">
              <w:rPr>
                <w:noProof/>
                <w:webHidden/>
              </w:rPr>
              <w:fldChar w:fldCharType="end"/>
            </w:r>
          </w:hyperlink>
        </w:p>
        <w:p w14:paraId="189C184A" w14:textId="57E2B7F8" w:rsidR="0091340F" w:rsidRPr="0091340F" w:rsidRDefault="00AC1E43" w:rsidP="0091340F">
          <w:pPr>
            <w:pStyle w:val="TOC1"/>
            <w:rPr>
              <w:rFonts w:asciiTheme="minorHAnsi" w:hAnsiTheme="minorHAnsi" w:cstheme="minorBidi"/>
              <w:noProof/>
              <w:sz w:val="22"/>
              <w:szCs w:val="22"/>
              <w:lang w:bidi="ar-SA"/>
            </w:rPr>
          </w:pPr>
          <w:hyperlink w:anchor="_Toc24095748" w:history="1">
            <w:r w:rsidR="0091340F" w:rsidRPr="009E435A">
              <w:rPr>
                <w:rStyle w:val="Hyperlink"/>
                <w:noProof/>
              </w:rPr>
              <w:t>novedades acaecidas en la decimoctava sesión del Grupo de Trabajo sobre Técnicas Bioquímicas y Moleculares, y Perfiles de ADN en particular</w:t>
            </w:r>
            <w:r w:rsidR="0091340F" w:rsidRPr="0091340F">
              <w:rPr>
                <w:rStyle w:val="Hyperlink"/>
                <w:webHidden/>
              </w:rPr>
              <w:tab/>
            </w:r>
            <w:r w:rsidR="0091340F" w:rsidRPr="0091340F">
              <w:rPr>
                <w:rStyle w:val="Hyperlink"/>
                <w:webHidden/>
              </w:rPr>
              <w:fldChar w:fldCharType="begin"/>
            </w:r>
            <w:r w:rsidR="0091340F" w:rsidRPr="0091340F">
              <w:rPr>
                <w:rStyle w:val="Hyperlink"/>
                <w:webHidden/>
              </w:rPr>
              <w:instrText xml:space="preserve"> PAGEREF _Toc24095748 \h </w:instrText>
            </w:r>
            <w:r w:rsidR="0091340F" w:rsidRPr="0091340F">
              <w:rPr>
                <w:rStyle w:val="Hyperlink"/>
                <w:webHidden/>
              </w:rPr>
            </w:r>
            <w:r w:rsidR="0091340F" w:rsidRPr="0091340F">
              <w:rPr>
                <w:rStyle w:val="Hyperlink"/>
                <w:webHidden/>
              </w:rPr>
              <w:fldChar w:fldCharType="separate"/>
            </w:r>
            <w:r w:rsidR="0091340F" w:rsidRPr="0091340F">
              <w:rPr>
                <w:rStyle w:val="Hyperlink"/>
                <w:webHidden/>
              </w:rPr>
              <w:t>1</w:t>
            </w:r>
            <w:r w:rsidR="0091340F" w:rsidRPr="0091340F">
              <w:rPr>
                <w:rStyle w:val="Hyperlink"/>
                <w:webHidden/>
              </w:rPr>
              <w:fldChar w:fldCharType="end"/>
            </w:r>
          </w:hyperlink>
        </w:p>
        <w:p w14:paraId="375C9192" w14:textId="532EE388" w:rsidR="0091340F" w:rsidRDefault="00AC1E43">
          <w:pPr>
            <w:pStyle w:val="TOC2"/>
            <w:rPr>
              <w:rFonts w:asciiTheme="minorHAnsi" w:hAnsiTheme="minorHAnsi" w:cstheme="minorBidi"/>
              <w:noProof/>
              <w:sz w:val="22"/>
              <w:szCs w:val="22"/>
              <w:lang w:bidi="ar-SA"/>
            </w:rPr>
          </w:pPr>
          <w:hyperlink w:anchor="_Toc24095749" w:history="1">
            <w:r w:rsidR="0091340F" w:rsidRPr="009E435A">
              <w:rPr>
                <w:rStyle w:val="Hyperlink"/>
                <w:noProof/>
              </w:rPr>
              <w:t>Documentos presentados</w:t>
            </w:r>
            <w:r w:rsidR="0091340F">
              <w:rPr>
                <w:noProof/>
                <w:webHidden/>
              </w:rPr>
              <w:tab/>
            </w:r>
            <w:r w:rsidR="0091340F">
              <w:rPr>
                <w:noProof/>
                <w:webHidden/>
              </w:rPr>
              <w:fldChar w:fldCharType="begin"/>
            </w:r>
            <w:r w:rsidR="0091340F">
              <w:rPr>
                <w:noProof/>
                <w:webHidden/>
              </w:rPr>
              <w:instrText xml:space="preserve"> PAGEREF _Toc24095749 \h </w:instrText>
            </w:r>
            <w:r w:rsidR="0091340F">
              <w:rPr>
                <w:noProof/>
                <w:webHidden/>
              </w:rPr>
            </w:r>
            <w:r w:rsidR="0091340F">
              <w:rPr>
                <w:noProof/>
                <w:webHidden/>
              </w:rPr>
              <w:fldChar w:fldCharType="separate"/>
            </w:r>
            <w:r w:rsidR="0091340F">
              <w:rPr>
                <w:noProof/>
                <w:webHidden/>
              </w:rPr>
              <w:t>1</w:t>
            </w:r>
            <w:r w:rsidR="0091340F">
              <w:rPr>
                <w:noProof/>
                <w:webHidden/>
              </w:rPr>
              <w:fldChar w:fldCharType="end"/>
            </w:r>
          </w:hyperlink>
        </w:p>
        <w:p w14:paraId="75495AD6" w14:textId="02E2D91E" w:rsidR="0091340F" w:rsidRDefault="00AC1E43">
          <w:pPr>
            <w:pStyle w:val="TOC2"/>
            <w:rPr>
              <w:rFonts w:asciiTheme="minorHAnsi" w:hAnsiTheme="minorHAnsi" w:cstheme="minorBidi"/>
              <w:noProof/>
              <w:sz w:val="22"/>
              <w:szCs w:val="22"/>
              <w:lang w:bidi="ar-SA"/>
            </w:rPr>
          </w:pPr>
          <w:hyperlink w:anchor="_Toc24095750" w:history="1">
            <w:r w:rsidR="0091340F" w:rsidRPr="009E435A">
              <w:rPr>
                <w:rStyle w:val="Hyperlink"/>
                <w:noProof/>
              </w:rPr>
              <w:t>Informe sobre las novedades en la creación de un instrumento informático para seleccionar marcadores que utilice el algoritmo del vendedor ambulante</w:t>
            </w:r>
            <w:r w:rsidR="0091340F">
              <w:rPr>
                <w:noProof/>
                <w:webHidden/>
              </w:rPr>
              <w:tab/>
            </w:r>
            <w:r w:rsidR="0091340F">
              <w:rPr>
                <w:noProof/>
                <w:webHidden/>
              </w:rPr>
              <w:fldChar w:fldCharType="begin"/>
            </w:r>
            <w:r w:rsidR="0091340F">
              <w:rPr>
                <w:noProof/>
                <w:webHidden/>
              </w:rPr>
              <w:instrText xml:space="preserve"> PAGEREF _Toc24095750 \h </w:instrText>
            </w:r>
            <w:r w:rsidR="0091340F">
              <w:rPr>
                <w:noProof/>
                <w:webHidden/>
              </w:rPr>
            </w:r>
            <w:r w:rsidR="0091340F">
              <w:rPr>
                <w:noProof/>
                <w:webHidden/>
              </w:rPr>
              <w:fldChar w:fldCharType="separate"/>
            </w:r>
            <w:r w:rsidR="0091340F">
              <w:rPr>
                <w:noProof/>
                <w:webHidden/>
              </w:rPr>
              <w:t>3</w:t>
            </w:r>
            <w:r w:rsidR="0091340F">
              <w:rPr>
                <w:noProof/>
                <w:webHidden/>
              </w:rPr>
              <w:fldChar w:fldCharType="end"/>
            </w:r>
          </w:hyperlink>
        </w:p>
        <w:p w14:paraId="1A2ECAEA" w14:textId="611C219B" w:rsidR="0091340F" w:rsidRDefault="00AC1E43">
          <w:pPr>
            <w:pStyle w:val="TOC2"/>
            <w:rPr>
              <w:rFonts w:asciiTheme="minorHAnsi" w:hAnsiTheme="minorHAnsi" w:cstheme="minorBidi"/>
              <w:noProof/>
              <w:sz w:val="22"/>
              <w:szCs w:val="22"/>
              <w:lang w:bidi="ar-SA"/>
            </w:rPr>
          </w:pPr>
          <w:hyperlink w:anchor="_Toc24095751" w:history="1">
            <w:r w:rsidR="0091340F" w:rsidRPr="009E435A">
              <w:rPr>
                <w:rStyle w:val="Hyperlink"/>
                <w:noProof/>
              </w:rPr>
              <w:t>Fecha y lugar de la próxima sesión</w:t>
            </w:r>
            <w:r w:rsidR="0091340F">
              <w:rPr>
                <w:noProof/>
                <w:webHidden/>
              </w:rPr>
              <w:tab/>
            </w:r>
            <w:r w:rsidR="0091340F">
              <w:rPr>
                <w:noProof/>
                <w:webHidden/>
              </w:rPr>
              <w:fldChar w:fldCharType="begin"/>
            </w:r>
            <w:r w:rsidR="0091340F">
              <w:rPr>
                <w:noProof/>
                <w:webHidden/>
              </w:rPr>
              <w:instrText xml:space="preserve"> PAGEREF _Toc24095751 \h </w:instrText>
            </w:r>
            <w:r w:rsidR="0091340F">
              <w:rPr>
                <w:noProof/>
                <w:webHidden/>
              </w:rPr>
            </w:r>
            <w:r w:rsidR="0091340F">
              <w:rPr>
                <w:noProof/>
                <w:webHidden/>
              </w:rPr>
              <w:fldChar w:fldCharType="separate"/>
            </w:r>
            <w:r w:rsidR="0091340F">
              <w:rPr>
                <w:noProof/>
                <w:webHidden/>
              </w:rPr>
              <w:t>3</w:t>
            </w:r>
            <w:r w:rsidR="0091340F">
              <w:rPr>
                <w:noProof/>
                <w:webHidden/>
              </w:rPr>
              <w:fldChar w:fldCharType="end"/>
            </w:r>
          </w:hyperlink>
        </w:p>
        <w:p w14:paraId="102B4090" w14:textId="6A0B13CB" w:rsidR="0091340F" w:rsidRDefault="00AC1E43">
          <w:pPr>
            <w:pStyle w:val="TOC2"/>
            <w:rPr>
              <w:rFonts w:asciiTheme="minorHAnsi" w:hAnsiTheme="minorHAnsi" w:cstheme="minorBidi"/>
              <w:noProof/>
              <w:sz w:val="22"/>
              <w:szCs w:val="22"/>
              <w:lang w:bidi="ar-SA"/>
            </w:rPr>
          </w:pPr>
          <w:hyperlink w:anchor="_Toc24095752" w:history="1">
            <w:r w:rsidR="0091340F" w:rsidRPr="009E435A">
              <w:rPr>
                <w:rStyle w:val="Hyperlink"/>
                <w:noProof/>
              </w:rPr>
              <w:t>Futuro pr</w:t>
            </w:r>
            <w:r w:rsidR="007D7C45">
              <w:rPr>
                <w:rStyle w:val="Hyperlink"/>
                <w:noProof/>
              </w:rPr>
              <w:t>evisto</w:t>
            </w:r>
            <w:r w:rsidR="0091340F">
              <w:rPr>
                <w:noProof/>
                <w:webHidden/>
              </w:rPr>
              <w:tab/>
            </w:r>
            <w:r w:rsidR="0091340F">
              <w:rPr>
                <w:noProof/>
                <w:webHidden/>
              </w:rPr>
              <w:fldChar w:fldCharType="begin"/>
            </w:r>
            <w:r w:rsidR="0091340F">
              <w:rPr>
                <w:noProof/>
                <w:webHidden/>
              </w:rPr>
              <w:instrText xml:space="preserve"> PAGEREF _Toc24095752 \h </w:instrText>
            </w:r>
            <w:r w:rsidR="0091340F">
              <w:rPr>
                <w:noProof/>
                <w:webHidden/>
              </w:rPr>
            </w:r>
            <w:r w:rsidR="0091340F">
              <w:rPr>
                <w:noProof/>
                <w:webHidden/>
              </w:rPr>
              <w:fldChar w:fldCharType="separate"/>
            </w:r>
            <w:r w:rsidR="0091340F">
              <w:rPr>
                <w:noProof/>
                <w:webHidden/>
              </w:rPr>
              <w:t>3</w:t>
            </w:r>
            <w:r w:rsidR="0091340F">
              <w:rPr>
                <w:noProof/>
                <w:webHidden/>
              </w:rPr>
              <w:fldChar w:fldCharType="end"/>
            </w:r>
          </w:hyperlink>
        </w:p>
        <w:p w14:paraId="4FD5DEE1" w14:textId="2B65C8EC" w:rsidR="00E8527D" w:rsidRDefault="00440683" w:rsidP="0091340F">
          <w:pPr>
            <w:pStyle w:val="TOC1"/>
            <w:rPr>
              <w:rFonts w:asciiTheme="minorHAnsi" w:hAnsiTheme="minorHAnsi" w:cstheme="minorBidi"/>
              <w:noProof/>
              <w:sz w:val="22"/>
              <w:szCs w:val="22"/>
            </w:rPr>
          </w:pPr>
          <w:r w:rsidRPr="00440683">
            <w:rPr>
              <w:noProof/>
            </w:rPr>
            <w:fldChar w:fldCharType="end"/>
          </w:r>
        </w:p>
      </w:sdtContent>
    </w:sdt>
    <w:p w14:paraId="5AD42C09" w14:textId="77777777" w:rsidR="009B01E5" w:rsidRPr="009B01E5" w:rsidRDefault="009B01E5" w:rsidP="009B01E5"/>
    <w:p w14:paraId="18AA4E5B" w14:textId="77777777" w:rsidR="009B01E5" w:rsidRPr="009B01E5" w:rsidRDefault="009B01E5" w:rsidP="009B01E5">
      <w:pPr>
        <w:rPr>
          <w:rFonts w:eastAsia="Times New Roman"/>
        </w:rPr>
      </w:pPr>
      <w:r w:rsidRPr="009B01E5">
        <w:rPr>
          <w:rFonts w:eastAsia="Times New Roman"/>
        </w:rPr>
        <w:fldChar w:fldCharType="begin"/>
      </w:r>
      <w:r w:rsidRPr="009B01E5">
        <w:rPr>
          <w:rFonts w:eastAsia="Times New Roman"/>
        </w:rPr>
        <w:instrText xml:space="preserve"> AUTONUM  </w:instrText>
      </w:r>
      <w:r w:rsidRPr="009B01E5">
        <w:rPr>
          <w:rFonts w:eastAsia="Times New Roman"/>
        </w:rPr>
        <w:fldChar w:fldCharType="end"/>
      </w:r>
      <w:r>
        <w:tab/>
        <w:t>En el presente documento se utilizan las abreviaturas siguientes:</w:t>
      </w:r>
    </w:p>
    <w:p w14:paraId="588CC0EA" w14:textId="77777777" w:rsidR="009B01E5" w:rsidRPr="009B01E5" w:rsidRDefault="009B01E5" w:rsidP="009B01E5">
      <w:pPr>
        <w:rPr>
          <w:rFonts w:eastAsia="Times New Roman"/>
        </w:rPr>
      </w:pPr>
    </w:p>
    <w:p w14:paraId="2AD1B244" w14:textId="77777777" w:rsidR="009B01E5" w:rsidRPr="009B01E5" w:rsidRDefault="009B01E5" w:rsidP="009B01E5">
      <w:pPr>
        <w:tabs>
          <w:tab w:val="left" w:pos="567"/>
        </w:tabs>
        <w:ind w:left="1701" w:hanging="1134"/>
        <w:rPr>
          <w:rFonts w:eastAsia="Times New Roman"/>
        </w:rPr>
      </w:pPr>
      <w:r>
        <w:t>BMT:</w:t>
      </w:r>
      <w:r>
        <w:tab/>
        <w:t xml:space="preserve">Grupo de Trabajo sobre Técnicas Bioquímicas y Moleculares, y Perfiles de ADN en particular </w:t>
      </w:r>
    </w:p>
    <w:p w14:paraId="49B0ABB3" w14:textId="77777777" w:rsidR="009B01E5" w:rsidRPr="009B01E5" w:rsidRDefault="009B01E5" w:rsidP="009B01E5">
      <w:pPr>
        <w:tabs>
          <w:tab w:val="left" w:pos="567"/>
        </w:tabs>
        <w:ind w:left="1701" w:hanging="1134"/>
        <w:rPr>
          <w:rFonts w:eastAsia="Times New Roman"/>
        </w:rPr>
      </w:pPr>
      <w:r>
        <w:t>TC:</w:t>
      </w:r>
      <w:r>
        <w:tab/>
        <w:t>Comité Técnico</w:t>
      </w:r>
    </w:p>
    <w:p w14:paraId="19B7D96E" w14:textId="77777777" w:rsidR="009B01E5" w:rsidRPr="009B01E5" w:rsidRDefault="009B01E5" w:rsidP="009B01E5">
      <w:pPr>
        <w:ind w:left="1701" w:hanging="1134"/>
        <w:rPr>
          <w:rFonts w:eastAsia="PMingLiU" w:cs="Arial"/>
        </w:rPr>
      </w:pPr>
      <w:r>
        <w:t>TWC:</w:t>
      </w:r>
      <w:r>
        <w:tab/>
        <w:t>Grupo de Trabajo Técnico sobre Automatización y Programas Informáticos</w:t>
      </w:r>
    </w:p>
    <w:p w14:paraId="3D1D1DEA" w14:textId="77777777" w:rsidR="009B01E5" w:rsidRPr="009B01E5" w:rsidRDefault="009B01E5" w:rsidP="009B01E5">
      <w:pPr>
        <w:ind w:left="1701" w:hanging="1134"/>
        <w:rPr>
          <w:rFonts w:eastAsia="PMingLiU" w:cs="Arial"/>
        </w:rPr>
      </w:pPr>
      <w:r>
        <w:t>TWP:</w:t>
      </w:r>
      <w:r>
        <w:tab/>
        <w:t>Grupos de Trabajo Técnico</w:t>
      </w:r>
    </w:p>
    <w:p w14:paraId="21116264" w14:textId="77777777" w:rsidR="00037383" w:rsidRDefault="00037383" w:rsidP="00037383">
      <w:pPr>
        <w:rPr>
          <w:noProof/>
        </w:rPr>
      </w:pPr>
    </w:p>
    <w:p w14:paraId="32F85BA3" w14:textId="77777777" w:rsidR="009B01E5" w:rsidRPr="00FB197B" w:rsidRDefault="009B01E5" w:rsidP="009B01E5">
      <w:pPr>
        <w:rPr>
          <w:noProof/>
        </w:rPr>
      </w:pPr>
    </w:p>
    <w:p w14:paraId="7CE056BA" w14:textId="77777777" w:rsidR="009B01E5" w:rsidRPr="00FB197B" w:rsidRDefault="009B01E5" w:rsidP="009B01E5">
      <w:pPr>
        <w:pStyle w:val="Heading1"/>
      </w:pPr>
      <w:bookmarkStart w:id="4" w:name="_Toc525647178"/>
      <w:bookmarkStart w:id="5" w:name="_Toc526175650"/>
      <w:bookmarkStart w:id="6" w:name="_Toc22569701"/>
      <w:bookmarkStart w:id="7" w:name="_Toc24095748"/>
      <w:r>
        <w:t>novedades acaecidas en la decimoctava sesión del Grupo de Trabajo sobre Técnicas Bioquímicas y Moleculares, y Perfiles de ADN en particular</w:t>
      </w:r>
      <w:bookmarkEnd w:id="4"/>
      <w:bookmarkEnd w:id="5"/>
      <w:bookmarkEnd w:id="6"/>
      <w:bookmarkEnd w:id="7"/>
    </w:p>
    <w:p w14:paraId="456C0798" w14:textId="77777777" w:rsidR="009B01E5" w:rsidRPr="009B01E5" w:rsidRDefault="009B01E5" w:rsidP="009B01E5">
      <w:pPr>
        <w:rPr>
          <w:rFonts w:eastAsia="Times New Roman"/>
        </w:rPr>
      </w:pPr>
    </w:p>
    <w:p w14:paraId="5C6C2CF5" w14:textId="519A8036" w:rsidR="009B01E5" w:rsidRPr="009B01E5" w:rsidRDefault="009B01E5" w:rsidP="009B01E5">
      <w:pPr>
        <w:rPr>
          <w:rFonts w:eastAsia="Times New Roman"/>
        </w:rPr>
      </w:pPr>
      <w:r w:rsidRPr="009B01E5">
        <w:rPr>
          <w:rFonts w:eastAsia="Times New Roman"/>
          <w:color w:val="000000"/>
        </w:rPr>
        <w:fldChar w:fldCharType="begin"/>
      </w:r>
      <w:r w:rsidRPr="009B01E5">
        <w:rPr>
          <w:rFonts w:eastAsia="Times New Roman"/>
          <w:color w:val="000000"/>
        </w:rPr>
        <w:instrText xml:space="preserve"> AUTONUM  </w:instrText>
      </w:r>
      <w:r w:rsidRPr="009B01E5">
        <w:rPr>
          <w:rFonts w:eastAsia="Times New Roman"/>
          <w:color w:val="000000"/>
        </w:rPr>
        <w:fldChar w:fldCharType="end"/>
      </w:r>
      <w:r>
        <w:tab/>
        <w:t xml:space="preserve">El </w:t>
      </w:r>
      <w:r>
        <w:rPr>
          <w:color w:val="000000"/>
        </w:rPr>
        <w:t>BMT celebró su decimoctava sesión en Hangzhou (China), del 16 al 18 de octubre de 2019</w:t>
      </w:r>
      <w:r>
        <w:t xml:space="preserve"> (véase el párrafo 1 del documento BMT/18/21 “</w:t>
      </w:r>
      <w:proofErr w:type="spellStart"/>
      <w:r>
        <w:rPr>
          <w:i/>
        </w:rPr>
        <w:t>Report</w:t>
      </w:r>
      <w:proofErr w:type="spellEnd"/>
      <w:r>
        <w:t>” (Informe)</w:t>
      </w:r>
      <w:r w:rsidR="00AC1E43">
        <w:t>)</w:t>
      </w:r>
      <w:r>
        <w:t xml:space="preserve">. </w:t>
      </w:r>
    </w:p>
    <w:p w14:paraId="3D058B92" w14:textId="77777777" w:rsidR="009B01E5" w:rsidRDefault="009B01E5" w:rsidP="009B01E5">
      <w:pPr>
        <w:rPr>
          <w:noProof/>
        </w:rPr>
      </w:pPr>
    </w:p>
    <w:p w14:paraId="18C82E58" w14:textId="77777777" w:rsidR="009B01E5" w:rsidRPr="00584903" w:rsidRDefault="009B01E5" w:rsidP="00E8527D">
      <w:pPr>
        <w:pStyle w:val="Heading2"/>
      </w:pPr>
      <w:bookmarkStart w:id="8" w:name="_Toc525647179"/>
      <w:bookmarkStart w:id="9" w:name="_Toc526175651"/>
      <w:bookmarkStart w:id="10" w:name="_Toc22569702"/>
      <w:bookmarkStart w:id="11" w:name="_Toc24095749"/>
      <w:r>
        <w:t>Documentos presentados</w:t>
      </w:r>
      <w:bookmarkEnd w:id="8"/>
      <w:bookmarkEnd w:id="9"/>
      <w:bookmarkEnd w:id="10"/>
      <w:bookmarkEnd w:id="11"/>
    </w:p>
    <w:p w14:paraId="52A69253" w14:textId="77777777" w:rsidR="009B01E5" w:rsidRDefault="009B01E5" w:rsidP="00E8527D">
      <w:pPr>
        <w:keepNext/>
      </w:pPr>
    </w:p>
    <w:p w14:paraId="5B48685F" w14:textId="77777777" w:rsidR="009B01E5" w:rsidRDefault="009B01E5" w:rsidP="00E8527D">
      <w:pPr>
        <w:keepNext/>
      </w:pPr>
      <w:r w:rsidRPr="00154A92">
        <w:fldChar w:fldCharType="begin"/>
      </w:r>
      <w:r w:rsidRPr="00154A92">
        <w:instrText xml:space="preserve"> AUTONUM  </w:instrText>
      </w:r>
      <w:r w:rsidRPr="00154A92">
        <w:fldChar w:fldCharType="end"/>
      </w:r>
      <w:r>
        <w:tab/>
        <w:t xml:space="preserve">A </w:t>
      </w:r>
      <w:proofErr w:type="gramStart"/>
      <w:r>
        <w:t>continuación</w:t>
      </w:r>
      <w:proofErr w:type="gramEnd"/>
      <w:r>
        <w:t xml:space="preserve"> se indican los documentos presentados en cada punto del orden del día de la decimoctava sesión del BMT:</w:t>
      </w:r>
    </w:p>
    <w:p w14:paraId="03D8E5C6" w14:textId="77777777" w:rsidR="007269EC" w:rsidRPr="00861DBA" w:rsidRDefault="007269EC" w:rsidP="00995EA6">
      <w:pPr>
        <w:rPr>
          <w:snapToGrid w:val="0"/>
          <w:sz w:val="18"/>
        </w:rPr>
      </w:pPr>
    </w:p>
    <w:p w14:paraId="32F38791" w14:textId="306D1F9E" w:rsidR="007269EC" w:rsidRPr="001D163F" w:rsidRDefault="007269EC" w:rsidP="007269EC">
      <w:pPr>
        <w:spacing w:after="240"/>
        <w:ind w:left="567" w:hanging="567"/>
        <w:rPr>
          <w:rFonts w:eastAsia="Times New Roman"/>
          <w:iCs/>
          <w:snapToGrid w:val="0"/>
        </w:rPr>
      </w:pPr>
      <w:r>
        <w:lastRenderedPageBreak/>
        <w:tab/>
      </w:r>
      <w:r w:rsidRPr="001D163F">
        <w:rPr>
          <w:i/>
          <w:snapToGrid w:val="0"/>
        </w:rPr>
        <w:t>Informes sobre las novedades acaecidas en la UPOV en relación con las técnicas bioquímicas y moleculares</w:t>
      </w:r>
      <w:r w:rsidRPr="001D163F">
        <w:rPr>
          <w:iCs/>
          <w:snapToGrid w:val="0"/>
        </w:rPr>
        <w:t xml:space="preserve"> (documento BMT/18/2</w:t>
      </w:r>
      <w:r w:rsidR="00D830C9" w:rsidRPr="001D163F">
        <w:rPr>
          <w:iCs/>
          <w:snapToGrid w:val="0"/>
        </w:rPr>
        <w:t xml:space="preserve"> </w:t>
      </w:r>
      <w:r w:rsidR="00D830C9" w:rsidRPr="001D163F">
        <w:rPr>
          <w:rFonts w:cs="Arial"/>
          <w:iCs/>
          <w:snapToGrid w:val="0"/>
        </w:rPr>
        <w:t>“</w:t>
      </w:r>
      <w:r w:rsidR="00D830C9" w:rsidRPr="001D163F">
        <w:rPr>
          <w:iCs/>
        </w:rPr>
        <w:t>Reports on developments in UPOV concerning biochemical and molecular techniques</w:t>
      </w:r>
      <w:r w:rsidR="00D830C9" w:rsidRPr="001D163F">
        <w:rPr>
          <w:rFonts w:cs="Arial"/>
          <w:iCs/>
          <w:snapToGrid w:val="0"/>
        </w:rPr>
        <w:t>”</w:t>
      </w:r>
      <w:r w:rsidRPr="001D163F">
        <w:rPr>
          <w:iCs/>
          <w:snapToGrid w:val="0"/>
        </w:rPr>
        <w:t>)</w:t>
      </w:r>
    </w:p>
    <w:p w14:paraId="43A486B7" w14:textId="53A6585E" w:rsidR="007269EC" w:rsidRPr="001D163F" w:rsidRDefault="007269EC" w:rsidP="007269EC">
      <w:pPr>
        <w:spacing w:after="240"/>
        <w:ind w:left="567" w:hanging="567"/>
        <w:rPr>
          <w:rFonts w:eastAsia="Times New Roman"/>
          <w:i/>
          <w:snapToGrid w:val="0"/>
        </w:rPr>
      </w:pPr>
      <w:r w:rsidRPr="001D163F">
        <w:rPr>
          <w:iCs/>
        </w:rPr>
        <w:tab/>
      </w:r>
      <w:r w:rsidRPr="001D163F">
        <w:rPr>
          <w:i/>
          <w:snapToGrid w:val="0"/>
        </w:rPr>
        <w:t>Breves ponencias sobre los avances en técnicas bioquímicas y moleculares a cargo de expertos en el examen DHE, especialistas en técnicas bioquímicas y moleculares, y obtentores y organizaciones internacionales pertinentes (informes verbales de los participantes)</w:t>
      </w:r>
    </w:p>
    <w:p w14:paraId="19D0E76F" w14:textId="77777777" w:rsidR="007269EC" w:rsidRPr="007269EC" w:rsidRDefault="007269EC" w:rsidP="007269EC">
      <w:pPr>
        <w:spacing w:after="240"/>
        <w:ind w:left="567" w:hanging="567"/>
        <w:rPr>
          <w:rFonts w:eastAsia="Times New Roman"/>
          <w:i/>
          <w:snapToGrid w:val="0"/>
        </w:rPr>
      </w:pPr>
      <w:r>
        <w:tab/>
      </w:r>
      <w:r>
        <w:rPr>
          <w:i/>
          <w:snapToGrid w:val="0"/>
        </w:rPr>
        <w:t>Informe sobre la labor en materia de técnicas moleculares en relación con el examen DHE</w:t>
      </w:r>
    </w:p>
    <w:p w14:paraId="7E4B55B4" w14:textId="47EB8898" w:rsidR="007269EC" w:rsidRPr="001D163F" w:rsidRDefault="007269EC" w:rsidP="00FE0AE6">
      <w:pPr>
        <w:ind w:left="1134" w:hanging="567"/>
        <w:rPr>
          <w:rFonts w:eastAsia="Times New Roman" w:cs="Arial"/>
          <w:iCs/>
        </w:rPr>
      </w:pPr>
      <w:r>
        <w:tab/>
      </w:r>
      <w:r w:rsidRPr="001D163F">
        <w:rPr>
          <w:i/>
        </w:rPr>
        <w:t>Facilitación del examen de la distinción, la homogeneidad y la estabilidad de variedades de soja: desarrollo y validación de métodos basados en marcadores moleculares y de muestreo de variedades (documento BMT/18/8</w:t>
      </w:r>
      <w:r w:rsidR="00D830C9" w:rsidRPr="001D163F">
        <w:rPr>
          <w:iCs/>
        </w:rPr>
        <w:t xml:space="preserve"> </w:t>
      </w:r>
      <w:r w:rsidR="00D830C9" w:rsidRPr="001D163F">
        <w:rPr>
          <w:rFonts w:cs="Arial"/>
          <w:iCs/>
        </w:rPr>
        <w:t>“</w:t>
      </w:r>
      <w:r w:rsidR="00D830C9" w:rsidRPr="001D163F">
        <w:rPr>
          <w:iCs/>
        </w:rPr>
        <w:t>Facilitating Distinctness, Uniformity and Stability testing of soybean varieties: development and validation of molecular marker and variety sampling methodologies</w:t>
      </w:r>
      <w:r w:rsidR="00D830C9" w:rsidRPr="001D163F">
        <w:rPr>
          <w:rFonts w:cs="Arial"/>
          <w:iCs/>
        </w:rPr>
        <w:t>”</w:t>
      </w:r>
      <w:r w:rsidRPr="001D163F">
        <w:rPr>
          <w:i/>
        </w:rPr>
        <w:t>)</w:t>
      </w:r>
    </w:p>
    <w:p w14:paraId="2B23C610" w14:textId="77777777" w:rsidR="007269EC" w:rsidRPr="001D163F" w:rsidRDefault="007269EC" w:rsidP="00FE0AE6">
      <w:pPr>
        <w:ind w:left="1134" w:hanging="567"/>
        <w:rPr>
          <w:rFonts w:eastAsia="Times New Roman"/>
          <w:iCs/>
          <w:snapToGrid w:val="0"/>
          <w:sz w:val="16"/>
        </w:rPr>
      </w:pPr>
    </w:p>
    <w:p w14:paraId="16722E67" w14:textId="22809D82" w:rsidR="007269EC" w:rsidRPr="001D163F" w:rsidRDefault="007269EC" w:rsidP="00FE0AE6">
      <w:pPr>
        <w:ind w:left="1134" w:hanging="567"/>
        <w:rPr>
          <w:rFonts w:eastAsia="Times New Roman" w:cs="Arial"/>
          <w:iCs/>
        </w:rPr>
      </w:pPr>
      <w:r w:rsidRPr="001D163F">
        <w:rPr>
          <w:iCs/>
        </w:rPr>
        <w:tab/>
      </w:r>
      <w:r w:rsidRPr="001D163F">
        <w:rPr>
          <w:i/>
        </w:rPr>
        <w:t>Facilitación del examen de la distinción, la homogeneidad y la estabilidad de variedades de soja: establecimiento de criterios para el uso de datos de polimorfismo de un solo nucleótido (documento BMT/18/9</w:t>
      </w:r>
      <w:r w:rsidR="00D830C9" w:rsidRPr="001D163F">
        <w:rPr>
          <w:iCs/>
        </w:rPr>
        <w:t xml:space="preserve"> </w:t>
      </w:r>
      <w:r w:rsidR="00D830C9" w:rsidRPr="001D163F">
        <w:rPr>
          <w:rFonts w:cs="Arial"/>
          <w:iCs/>
        </w:rPr>
        <w:t>“</w:t>
      </w:r>
      <w:r w:rsidR="00D830C9" w:rsidRPr="001D163F">
        <w:rPr>
          <w:iCs/>
        </w:rPr>
        <w:t>Facilitating Distinctness, Uniformity and Stability testing of soybean varieties: establishing criteria for the use of single nucleotide polymorphism data</w:t>
      </w:r>
      <w:r w:rsidR="00D830C9" w:rsidRPr="001D163F">
        <w:rPr>
          <w:rFonts w:cs="Arial"/>
          <w:iCs/>
        </w:rPr>
        <w:t>”</w:t>
      </w:r>
      <w:r w:rsidRPr="001D163F">
        <w:rPr>
          <w:i/>
        </w:rPr>
        <w:t>)</w:t>
      </w:r>
    </w:p>
    <w:p w14:paraId="356AF00C" w14:textId="77777777" w:rsidR="007269EC" w:rsidRPr="001D163F" w:rsidRDefault="007269EC" w:rsidP="00FE0AE6">
      <w:pPr>
        <w:ind w:left="1134" w:hanging="567"/>
        <w:rPr>
          <w:rFonts w:eastAsia="Times New Roman"/>
          <w:iCs/>
          <w:snapToGrid w:val="0"/>
          <w:sz w:val="16"/>
        </w:rPr>
      </w:pPr>
    </w:p>
    <w:p w14:paraId="6287D2E6" w14:textId="276568F2" w:rsidR="007269EC" w:rsidRPr="001D163F" w:rsidRDefault="007269EC" w:rsidP="00FE0AE6">
      <w:pPr>
        <w:ind w:left="1134" w:hanging="567"/>
        <w:rPr>
          <w:rFonts w:eastAsia="Times New Roman" w:cs="Arial"/>
          <w:iCs/>
        </w:rPr>
      </w:pPr>
      <w:r w:rsidRPr="001D163F">
        <w:rPr>
          <w:iCs/>
        </w:rPr>
        <w:tab/>
      </w:r>
      <w:r w:rsidRPr="001D163F">
        <w:rPr>
          <w:i/>
        </w:rPr>
        <w:t>Próxima generación del examen de variedades para mejorar el cultivo en las explotaciones agrícolas europeas (InnoVar) (documento BMT/18/12</w:t>
      </w:r>
      <w:r w:rsidR="00D830C9" w:rsidRPr="001D163F">
        <w:rPr>
          <w:iCs/>
        </w:rPr>
        <w:t xml:space="preserve"> </w:t>
      </w:r>
      <w:r w:rsidR="00D830C9" w:rsidRPr="001D163F">
        <w:rPr>
          <w:rFonts w:cs="Arial"/>
          <w:iCs/>
        </w:rPr>
        <w:t>“</w:t>
      </w:r>
      <w:r w:rsidR="00D830C9" w:rsidRPr="001D163F">
        <w:rPr>
          <w:iCs/>
        </w:rPr>
        <w:t>Next generation variety testing for improved cropping on European farmland (InnoVar)</w:t>
      </w:r>
      <w:r w:rsidR="00D830C9" w:rsidRPr="001D163F">
        <w:rPr>
          <w:rFonts w:cs="Arial"/>
          <w:iCs/>
        </w:rPr>
        <w:t>”</w:t>
      </w:r>
      <w:r w:rsidRPr="001D163F">
        <w:rPr>
          <w:i/>
        </w:rPr>
        <w:t>)</w:t>
      </w:r>
    </w:p>
    <w:p w14:paraId="0FB2B9E5" w14:textId="77777777" w:rsidR="007269EC" w:rsidRPr="001D163F" w:rsidRDefault="007269EC" w:rsidP="00FE0AE6">
      <w:pPr>
        <w:ind w:left="1134" w:hanging="567"/>
        <w:rPr>
          <w:rFonts w:eastAsia="Times New Roman"/>
          <w:iCs/>
          <w:snapToGrid w:val="0"/>
          <w:sz w:val="16"/>
        </w:rPr>
      </w:pPr>
    </w:p>
    <w:p w14:paraId="56922EBA" w14:textId="6F13161B" w:rsidR="007269EC" w:rsidRPr="001D163F" w:rsidRDefault="007269EC" w:rsidP="00FE0AE6">
      <w:pPr>
        <w:ind w:left="1134" w:hanging="567"/>
        <w:rPr>
          <w:rFonts w:eastAsia="Times New Roman" w:cs="Arial"/>
          <w:iCs/>
        </w:rPr>
      </w:pPr>
      <w:r w:rsidRPr="001D163F">
        <w:rPr>
          <w:iCs/>
        </w:rPr>
        <w:tab/>
      </w:r>
      <w:r w:rsidRPr="001D163F">
        <w:rPr>
          <w:i/>
        </w:rPr>
        <w:t>Informe de la OCVV sobre el IMODDUS: últimas novedades (INVITE) e información actualizada sobre los proyectos de I+D) (documento BMT/18/14</w:t>
      </w:r>
      <w:r w:rsidR="00D830C9" w:rsidRPr="001D163F">
        <w:rPr>
          <w:i/>
        </w:rPr>
        <w:t xml:space="preserve"> </w:t>
      </w:r>
      <w:r w:rsidR="00D830C9" w:rsidRPr="001D163F">
        <w:rPr>
          <w:rFonts w:cs="Arial"/>
          <w:iCs/>
          <w:snapToGrid w:val="0"/>
        </w:rPr>
        <w:t>“</w:t>
      </w:r>
      <w:r w:rsidR="00D830C9" w:rsidRPr="001D163F">
        <w:rPr>
          <w:iCs/>
        </w:rPr>
        <w:t>CPVO report on IMODDUS: latest developments (INVITE) and update on R&amp;D projects</w:t>
      </w:r>
      <w:r w:rsidR="00D830C9" w:rsidRPr="001D163F">
        <w:rPr>
          <w:rFonts w:cs="Arial"/>
          <w:iCs/>
        </w:rPr>
        <w:t>”</w:t>
      </w:r>
      <w:r w:rsidRPr="001D163F">
        <w:rPr>
          <w:iCs/>
          <w:u w:val="single"/>
        </w:rPr>
        <w:t>)</w:t>
      </w:r>
    </w:p>
    <w:p w14:paraId="411779AD" w14:textId="77777777" w:rsidR="007269EC" w:rsidRPr="001D163F" w:rsidRDefault="007269EC" w:rsidP="00FE0AE6">
      <w:pPr>
        <w:ind w:left="1134" w:hanging="567"/>
        <w:rPr>
          <w:rFonts w:eastAsia="Times New Roman"/>
          <w:iCs/>
          <w:snapToGrid w:val="0"/>
          <w:sz w:val="16"/>
        </w:rPr>
      </w:pPr>
    </w:p>
    <w:p w14:paraId="3CA3AF19" w14:textId="732BC75A" w:rsidR="007269EC" w:rsidRPr="001D163F" w:rsidRDefault="007269EC" w:rsidP="00FE0AE6">
      <w:pPr>
        <w:ind w:left="1134" w:hanging="567"/>
        <w:rPr>
          <w:rFonts w:eastAsia="Times New Roman" w:cs="Arial"/>
          <w:iCs/>
        </w:rPr>
      </w:pPr>
      <w:r w:rsidRPr="001D163F">
        <w:rPr>
          <w:iCs/>
        </w:rPr>
        <w:tab/>
      </w:r>
      <w:r w:rsidRPr="001D163F">
        <w:rPr>
          <w:i/>
        </w:rPr>
        <w:t xml:space="preserve">Un sistema simple de identificación varietal </w:t>
      </w:r>
      <w:r w:rsidR="00EF27B5" w:rsidRPr="001D163F">
        <w:rPr>
          <w:i/>
        </w:rPr>
        <w:t>para</w:t>
      </w:r>
      <w:r w:rsidRPr="001D163F">
        <w:rPr>
          <w:i/>
        </w:rPr>
        <w:t xml:space="preserve"> la papa/patata basado en secuencias simples repetidas (documento BMT/18/16</w:t>
      </w:r>
      <w:r w:rsidR="00D830C9" w:rsidRPr="001D163F">
        <w:rPr>
          <w:iCs/>
        </w:rPr>
        <w:t xml:space="preserve"> </w:t>
      </w:r>
      <w:r w:rsidR="00D830C9" w:rsidRPr="001D163F">
        <w:rPr>
          <w:rFonts w:cs="Arial"/>
          <w:iCs/>
          <w:snapToGrid w:val="0"/>
        </w:rPr>
        <w:t>“</w:t>
      </w:r>
      <w:r w:rsidR="00D830C9" w:rsidRPr="001D163F">
        <w:rPr>
          <w:iCs/>
        </w:rPr>
        <w:t>A simple SSR based identification system for sweet potato</w:t>
      </w:r>
      <w:r w:rsidR="00D830C9" w:rsidRPr="001D163F">
        <w:rPr>
          <w:rFonts w:cs="Arial"/>
          <w:iCs/>
        </w:rPr>
        <w:t>”</w:t>
      </w:r>
      <w:r w:rsidRPr="001D163F">
        <w:rPr>
          <w:i/>
        </w:rPr>
        <w:t>)</w:t>
      </w:r>
    </w:p>
    <w:p w14:paraId="6E813655" w14:textId="77777777" w:rsidR="007269EC" w:rsidRPr="001D163F" w:rsidRDefault="007269EC" w:rsidP="00FE0AE6">
      <w:pPr>
        <w:ind w:left="1134" w:hanging="567"/>
        <w:rPr>
          <w:rFonts w:eastAsia="Times New Roman"/>
          <w:iCs/>
          <w:snapToGrid w:val="0"/>
          <w:sz w:val="16"/>
        </w:rPr>
      </w:pPr>
    </w:p>
    <w:p w14:paraId="6E0E5C6D" w14:textId="12FA1468" w:rsidR="007269EC" w:rsidRPr="001D163F" w:rsidRDefault="007269EC" w:rsidP="00FE0AE6">
      <w:pPr>
        <w:ind w:left="1134" w:hanging="567"/>
        <w:rPr>
          <w:rFonts w:eastAsia="Times New Roman" w:cs="Arial"/>
          <w:iCs/>
        </w:rPr>
      </w:pPr>
      <w:r w:rsidRPr="001D163F">
        <w:rPr>
          <w:iCs/>
        </w:rPr>
        <w:tab/>
      </w:r>
      <w:r w:rsidRPr="001D163F">
        <w:rPr>
          <w:i/>
        </w:rPr>
        <w:t>Uso de marcadores moleculares para la protección y la identificación varietal: situación actual en la Argentina) (documento BMT/18/17</w:t>
      </w:r>
      <w:r w:rsidR="00D830C9" w:rsidRPr="001D163F">
        <w:rPr>
          <w:iCs/>
        </w:rPr>
        <w:t xml:space="preserve"> </w:t>
      </w:r>
      <w:r w:rsidR="00D830C9" w:rsidRPr="001D163F">
        <w:rPr>
          <w:rFonts w:cs="Arial"/>
          <w:iCs/>
          <w:snapToGrid w:val="0"/>
        </w:rPr>
        <w:t>“</w:t>
      </w:r>
      <w:r w:rsidR="00D830C9" w:rsidRPr="001D163F">
        <w:rPr>
          <w:iCs/>
        </w:rPr>
        <w:t xml:space="preserve">Use of molecular markers for protection and varietal identification: state of the art in </w:t>
      </w:r>
      <w:proofErr w:type="gramStart"/>
      <w:r w:rsidR="00D830C9" w:rsidRPr="001D163F">
        <w:rPr>
          <w:iCs/>
        </w:rPr>
        <w:t>Argentina</w:t>
      </w:r>
      <w:proofErr w:type="gramEnd"/>
      <w:r w:rsidR="00D830C9" w:rsidRPr="001D163F">
        <w:rPr>
          <w:rFonts w:cs="Arial"/>
          <w:iCs/>
        </w:rPr>
        <w:t>”</w:t>
      </w:r>
      <w:r w:rsidRPr="001D163F">
        <w:rPr>
          <w:i/>
        </w:rPr>
        <w:t>)</w:t>
      </w:r>
    </w:p>
    <w:p w14:paraId="37FCC40C" w14:textId="77777777" w:rsidR="007269EC" w:rsidRPr="001D163F" w:rsidRDefault="007269EC" w:rsidP="00FE0AE6">
      <w:pPr>
        <w:ind w:left="1134" w:hanging="567"/>
        <w:rPr>
          <w:rFonts w:eastAsia="Times New Roman"/>
          <w:iCs/>
          <w:snapToGrid w:val="0"/>
          <w:sz w:val="16"/>
        </w:rPr>
      </w:pPr>
    </w:p>
    <w:p w14:paraId="2ECF8C5A" w14:textId="2B7ECAE0" w:rsidR="002766A8" w:rsidRPr="00C64836" w:rsidRDefault="007269EC" w:rsidP="002766A8">
      <w:pPr>
        <w:ind w:left="1134" w:hanging="567"/>
        <w:rPr>
          <w:rFonts w:eastAsia="Times New Roman" w:cs="Arial"/>
          <w:iCs/>
          <w:lang w:val="en-US"/>
        </w:rPr>
      </w:pPr>
      <w:r w:rsidRPr="001D163F">
        <w:rPr>
          <w:iCs/>
        </w:rPr>
        <w:tab/>
      </w:r>
      <w:r w:rsidR="002766A8" w:rsidRPr="001D163F">
        <w:rPr>
          <w:i/>
        </w:rPr>
        <w:t>¿Qué información es fundamental para los “marcadores moleculares ligados a caracteres</w:t>
      </w:r>
      <w:r w:rsidR="005F6D7C" w:rsidRPr="001D163F">
        <w:rPr>
          <w:rFonts w:cs="Arial"/>
          <w:i/>
        </w:rPr>
        <w:t>”</w:t>
      </w:r>
      <w:r w:rsidR="002766A8" w:rsidRPr="001D163F">
        <w:rPr>
          <w:i/>
        </w:rPr>
        <w:t xml:space="preserve"> en las directrices de examen? </w:t>
      </w:r>
      <w:r w:rsidR="002766A8" w:rsidRPr="00C64836">
        <w:rPr>
          <w:i/>
          <w:lang w:val="en-US"/>
        </w:rPr>
        <w:t>(</w:t>
      </w:r>
      <w:proofErr w:type="spellStart"/>
      <w:proofErr w:type="gramStart"/>
      <w:r w:rsidR="002766A8" w:rsidRPr="00C64836">
        <w:rPr>
          <w:i/>
          <w:lang w:val="en-US"/>
        </w:rPr>
        <w:t>documento</w:t>
      </w:r>
      <w:proofErr w:type="spellEnd"/>
      <w:proofErr w:type="gramEnd"/>
      <w:r w:rsidR="002766A8" w:rsidRPr="00C64836">
        <w:rPr>
          <w:i/>
          <w:lang w:val="en-US"/>
        </w:rPr>
        <w:t> BMT/18/18</w:t>
      </w:r>
      <w:r w:rsidR="002766A8" w:rsidRPr="00C64836">
        <w:rPr>
          <w:iCs/>
          <w:lang w:val="en-US"/>
        </w:rPr>
        <w:t xml:space="preserve"> </w:t>
      </w:r>
      <w:r w:rsidR="002766A8" w:rsidRPr="00C64836">
        <w:rPr>
          <w:rFonts w:cs="Arial"/>
          <w:iCs/>
          <w:snapToGrid w:val="0"/>
          <w:lang w:val="en-US"/>
        </w:rPr>
        <w:t>“</w:t>
      </w:r>
      <w:r w:rsidR="002766A8" w:rsidRPr="00C64836">
        <w:rPr>
          <w:iCs/>
          <w:lang w:val="en-US"/>
        </w:rPr>
        <w:t xml:space="preserve">What information is essential for </w:t>
      </w:r>
      <w:r w:rsidR="002766A8" w:rsidRPr="00C64836">
        <w:rPr>
          <w:rFonts w:cs="Arial"/>
          <w:iCs/>
          <w:lang w:val="en-US"/>
        </w:rPr>
        <w:t>‘</w:t>
      </w:r>
      <w:r w:rsidR="002766A8" w:rsidRPr="00C64836">
        <w:rPr>
          <w:iCs/>
          <w:lang w:val="en-US"/>
        </w:rPr>
        <w:t>character-specific molecular markers</w:t>
      </w:r>
      <w:r w:rsidR="002766A8" w:rsidRPr="00C64836">
        <w:rPr>
          <w:rFonts w:cs="Arial"/>
          <w:iCs/>
          <w:lang w:val="en-US"/>
        </w:rPr>
        <w:t>’</w:t>
      </w:r>
      <w:r w:rsidR="002766A8" w:rsidRPr="00C64836">
        <w:rPr>
          <w:iCs/>
          <w:lang w:val="en-US"/>
        </w:rPr>
        <w:t xml:space="preserve"> in Test Guidelines</w:t>
      </w:r>
      <w:r w:rsidR="002766A8" w:rsidRPr="00C64836">
        <w:rPr>
          <w:rFonts w:cs="Arial"/>
          <w:iCs/>
          <w:lang w:val="en-US"/>
        </w:rPr>
        <w:t>”</w:t>
      </w:r>
      <w:r w:rsidR="002766A8" w:rsidRPr="00C64836">
        <w:rPr>
          <w:i/>
          <w:lang w:val="en-US"/>
        </w:rPr>
        <w:t>)</w:t>
      </w:r>
    </w:p>
    <w:p w14:paraId="6B93586B" w14:textId="6B481FF3" w:rsidR="007269EC" w:rsidRPr="00C64836" w:rsidRDefault="007269EC" w:rsidP="002766A8">
      <w:pPr>
        <w:ind w:left="1134" w:hanging="567"/>
        <w:rPr>
          <w:rFonts w:eastAsia="Times New Roman"/>
          <w:i/>
          <w:snapToGrid w:val="0"/>
          <w:lang w:val="en-US"/>
        </w:rPr>
      </w:pPr>
    </w:p>
    <w:p w14:paraId="0EB3FC95" w14:textId="458296AB" w:rsidR="007269EC" w:rsidRPr="007269EC" w:rsidRDefault="007269EC" w:rsidP="007269EC">
      <w:pPr>
        <w:spacing w:after="240"/>
        <w:ind w:left="567"/>
        <w:rPr>
          <w:rFonts w:eastAsia="Times New Roman"/>
          <w:i/>
          <w:snapToGrid w:val="0"/>
        </w:rPr>
      </w:pPr>
      <w:r w:rsidRPr="00353EFE">
        <w:rPr>
          <w:i/>
          <w:snapToGrid w:val="0"/>
        </w:rPr>
        <w:t>Cooperación entre organizaciones internacionales (documento BMT/18/4</w:t>
      </w:r>
      <w:r w:rsidR="00D830C9">
        <w:rPr>
          <w:i/>
          <w:snapToGrid w:val="0"/>
        </w:rPr>
        <w:t xml:space="preserve"> </w:t>
      </w:r>
      <w:r w:rsidR="00D830C9">
        <w:rPr>
          <w:rFonts w:cs="Arial"/>
          <w:i/>
          <w:snapToGrid w:val="0"/>
        </w:rPr>
        <w:t>“</w:t>
      </w:r>
      <w:r w:rsidR="00D830C9" w:rsidRPr="00353EFE">
        <w:rPr>
          <w:iCs/>
          <w:snapToGrid w:val="0"/>
        </w:rPr>
        <w:t>Cooperation between international organizations</w:t>
      </w:r>
      <w:r w:rsidR="00D830C9">
        <w:rPr>
          <w:rFonts w:cs="Arial"/>
          <w:i/>
        </w:rPr>
        <w:t>”</w:t>
      </w:r>
      <w:r>
        <w:rPr>
          <w:i/>
          <w:snapToGrid w:val="0"/>
        </w:rPr>
        <w:t>)</w:t>
      </w:r>
    </w:p>
    <w:p w14:paraId="29ED8F69" w14:textId="025FABDA" w:rsidR="007269EC" w:rsidRPr="00196B70" w:rsidRDefault="007269EC" w:rsidP="00353EFE">
      <w:pPr>
        <w:ind w:left="1134"/>
        <w:rPr>
          <w:rFonts w:eastAsia="Times New Roman" w:cs="Arial"/>
          <w:iCs/>
        </w:rPr>
      </w:pPr>
      <w:r>
        <w:tab/>
      </w:r>
      <w:r w:rsidRPr="00353EFE">
        <w:rPr>
          <w:i/>
        </w:rPr>
        <w:t>Métodos horizontales para el análisis de biomarcadores moleculares) (documento BMT/18/13</w:t>
      </w:r>
      <w:r w:rsidR="00EF27B5">
        <w:rPr>
          <w:iCs/>
        </w:rPr>
        <w:t xml:space="preserve"> </w:t>
      </w:r>
      <w:r w:rsidR="00EF27B5">
        <w:rPr>
          <w:rFonts w:cs="Arial"/>
          <w:i/>
          <w:snapToGrid w:val="0"/>
        </w:rPr>
        <w:t>“</w:t>
      </w:r>
      <w:r w:rsidR="00EF27B5" w:rsidRPr="00353EFE">
        <w:rPr>
          <w:iCs/>
        </w:rPr>
        <w:t>Horizontal methods for molecular biomarker analysis</w:t>
      </w:r>
      <w:r w:rsidR="00EF27B5">
        <w:rPr>
          <w:rFonts w:cs="Arial"/>
          <w:i/>
        </w:rPr>
        <w:t>”</w:t>
      </w:r>
      <w:r w:rsidRPr="00353EFE">
        <w:rPr>
          <w:i/>
        </w:rPr>
        <w:t>)</w:t>
      </w:r>
    </w:p>
    <w:p w14:paraId="19A37A3A" w14:textId="77777777" w:rsidR="007269EC" w:rsidRPr="007269EC" w:rsidRDefault="007269EC" w:rsidP="00353EFE">
      <w:pPr>
        <w:ind w:left="1134"/>
        <w:rPr>
          <w:rFonts w:eastAsia="Times New Roman"/>
          <w:i/>
          <w:snapToGrid w:val="0"/>
          <w:sz w:val="16"/>
        </w:rPr>
      </w:pPr>
    </w:p>
    <w:p w14:paraId="2F94B6B2" w14:textId="040B76F7" w:rsidR="007269EC" w:rsidRPr="001D163F" w:rsidRDefault="007269EC" w:rsidP="00353EFE">
      <w:pPr>
        <w:ind w:left="1134"/>
        <w:rPr>
          <w:rFonts w:eastAsia="Times New Roman" w:cs="Arial"/>
          <w:iCs/>
        </w:rPr>
      </w:pPr>
      <w:r>
        <w:tab/>
      </w:r>
      <w:r w:rsidRPr="00353EFE">
        <w:rPr>
          <w:i/>
        </w:rPr>
        <w:t>Sistema de semillas de la OCDE: un sistema internacional de certificación varietal de semillas</w:t>
      </w:r>
      <w:r w:rsidR="00D830C9" w:rsidRPr="00353EFE">
        <w:rPr>
          <w:i/>
        </w:rPr>
        <w:t xml:space="preserve"> </w:t>
      </w:r>
      <w:r w:rsidRPr="00353EFE">
        <w:rPr>
          <w:i/>
        </w:rPr>
        <w:t>(documento BMT/18/20</w:t>
      </w:r>
      <w:r w:rsidR="00D830C9" w:rsidRPr="00353EFE">
        <w:rPr>
          <w:i/>
        </w:rPr>
        <w:t xml:space="preserve"> </w:t>
      </w:r>
      <w:r w:rsidR="00D830C9" w:rsidRPr="001D163F">
        <w:rPr>
          <w:rFonts w:cs="Arial"/>
          <w:iCs/>
          <w:snapToGrid w:val="0"/>
        </w:rPr>
        <w:t>“</w:t>
      </w:r>
      <w:r w:rsidR="00D830C9" w:rsidRPr="001D163F">
        <w:rPr>
          <w:iCs/>
        </w:rPr>
        <w:t>OECD Seed Scheme: an international seed varietal certification system</w:t>
      </w:r>
      <w:r w:rsidR="00D830C9" w:rsidRPr="001D163F">
        <w:rPr>
          <w:rFonts w:cs="Arial"/>
          <w:iCs/>
        </w:rPr>
        <w:t>”</w:t>
      </w:r>
      <w:r w:rsidRPr="00353EFE">
        <w:rPr>
          <w:i/>
        </w:rPr>
        <w:t>)</w:t>
      </w:r>
    </w:p>
    <w:p w14:paraId="7731AA45" w14:textId="77777777" w:rsidR="007269EC" w:rsidRPr="007269EC" w:rsidRDefault="007269EC" w:rsidP="00353EFE">
      <w:pPr>
        <w:ind w:left="1134"/>
        <w:rPr>
          <w:rFonts w:eastAsia="Times New Roman"/>
          <w:i/>
          <w:snapToGrid w:val="0"/>
          <w:sz w:val="16"/>
        </w:rPr>
      </w:pPr>
    </w:p>
    <w:p w14:paraId="475E1094" w14:textId="6E1ECE36" w:rsidR="007269EC" w:rsidRPr="00196B70" w:rsidRDefault="007269EC" w:rsidP="00353EFE">
      <w:pPr>
        <w:ind w:left="1134"/>
        <w:rPr>
          <w:rFonts w:eastAsia="Times New Roman" w:cs="Arial"/>
          <w:iCs/>
        </w:rPr>
      </w:pPr>
      <w:r>
        <w:tab/>
      </w:r>
      <w:r w:rsidRPr="00353EFE">
        <w:rPr>
          <w:i/>
        </w:rPr>
        <w:t>Asociación Internacional para el Ensayo de Semillas (documento BMT/18/3</w:t>
      </w:r>
      <w:r w:rsidR="00D830C9">
        <w:rPr>
          <w:iCs/>
        </w:rPr>
        <w:t xml:space="preserve"> </w:t>
      </w:r>
      <w:r w:rsidR="00D830C9">
        <w:rPr>
          <w:rFonts w:cs="Arial"/>
          <w:i/>
          <w:snapToGrid w:val="0"/>
        </w:rPr>
        <w:t>“</w:t>
      </w:r>
      <w:r w:rsidR="00D830C9" w:rsidRPr="00353EFE">
        <w:rPr>
          <w:iCs/>
        </w:rPr>
        <w:t>International Seed Testing Association</w:t>
      </w:r>
      <w:r w:rsidR="00D830C9">
        <w:rPr>
          <w:rFonts w:cs="Arial"/>
          <w:i/>
        </w:rPr>
        <w:t>”</w:t>
      </w:r>
      <w:r w:rsidRPr="00353EFE">
        <w:rPr>
          <w:i/>
        </w:rPr>
        <w:t>)</w:t>
      </w:r>
    </w:p>
    <w:p w14:paraId="7EAECCD0" w14:textId="77777777" w:rsidR="007269EC" w:rsidRPr="007269EC" w:rsidRDefault="007269EC" w:rsidP="007269EC">
      <w:pPr>
        <w:ind w:left="567" w:firstLine="567"/>
        <w:rPr>
          <w:rFonts w:eastAsia="Times New Roman"/>
          <w:i/>
          <w:snapToGrid w:val="0"/>
        </w:rPr>
      </w:pPr>
      <w:r>
        <w:rPr>
          <w:i/>
          <w:snapToGrid w:val="0"/>
        </w:rPr>
        <w:t xml:space="preserve"> </w:t>
      </w:r>
    </w:p>
    <w:p w14:paraId="12F4399B" w14:textId="77777777" w:rsidR="007269EC" w:rsidRPr="007269EC" w:rsidRDefault="007269EC" w:rsidP="007269EC">
      <w:pPr>
        <w:spacing w:after="240"/>
        <w:ind w:left="567"/>
        <w:rPr>
          <w:rFonts w:eastAsia="Times New Roman"/>
          <w:i/>
          <w:snapToGrid w:val="0"/>
        </w:rPr>
      </w:pPr>
      <w:r>
        <w:rPr>
          <w:i/>
          <w:snapToGrid w:val="0"/>
        </w:rPr>
        <w:t>Bases de datos de descripciones de variedades, en particular las que contienen datos moleculares</w:t>
      </w:r>
    </w:p>
    <w:p w14:paraId="3E52B478" w14:textId="62968F27" w:rsidR="007269EC" w:rsidRPr="00353EFE" w:rsidRDefault="007269EC" w:rsidP="00FE0AE6">
      <w:pPr>
        <w:ind w:left="1134"/>
        <w:rPr>
          <w:rFonts w:eastAsia="Times New Roman" w:cs="Arial"/>
          <w:i/>
        </w:rPr>
      </w:pPr>
      <w:r w:rsidRPr="00353EFE">
        <w:rPr>
          <w:i/>
        </w:rPr>
        <w:t xml:space="preserve">Avances en la creación y la aplicación de una base de datos de huellas genéticas </w:t>
      </w:r>
      <w:r w:rsidR="00AE1110" w:rsidRPr="00353EFE">
        <w:rPr>
          <w:i/>
        </w:rPr>
        <w:t>d</w:t>
      </w:r>
      <w:r w:rsidRPr="00353EFE">
        <w:rPr>
          <w:i/>
        </w:rPr>
        <w:t>e maíz (documento</w:t>
      </w:r>
      <w:r w:rsidR="009C5270" w:rsidRPr="00353EFE">
        <w:rPr>
          <w:i/>
        </w:rPr>
        <w:t> </w:t>
      </w:r>
      <w:r w:rsidRPr="00353EFE">
        <w:rPr>
          <w:i/>
        </w:rPr>
        <w:t>BMT/18/6</w:t>
      </w:r>
      <w:r w:rsidR="00D830C9" w:rsidRPr="00353EFE">
        <w:rPr>
          <w:i/>
        </w:rPr>
        <w:t xml:space="preserve"> </w:t>
      </w:r>
      <w:r w:rsidR="00D830C9" w:rsidRPr="00353EFE">
        <w:rPr>
          <w:rFonts w:cs="Arial"/>
          <w:i/>
          <w:snapToGrid w:val="0"/>
        </w:rPr>
        <w:t>“</w:t>
      </w:r>
      <w:r w:rsidR="00D830C9" w:rsidRPr="00353EFE">
        <w:rPr>
          <w:iCs/>
        </w:rPr>
        <w:t>Advances in the construction and application of DNA fingerprint database in maize</w:t>
      </w:r>
      <w:r w:rsidR="00D830C9" w:rsidRPr="00353EFE">
        <w:rPr>
          <w:rFonts w:cs="Arial"/>
          <w:i/>
        </w:rPr>
        <w:t>”</w:t>
      </w:r>
      <w:r w:rsidRPr="00353EFE">
        <w:rPr>
          <w:i/>
        </w:rPr>
        <w:t>)</w:t>
      </w:r>
    </w:p>
    <w:p w14:paraId="05E22C2D" w14:textId="77777777" w:rsidR="007269EC" w:rsidRPr="007269EC" w:rsidRDefault="007269EC" w:rsidP="007269EC">
      <w:pPr>
        <w:ind w:left="567"/>
        <w:rPr>
          <w:rFonts w:eastAsia="Times New Roman" w:cs="Arial"/>
          <w:i/>
        </w:rPr>
      </w:pPr>
    </w:p>
    <w:p w14:paraId="50C55FE3" w14:textId="480FCA08" w:rsidR="007269EC" w:rsidRDefault="007269EC" w:rsidP="007269EC">
      <w:pPr>
        <w:spacing w:after="240"/>
        <w:ind w:left="567"/>
        <w:rPr>
          <w:i/>
          <w:snapToGrid w:val="0"/>
        </w:rPr>
      </w:pPr>
      <w:r>
        <w:rPr>
          <w:i/>
          <w:snapToGrid w:val="0"/>
        </w:rPr>
        <w:t>Gestión de las bases de datos e intercambio de datos y material</w:t>
      </w:r>
    </w:p>
    <w:p w14:paraId="0C8AE7EF" w14:textId="77777777" w:rsidR="009C5270" w:rsidRPr="00AC1E43" w:rsidRDefault="009C5270" w:rsidP="00AC1E43">
      <w:pPr>
        <w:ind w:left="567"/>
        <w:rPr>
          <w:i/>
          <w:snapToGrid w:val="0"/>
        </w:rPr>
      </w:pPr>
    </w:p>
    <w:p w14:paraId="3EFC6161" w14:textId="77777777" w:rsidR="007269EC" w:rsidRPr="007269EC" w:rsidRDefault="007269EC" w:rsidP="007269EC">
      <w:pPr>
        <w:spacing w:after="240"/>
        <w:ind w:left="567"/>
        <w:rPr>
          <w:rFonts w:eastAsia="Times New Roman"/>
          <w:i/>
          <w:snapToGrid w:val="0"/>
        </w:rPr>
      </w:pPr>
      <w:r>
        <w:rPr>
          <w:i/>
          <w:snapToGrid w:val="0"/>
        </w:rPr>
        <w:t xml:space="preserve">Métodos de análisis de datos moleculares </w:t>
      </w:r>
    </w:p>
    <w:p w14:paraId="73309EE0" w14:textId="64579698" w:rsidR="007269EC" w:rsidRPr="007269EC" w:rsidRDefault="007269EC" w:rsidP="007269EC">
      <w:pPr>
        <w:spacing w:after="240"/>
        <w:ind w:left="567"/>
        <w:rPr>
          <w:rFonts w:eastAsia="Times New Roman"/>
          <w:i/>
          <w:snapToGrid w:val="0"/>
          <w:vertAlign w:val="superscript"/>
        </w:rPr>
      </w:pPr>
      <w:r>
        <w:rPr>
          <w:i/>
          <w:snapToGrid w:val="0"/>
        </w:rPr>
        <w:lastRenderedPageBreak/>
        <w:t>Informe sobre las novedades en la creación de un instrumento informático para seleccionar marcadores que utilice el algoritmo del vendedor ambulante (documento BMT/18/11</w:t>
      </w:r>
      <w:r w:rsidR="00D830C9" w:rsidRPr="001D163F">
        <w:rPr>
          <w:iCs/>
        </w:rPr>
        <w:t xml:space="preserve"> “Report on developments of a software tool for marker selection using the traveling salesman algorithm”</w:t>
      </w:r>
      <w:r w:rsidRPr="00353EFE">
        <w:rPr>
          <w:i/>
        </w:rPr>
        <w:t>)</w:t>
      </w:r>
    </w:p>
    <w:p w14:paraId="2B4BF302" w14:textId="77777777" w:rsidR="007269EC" w:rsidRPr="007269EC" w:rsidRDefault="007269EC" w:rsidP="007269EC">
      <w:pPr>
        <w:spacing w:after="240"/>
        <w:ind w:left="567"/>
        <w:rPr>
          <w:rFonts w:eastAsia="Times New Roman"/>
          <w:i/>
          <w:snapToGrid w:val="0"/>
        </w:rPr>
      </w:pPr>
      <w:r>
        <w:rPr>
          <w:i/>
          <w:snapToGrid w:val="0"/>
        </w:rPr>
        <w:t xml:space="preserve">La utilización de técnicas moleculares en el examen de las variedades esencialmente derivadas </w:t>
      </w:r>
    </w:p>
    <w:p w14:paraId="1BB6627B" w14:textId="77777777" w:rsidR="007269EC" w:rsidRPr="007269EC" w:rsidRDefault="007269EC" w:rsidP="007269EC">
      <w:pPr>
        <w:spacing w:after="240"/>
        <w:ind w:left="567"/>
        <w:rPr>
          <w:rFonts w:eastAsia="Times New Roman"/>
          <w:i/>
          <w:snapToGrid w:val="0"/>
        </w:rPr>
      </w:pPr>
      <w:r>
        <w:rPr>
          <w:i/>
          <w:snapToGrid w:val="0"/>
        </w:rPr>
        <w:t>La utilización de técnicas moleculares en la identificación de variedades</w:t>
      </w:r>
    </w:p>
    <w:p w14:paraId="3EECB87D" w14:textId="5587798D" w:rsidR="007269EC" w:rsidRPr="007269EC" w:rsidRDefault="007269EC" w:rsidP="00353EFE">
      <w:pPr>
        <w:ind w:left="1134"/>
        <w:rPr>
          <w:rFonts w:eastAsia="Times New Roman" w:cs="Arial"/>
          <w:i/>
        </w:rPr>
      </w:pPr>
      <w:r>
        <w:tab/>
      </w:r>
      <w:r w:rsidRPr="001D163F">
        <w:rPr>
          <w:i/>
        </w:rPr>
        <w:t>Aplicaciones de los marcadores de polimorfismo de varios nucleótidos (MNP) para la protección de variedades (documento BMT/18/15</w:t>
      </w:r>
      <w:r w:rsidR="000528C9">
        <w:rPr>
          <w:iCs/>
        </w:rPr>
        <w:t xml:space="preserve"> </w:t>
      </w:r>
      <w:r w:rsidR="000528C9">
        <w:rPr>
          <w:rFonts w:cs="Arial"/>
          <w:i/>
          <w:snapToGrid w:val="0"/>
        </w:rPr>
        <w:t>“</w:t>
      </w:r>
      <w:r w:rsidR="000528C9" w:rsidRPr="001D163F">
        <w:rPr>
          <w:iCs/>
        </w:rPr>
        <w:t>Applications of MNP marker in plant varieties protection</w:t>
      </w:r>
      <w:r w:rsidR="000528C9">
        <w:rPr>
          <w:rFonts w:cs="Arial"/>
          <w:i/>
        </w:rPr>
        <w:t>”</w:t>
      </w:r>
      <w:r w:rsidRPr="00353EFE">
        <w:rPr>
          <w:i/>
        </w:rPr>
        <w:t>)</w:t>
      </w:r>
    </w:p>
    <w:p w14:paraId="1A6E68E8" w14:textId="77777777" w:rsidR="007269EC" w:rsidRPr="007269EC" w:rsidRDefault="007269EC" w:rsidP="00353EFE">
      <w:pPr>
        <w:ind w:left="1134"/>
        <w:rPr>
          <w:rFonts w:eastAsia="Times New Roman"/>
          <w:i/>
        </w:rPr>
      </w:pPr>
    </w:p>
    <w:p w14:paraId="18BB496D" w14:textId="60B16859" w:rsidR="007269EC" w:rsidRPr="007269EC" w:rsidRDefault="007269EC" w:rsidP="00353EFE">
      <w:pPr>
        <w:ind w:left="1134"/>
        <w:rPr>
          <w:rFonts w:eastAsia="Times New Roman" w:cs="Arial"/>
          <w:i/>
        </w:rPr>
      </w:pPr>
      <w:r w:rsidRPr="00353EFE">
        <w:rPr>
          <w:i/>
        </w:rPr>
        <w:tab/>
        <w:t>Análisis de la asociación entre marcadores de secuencias simples repetidas (SSR) y caracteres agronómicos en la soja (documento BMT/18/19</w:t>
      </w:r>
      <w:r w:rsidR="000528C9">
        <w:rPr>
          <w:iCs/>
        </w:rPr>
        <w:t xml:space="preserve"> </w:t>
      </w:r>
      <w:r w:rsidR="000528C9">
        <w:rPr>
          <w:rFonts w:cs="Arial"/>
          <w:i/>
          <w:snapToGrid w:val="0"/>
        </w:rPr>
        <w:t>“</w:t>
      </w:r>
      <w:r w:rsidR="000528C9" w:rsidRPr="001D163F">
        <w:rPr>
          <w:iCs/>
        </w:rPr>
        <w:t>Association analysis of SSR markers and agronomic traits in soybean</w:t>
      </w:r>
      <w:r w:rsidR="000528C9">
        <w:rPr>
          <w:rFonts w:cs="Arial"/>
          <w:i/>
        </w:rPr>
        <w:t>”</w:t>
      </w:r>
      <w:r w:rsidRPr="00353EFE">
        <w:rPr>
          <w:i/>
        </w:rPr>
        <w:t>)</w:t>
      </w:r>
    </w:p>
    <w:p w14:paraId="63FC9677" w14:textId="77777777" w:rsidR="007269EC" w:rsidRPr="007269EC" w:rsidRDefault="007269EC" w:rsidP="007269EC">
      <w:pPr>
        <w:ind w:left="567" w:firstLine="567"/>
        <w:rPr>
          <w:rFonts w:eastAsia="Times New Roman" w:cs="Arial"/>
          <w:i/>
        </w:rPr>
      </w:pPr>
    </w:p>
    <w:p w14:paraId="6C253216" w14:textId="1554E31C" w:rsidR="007269EC" w:rsidRPr="007269EC" w:rsidRDefault="007269EC" w:rsidP="007269EC">
      <w:pPr>
        <w:spacing w:after="240"/>
        <w:ind w:left="567"/>
        <w:rPr>
          <w:rFonts w:eastAsia="Times New Roman"/>
          <w:i/>
          <w:snapToGrid w:val="0"/>
        </w:rPr>
      </w:pPr>
      <w:r>
        <w:rPr>
          <w:i/>
          <w:snapToGrid w:val="0"/>
        </w:rPr>
        <w:t>Revisión del documento UPOV/INF/17 “Directrices para los perfiles de ADN: selección de marcadores moleculares y creación de una base de datos</w:t>
      </w:r>
      <w:r w:rsidR="0091340F">
        <w:rPr>
          <w:i/>
          <w:snapToGrid w:val="0"/>
        </w:rPr>
        <w:t xml:space="preserve"> </w:t>
      </w:r>
      <w:r>
        <w:t>(documentos BMT/18/10 y UPOV/INF/17/2 Draft 2</w:t>
      </w:r>
      <w:r w:rsidRPr="00353EFE">
        <w:rPr>
          <w:i/>
          <w:iCs/>
        </w:rPr>
        <w:t>)</w:t>
      </w:r>
    </w:p>
    <w:p w14:paraId="69FF748B" w14:textId="77777777" w:rsidR="007269EC" w:rsidRPr="007269EC" w:rsidRDefault="007269EC" w:rsidP="007269EC">
      <w:pPr>
        <w:spacing w:after="240"/>
        <w:ind w:left="567"/>
        <w:rPr>
          <w:rFonts w:eastAsia="Times New Roman"/>
          <w:i/>
          <w:snapToGrid w:val="0"/>
        </w:rPr>
      </w:pPr>
      <w:r>
        <w:rPr>
          <w:i/>
          <w:snapToGrid w:val="0"/>
        </w:rPr>
        <w:t>Revisión del documento TGP/15 “Orientación sobre el uso de marcadores bioquímicos y moleculares en el examen de la distinción, la homogeneidad y la estabilidad (DHE)” (documento BMT/18/7)</w:t>
      </w:r>
    </w:p>
    <w:p w14:paraId="0826F0C2" w14:textId="6B631841" w:rsidR="007269EC" w:rsidRPr="007269EC" w:rsidRDefault="007269EC" w:rsidP="007269EC">
      <w:pPr>
        <w:spacing w:after="240"/>
        <w:ind w:firstLine="567"/>
        <w:rPr>
          <w:rFonts w:eastAsia="Times New Roman"/>
          <w:i/>
          <w:snapToGrid w:val="0"/>
        </w:rPr>
      </w:pPr>
      <w:r>
        <w:rPr>
          <w:i/>
          <w:snapToGrid w:val="0"/>
        </w:rPr>
        <w:t>Sesión destinada a facilitar la cooperación (</w:t>
      </w:r>
      <w:r>
        <w:rPr>
          <w:i/>
        </w:rPr>
        <w:t>documento BMT/18/5</w:t>
      </w:r>
      <w:r w:rsidR="000528C9">
        <w:rPr>
          <w:i/>
        </w:rPr>
        <w:t xml:space="preserve"> </w:t>
      </w:r>
      <w:r w:rsidR="000528C9">
        <w:rPr>
          <w:i/>
          <w:snapToGrid w:val="0"/>
        </w:rPr>
        <w:t>“</w:t>
      </w:r>
      <w:r w:rsidR="000528C9" w:rsidRPr="00353EFE">
        <w:rPr>
          <w:iCs/>
        </w:rPr>
        <w:t>Session to facilitate cooperation</w:t>
      </w:r>
      <w:r w:rsidR="000528C9">
        <w:rPr>
          <w:i/>
          <w:snapToGrid w:val="0"/>
        </w:rPr>
        <w:t>”</w:t>
      </w:r>
      <w:r>
        <w:rPr>
          <w:i/>
        </w:rPr>
        <w:t xml:space="preserve">) </w:t>
      </w:r>
    </w:p>
    <w:p w14:paraId="58EF0A68" w14:textId="77777777" w:rsidR="00E8527D" w:rsidRPr="00861DBA" w:rsidRDefault="00E8527D" w:rsidP="00861DBA">
      <w:pPr>
        <w:rPr>
          <w:sz w:val="16"/>
        </w:rPr>
      </w:pPr>
    </w:p>
    <w:p w14:paraId="656F2001" w14:textId="77777777" w:rsidR="00E8527D" w:rsidRPr="00E8527D" w:rsidRDefault="00E8527D" w:rsidP="00E8527D">
      <w:pPr>
        <w:keepNext/>
        <w:spacing w:after="240"/>
        <w:outlineLvl w:val="1"/>
        <w:rPr>
          <w:rFonts w:eastAsia="Times New Roman"/>
          <w:u w:val="single"/>
        </w:rPr>
      </w:pPr>
      <w:bookmarkStart w:id="12" w:name="_Toc22569703"/>
      <w:bookmarkStart w:id="13" w:name="_Toc24095750"/>
      <w:r>
        <w:rPr>
          <w:u w:val="single"/>
        </w:rPr>
        <w:t>Informe sobre las novedades en la creación de un instrumento informático para seleccionar marcadores que utilice el algoritmo del vendedor ambulante</w:t>
      </w:r>
      <w:bookmarkEnd w:id="12"/>
      <w:bookmarkEnd w:id="13"/>
    </w:p>
    <w:p w14:paraId="732BB99A" w14:textId="76DBDA3F" w:rsidR="00E8527D" w:rsidRPr="00E8527D" w:rsidRDefault="00E8527D" w:rsidP="00E8527D">
      <w:pPr>
        <w:rPr>
          <w:rFonts w:eastAsia="Times New Roman" w:cs="Arial"/>
          <w:iCs/>
        </w:rPr>
      </w:pPr>
      <w:r w:rsidRPr="00E8527D">
        <w:rPr>
          <w:rFonts w:eastAsia="Times New Roman" w:cs="Arial"/>
          <w:iCs/>
          <w:snapToGrid w:val="0"/>
        </w:rPr>
        <w:fldChar w:fldCharType="begin"/>
      </w:r>
      <w:r w:rsidRPr="00E8527D">
        <w:rPr>
          <w:rFonts w:eastAsia="Times New Roman" w:cs="Arial"/>
          <w:iCs/>
          <w:snapToGrid w:val="0"/>
        </w:rPr>
        <w:instrText xml:space="preserve"> AUTONUM  </w:instrText>
      </w:r>
      <w:r w:rsidRPr="00E8527D">
        <w:rPr>
          <w:rFonts w:eastAsia="Times New Roman" w:cs="Arial"/>
          <w:iCs/>
          <w:snapToGrid w:val="0"/>
        </w:rPr>
        <w:fldChar w:fldCharType="end"/>
      </w:r>
      <w:r>
        <w:tab/>
        <w:t>El BMT examinó el documento BMT/18/11 y asistió a una ponencia a cargo del Sr. Barry Nelson (Asociación de Semillas de las Américas (SAA)), que se reproducirá en una adición al documento BMT/18/11 (véanse los párrafos 9 y 10 del documento BMT/18/21</w:t>
      </w:r>
      <w:r w:rsidR="009C5270">
        <w:t xml:space="preserve"> </w:t>
      </w:r>
      <w:r>
        <w:t>“</w:t>
      </w:r>
      <w:r>
        <w:rPr>
          <w:i/>
        </w:rPr>
        <w:t>Report</w:t>
      </w:r>
      <w:r w:rsidR="00196B70">
        <w:rPr>
          <w:i/>
          <w:snapToGrid w:val="0"/>
        </w:rPr>
        <w:t>”</w:t>
      </w:r>
      <w:r>
        <w:t>).</w:t>
      </w:r>
    </w:p>
    <w:p w14:paraId="6F7C30B8" w14:textId="77777777" w:rsidR="00E8527D" w:rsidRPr="00E8527D" w:rsidRDefault="00E8527D" w:rsidP="00E8527D">
      <w:pPr>
        <w:rPr>
          <w:rFonts w:eastAsia="Times New Roman"/>
        </w:rPr>
      </w:pPr>
    </w:p>
    <w:p w14:paraId="0A65F2B7" w14:textId="77777777" w:rsidR="00E8527D" w:rsidRPr="00E8527D" w:rsidRDefault="00E8527D" w:rsidP="00E8527D">
      <w:pPr>
        <w:rPr>
          <w:rFonts w:eastAsia="Times New Roman"/>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tab/>
        <w:t>El BMT convino en invitar a los miembros a probar el programa informático de selección de series de marcadores moleculares para la identificación varietal e informar de sus resultados al BMT, en su decimonovena sesión.</w:t>
      </w:r>
    </w:p>
    <w:p w14:paraId="041D114E" w14:textId="77777777" w:rsidR="00E8527D" w:rsidRPr="00E8527D" w:rsidRDefault="00E8527D" w:rsidP="00E8527D">
      <w:pPr>
        <w:rPr>
          <w:rFonts w:eastAsia="Times New Roman"/>
        </w:rPr>
      </w:pPr>
    </w:p>
    <w:p w14:paraId="6A2D8100" w14:textId="77777777" w:rsidR="00E8527D" w:rsidRPr="00E8527D" w:rsidRDefault="00E8527D" w:rsidP="00E8527D">
      <w:pPr>
        <w:keepNext/>
        <w:spacing w:after="240"/>
        <w:outlineLvl w:val="1"/>
        <w:rPr>
          <w:rFonts w:eastAsia="Times New Roman"/>
          <w:u w:val="single"/>
        </w:rPr>
      </w:pPr>
      <w:bookmarkStart w:id="14" w:name="_Toc22569704"/>
      <w:bookmarkStart w:id="15" w:name="_Toc24095751"/>
      <w:r>
        <w:rPr>
          <w:u w:val="single"/>
        </w:rPr>
        <w:t>Fecha y lugar de la próxima sesión</w:t>
      </w:r>
      <w:bookmarkEnd w:id="14"/>
      <w:bookmarkEnd w:id="15"/>
    </w:p>
    <w:p w14:paraId="6EBAC885" w14:textId="01F12D6A" w:rsidR="00E8527D" w:rsidRPr="00E8527D" w:rsidRDefault="00E8527D" w:rsidP="00E8527D">
      <w:pPr>
        <w:rPr>
          <w:rFonts w:eastAsia="Times New Roman"/>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tab/>
        <w:t>Por invitación de los Estados Unidos de América, el BMT convino en celebrar su decimonovena sesión en Alexandria, Virginia (Estados Unidos de América), conjuntamente con el TWC, durante la semana del 21</w:t>
      </w:r>
      <w:r w:rsidR="00224045">
        <w:t> </w:t>
      </w:r>
      <w:r>
        <w:t>de septiembre de 2020 (véase el párrafo 73 del documento BMT/18/21 “</w:t>
      </w:r>
      <w:r>
        <w:rPr>
          <w:i/>
        </w:rPr>
        <w:t>Report</w:t>
      </w:r>
      <w:r>
        <w:t>”).</w:t>
      </w:r>
    </w:p>
    <w:p w14:paraId="0EAB8942" w14:textId="77777777" w:rsidR="00E8527D" w:rsidRPr="00E8527D" w:rsidRDefault="00E8527D" w:rsidP="00E8527D">
      <w:pPr>
        <w:rPr>
          <w:rFonts w:eastAsia="Times New Roman"/>
        </w:rPr>
      </w:pPr>
    </w:p>
    <w:p w14:paraId="65BD7507" w14:textId="0E802E9C" w:rsidR="00E8527D" w:rsidRPr="00E8527D" w:rsidRDefault="007D7C45" w:rsidP="00E8527D">
      <w:pPr>
        <w:keepNext/>
        <w:spacing w:after="240"/>
        <w:outlineLvl w:val="1"/>
        <w:rPr>
          <w:rFonts w:eastAsia="Times New Roman"/>
          <w:u w:val="single"/>
        </w:rPr>
      </w:pPr>
      <w:bookmarkStart w:id="16" w:name="_Toc22569705"/>
      <w:bookmarkStart w:id="17" w:name="_Toc24095752"/>
      <w:r>
        <w:rPr>
          <w:u w:val="single"/>
        </w:rPr>
        <w:t>P</w:t>
      </w:r>
      <w:r w:rsidR="00E8527D">
        <w:rPr>
          <w:u w:val="single"/>
        </w:rPr>
        <w:t>rograma</w:t>
      </w:r>
      <w:bookmarkEnd w:id="16"/>
      <w:bookmarkEnd w:id="17"/>
      <w:r>
        <w:rPr>
          <w:u w:val="single"/>
        </w:rPr>
        <w:t xml:space="preserve"> previsto</w:t>
      </w:r>
    </w:p>
    <w:p w14:paraId="303F7565" w14:textId="77777777" w:rsidR="00E8527D" w:rsidRPr="00E8527D" w:rsidRDefault="00E8527D" w:rsidP="00E8527D">
      <w:pPr>
        <w:keepNext/>
        <w:rPr>
          <w:rFonts w:eastAsia="Times New Roman" w:cs="Arial"/>
        </w:rPr>
      </w:pPr>
      <w:r w:rsidRPr="00E8527D">
        <w:rPr>
          <w:rFonts w:eastAsia="Times New Roman" w:cs="Arial"/>
          <w:iCs/>
          <w:snapToGrid w:val="0"/>
        </w:rPr>
        <w:fldChar w:fldCharType="begin"/>
      </w:r>
      <w:r w:rsidRPr="00E8527D">
        <w:rPr>
          <w:rFonts w:eastAsia="Times New Roman" w:cs="Arial"/>
          <w:iCs/>
          <w:snapToGrid w:val="0"/>
        </w:rPr>
        <w:instrText xml:space="preserve"> AUTONUM  </w:instrText>
      </w:r>
      <w:r w:rsidRPr="00E8527D">
        <w:rPr>
          <w:rFonts w:eastAsia="Times New Roman" w:cs="Arial"/>
          <w:iCs/>
          <w:snapToGrid w:val="0"/>
        </w:rPr>
        <w:fldChar w:fldCharType="end"/>
      </w:r>
      <w:r>
        <w:tab/>
        <w:t>En su decimonovena sesión, el BMT tiene previsto debatir las cuestiones siguientes (véase el párrafo 74 del documento BMT/18/21 “</w:t>
      </w:r>
      <w:r>
        <w:rPr>
          <w:i/>
        </w:rPr>
        <w:t>Report</w:t>
      </w:r>
      <w:r>
        <w:t>”):</w:t>
      </w:r>
    </w:p>
    <w:p w14:paraId="0D877418" w14:textId="77777777" w:rsidR="00E8527D" w:rsidRPr="00861DBA" w:rsidRDefault="00E8527D" w:rsidP="00E8527D">
      <w:pPr>
        <w:keepNext/>
        <w:rPr>
          <w:rFonts w:eastAsia="Times New Roman" w:cs="Arial"/>
          <w:sz w:val="18"/>
        </w:rPr>
      </w:pPr>
    </w:p>
    <w:p w14:paraId="207D6C60" w14:textId="77777777" w:rsidR="00E8527D" w:rsidRPr="00E8527D" w:rsidRDefault="00E8527D" w:rsidP="00E8527D">
      <w:pPr>
        <w:spacing w:after="200"/>
        <w:ind w:left="567"/>
        <w:rPr>
          <w:rFonts w:eastAsia="Times New Roman" w:cs="Arial"/>
        </w:rPr>
      </w:pPr>
      <w:r>
        <w:t>1.</w:t>
      </w:r>
      <w:r>
        <w:tab/>
        <w:t>Apertura de la sesión</w:t>
      </w:r>
    </w:p>
    <w:p w14:paraId="06B3666F" w14:textId="77777777" w:rsidR="00E8527D" w:rsidRPr="00E8527D" w:rsidRDefault="00E8527D" w:rsidP="00E8527D">
      <w:pPr>
        <w:spacing w:after="200"/>
        <w:ind w:left="567"/>
        <w:rPr>
          <w:rFonts w:eastAsia="Times New Roman" w:cs="Arial"/>
        </w:rPr>
      </w:pPr>
      <w:r>
        <w:t>2.</w:t>
      </w:r>
      <w:r>
        <w:tab/>
        <w:t>Aprobación del orden del día</w:t>
      </w:r>
    </w:p>
    <w:p w14:paraId="2B6D75B6" w14:textId="2EDC0607" w:rsidR="00E8527D" w:rsidRPr="00E8527D" w:rsidRDefault="00E8527D" w:rsidP="00E8527D">
      <w:pPr>
        <w:spacing w:after="200"/>
        <w:ind w:left="1134" w:hanging="567"/>
        <w:rPr>
          <w:rFonts w:eastAsia="Times New Roman" w:cs="Arial"/>
        </w:rPr>
      </w:pPr>
      <w:r>
        <w:t>3.</w:t>
      </w:r>
      <w:r>
        <w:tab/>
        <w:t>Informes sobre las novedades acaecidas en la UPOV en relación con las técnicas bioquímicas y moleculares (la Oficina de la Unión</w:t>
      </w:r>
      <w:r w:rsidR="00085D5E" w:rsidRPr="00085D5E">
        <w:t xml:space="preserve"> </w:t>
      </w:r>
      <w:r w:rsidR="00085D5E">
        <w:t>elaborará un documento</w:t>
      </w:r>
      <w:r>
        <w:t>)</w:t>
      </w:r>
    </w:p>
    <w:p w14:paraId="2149823D" w14:textId="77777777" w:rsidR="00E8527D" w:rsidRPr="00E8527D" w:rsidRDefault="00E8527D" w:rsidP="00E8527D">
      <w:pPr>
        <w:spacing w:after="200"/>
        <w:ind w:left="1134" w:hanging="567"/>
        <w:rPr>
          <w:rFonts w:eastAsia="Times New Roman" w:cs="Arial"/>
        </w:rPr>
      </w:pPr>
      <w:r>
        <w:t>4.</w:t>
      </w:r>
      <w:r>
        <w:tab/>
        <w:t>Breves ponencias sobre los avances en las técnicas bioquímicas y moleculares a cargo de expertos en el examen DHE, especialistas en técnicas bioquímicas y moleculares, y obtentores y organizaciones internacionales pertinentes (informes verbales de los participantes)</w:t>
      </w:r>
    </w:p>
    <w:p w14:paraId="1C161DB4" w14:textId="77777777" w:rsidR="00E8527D" w:rsidRPr="00E8527D" w:rsidRDefault="00E8527D" w:rsidP="00E8527D">
      <w:pPr>
        <w:spacing w:after="200"/>
        <w:ind w:left="567"/>
        <w:rPr>
          <w:rFonts w:eastAsia="Times New Roman" w:cs="Arial"/>
        </w:rPr>
      </w:pPr>
      <w:r>
        <w:t>5.</w:t>
      </w:r>
      <w:r>
        <w:tab/>
        <w:t>Informe sobre la labor en materia de técnicas moleculares en relación con el examen DHE (se solicitan ponencias)</w:t>
      </w:r>
    </w:p>
    <w:p w14:paraId="177E3711" w14:textId="513A7DA8" w:rsidR="00E8527D" w:rsidRPr="00C653B8" w:rsidRDefault="00E8527D" w:rsidP="00E8527D">
      <w:pPr>
        <w:spacing w:after="200"/>
        <w:ind w:left="1134" w:hanging="567"/>
        <w:rPr>
          <w:rFonts w:eastAsia="Times New Roman" w:cs="Arial"/>
          <w:spacing w:val="-4"/>
        </w:rPr>
      </w:pPr>
      <w:r>
        <w:t>6.</w:t>
      </w:r>
      <w:r>
        <w:tab/>
        <w:t>Cooperación entre las organizaciones internacionales (</w:t>
      </w:r>
      <w:r w:rsidR="009C5270">
        <w:t xml:space="preserve">la Oficina de la Unión elaborará un </w:t>
      </w:r>
      <w:r>
        <w:t xml:space="preserve">documento) </w:t>
      </w:r>
    </w:p>
    <w:p w14:paraId="60135540" w14:textId="77777777" w:rsidR="00E8527D" w:rsidRPr="00E8527D" w:rsidRDefault="00E8527D" w:rsidP="00E8527D">
      <w:pPr>
        <w:spacing w:after="200"/>
        <w:ind w:left="567"/>
        <w:rPr>
          <w:rFonts w:eastAsia="Times New Roman" w:cs="Arial"/>
        </w:rPr>
      </w:pPr>
      <w:r>
        <w:lastRenderedPageBreak/>
        <w:t>7.</w:t>
      </w:r>
      <w:r>
        <w:tab/>
        <w:t>Bases de datos de descripciones de variedades, en particular las que contienen datos moleculares (se solicitan ponencias)</w:t>
      </w:r>
    </w:p>
    <w:p w14:paraId="60BA5C6D" w14:textId="77777777" w:rsidR="00E8527D" w:rsidRPr="00E8527D" w:rsidRDefault="00E8527D" w:rsidP="00E8527D">
      <w:pPr>
        <w:spacing w:after="200"/>
        <w:ind w:left="567"/>
        <w:rPr>
          <w:rFonts w:eastAsia="Times New Roman" w:cs="Arial"/>
        </w:rPr>
      </w:pPr>
      <w:r>
        <w:t>8.</w:t>
      </w:r>
      <w:r>
        <w:tab/>
        <w:t>Métodos de análisis de datos moleculares, gestión de bases de datos e intercambio de datos y material (se solicitan ponencias)</w:t>
      </w:r>
    </w:p>
    <w:p w14:paraId="42AEFF77" w14:textId="77777777" w:rsidR="009C5270" w:rsidRDefault="00E8527D" w:rsidP="00E8527D">
      <w:pPr>
        <w:spacing w:after="200"/>
        <w:ind w:left="567"/>
      </w:pPr>
      <w:r>
        <w:t>9.</w:t>
      </w:r>
      <w:r>
        <w:tab/>
        <w:t>La utilización de técnicas moleculares en el examen de las variedades esencialmente derivadas</w:t>
      </w:r>
      <w:bookmarkStart w:id="18" w:name="_Ref498061157"/>
      <w:r>
        <w:rPr>
          <w:vertAlign w:val="superscript"/>
        </w:rPr>
        <w:footnoteReference w:id="2"/>
      </w:r>
      <w:bookmarkEnd w:id="18"/>
      <w:r>
        <w:t xml:space="preserve"> (se solicitan ponencias) </w:t>
      </w:r>
    </w:p>
    <w:p w14:paraId="6878BC2E" w14:textId="5A492220" w:rsidR="00E8527D" w:rsidRPr="00E8527D" w:rsidRDefault="00E8527D" w:rsidP="00E8527D">
      <w:pPr>
        <w:spacing w:after="200"/>
        <w:ind w:left="567"/>
        <w:rPr>
          <w:rFonts w:eastAsia="Times New Roman" w:cs="Arial"/>
        </w:rPr>
      </w:pPr>
      <w:r>
        <w:t>10.</w:t>
      </w:r>
      <w:r>
        <w:tab/>
        <w:t>La utilización de técnicas moleculares en la identificación de variedades</w:t>
      </w:r>
      <w:r>
        <w:rPr>
          <w:vertAlign w:val="superscript"/>
        </w:rPr>
        <w:t>1</w:t>
      </w:r>
      <w:r>
        <w:t xml:space="preserve"> (se solicitan ponencias)</w:t>
      </w:r>
    </w:p>
    <w:p w14:paraId="7AD810D7" w14:textId="77777777" w:rsidR="00E8527D" w:rsidRPr="00E8527D" w:rsidRDefault="00E8527D" w:rsidP="00E8527D">
      <w:pPr>
        <w:spacing w:after="200"/>
        <w:ind w:left="567"/>
        <w:rPr>
          <w:rFonts w:eastAsia="Times New Roman" w:cs="Arial"/>
        </w:rPr>
      </w:pPr>
      <w:r>
        <w:t>11.</w:t>
      </w:r>
      <w:r>
        <w:tab/>
        <w:t>Confidencialidad, titularidad y acceso a datos moleculares</w:t>
      </w:r>
      <w:r>
        <w:rPr>
          <w:vertAlign w:val="superscript"/>
        </w:rPr>
        <w:t>1</w:t>
      </w:r>
      <w:r>
        <w:t xml:space="preserve"> (se solicitan ponencias)</w:t>
      </w:r>
    </w:p>
    <w:p w14:paraId="4E0B0A08" w14:textId="3B67453C" w:rsidR="00E8527D" w:rsidRPr="00E8527D" w:rsidRDefault="00E8527D" w:rsidP="00E8527D">
      <w:pPr>
        <w:spacing w:after="200"/>
        <w:ind w:left="1134" w:hanging="567"/>
        <w:rPr>
          <w:rFonts w:eastAsia="Times New Roman" w:cs="Arial"/>
        </w:rPr>
      </w:pPr>
      <w:r>
        <w:t>12.</w:t>
      </w:r>
      <w:r>
        <w:tab/>
        <w:t>Revisión del documento UPOV/INF/17 “Directrices para los perfiles de ADN: selección de marcadores moleculares y creación de una base de datos</w:t>
      </w:r>
      <w:r w:rsidR="00224045">
        <w:t>”</w:t>
      </w:r>
    </w:p>
    <w:p w14:paraId="188CAD8D" w14:textId="77777777" w:rsidR="00E8527D" w:rsidRPr="00E8527D" w:rsidRDefault="00E8527D" w:rsidP="00E8527D">
      <w:pPr>
        <w:spacing w:after="200"/>
        <w:ind w:left="1134" w:hanging="567"/>
        <w:rPr>
          <w:rFonts w:eastAsia="Times New Roman" w:cs="Arial"/>
        </w:rPr>
      </w:pPr>
      <w:r>
        <w:t>13.</w:t>
      </w:r>
      <w:r>
        <w:tab/>
        <w:t xml:space="preserve">Sesión destinada a facilitar la cooperación </w:t>
      </w:r>
    </w:p>
    <w:p w14:paraId="67EAA920" w14:textId="77777777" w:rsidR="00E8527D" w:rsidRPr="00E8527D" w:rsidRDefault="00E8527D" w:rsidP="00E8527D">
      <w:pPr>
        <w:spacing w:after="200"/>
        <w:ind w:left="567"/>
        <w:rPr>
          <w:rFonts w:eastAsia="Times New Roman" w:cs="Arial"/>
        </w:rPr>
      </w:pPr>
      <w:r>
        <w:t>14.</w:t>
      </w:r>
      <w:r>
        <w:tab/>
        <w:t>Fecha y lugar de la próxima sesión</w:t>
      </w:r>
    </w:p>
    <w:p w14:paraId="30672597" w14:textId="5616DC5B" w:rsidR="00E8527D" w:rsidRPr="00E8527D" w:rsidRDefault="00E8527D" w:rsidP="00E8527D">
      <w:pPr>
        <w:spacing w:after="200"/>
        <w:ind w:left="567"/>
        <w:rPr>
          <w:rFonts w:eastAsia="Times New Roman" w:cs="Arial"/>
        </w:rPr>
      </w:pPr>
      <w:r>
        <w:t>15.</w:t>
      </w:r>
      <w:r>
        <w:tab/>
      </w:r>
      <w:r w:rsidR="007D7C45">
        <w:t>P</w:t>
      </w:r>
      <w:r>
        <w:t>r</w:t>
      </w:r>
      <w:r w:rsidR="007D7C45">
        <w:t>óximo pro</w:t>
      </w:r>
      <w:r>
        <w:t>grama</w:t>
      </w:r>
    </w:p>
    <w:p w14:paraId="0019DA17" w14:textId="77777777" w:rsidR="00E8527D" w:rsidRPr="00E8527D" w:rsidRDefault="00E8527D" w:rsidP="00E8527D">
      <w:pPr>
        <w:spacing w:after="200"/>
        <w:ind w:left="567"/>
        <w:rPr>
          <w:rFonts w:eastAsia="Times New Roman" w:cs="Arial"/>
        </w:rPr>
      </w:pPr>
      <w:r>
        <w:t>16.</w:t>
      </w:r>
      <w:r>
        <w:tab/>
        <w:t>Informe de la sesión (si se dispone de tiempo)</w:t>
      </w:r>
    </w:p>
    <w:p w14:paraId="7AD05BB9" w14:textId="77777777" w:rsidR="00E8527D" w:rsidRDefault="00E8527D" w:rsidP="00E8527D">
      <w:pPr>
        <w:ind w:left="567"/>
        <w:rPr>
          <w:rFonts w:eastAsia="Times New Roman" w:cs="Arial"/>
        </w:rPr>
      </w:pPr>
      <w:r>
        <w:t>17.</w:t>
      </w:r>
      <w:r>
        <w:tab/>
        <w:t>Clausura de la sesión</w:t>
      </w:r>
    </w:p>
    <w:p w14:paraId="265BD154" w14:textId="77777777" w:rsidR="0067582A" w:rsidRPr="00E8527D" w:rsidRDefault="0067582A" w:rsidP="00E8527D">
      <w:pPr>
        <w:ind w:left="567"/>
        <w:rPr>
          <w:rFonts w:eastAsia="Times New Roman" w:cs="Arial"/>
        </w:rPr>
      </w:pPr>
    </w:p>
    <w:p w14:paraId="2B7A5437" w14:textId="604E519E" w:rsidR="00E8527D" w:rsidRPr="00E8527D" w:rsidRDefault="00E8527D" w:rsidP="00E8527D">
      <w:pPr>
        <w:rPr>
          <w:rFonts w:eastAsia="Times New Roman" w:cs="Arial"/>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tab/>
        <w:t>El BMT consideró la posibilidad de organizar las sesiones del TWC y el BMT en la misma semana.</w:t>
      </w:r>
      <w:r w:rsidR="0091340F">
        <w:t xml:space="preserve"> </w:t>
      </w:r>
      <w:r>
        <w:t>El</w:t>
      </w:r>
      <w:r w:rsidR="009C5270">
        <w:t> </w:t>
      </w:r>
      <w:r>
        <w:t>BMT convino con el TWC en que existe una duplicación del contenido presentado en sus sesiones y las del</w:t>
      </w:r>
      <w:r w:rsidR="009C5270">
        <w:t> </w:t>
      </w:r>
      <w:r>
        <w:t>BMT y en que las partes de apertura e introducción han ser una sola para ambas sesiones al mismo tiempo (véanse los párrafos 75 y 76 del documento BMT/18/21 “</w:t>
      </w:r>
      <w:r>
        <w:rPr>
          <w:i/>
        </w:rPr>
        <w:t>Report</w:t>
      </w:r>
      <w:r w:rsidR="00224045">
        <w:t>”</w:t>
      </w:r>
      <w:r>
        <w:t>).</w:t>
      </w:r>
      <w:r w:rsidR="0091340F">
        <w:t xml:space="preserve"> </w:t>
      </w:r>
    </w:p>
    <w:p w14:paraId="0EFD8D83" w14:textId="77777777" w:rsidR="00E8527D" w:rsidRPr="00E8527D" w:rsidRDefault="00E8527D" w:rsidP="00E8527D">
      <w:pPr>
        <w:rPr>
          <w:rFonts w:eastAsia="Times New Roman" w:cs="Arial"/>
        </w:rPr>
      </w:pPr>
    </w:p>
    <w:p w14:paraId="302A91AA" w14:textId="44DFF51A" w:rsidR="00E8527D" w:rsidRPr="00E8527D" w:rsidRDefault="00E8527D" w:rsidP="00E8527D">
      <w:pPr>
        <w:rPr>
          <w:rFonts w:eastAsia="Times New Roman" w:cs="Arial"/>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tab/>
        <w:t>El BMT convino con el TWC en que las propuestas anteriores podrían p</w:t>
      </w:r>
      <w:bookmarkStart w:id="19" w:name="_GoBack"/>
      <w:bookmarkEnd w:id="19"/>
      <w:r>
        <w:t>ermitir asignar tiempo</w:t>
      </w:r>
      <w:r w:rsidR="00224045">
        <w:t>,</w:t>
      </w:r>
      <w:r>
        <w:t xml:space="preserve"> durante la sesión</w:t>
      </w:r>
      <w:r w:rsidR="00224045">
        <w:t>,</w:t>
      </w:r>
      <w:r>
        <w:t xml:space="preserve"> para una visita técnica. </w:t>
      </w:r>
    </w:p>
    <w:p w14:paraId="6C22EDA3" w14:textId="77777777" w:rsidR="00926F58" w:rsidRDefault="00926F58" w:rsidP="00977F77">
      <w:pPr>
        <w:ind w:left="567" w:hanging="567"/>
      </w:pPr>
    </w:p>
    <w:p w14:paraId="13037FFA" w14:textId="77777777" w:rsidR="00F84369" w:rsidRDefault="00F84369" w:rsidP="00440683">
      <w:pPr>
        <w:jc w:val="right"/>
      </w:pPr>
    </w:p>
    <w:p w14:paraId="085153BE" w14:textId="77777777" w:rsidR="00F84369" w:rsidRPr="00D6236C" w:rsidRDefault="00F84369" w:rsidP="00440683">
      <w:pPr>
        <w:jc w:val="right"/>
      </w:pPr>
    </w:p>
    <w:p w14:paraId="33066329" w14:textId="77777777" w:rsidR="00E8631F" w:rsidRDefault="00E8631F" w:rsidP="00E8631F">
      <w:pPr>
        <w:jc w:val="right"/>
      </w:pPr>
      <w:r>
        <w:t>[Fin del documento]</w:t>
      </w:r>
    </w:p>
    <w:sectPr w:rsidR="00E8631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5ECD" w14:textId="77777777" w:rsidR="00B10223" w:rsidRDefault="00B10223" w:rsidP="006655D3">
      <w:r>
        <w:separator/>
      </w:r>
    </w:p>
    <w:p w14:paraId="5FF9B683" w14:textId="77777777" w:rsidR="00B10223" w:rsidRDefault="00B10223" w:rsidP="006655D3"/>
    <w:p w14:paraId="09DBA9D7" w14:textId="77777777" w:rsidR="00B10223" w:rsidRDefault="00B10223" w:rsidP="006655D3"/>
  </w:endnote>
  <w:endnote w:type="continuationSeparator" w:id="0">
    <w:p w14:paraId="28D4D04C" w14:textId="77777777" w:rsidR="00B10223" w:rsidRDefault="00B10223" w:rsidP="006655D3">
      <w:r>
        <w:separator/>
      </w:r>
    </w:p>
    <w:p w14:paraId="0747C729" w14:textId="77777777" w:rsidR="00B10223" w:rsidRPr="00294751" w:rsidRDefault="00B10223">
      <w:pPr>
        <w:pStyle w:val="Footer"/>
        <w:spacing w:after="60"/>
        <w:rPr>
          <w:sz w:val="18"/>
          <w:lang w:val="fr-FR"/>
        </w:rPr>
      </w:pPr>
      <w:r w:rsidRPr="00294751">
        <w:rPr>
          <w:sz w:val="18"/>
          <w:lang w:val="fr-FR"/>
        </w:rPr>
        <w:t>[Suite de la note de la page précédente]</w:t>
      </w:r>
    </w:p>
    <w:p w14:paraId="67B0114F" w14:textId="77777777" w:rsidR="00B10223" w:rsidRPr="00294751" w:rsidRDefault="00B10223" w:rsidP="006655D3">
      <w:pPr>
        <w:rPr>
          <w:lang w:val="fr-FR"/>
        </w:rPr>
      </w:pPr>
    </w:p>
    <w:p w14:paraId="68950459" w14:textId="77777777" w:rsidR="00B10223" w:rsidRPr="00294751" w:rsidRDefault="00B10223" w:rsidP="006655D3">
      <w:pPr>
        <w:rPr>
          <w:lang w:val="fr-FR"/>
        </w:rPr>
      </w:pPr>
    </w:p>
  </w:endnote>
  <w:endnote w:type="continuationNotice" w:id="1">
    <w:p w14:paraId="78B5A396" w14:textId="77777777" w:rsidR="00B10223" w:rsidRPr="00294751" w:rsidRDefault="00B10223" w:rsidP="006655D3">
      <w:pPr>
        <w:rPr>
          <w:lang w:val="fr-FR"/>
        </w:rPr>
      </w:pPr>
      <w:r w:rsidRPr="00294751">
        <w:rPr>
          <w:lang w:val="fr-FR"/>
        </w:rPr>
        <w:t>[Suite de la note page suivante]</w:t>
      </w:r>
    </w:p>
    <w:p w14:paraId="6B51A853" w14:textId="77777777" w:rsidR="00B10223" w:rsidRPr="00294751" w:rsidRDefault="00B10223" w:rsidP="006655D3">
      <w:pPr>
        <w:rPr>
          <w:lang w:val="fr-FR"/>
        </w:rPr>
      </w:pPr>
    </w:p>
    <w:p w14:paraId="36B37BA7" w14:textId="77777777" w:rsidR="00B10223" w:rsidRPr="00294751" w:rsidRDefault="00B102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E9EC0" w14:textId="77777777" w:rsidR="00B10223" w:rsidRDefault="00B10223" w:rsidP="006655D3">
      <w:r>
        <w:separator/>
      </w:r>
    </w:p>
  </w:footnote>
  <w:footnote w:type="continuationSeparator" w:id="0">
    <w:p w14:paraId="4E3E5859" w14:textId="77777777" w:rsidR="00B10223" w:rsidRDefault="00B10223" w:rsidP="006655D3">
      <w:r>
        <w:separator/>
      </w:r>
    </w:p>
  </w:footnote>
  <w:footnote w:type="continuationNotice" w:id="1">
    <w:p w14:paraId="75348B0F" w14:textId="77777777" w:rsidR="00B10223" w:rsidRPr="00AB530F" w:rsidRDefault="00B10223" w:rsidP="00AB530F">
      <w:pPr>
        <w:pStyle w:val="Footer"/>
      </w:pPr>
    </w:p>
  </w:footnote>
  <w:footnote w:id="2">
    <w:p w14:paraId="3965A33A" w14:textId="77777777" w:rsidR="00E8527D" w:rsidRDefault="00E8527D" w:rsidP="00E8527D">
      <w:pPr>
        <w:pStyle w:val="FootnoteText"/>
      </w:pPr>
      <w:r>
        <w:rPr>
          <w:rStyle w:val="FootnoteReference"/>
        </w:rPr>
        <w:footnoteRef/>
      </w:r>
      <w:r>
        <w:t xml:space="preserve"> Día del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CEEC" w14:textId="77777777" w:rsidR="00455221" w:rsidRPr="00C5280D" w:rsidRDefault="00455221" w:rsidP="00EB048E">
    <w:pPr>
      <w:pStyle w:val="Header"/>
      <w:rPr>
        <w:rStyle w:val="PageNumber"/>
      </w:rPr>
    </w:pPr>
    <w:r>
      <w:rPr>
        <w:rStyle w:val="PageNumber"/>
      </w:rPr>
      <w:t>TC/55/INF/6</w:t>
    </w:r>
  </w:p>
  <w:p w14:paraId="2C5DE749" w14:textId="4CCAD6C0" w:rsidR="00455221" w:rsidRPr="00C5280D" w:rsidRDefault="00594FB3" w:rsidP="00EB048E">
    <w:pPr>
      <w:pStyle w:val="Header"/>
    </w:pPr>
    <w:r>
      <w:t xml:space="preserve">página </w:t>
    </w:r>
    <w:r w:rsidR="00455221" w:rsidRPr="00C5280D">
      <w:rPr>
        <w:rStyle w:val="PageNumber"/>
      </w:rPr>
      <w:fldChar w:fldCharType="begin"/>
    </w:r>
    <w:r w:rsidR="00455221" w:rsidRPr="00C5280D">
      <w:rPr>
        <w:rStyle w:val="PageNumber"/>
      </w:rPr>
      <w:instrText xml:space="preserve"> PAGE </w:instrText>
    </w:r>
    <w:r w:rsidR="00455221" w:rsidRPr="00C5280D">
      <w:rPr>
        <w:rStyle w:val="PageNumber"/>
      </w:rPr>
      <w:fldChar w:fldCharType="separate"/>
    </w:r>
    <w:r w:rsidR="00AC1E43">
      <w:rPr>
        <w:rStyle w:val="PageNumber"/>
        <w:noProof/>
      </w:rPr>
      <w:t>4</w:t>
    </w:r>
    <w:r w:rsidR="00455221" w:rsidRPr="00C5280D">
      <w:rPr>
        <w:rStyle w:val="PageNumber"/>
      </w:rPr>
      <w:fldChar w:fldCharType="end"/>
    </w:r>
  </w:p>
  <w:p w14:paraId="297EB429" w14:textId="77777777" w:rsidR="00455221" w:rsidRDefault="004552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419"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372AA"/>
    <w:rsid w:val="00037383"/>
    <w:rsid w:val="00044642"/>
    <w:rsid w:val="000446B9"/>
    <w:rsid w:val="00047E21"/>
    <w:rsid w:val="00050E16"/>
    <w:rsid w:val="000528C9"/>
    <w:rsid w:val="00077892"/>
    <w:rsid w:val="00085505"/>
    <w:rsid w:val="00085D5E"/>
    <w:rsid w:val="000C4E25"/>
    <w:rsid w:val="000C7021"/>
    <w:rsid w:val="000D6BBC"/>
    <w:rsid w:val="000D7780"/>
    <w:rsid w:val="000E636A"/>
    <w:rsid w:val="000E7560"/>
    <w:rsid w:val="000F2F11"/>
    <w:rsid w:val="001015BE"/>
    <w:rsid w:val="00105929"/>
    <w:rsid w:val="00110C36"/>
    <w:rsid w:val="001131D5"/>
    <w:rsid w:val="00125F9A"/>
    <w:rsid w:val="00141DB8"/>
    <w:rsid w:val="00172084"/>
    <w:rsid w:val="0017474A"/>
    <w:rsid w:val="001758C6"/>
    <w:rsid w:val="00182B99"/>
    <w:rsid w:val="00196B70"/>
    <w:rsid w:val="001A473A"/>
    <w:rsid w:val="001C47B5"/>
    <w:rsid w:val="001D163F"/>
    <w:rsid w:val="001D36AC"/>
    <w:rsid w:val="001F329D"/>
    <w:rsid w:val="0021332C"/>
    <w:rsid w:val="00213982"/>
    <w:rsid w:val="00224045"/>
    <w:rsid w:val="002327E7"/>
    <w:rsid w:val="0024416D"/>
    <w:rsid w:val="00271911"/>
    <w:rsid w:val="002766A8"/>
    <w:rsid w:val="002800A0"/>
    <w:rsid w:val="002801B3"/>
    <w:rsid w:val="00281060"/>
    <w:rsid w:val="00284B1A"/>
    <w:rsid w:val="002940E8"/>
    <w:rsid w:val="00294751"/>
    <w:rsid w:val="002A6E50"/>
    <w:rsid w:val="002B4298"/>
    <w:rsid w:val="002C256A"/>
    <w:rsid w:val="002F4D19"/>
    <w:rsid w:val="00304827"/>
    <w:rsid w:val="00305A7F"/>
    <w:rsid w:val="003152FE"/>
    <w:rsid w:val="00327436"/>
    <w:rsid w:val="00344BD6"/>
    <w:rsid w:val="00346200"/>
    <w:rsid w:val="00353EFE"/>
    <w:rsid w:val="0035528D"/>
    <w:rsid w:val="00361821"/>
    <w:rsid w:val="00361E9E"/>
    <w:rsid w:val="00363688"/>
    <w:rsid w:val="003A44CC"/>
    <w:rsid w:val="003C4226"/>
    <w:rsid w:val="003C7FBE"/>
    <w:rsid w:val="003D227C"/>
    <w:rsid w:val="003D2B4D"/>
    <w:rsid w:val="003D388D"/>
    <w:rsid w:val="00414712"/>
    <w:rsid w:val="00440683"/>
    <w:rsid w:val="00440EB9"/>
    <w:rsid w:val="004422D8"/>
    <w:rsid w:val="00444A88"/>
    <w:rsid w:val="00451F5A"/>
    <w:rsid w:val="00455221"/>
    <w:rsid w:val="00467FFE"/>
    <w:rsid w:val="00474DA4"/>
    <w:rsid w:val="00476B4D"/>
    <w:rsid w:val="004805FA"/>
    <w:rsid w:val="004935D2"/>
    <w:rsid w:val="004A02EF"/>
    <w:rsid w:val="004A4FB0"/>
    <w:rsid w:val="004A55A6"/>
    <w:rsid w:val="004B1215"/>
    <w:rsid w:val="004C5C7E"/>
    <w:rsid w:val="004D047D"/>
    <w:rsid w:val="004D7067"/>
    <w:rsid w:val="004F1E9E"/>
    <w:rsid w:val="004F305A"/>
    <w:rsid w:val="004F3934"/>
    <w:rsid w:val="00504ABB"/>
    <w:rsid w:val="005078AE"/>
    <w:rsid w:val="00512164"/>
    <w:rsid w:val="00520297"/>
    <w:rsid w:val="00530403"/>
    <w:rsid w:val="005338F9"/>
    <w:rsid w:val="00536FFD"/>
    <w:rsid w:val="0054281C"/>
    <w:rsid w:val="00544581"/>
    <w:rsid w:val="0055268D"/>
    <w:rsid w:val="005651DF"/>
    <w:rsid w:val="00576BE4"/>
    <w:rsid w:val="00591C21"/>
    <w:rsid w:val="00594FB3"/>
    <w:rsid w:val="005A400A"/>
    <w:rsid w:val="005B46E9"/>
    <w:rsid w:val="005D2500"/>
    <w:rsid w:val="005D59C3"/>
    <w:rsid w:val="005F6D7C"/>
    <w:rsid w:val="005F7B92"/>
    <w:rsid w:val="006040BF"/>
    <w:rsid w:val="00612379"/>
    <w:rsid w:val="006153B6"/>
    <w:rsid w:val="0061555F"/>
    <w:rsid w:val="00636CA6"/>
    <w:rsid w:val="00641200"/>
    <w:rsid w:val="00645CA8"/>
    <w:rsid w:val="00660AA5"/>
    <w:rsid w:val="006655D3"/>
    <w:rsid w:val="00667404"/>
    <w:rsid w:val="0067582A"/>
    <w:rsid w:val="00687EB4"/>
    <w:rsid w:val="006929F3"/>
    <w:rsid w:val="00695C56"/>
    <w:rsid w:val="006A5CDE"/>
    <w:rsid w:val="006A644A"/>
    <w:rsid w:val="006B049D"/>
    <w:rsid w:val="006B17D2"/>
    <w:rsid w:val="006C224E"/>
    <w:rsid w:val="006C74FF"/>
    <w:rsid w:val="006D7435"/>
    <w:rsid w:val="006D780A"/>
    <w:rsid w:val="006E6DB8"/>
    <w:rsid w:val="0071271E"/>
    <w:rsid w:val="00726108"/>
    <w:rsid w:val="007269EC"/>
    <w:rsid w:val="00727851"/>
    <w:rsid w:val="00732DEC"/>
    <w:rsid w:val="00735BD5"/>
    <w:rsid w:val="00751613"/>
    <w:rsid w:val="007556F6"/>
    <w:rsid w:val="00760EEF"/>
    <w:rsid w:val="00767F63"/>
    <w:rsid w:val="00777EE5"/>
    <w:rsid w:val="00784836"/>
    <w:rsid w:val="0079023E"/>
    <w:rsid w:val="007A2854"/>
    <w:rsid w:val="007B3D66"/>
    <w:rsid w:val="007C1D92"/>
    <w:rsid w:val="007C4CB9"/>
    <w:rsid w:val="007D0B9D"/>
    <w:rsid w:val="007D19B0"/>
    <w:rsid w:val="007D7C45"/>
    <w:rsid w:val="007F4385"/>
    <w:rsid w:val="007F498F"/>
    <w:rsid w:val="00802F1A"/>
    <w:rsid w:val="0080679D"/>
    <w:rsid w:val="008108B0"/>
    <w:rsid w:val="00811B20"/>
    <w:rsid w:val="00817C5B"/>
    <w:rsid w:val="00820097"/>
    <w:rsid w:val="008211B5"/>
    <w:rsid w:val="0082296E"/>
    <w:rsid w:val="00824099"/>
    <w:rsid w:val="00846D7C"/>
    <w:rsid w:val="0085506F"/>
    <w:rsid w:val="00861DBA"/>
    <w:rsid w:val="00864D30"/>
    <w:rsid w:val="00867AC1"/>
    <w:rsid w:val="00890DF8"/>
    <w:rsid w:val="00891741"/>
    <w:rsid w:val="008A31C9"/>
    <w:rsid w:val="008A743F"/>
    <w:rsid w:val="008B6E60"/>
    <w:rsid w:val="008C0970"/>
    <w:rsid w:val="008D0BC5"/>
    <w:rsid w:val="008D2CF7"/>
    <w:rsid w:val="008D3D46"/>
    <w:rsid w:val="008D5566"/>
    <w:rsid w:val="008D7E86"/>
    <w:rsid w:val="008E50C7"/>
    <w:rsid w:val="00900C26"/>
    <w:rsid w:val="00900C6F"/>
    <w:rsid w:val="0090197F"/>
    <w:rsid w:val="00906DDC"/>
    <w:rsid w:val="0091340F"/>
    <w:rsid w:val="00926F58"/>
    <w:rsid w:val="00934E09"/>
    <w:rsid w:val="00936253"/>
    <w:rsid w:val="00940D46"/>
    <w:rsid w:val="00952DD4"/>
    <w:rsid w:val="00965AE7"/>
    <w:rsid w:val="00970FED"/>
    <w:rsid w:val="00977F77"/>
    <w:rsid w:val="00983ED6"/>
    <w:rsid w:val="00990A26"/>
    <w:rsid w:val="00992D82"/>
    <w:rsid w:val="00995EA6"/>
    <w:rsid w:val="00995EAD"/>
    <w:rsid w:val="00997029"/>
    <w:rsid w:val="009A13DE"/>
    <w:rsid w:val="009A7339"/>
    <w:rsid w:val="009B01E5"/>
    <w:rsid w:val="009B440E"/>
    <w:rsid w:val="009B78A6"/>
    <w:rsid w:val="009C5270"/>
    <w:rsid w:val="009C7311"/>
    <w:rsid w:val="009D690D"/>
    <w:rsid w:val="009E65B6"/>
    <w:rsid w:val="009F155B"/>
    <w:rsid w:val="00A032E5"/>
    <w:rsid w:val="00A04A26"/>
    <w:rsid w:val="00A24C10"/>
    <w:rsid w:val="00A37C2B"/>
    <w:rsid w:val="00A42AC3"/>
    <w:rsid w:val="00A430CF"/>
    <w:rsid w:val="00A54309"/>
    <w:rsid w:val="00A75EC7"/>
    <w:rsid w:val="00AA75A3"/>
    <w:rsid w:val="00AB2B93"/>
    <w:rsid w:val="00AB530F"/>
    <w:rsid w:val="00AB7E5B"/>
    <w:rsid w:val="00AC1E43"/>
    <w:rsid w:val="00AC2883"/>
    <w:rsid w:val="00AD05DE"/>
    <w:rsid w:val="00AD7378"/>
    <w:rsid w:val="00AE0EF1"/>
    <w:rsid w:val="00AE1110"/>
    <w:rsid w:val="00AE2937"/>
    <w:rsid w:val="00B07301"/>
    <w:rsid w:val="00B10223"/>
    <w:rsid w:val="00B11F3E"/>
    <w:rsid w:val="00B224DE"/>
    <w:rsid w:val="00B302F8"/>
    <w:rsid w:val="00B324D4"/>
    <w:rsid w:val="00B43D98"/>
    <w:rsid w:val="00B46575"/>
    <w:rsid w:val="00B61777"/>
    <w:rsid w:val="00B84BBD"/>
    <w:rsid w:val="00B87994"/>
    <w:rsid w:val="00B91D03"/>
    <w:rsid w:val="00B92EFC"/>
    <w:rsid w:val="00B96116"/>
    <w:rsid w:val="00BA43FB"/>
    <w:rsid w:val="00BA5109"/>
    <w:rsid w:val="00BC127D"/>
    <w:rsid w:val="00BC1FE6"/>
    <w:rsid w:val="00BD025F"/>
    <w:rsid w:val="00C061B6"/>
    <w:rsid w:val="00C14653"/>
    <w:rsid w:val="00C2446C"/>
    <w:rsid w:val="00C30618"/>
    <w:rsid w:val="00C36AE5"/>
    <w:rsid w:val="00C415AB"/>
    <w:rsid w:val="00C41F17"/>
    <w:rsid w:val="00C527FA"/>
    <w:rsid w:val="00C5280D"/>
    <w:rsid w:val="00C53EB3"/>
    <w:rsid w:val="00C54E4D"/>
    <w:rsid w:val="00C5791C"/>
    <w:rsid w:val="00C64836"/>
    <w:rsid w:val="00C653B8"/>
    <w:rsid w:val="00C66290"/>
    <w:rsid w:val="00C72B7A"/>
    <w:rsid w:val="00C848A6"/>
    <w:rsid w:val="00C87100"/>
    <w:rsid w:val="00C973F2"/>
    <w:rsid w:val="00CA304C"/>
    <w:rsid w:val="00CA774A"/>
    <w:rsid w:val="00CC11B0"/>
    <w:rsid w:val="00CC2841"/>
    <w:rsid w:val="00CE46FF"/>
    <w:rsid w:val="00CE6DBE"/>
    <w:rsid w:val="00CF1330"/>
    <w:rsid w:val="00CF7E36"/>
    <w:rsid w:val="00D24AE4"/>
    <w:rsid w:val="00D30B4B"/>
    <w:rsid w:val="00D326F9"/>
    <w:rsid w:val="00D36C29"/>
    <w:rsid w:val="00D3708D"/>
    <w:rsid w:val="00D40426"/>
    <w:rsid w:val="00D50686"/>
    <w:rsid w:val="00D544F7"/>
    <w:rsid w:val="00D57C96"/>
    <w:rsid w:val="00D57D18"/>
    <w:rsid w:val="00D705E1"/>
    <w:rsid w:val="00D830C9"/>
    <w:rsid w:val="00D91203"/>
    <w:rsid w:val="00D95174"/>
    <w:rsid w:val="00DA19AC"/>
    <w:rsid w:val="00DA4973"/>
    <w:rsid w:val="00DA6F36"/>
    <w:rsid w:val="00DB5882"/>
    <w:rsid w:val="00DB596E"/>
    <w:rsid w:val="00DB7773"/>
    <w:rsid w:val="00DC00EA"/>
    <w:rsid w:val="00DC3802"/>
    <w:rsid w:val="00DD5368"/>
    <w:rsid w:val="00DF1E9C"/>
    <w:rsid w:val="00E07D87"/>
    <w:rsid w:val="00E2045F"/>
    <w:rsid w:val="00E2109F"/>
    <w:rsid w:val="00E32F7E"/>
    <w:rsid w:val="00E5267B"/>
    <w:rsid w:val="00E63C0E"/>
    <w:rsid w:val="00E651E2"/>
    <w:rsid w:val="00E72D49"/>
    <w:rsid w:val="00E7593C"/>
    <w:rsid w:val="00E7678A"/>
    <w:rsid w:val="00E8527D"/>
    <w:rsid w:val="00E8631F"/>
    <w:rsid w:val="00E879C4"/>
    <w:rsid w:val="00E935F1"/>
    <w:rsid w:val="00E94A81"/>
    <w:rsid w:val="00EA1FFB"/>
    <w:rsid w:val="00EA427B"/>
    <w:rsid w:val="00EB048E"/>
    <w:rsid w:val="00EB4E9C"/>
    <w:rsid w:val="00EB7963"/>
    <w:rsid w:val="00EE34DF"/>
    <w:rsid w:val="00EF27B5"/>
    <w:rsid w:val="00EF2F89"/>
    <w:rsid w:val="00F03E98"/>
    <w:rsid w:val="00F0703A"/>
    <w:rsid w:val="00F1237A"/>
    <w:rsid w:val="00F22CBD"/>
    <w:rsid w:val="00F272F1"/>
    <w:rsid w:val="00F45372"/>
    <w:rsid w:val="00F4590B"/>
    <w:rsid w:val="00F560F7"/>
    <w:rsid w:val="00F6334D"/>
    <w:rsid w:val="00F84369"/>
    <w:rsid w:val="00FA49AB"/>
    <w:rsid w:val="00FB6BDA"/>
    <w:rsid w:val="00FD303B"/>
    <w:rsid w:val="00FE0AE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59CBF7"/>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864D30"/>
    <w:pPr>
      <w:tabs>
        <w:tab w:val="right" w:leader="dot" w:pos="9639"/>
      </w:tabs>
      <w:ind w:left="568" w:right="851" w:hanging="284"/>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91340F"/>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es-ES"/>
    </w:rPr>
  </w:style>
  <w:style w:type="table" w:styleId="TableGrid">
    <w:name w:val="Table Grid"/>
    <w:basedOn w:val="TableNormal"/>
    <w:uiPriority w:val="39"/>
    <w:rsid w:val="00E86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es-ES"/>
    </w:rPr>
  </w:style>
  <w:style w:type="table" w:customStyle="1" w:styleId="TableGrid2">
    <w:name w:val="Table Grid2"/>
    <w:basedOn w:val="TableNormal"/>
    <w:next w:val="TableGrid"/>
    <w:rsid w:val="00C4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527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2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0A64-3589-4C02-BA78-CAF692BA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TC/55/7</vt:lpstr>
      <vt:lpstr>TC/55/7</vt:lpstr>
    </vt:vector>
  </TitlesOfParts>
  <Company>UPOV</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3</cp:revision>
  <cp:lastPrinted>2019-10-21T15:17:00Z</cp:lastPrinted>
  <dcterms:created xsi:type="dcterms:W3CDTF">2019-11-11T13:39:00Z</dcterms:created>
  <dcterms:modified xsi:type="dcterms:W3CDTF">2019-11-11T13:44:00Z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be48a13b-6254-4f52-85c6-09f5266da3d3</vt:lpwstr>
  </property>
</Properties>
</file>