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40DC9" w14:paraId="3540B7D5" w14:textId="77777777" w:rsidTr="00EB4E9C">
        <w:tc>
          <w:tcPr>
            <w:tcW w:w="6522" w:type="dxa"/>
          </w:tcPr>
          <w:p w14:paraId="22712F4C" w14:textId="77777777" w:rsidR="00DC3802" w:rsidRPr="00D40DC9" w:rsidRDefault="00DC3802" w:rsidP="00AC2883">
            <w:pPr>
              <w:rPr>
                <w:lang w:val="es-419"/>
              </w:rPr>
            </w:pPr>
            <w:r w:rsidRPr="00D40DC9">
              <w:rPr>
                <w:noProof/>
                <w:lang w:val="en-US" w:eastAsia="en-US" w:bidi="ar-SA"/>
              </w:rPr>
              <w:drawing>
                <wp:inline distT="0" distB="0" distL="0" distR="0" wp14:anchorId="035129A3" wp14:editId="5BB6FF2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B304129" w14:textId="060FCDE2" w:rsidR="00DC3802" w:rsidRPr="00D40DC9" w:rsidRDefault="008012C9" w:rsidP="00AC2883">
            <w:pPr>
              <w:pStyle w:val="Lettrine"/>
              <w:rPr>
                <w:lang w:val="es-419"/>
              </w:rPr>
            </w:pPr>
            <w:r w:rsidRPr="00D40DC9">
              <w:rPr>
                <w:lang w:val="es-419"/>
              </w:rPr>
              <w:t>S</w:t>
            </w:r>
          </w:p>
        </w:tc>
      </w:tr>
      <w:tr w:rsidR="00DC3802" w:rsidRPr="00D40DC9" w14:paraId="37657617" w14:textId="77777777" w:rsidTr="00645CA8">
        <w:trPr>
          <w:trHeight w:val="219"/>
        </w:trPr>
        <w:tc>
          <w:tcPr>
            <w:tcW w:w="6522" w:type="dxa"/>
          </w:tcPr>
          <w:p w14:paraId="0ED93CA0" w14:textId="77777777" w:rsidR="00DC3802" w:rsidRPr="00D40DC9" w:rsidRDefault="00DC3802" w:rsidP="00AC2883">
            <w:pPr>
              <w:pStyle w:val="upove"/>
              <w:rPr>
                <w:lang w:val="es-419"/>
              </w:rPr>
            </w:pPr>
            <w:r w:rsidRPr="00D40DC9">
              <w:rPr>
                <w:lang w:val="es-419"/>
              </w:rPr>
              <w:t>Unión Internacional para la Protección de las Obtenciones Vegetales</w:t>
            </w:r>
          </w:p>
        </w:tc>
        <w:tc>
          <w:tcPr>
            <w:tcW w:w="3117" w:type="dxa"/>
          </w:tcPr>
          <w:p w14:paraId="3EF77C39" w14:textId="77777777" w:rsidR="00DC3802" w:rsidRPr="00D40DC9" w:rsidRDefault="00DC3802" w:rsidP="00DA4973">
            <w:pPr>
              <w:rPr>
                <w:lang w:val="es-419"/>
              </w:rPr>
            </w:pPr>
          </w:p>
        </w:tc>
      </w:tr>
    </w:tbl>
    <w:p w14:paraId="4A7032F6" w14:textId="77777777" w:rsidR="00DC3802" w:rsidRPr="00D40DC9" w:rsidRDefault="00DC3802" w:rsidP="00DC3802">
      <w:pPr>
        <w:rPr>
          <w:lang w:val="es-419"/>
        </w:rPr>
      </w:pPr>
    </w:p>
    <w:p w14:paraId="4D5FE2B4" w14:textId="77777777" w:rsidR="00DA4973" w:rsidRPr="00D40DC9"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40DC9" w14:paraId="7E9F69B6" w14:textId="77777777" w:rsidTr="00EB4E9C">
        <w:tc>
          <w:tcPr>
            <w:tcW w:w="6512" w:type="dxa"/>
          </w:tcPr>
          <w:p w14:paraId="7288FD56" w14:textId="77777777" w:rsidR="00EB4E9C" w:rsidRPr="00D40DC9" w:rsidRDefault="00EB4E9C" w:rsidP="00AC2883">
            <w:pPr>
              <w:pStyle w:val="Sessiontc"/>
              <w:spacing w:line="240" w:lineRule="auto"/>
              <w:rPr>
                <w:lang w:val="es-419"/>
              </w:rPr>
            </w:pPr>
            <w:r w:rsidRPr="00D40DC9">
              <w:rPr>
                <w:lang w:val="es-419"/>
              </w:rPr>
              <w:t>Comité Técnico</w:t>
            </w:r>
          </w:p>
          <w:p w14:paraId="0C6BC64E" w14:textId="77777777" w:rsidR="00EB4E9C" w:rsidRPr="00D40DC9" w:rsidRDefault="00EB4E9C" w:rsidP="006D7435">
            <w:pPr>
              <w:pStyle w:val="Sessiontcplacedate"/>
              <w:rPr>
                <w:sz w:val="22"/>
                <w:lang w:val="es-419"/>
              </w:rPr>
            </w:pPr>
            <w:r w:rsidRPr="00D40DC9">
              <w:rPr>
                <w:lang w:val="es-419"/>
              </w:rPr>
              <w:t>Quincuagésima quinta sesión</w:t>
            </w:r>
            <w:r w:rsidRPr="00D40DC9">
              <w:rPr>
                <w:lang w:val="es-419"/>
              </w:rPr>
              <w:br/>
              <w:t>Ginebra, 28 y 29 de octubre de 2019</w:t>
            </w:r>
          </w:p>
        </w:tc>
        <w:tc>
          <w:tcPr>
            <w:tcW w:w="3127" w:type="dxa"/>
          </w:tcPr>
          <w:p w14:paraId="1DA34DC5" w14:textId="77777777" w:rsidR="00EB4E9C" w:rsidRPr="00D40DC9" w:rsidRDefault="006D7435" w:rsidP="003C7FBE">
            <w:pPr>
              <w:pStyle w:val="Doccode"/>
              <w:rPr>
                <w:lang w:val="es-419"/>
              </w:rPr>
            </w:pPr>
            <w:r w:rsidRPr="00D40DC9">
              <w:rPr>
                <w:lang w:val="es-419"/>
              </w:rPr>
              <w:t>TC/55/4</w:t>
            </w:r>
          </w:p>
          <w:p w14:paraId="1CEB3138" w14:textId="318502AC" w:rsidR="00EB4E9C" w:rsidRPr="00D40DC9" w:rsidRDefault="00EB4E9C" w:rsidP="003C7FBE">
            <w:pPr>
              <w:pStyle w:val="Docoriginal"/>
              <w:rPr>
                <w:lang w:val="es-419"/>
              </w:rPr>
            </w:pPr>
            <w:r w:rsidRPr="00D40DC9">
              <w:rPr>
                <w:lang w:val="es-419"/>
              </w:rPr>
              <w:t>Original:</w:t>
            </w:r>
            <w:r w:rsidR="007D241B" w:rsidRPr="00D40DC9">
              <w:rPr>
                <w:b w:val="0"/>
                <w:spacing w:val="0"/>
                <w:lang w:val="es-419"/>
              </w:rPr>
              <w:t xml:space="preserve"> </w:t>
            </w:r>
            <w:proofErr w:type="gramStart"/>
            <w:r w:rsidRPr="00D40DC9">
              <w:rPr>
                <w:b w:val="0"/>
                <w:spacing w:val="0"/>
                <w:lang w:val="es-419"/>
              </w:rPr>
              <w:t>Inglés</w:t>
            </w:r>
            <w:proofErr w:type="gramEnd"/>
          </w:p>
          <w:p w14:paraId="05CC0318" w14:textId="45F85310" w:rsidR="00EB4E9C" w:rsidRPr="00D40DC9" w:rsidRDefault="00EB4E9C" w:rsidP="009A3859">
            <w:pPr>
              <w:pStyle w:val="Docoriginal"/>
              <w:rPr>
                <w:lang w:val="es-419"/>
              </w:rPr>
            </w:pPr>
            <w:r w:rsidRPr="00D40DC9">
              <w:rPr>
                <w:lang w:val="es-419"/>
              </w:rPr>
              <w:t>Fecha</w:t>
            </w:r>
            <w:r w:rsidRPr="00812C46">
              <w:rPr>
                <w:lang w:val="es-419"/>
              </w:rPr>
              <w:t>:</w:t>
            </w:r>
            <w:r w:rsidR="007D241B" w:rsidRPr="00812C46">
              <w:rPr>
                <w:b w:val="0"/>
                <w:spacing w:val="0"/>
                <w:lang w:val="es-419"/>
              </w:rPr>
              <w:t xml:space="preserve"> </w:t>
            </w:r>
            <w:r w:rsidR="00812C46" w:rsidRPr="00812C46">
              <w:rPr>
                <w:b w:val="0"/>
                <w:spacing w:val="0"/>
                <w:lang w:val="es-419"/>
              </w:rPr>
              <w:t>10</w:t>
            </w:r>
            <w:r w:rsidRPr="00812C46">
              <w:rPr>
                <w:b w:val="0"/>
                <w:spacing w:val="0"/>
                <w:lang w:val="es-419"/>
              </w:rPr>
              <w:t xml:space="preserve"> de octubre de 2019</w:t>
            </w:r>
          </w:p>
        </w:tc>
      </w:tr>
    </w:tbl>
    <w:p w14:paraId="44A75B96" w14:textId="77777777" w:rsidR="000D7780" w:rsidRPr="00D40DC9" w:rsidRDefault="005B46E9" w:rsidP="006A644A">
      <w:pPr>
        <w:pStyle w:val="Titleofdoc0"/>
        <w:rPr>
          <w:lang w:val="es-419"/>
        </w:rPr>
      </w:pPr>
      <w:bookmarkStart w:id="0" w:name="TitleOfDoc"/>
      <w:bookmarkEnd w:id="0"/>
      <w:r w:rsidRPr="00D40DC9">
        <w:rPr>
          <w:lang w:val="es-419"/>
        </w:rPr>
        <w:t>Documentos TGP</w:t>
      </w:r>
    </w:p>
    <w:p w14:paraId="637155B1" w14:textId="77777777" w:rsidR="006A644A" w:rsidRPr="00D40DC9" w:rsidRDefault="00AE0EF1" w:rsidP="006A644A">
      <w:pPr>
        <w:pStyle w:val="preparedby1"/>
        <w:jc w:val="left"/>
        <w:rPr>
          <w:lang w:val="es-419"/>
        </w:rPr>
      </w:pPr>
      <w:bookmarkStart w:id="1" w:name="Prepared"/>
      <w:bookmarkEnd w:id="1"/>
      <w:r w:rsidRPr="00D40DC9">
        <w:rPr>
          <w:lang w:val="es-419"/>
        </w:rPr>
        <w:t>Documento preparado por la Oficina de la Unión</w:t>
      </w:r>
    </w:p>
    <w:p w14:paraId="0DF15D17" w14:textId="09F5A4E7" w:rsidR="00050E16" w:rsidRPr="00D40DC9" w:rsidRDefault="00050E16" w:rsidP="006A644A">
      <w:pPr>
        <w:pStyle w:val="Disclaimer"/>
        <w:rPr>
          <w:lang w:val="es-419"/>
        </w:rPr>
      </w:pPr>
      <w:r w:rsidRPr="00D40DC9">
        <w:rPr>
          <w:lang w:val="es-419"/>
        </w:rPr>
        <w:t>Descargo de responsabilidad:</w:t>
      </w:r>
      <w:r w:rsidR="007D241B" w:rsidRPr="00D40DC9">
        <w:rPr>
          <w:lang w:val="es-419"/>
        </w:rPr>
        <w:t xml:space="preserve"> </w:t>
      </w:r>
      <w:r w:rsidRPr="00D40DC9">
        <w:rPr>
          <w:lang w:val="es-419"/>
        </w:rPr>
        <w:t>el presente documento no constituye un documento de política u orientación de la UPOV</w:t>
      </w:r>
    </w:p>
    <w:p w14:paraId="7F8D0382" w14:textId="77777777" w:rsidR="009956BC" w:rsidRPr="00D40DC9" w:rsidRDefault="009956BC" w:rsidP="009956BC">
      <w:pPr>
        <w:keepNext/>
        <w:outlineLvl w:val="0"/>
        <w:rPr>
          <w:caps/>
          <w:snapToGrid w:val="0"/>
          <w:lang w:val="es-419"/>
        </w:rPr>
      </w:pPr>
      <w:bookmarkStart w:id="2" w:name="_Toc481744310"/>
      <w:bookmarkStart w:id="3" w:name="_Toc20508511"/>
      <w:bookmarkStart w:id="4" w:name="_Toc22129391"/>
      <w:r w:rsidRPr="00D40DC9">
        <w:rPr>
          <w:caps/>
          <w:snapToGrid w:val="0"/>
          <w:lang w:val="es-419"/>
        </w:rPr>
        <w:t>RESUMEN</w:t>
      </w:r>
      <w:bookmarkEnd w:id="2"/>
      <w:bookmarkEnd w:id="3"/>
      <w:bookmarkEnd w:id="4"/>
    </w:p>
    <w:p w14:paraId="5FCC8F5B" w14:textId="77777777" w:rsidR="009956BC" w:rsidRPr="00D40DC9" w:rsidRDefault="009956BC" w:rsidP="009956BC">
      <w:pPr>
        <w:rPr>
          <w:snapToGrid w:val="0"/>
          <w:lang w:val="es-419"/>
        </w:rPr>
      </w:pPr>
    </w:p>
    <w:p w14:paraId="45A47D16" w14:textId="77777777" w:rsidR="009956BC" w:rsidRPr="00D40DC9" w:rsidRDefault="009956BC" w:rsidP="009956BC">
      <w:pPr>
        <w:rPr>
          <w:rFonts w:cs="Arial"/>
          <w:lang w:val="es-419"/>
        </w:rPr>
      </w:pPr>
      <w:r w:rsidRPr="00D40DC9">
        <w:rPr>
          <w:snapToGrid w:val="0"/>
          <w:lang w:val="es-419"/>
        </w:rPr>
        <w:fldChar w:fldCharType="begin"/>
      </w:r>
      <w:r w:rsidRPr="00D40DC9">
        <w:rPr>
          <w:snapToGrid w:val="0"/>
          <w:lang w:val="es-419"/>
        </w:rPr>
        <w:instrText xml:space="preserve"> AUTONUM  </w:instrText>
      </w:r>
      <w:r w:rsidRPr="00D40DC9">
        <w:rPr>
          <w:snapToGrid w:val="0"/>
          <w:lang w:val="es-419"/>
        </w:rPr>
        <w:fldChar w:fldCharType="end"/>
      </w:r>
      <w:r w:rsidRPr="00D40DC9">
        <w:rPr>
          <w:lang w:val="es-419"/>
        </w:rPr>
        <w:tab/>
        <w:t xml:space="preserve">En el presente documento se ofrece un panorama general de las revisiones de los documentos TGP. </w:t>
      </w:r>
    </w:p>
    <w:p w14:paraId="525F8577" w14:textId="77777777" w:rsidR="009956BC" w:rsidRPr="00D40DC9" w:rsidRDefault="009956BC" w:rsidP="009956BC">
      <w:pPr>
        <w:tabs>
          <w:tab w:val="left" w:pos="567"/>
          <w:tab w:val="left" w:pos="1134"/>
          <w:tab w:val="left" w:pos="5387"/>
        </w:tabs>
        <w:rPr>
          <w:highlight w:val="yellow"/>
          <w:lang w:val="es-419"/>
        </w:rPr>
      </w:pPr>
    </w:p>
    <w:p w14:paraId="35900338" w14:textId="77777777" w:rsidR="009956BC" w:rsidRPr="00D40DC9" w:rsidRDefault="009956BC" w:rsidP="009956BC">
      <w:pPr>
        <w:tabs>
          <w:tab w:val="left" w:pos="567"/>
          <w:tab w:val="left" w:pos="1134"/>
          <w:tab w:val="left" w:pos="5387"/>
        </w:tabs>
        <w:rPr>
          <w:u w:val="single"/>
          <w:lang w:val="es-419"/>
        </w:rPr>
      </w:pPr>
      <w:r w:rsidRPr="00D40DC9">
        <w:rPr>
          <w:u w:val="single"/>
          <w:lang w:val="es-419"/>
        </w:rPr>
        <w:t>Asuntos sujetos a aprobación por el Consejo en 2019</w:t>
      </w:r>
    </w:p>
    <w:p w14:paraId="70D83EC7" w14:textId="77777777" w:rsidR="009956BC" w:rsidRPr="00D40DC9" w:rsidRDefault="009956BC" w:rsidP="009956BC">
      <w:pPr>
        <w:tabs>
          <w:tab w:val="left" w:pos="567"/>
          <w:tab w:val="left" w:pos="1134"/>
          <w:tab w:val="left" w:pos="5387"/>
        </w:tabs>
        <w:rPr>
          <w:lang w:val="es-419"/>
        </w:rPr>
      </w:pPr>
    </w:p>
    <w:p w14:paraId="32ED446A" w14:textId="77777777" w:rsidR="00020BA0" w:rsidRPr="00D40DC9" w:rsidRDefault="009956BC" w:rsidP="009956BC">
      <w:pPr>
        <w:tabs>
          <w:tab w:val="left" w:pos="567"/>
          <w:tab w:val="left" w:pos="1134"/>
          <w:tab w:val="left" w:pos="5387"/>
        </w:tabs>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Se invita al TC a:</w:t>
      </w:r>
    </w:p>
    <w:p w14:paraId="5366748B" w14:textId="77777777" w:rsidR="00020BA0" w:rsidRPr="00D40DC9" w:rsidRDefault="00020BA0" w:rsidP="00020BA0">
      <w:pPr>
        <w:rPr>
          <w:lang w:val="es-419"/>
        </w:rPr>
      </w:pPr>
    </w:p>
    <w:p w14:paraId="1C91D0C4" w14:textId="77777777" w:rsidR="00020BA0" w:rsidRPr="00D40DC9" w:rsidRDefault="00020BA0" w:rsidP="00020BA0">
      <w:pPr>
        <w:tabs>
          <w:tab w:val="left" w:pos="1134"/>
        </w:tabs>
        <w:ind w:firstLine="567"/>
        <w:rPr>
          <w:lang w:val="es-419"/>
        </w:rPr>
      </w:pPr>
      <w:r w:rsidRPr="00D40DC9">
        <w:rPr>
          <w:lang w:val="es-419"/>
        </w:rPr>
        <w:t>a)</w:t>
      </w:r>
      <w:r w:rsidRPr="00D40DC9">
        <w:rPr>
          <w:lang w:val="es-419"/>
        </w:rPr>
        <w:tab/>
        <w:t xml:space="preserve">examinar la revisión del documento TGP/7 “Elaboración de las directrices de examen” (documento TGP/7/7), sobre la base del documento TGP/7/7 </w:t>
      </w:r>
      <w:proofErr w:type="spellStart"/>
      <w:r w:rsidRPr="00D40DC9">
        <w:rPr>
          <w:lang w:val="es-419"/>
        </w:rPr>
        <w:t>Draft</w:t>
      </w:r>
      <w:proofErr w:type="spellEnd"/>
      <w:r w:rsidRPr="00D40DC9">
        <w:rPr>
          <w:lang w:val="es-419"/>
        </w:rPr>
        <w:t> 1;</w:t>
      </w:r>
    </w:p>
    <w:p w14:paraId="2102A1A2" w14:textId="77777777" w:rsidR="00020BA0" w:rsidRPr="00D40DC9" w:rsidRDefault="00020BA0" w:rsidP="00020BA0">
      <w:pPr>
        <w:tabs>
          <w:tab w:val="left" w:pos="1134"/>
        </w:tabs>
        <w:ind w:firstLine="567"/>
        <w:rPr>
          <w:lang w:val="es-419"/>
        </w:rPr>
      </w:pPr>
    </w:p>
    <w:p w14:paraId="7CFF80B1" w14:textId="77777777" w:rsidR="00020BA0" w:rsidRPr="00D40DC9" w:rsidRDefault="00020BA0" w:rsidP="00020BA0">
      <w:pPr>
        <w:tabs>
          <w:tab w:val="left" w:pos="1134"/>
        </w:tabs>
        <w:ind w:firstLine="567"/>
        <w:rPr>
          <w:lang w:val="es-419"/>
        </w:rPr>
      </w:pPr>
      <w:r w:rsidRPr="00D40DC9">
        <w:rPr>
          <w:lang w:val="es-419"/>
        </w:rPr>
        <w:t>b)</w:t>
      </w:r>
      <w:r w:rsidRPr="00D40DC9">
        <w:rPr>
          <w:lang w:val="es-419"/>
        </w:rPr>
        <w:tab/>
        <w:t>examinar la revisión del documento TGP/8 “Diseño de ensayos y técnicas utilizados en el examen de la distinción, la homogeneidad y la estabilidad” (documento TGP/8/3), sobre la base del documento TGP/8/4 </w:t>
      </w:r>
      <w:proofErr w:type="spellStart"/>
      <w:r w:rsidRPr="00D40DC9">
        <w:rPr>
          <w:lang w:val="es-419"/>
        </w:rPr>
        <w:t>Draft</w:t>
      </w:r>
      <w:proofErr w:type="spellEnd"/>
      <w:r w:rsidRPr="00D40DC9">
        <w:rPr>
          <w:lang w:val="es-419"/>
        </w:rPr>
        <w:t> 1;</w:t>
      </w:r>
    </w:p>
    <w:p w14:paraId="70F8F305" w14:textId="77777777" w:rsidR="00020BA0" w:rsidRPr="00D40DC9" w:rsidRDefault="00020BA0" w:rsidP="00020BA0">
      <w:pPr>
        <w:tabs>
          <w:tab w:val="left" w:pos="1134"/>
        </w:tabs>
        <w:ind w:firstLine="567"/>
        <w:rPr>
          <w:lang w:val="es-419"/>
        </w:rPr>
      </w:pPr>
    </w:p>
    <w:p w14:paraId="198FF63D" w14:textId="77777777" w:rsidR="00020BA0" w:rsidRPr="00D40DC9" w:rsidRDefault="00020BA0" w:rsidP="00020BA0">
      <w:pPr>
        <w:tabs>
          <w:tab w:val="left" w:pos="1134"/>
        </w:tabs>
        <w:ind w:firstLine="567"/>
        <w:rPr>
          <w:lang w:val="es-419"/>
        </w:rPr>
      </w:pPr>
      <w:r w:rsidRPr="00D40DC9">
        <w:rPr>
          <w:lang w:val="es-419"/>
        </w:rPr>
        <w:t>c)</w:t>
      </w:r>
      <w:r w:rsidRPr="00D40DC9">
        <w:rPr>
          <w:lang w:val="es-419"/>
        </w:rPr>
        <w:tab/>
        <w:t xml:space="preserve">examinar la revisión del documento TGP/10 “Examen de la homogeneidad” (documento TGP/10/1), sobre la base del documento TGP/10/2 </w:t>
      </w:r>
      <w:proofErr w:type="spellStart"/>
      <w:r w:rsidRPr="00D40DC9">
        <w:rPr>
          <w:lang w:val="es-419"/>
        </w:rPr>
        <w:t>Draft</w:t>
      </w:r>
      <w:proofErr w:type="spellEnd"/>
      <w:r w:rsidRPr="00D40DC9">
        <w:rPr>
          <w:lang w:val="es-419"/>
        </w:rPr>
        <w:t> 1;</w:t>
      </w:r>
    </w:p>
    <w:p w14:paraId="42E63988" w14:textId="77777777" w:rsidR="00020BA0" w:rsidRPr="00D40DC9" w:rsidRDefault="00020BA0" w:rsidP="00020BA0">
      <w:pPr>
        <w:tabs>
          <w:tab w:val="left" w:pos="1134"/>
        </w:tabs>
        <w:ind w:firstLine="567"/>
        <w:rPr>
          <w:lang w:val="es-419"/>
        </w:rPr>
      </w:pPr>
    </w:p>
    <w:p w14:paraId="1539F92A" w14:textId="77777777" w:rsidR="00020BA0" w:rsidRPr="00D40DC9" w:rsidRDefault="00020BA0" w:rsidP="00020BA0">
      <w:pPr>
        <w:tabs>
          <w:tab w:val="left" w:pos="1134"/>
        </w:tabs>
        <w:ind w:firstLine="567"/>
        <w:rPr>
          <w:lang w:val="es-419"/>
        </w:rPr>
      </w:pPr>
      <w:r w:rsidRPr="00D40DC9">
        <w:rPr>
          <w:lang w:val="es-419"/>
        </w:rPr>
        <w:t>d)</w:t>
      </w:r>
      <w:r w:rsidRPr="00D40DC9">
        <w:rPr>
          <w:lang w:val="es-419"/>
        </w:rPr>
        <w:tab/>
        <w:t xml:space="preserve">examinar la revisión del documento TGP/14 “Glosario de términos utilizados en los documentos de la UPOV” (documento TGP/14/3), sobre la base del documento TGP/14/4 </w:t>
      </w:r>
      <w:proofErr w:type="spellStart"/>
      <w:r w:rsidRPr="00D40DC9">
        <w:rPr>
          <w:lang w:val="es-419"/>
        </w:rPr>
        <w:t>Draft</w:t>
      </w:r>
      <w:proofErr w:type="spellEnd"/>
      <w:r w:rsidRPr="00D40DC9">
        <w:rPr>
          <w:lang w:val="es-419"/>
        </w:rPr>
        <w:t> 1;</w:t>
      </w:r>
    </w:p>
    <w:p w14:paraId="6C18832B" w14:textId="77777777" w:rsidR="00020BA0" w:rsidRPr="00D40DC9" w:rsidRDefault="00020BA0" w:rsidP="00020BA0">
      <w:pPr>
        <w:tabs>
          <w:tab w:val="left" w:pos="1134"/>
        </w:tabs>
        <w:ind w:firstLine="567"/>
        <w:rPr>
          <w:lang w:val="es-419"/>
        </w:rPr>
      </w:pPr>
    </w:p>
    <w:p w14:paraId="036CEA55" w14:textId="77777777" w:rsidR="00020BA0" w:rsidRPr="00D40DC9" w:rsidRDefault="00020BA0" w:rsidP="00020BA0">
      <w:pPr>
        <w:tabs>
          <w:tab w:val="left" w:pos="1134"/>
        </w:tabs>
        <w:ind w:firstLine="567"/>
        <w:rPr>
          <w:lang w:val="es-419"/>
        </w:rPr>
      </w:pPr>
      <w:r w:rsidRPr="00D40DC9">
        <w:rPr>
          <w:lang w:val="es-419"/>
        </w:rPr>
        <w:t>e)</w:t>
      </w:r>
      <w:r w:rsidRPr="00D40DC9">
        <w:rPr>
          <w:lang w:val="es-419"/>
        </w:rPr>
        <w:tab/>
        <w:t xml:space="preserve">examinar la revisión el documento TGP/15 </w:t>
      </w:r>
      <w:r w:rsidRPr="00D40DC9">
        <w:rPr>
          <w:caps/>
          <w:lang w:val="es-419"/>
        </w:rPr>
        <w:t>“</w:t>
      </w:r>
      <w:r w:rsidRPr="00D40DC9">
        <w:rPr>
          <w:lang w:val="es-419"/>
        </w:rPr>
        <w:t xml:space="preserve">Orientación sobre el uso de marcadores bioquímicos y moleculares en el examen de la distinción, la homogeneidad y la estabilidad (DHE)” (documento TGP/15/1) sobre la base del documento TGP/15/2 </w:t>
      </w:r>
      <w:proofErr w:type="spellStart"/>
      <w:r w:rsidRPr="00D40DC9">
        <w:rPr>
          <w:lang w:val="es-419"/>
        </w:rPr>
        <w:t>Draft</w:t>
      </w:r>
      <w:proofErr w:type="spellEnd"/>
      <w:r w:rsidRPr="00D40DC9">
        <w:rPr>
          <w:lang w:val="es-419"/>
        </w:rPr>
        <w:t> 2; y</w:t>
      </w:r>
    </w:p>
    <w:p w14:paraId="04666CF7" w14:textId="77777777" w:rsidR="00020BA0" w:rsidRPr="00D40DC9" w:rsidRDefault="00020BA0" w:rsidP="00020BA0">
      <w:pPr>
        <w:tabs>
          <w:tab w:val="left" w:pos="1134"/>
        </w:tabs>
        <w:ind w:firstLine="567"/>
        <w:rPr>
          <w:lang w:val="es-419"/>
        </w:rPr>
      </w:pPr>
    </w:p>
    <w:p w14:paraId="686EE80A" w14:textId="77777777" w:rsidR="00020BA0" w:rsidRPr="00D40DC9" w:rsidRDefault="00020BA0" w:rsidP="00020BA0">
      <w:pPr>
        <w:tabs>
          <w:tab w:val="left" w:pos="1134"/>
        </w:tabs>
        <w:ind w:firstLine="567"/>
        <w:rPr>
          <w:rFonts w:cs="Arial"/>
          <w:lang w:val="es-419"/>
        </w:rPr>
      </w:pPr>
      <w:r w:rsidRPr="00D40DC9">
        <w:rPr>
          <w:lang w:val="es-419"/>
        </w:rPr>
        <w:t>f)</w:t>
      </w:r>
      <w:r w:rsidRPr="00D40DC9">
        <w:rPr>
          <w:lang w:val="es-419"/>
        </w:rPr>
        <w:tab/>
        <w:t>tomar nota de que, junto con la aprobación de los documentos TGP revisados en la quincuagésima tercera sesión ordinaria del Consejo, se propondrá a este que apruebe la revisión del documento TGP/0 “Lista de documentos TGP y fechas de última publicación” (documento TGP/0/10) sobre la base del documento TGP/0/11 </w:t>
      </w:r>
      <w:proofErr w:type="spellStart"/>
      <w:r w:rsidRPr="00D40DC9">
        <w:rPr>
          <w:lang w:val="es-419"/>
        </w:rPr>
        <w:t>Draft</w:t>
      </w:r>
      <w:proofErr w:type="spellEnd"/>
      <w:r w:rsidRPr="00D40DC9">
        <w:rPr>
          <w:lang w:val="es-419"/>
        </w:rPr>
        <w:t> 1.</w:t>
      </w:r>
    </w:p>
    <w:p w14:paraId="01C8BD33" w14:textId="77777777" w:rsidR="009956BC" w:rsidRPr="00D40DC9" w:rsidRDefault="009956BC" w:rsidP="009956BC">
      <w:pPr>
        <w:tabs>
          <w:tab w:val="left" w:pos="1134"/>
          <w:tab w:val="left" w:pos="5387"/>
          <w:tab w:val="left" w:pos="5954"/>
        </w:tabs>
        <w:ind w:left="570"/>
        <w:contextualSpacing/>
        <w:rPr>
          <w:lang w:val="es-419"/>
        </w:rPr>
      </w:pPr>
    </w:p>
    <w:p w14:paraId="0D0F00C8" w14:textId="77777777" w:rsidR="009956BC" w:rsidRPr="00D40DC9" w:rsidRDefault="009956BC" w:rsidP="009956BC">
      <w:pPr>
        <w:tabs>
          <w:tab w:val="left" w:pos="1134"/>
          <w:tab w:val="left" w:pos="5387"/>
          <w:tab w:val="left" w:pos="5954"/>
        </w:tabs>
        <w:contextualSpacing/>
        <w:rPr>
          <w:u w:val="single"/>
          <w:lang w:val="es-419"/>
        </w:rPr>
      </w:pPr>
      <w:r w:rsidRPr="00D40DC9">
        <w:rPr>
          <w:u w:val="single"/>
          <w:lang w:val="es-419"/>
        </w:rPr>
        <w:t>Posibles futuras revisiones de los documentos TGP</w:t>
      </w:r>
    </w:p>
    <w:p w14:paraId="139DB56E" w14:textId="77777777" w:rsidR="009956BC" w:rsidRPr="00D40DC9" w:rsidRDefault="009956BC" w:rsidP="009956BC">
      <w:pPr>
        <w:tabs>
          <w:tab w:val="left" w:pos="1134"/>
          <w:tab w:val="left" w:pos="5387"/>
          <w:tab w:val="left" w:pos="5954"/>
        </w:tabs>
        <w:ind w:left="570"/>
        <w:contextualSpacing/>
        <w:rPr>
          <w:lang w:val="es-419"/>
        </w:rPr>
      </w:pPr>
    </w:p>
    <w:p w14:paraId="2445ECFC" w14:textId="77777777" w:rsidR="009956BC" w:rsidRPr="00D40DC9" w:rsidRDefault="009956BC" w:rsidP="009956BC">
      <w:pPr>
        <w:tabs>
          <w:tab w:val="left" w:pos="567"/>
          <w:tab w:val="left" w:pos="1134"/>
          <w:tab w:val="left" w:pos="5387"/>
        </w:tabs>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Se invita al TC a tomar nota de:</w:t>
      </w:r>
    </w:p>
    <w:p w14:paraId="29A13456" w14:textId="77777777" w:rsidR="009956BC" w:rsidRPr="00D40DC9" w:rsidRDefault="009956BC" w:rsidP="009956BC">
      <w:pPr>
        <w:tabs>
          <w:tab w:val="left" w:pos="1134"/>
          <w:tab w:val="left" w:pos="5387"/>
          <w:tab w:val="left" w:pos="5954"/>
        </w:tabs>
        <w:ind w:left="570"/>
        <w:contextualSpacing/>
        <w:rPr>
          <w:lang w:val="es-419"/>
        </w:rPr>
      </w:pPr>
    </w:p>
    <w:p w14:paraId="28618C97" w14:textId="77777777" w:rsidR="009956BC" w:rsidRPr="00D40DC9" w:rsidRDefault="0074544B" w:rsidP="0074544B">
      <w:pPr>
        <w:tabs>
          <w:tab w:val="left" w:pos="567"/>
          <w:tab w:val="left" w:pos="1134"/>
          <w:tab w:val="left" w:pos="5387"/>
          <w:tab w:val="left" w:pos="5954"/>
        </w:tabs>
        <w:contextualSpacing/>
        <w:rPr>
          <w:lang w:val="es-419"/>
        </w:rPr>
      </w:pPr>
      <w:r w:rsidRPr="00D40DC9">
        <w:rPr>
          <w:lang w:val="es-419"/>
        </w:rPr>
        <w:tab/>
        <w:t>g)</w:t>
      </w:r>
      <w:r w:rsidRPr="00D40DC9">
        <w:rPr>
          <w:lang w:val="es-419"/>
        </w:rPr>
        <w:tab/>
        <w:t xml:space="preserve">las cuestiones que se deben tener en cuenta en una posible revisión ulterior de los documentos TGP/7, TGP/8, TGP/14 y TGP/15, que se examinan en otros documentos; </w:t>
      </w:r>
    </w:p>
    <w:p w14:paraId="415B47AC" w14:textId="77777777" w:rsidR="009956BC" w:rsidRPr="00D40DC9" w:rsidRDefault="009956BC" w:rsidP="009956BC">
      <w:pPr>
        <w:tabs>
          <w:tab w:val="left" w:pos="567"/>
          <w:tab w:val="left" w:pos="1134"/>
          <w:tab w:val="left" w:pos="5387"/>
          <w:tab w:val="left" w:pos="5954"/>
        </w:tabs>
        <w:ind w:firstLine="567"/>
        <w:rPr>
          <w:lang w:val="es-419"/>
        </w:rPr>
      </w:pPr>
    </w:p>
    <w:p w14:paraId="65D96644" w14:textId="77777777" w:rsidR="009956BC" w:rsidRPr="00D40DC9" w:rsidRDefault="0074544B" w:rsidP="0074544B">
      <w:pPr>
        <w:tabs>
          <w:tab w:val="left" w:pos="567"/>
          <w:tab w:val="left" w:pos="1134"/>
          <w:tab w:val="left" w:pos="5387"/>
          <w:tab w:val="left" w:pos="5954"/>
        </w:tabs>
        <w:contextualSpacing/>
        <w:rPr>
          <w:lang w:val="es-419"/>
        </w:rPr>
      </w:pPr>
      <w:r w:rsidRPr="00D40DC9">
        <w:rPr>
          <w:lang w:val="es-419"/>
        </w:rPr>
        <w:tab/>
        <w:t>h)</w:t>
      </w:r>
      <w:r w:rsidRPr="00D40DC9">
        <w:rPr>
          <w:lang w:val="es-419"/>
        </w:rPr>
        <w:tab/>
        <w:t>la invitación cursada por el Reino Unido a fin de que los expertos interesados se pongan en contacto para probar el nuevo programa informático que incorpora el método mejorado de cálculo del COYU;</w:t>
      </w:r>
    </w:p>
    <w:p w14:paraId="60351984" w14:textId="77777777" w:rsidR="009956BC" w:rsidRPr="00D40DC9" w:rsidRDefault="009956BC" w:rsidP="009956BC">
      <w:pPr>
        <w:tabs>
          <w:tab w:val="left" w:pos="567"/>
          <w:tab w:val="left" w:pos="1134"/>
          <w:tab w:val="left" w:pos="5387"/>
          <w:tab w:val="left" w:pos="5954"/>
        </w:tabs>
        <w:ind w:firstLine="567"/>
        <w:contextualSpacing/>
        <w:rPr>
          <w:lang w:val="es-419"/>
        </w:rPr>
      </w:pPr>
    </w:p>
    <w:p w14:paraId="7020BC7C" w14:textId="77777777" w:rsidR="009956BC" w:rsidRPr="00D40DC9" w:rsidRDefault="0074544B" w:rsidP="0074544B">
      <w:pPr>
        <w:tabs>
          <w:tab w:val="left" w:pos="567"/>
          <w:tab w:val="left" w:pos="1134"/>
          <w:tab w:val="left" w:pos="5387"/>
          <w:tab w:val="left" w:pos="5954"/>
        </w:tabs>
        <w:contextualSpacing/>
        <w:rPr>
          <w:lang w:val="es-419"/>
        </w:rPr>
      </w:pPr>
      <w:r w:rsidRPr="00D40DC9">
        <w:rPr>
          <w:lang w:val="es-419"/>
        </w:rPr>
        <w:tab/>
        <w:t>i)</w:t>
      </w:r>
      <w:r w:rsidRPr="00D40DC9">
        <w:rPr>
          <w:lang w:val="es-419"/>
        </w:rPr>
        <w:tab/>
        <w:t>que el TWC, en su trigésima séptima sesión, examinará un proyecto de sección sobre el método de cálculo del COYU para sustituir a la que figura en el documento TGP/8 y que las novedades que se produzcan sobre este asunto se comunicarán en una adición al presente documento.</w:t>
      </w:r>
    </w:p>
    <w:p w14:paraId="32EBD197" w14:textId="77777777" w:rsidR="009956BC" w:rsidRPr="00D40DC9" w:rsidRDefault="009956BC" w:rsidP="009956BC">
      <w:pPr>
        <w:tabs>
          <w:tab w:val="left" w:pos="1134"/>
          <w:tab w:val="left" w:pos="5387"/>
          <w:tab w:val="left" w:pos="5954"/>
        </w:tabs>
        <w:ind w:left="570"/>
        <w:contextualSpacing/>
        <w:rPr>
          <w:lang w:val="es-419"/>
        </w:rPr>
      </w:pPr>
    </w:p>
    <w:p w14:paraId="1BD4611A" w14:textId="77777777" w:rsidR="009956BC" w:rsidRPr="00D40DC9" w:rsidRDefault="009956BC" w:rsidP="009956BC">
      <w:pPr>
        <w:keepNext/>
        <w:tabs>
          <w:tab w:val="left" w:pos="1134"/>
          <w:tab w:val="left" w:pos="5387"/>
          <w:tab w:val="left" w:pos="5954"/>
        </w:tabs>
        <w:contextualSpacing/>
        <w:rPr>
          <w:u w:val="single"/>
          <w:lang w:val="es-419"/>
        </w:rPr>
      </w:pPr>
      <w:r w:rsidRPr="00D40DC9">
        <w:rPr>
          <w:u w:val="single"/>
          <w:lang w:val="es-419"/>
        </w:rPr>
        <w:lastRenderedPageBreak/>
        <w:t>Nuevas propuestas para las revisiones de los documentos TGP</w:t>
      </w:r>
    </w:p>
    <w:p w14:paraId="3D9DF4B8" w14:textId="77777777" w:rsidR="009956BC" w:rsidRPr="00D40DC9" w:rsidRDefault="009956BC" w:rsidP="009956BC">
      <w:pPr>
        <w:keepNext/>
        <w:tabs>
          <w:tab w:val="left" w:pos="1134"/>
          <w:tab w:val="left" w:pos="5387"/>
          <w:tab w:val="left" w:pos="5954"/>
        </w:tabs>
        <w:ind w:left="570"/>
        <w:contextualSpacing/>
        <w:rPr>
          <w:lang w:val="es-419"/>
        </w:rPr>
      </w:pPr>
    </w:p>
    <w:p w14:paraId="6FC1FB40" w14:textId="77777777" w:rsidR="009956BC" w:rsidRPr="00D40DC9" w:rsidRDefault="009956BC" w:rsidP="009956BC">
      <w:pPr>
        <w:keepNext/>
        <w:tabs>
          <w:tab w:val="left" w:pos="567"/>
          <w:tab w:val="left" w:pos="1134"/>
          <w:tab w:val="left" w:pos="5387"/>
        </w:tabs>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Se invita al TC a:</w:t>
      </w:r>
    </w:p>
    <w:p w14:paraId="7FD0C03B" w14:textId="77777777" w:rsidR="0074544B" w:rsidRPr="00D40DC9" w:rsidRDefault="0074544B" w:rsidP="0074544B">
      <w:pPr>
        <w:rPr>
          <w:snapToGrid w:val="0"/>
          <w:lang w:val="es-419"/>
        </w:rPr>
      </w:pPr>
    </w:p>
    <w:p w14:paraId="066B8C8D" w14:textId="77777777" w:rsidR="0074544B" w:rsidRPr="00D40DC9" w:rsidRDefault="0074544B" w:rsidP="0074544B">
      <w:pPr>
        <w:rPr>
          <w:lang w:val="es-419"/>
        </w:rPr>
      </w:pPr>
      <w:r w:rsidRPr="00D40DC9">
        <w:rPr>
          <w:lang w:val="es-419"/>
        </w:rPr>
        <w:tab/>
        <w:t>j)</w:t>
      </w:r>
      <w:r w:rsidRPr="00D40DC9">
        <w:rPr>
          <w:lang w:val="es-419"/>
        </w:rPr>
        <w:tab/>
        <w:t>examinar las propuestas del TWF sobre las circunstancias en que es posible y en que no es posible introducir modificaciones en las directrices de examen de la UPOV con poca antelación;</w:t>
      </w:r>
    </w:p>
    <w:p w14:paraId="66FBAD1A" w14:textId="77777777" w:rsidR="0074544B" w:rsidRPr="00D40DC9" w:rsidRDefault="0074544B" w:rsidP="0074544B">
      <w:pPr>
        <w:rPr>
          <w:lang w:val="es-419"/>
        </w:rPr>
      </w:pPr>
    </w:p>
    <w:p w14:paraId="602C9AE8" w14:textId="77777777" w:rsidR="0074544B" w:rsidRPr="00D40DC9" w:rsidRDefault="0074544B" w:rsidP="0074544B">
      <w:pPr>
        <w:ind w:firstLine="567"/>
        <w:rPr>
          <w:lang w:val="es-419"/>
        </w:rPr>
      </w:pPr>
      <w:r w:rsidRPr="00D40DC9">
        <w:rPr>
          <w:lang w:val="es-419"/>
        </w:rPr>
        <w:t>k)</w:t>
      </w:r>
      <w:r w:rsidRPr="00D40DC9">
        <w:rPr>
          <w:lang w:val="es-419"/>
        </w:rPr>
        <w:tab/>
        <w:t xml:space="preserve">considerar si procede modificar el procedimiento de revisión parcial de las directrices de examen, sobre la base de la propuesta formulada por el TWF que se expone en los </w:t>
      </w:r>
      <w:r w:rsidRPr="002F5AB7">
        <w:rPr>
          <w:lang w:val="es-419"/>
        </w:rPr>
        <w:t>párrafos 45 a 47 del presente</w:t>
      </w:r>
      <w:r w:rsidRPr="00D40DC9">
        <w:rPr>
          <w:lang w:val="es-419"/>
        </w:rPr>
        <w:t xml:space="preserve"> documento;</w:t>
      </w:r>
    </w:p>
    <w:p w14:paraId="2A3F95AB" w14:textId="77777777" w:rsidR="0074544B" w:rsidRPr="00D40DC9" w:rsidRDefault="0074544B" w:rsidP="009956BC">
      <w:pPr>
        <w:keepNext/>
        <w:tabs>
          <w:tab w:val="left" w:pos="1134"/>
          <w:tab w:val="left" w:pos="5387"/>
          <w:tab w:val="left" w:pos="5954"/>
        </w:tabs>
        <w:ind w:left="570"/>
        <w:contextualSpacing/>
        <w:rPr>
          <w:lang w:val="es-419"/>
        </w:rPr>
      </w:pPr>
    </w:p>
    <w:p w14:paraId="645D7D5D" w14:textId="77777777" w:rsidR="009956BC" w:rsidRPr="00D40DC9" w:rsidRDefault="0074544B" w:rsidP="009956BC">
      <w:pPr>
        <w:tabs>
          <w:tab w:val="left" w:pos="567"/>
          <w:tab w:val="left" w:pos="1134"/>
          <w:tab w:val="left" w:pos="5387"/>
          <w:tab w:val="left" w:pos="5954"/>
        </w:tabs>
        <w:rPr>
          <w:lang w:val="es-419"/>
        </w:rPr>
      </w:pPr>
      <w:r w:rsidRPr="00D40DC9">
        <w:rPr>
          <w:lang w:val="es-419"/>
        </w:rPr>
        <w:tab/>
        <w:t>l)</w:t>
      </w:r>
      <w:r w:rsidRPr="00D40DC9">
        <w:rPr>
          <w:lang w:val="es-419"/>
        </w:rPr>
        <w:tab/>
        <w:t xml:space="preserve">examinar la propuesta de revisar el documento TGP/7 para que se presenten todos los niveles de expresión de los caracteres cuantitativos en las directrices de examen, teniendo en cuenta las observaciones formuladas por los TWP en sus sesiones de 2019, expuestas en </w:t>
      </w:r>
      <w:r w:rsidRPr="002F5AB7">
        <w:rPr>
          <w:lang w:val="es-419"/>
        </w:rPr>
        <w:t>los párrafos 53 a 60</w:t>
      </w:r>
      <w:r w:rsidRPr="00D40DC9">
        <w:rPr>
          <w:lang w:val="es-419"/>
        </w:rPr>
        <w:t xml:space="preserve"> del presente documento; y</w:t>
      </w:r>
    </w:p>
    <w:p w14:paraId="719F341F" w14:textId="77777777" w:rsidR="0035588A" w:rsidRPr="00D40DC9" w:rsidRDefault="0035588A" w:rsidP="009956BC">
      <w:pPr>
        <w:tabs>
          <w:tab w:val="left" w:pos="567"/>
          <w:tab w:val="left" w:pos="1134"/>
          <w:tab w:val="left" w:pos="5387"/>
          <w:tab w:val="left" w:pos="5954"/>
        </w:tabs>
        <w:rPr>
          <w:lang w:val="es-419"/>
        </w:rPr>
      </w:pPr>
    </w:p>
    <w:p w14:paraId="039F7337" w14:textId="77777777" w:rsidR="0035588A" w:rsidRPr="00D40DC9" w:rsidRDefault="0035588A" w:rsidP="009956BC">
      <w:pPr>
        <w:tabs>
          <w:tab w:val="left" w:pos="567"/>
          <w:tab w:val="left" w:pos="1134"/>
          <w:tab w:val="left" w:pos="5387"/>
          <w:tab w:val="left" w:pos="5954"/>
        </w:tabs>
        <w:rPr>
          <w:lang w:val="es-419"/>
        </w:rPr>
      </w:pPr>
      <w:r w:rsidRPr="00D40DC9">
        <w:rPr>
          <w:lang w:val="es-419"/>
        </w:rPr>
        <w:tab/>
        <w:t>m)</w:t>
      </w:r>
      <w:r w:rsidRPr="00D40DC9">
        <w:rPr>
          <w:lang w:val="es-419"/>
        </w:rPr>
        <w:tab/>
        <w:t xml:space="preserve">tomar nota de que el TWV convino en que la orientación ofrecida actualmente en los documentos de la UPOV en relación con la utilización de los caracteres de resistencia a las enfermedades en las directrices de examen y en el examen DHE es clara y suficiente, por el momento, según se expone </w:t>
      </w:r>
      <w:r w:rsidRPr="002F5AB7">
        <w:rPr>
          <w:lang w:val="es-419"/>
        </w:rPr>
        <w:t xml:space="preserve">en el </w:t>
      </w:r>
      <w:r w:rsidRPr="002F5AB7">
        <w:rPr>
          <w:snapToGrid w:val="0"/>
          <w:lang w:val="es-419"/>
        </w:rPr>
        <w:t>párrafo 65</w:t>
      </w:r>
      <w:r w:rsidRPr="002F5AB7">
        <w:rPr>
          <w:lang w:val="es-419"/>
        </w:rPr>
        <w:t xml:space="preserve"> del</w:t>
      </w:r>
      <w:r w:rsidRPr="00D40DC9">
        <w:rPr>
          <w:lang w:val="es-419"/>
        </w:rPr>
        <w:t xml:space="preserve"> presente documento.</w:t>
      </w:r>
    </w:p>
    <w:p w14:paraId="1713B277" w14:textId="77777777" w:rsidR="00A02FB5" w:rsidRPr="00D40DC9" w:rsidRDefault="00A02FB5" w:rsidP="009956BC">
      <w:pPr>
        <w:tabs>
          <w:tab w:val="left" w:pos="567"/>
          <w:tab w:val="left" w:pos="1134"/>
          <w:tab w:val="left" w:pos="5387"/>
          <w:tab w:val="left" w:pos="5954"/>
        </w:tabs>
        <w:rPr>
          <w:lang w:val="es-419"/>
        </w:rPr>
      </w:pPr>
    </w:p>
    <w:p w14:paraId="69B23C85" w14:textId="77777777" w:rsidR="009956BC" w:rsidRPr="00D40DC9" w:rsidRDefault="009956BC" w:rsidP="009956BC">
      <w:pPr>
        <w:tabs>
          <w:tab w:val="left" w:pos="567"/>
          <w:tab w:val="left" w:pos="1134"/>
          <w:tab w:val="left" w:pos="5387"/>
          <w:tab w:val="left" w:pos="5954"/>
        </w:tabs>
        <w:rPr>
          <w:u w:val="single"/>
          <w:lang w:val="es-419"/>
        </w:rPr>
      </w:pPr>
      <w:r w:rsidRPr="00D40DC9">
        <w:rPr>
          <w:u w:val="single"/>
          <w:lang w:val="es-419"/>
        </w:rPr>
        <w:t>Programa para la elaboración de los documentos TGP</w:t>
      </w:r>
    </w:p>
    <w:p w14:paraId="75C8AA7B" w14:textId="77777777" w:rsidR="009956BC" w:rsidRPr="00D40DC9" w:rsidRDefault="009956BC" w:rsidP="009956BC">
      <w:pPr>
        <w:tabs>
          <w:tab w:val="left" w:pos="567"/>
          <w:tab w:val="left" w:pos="1134"/>
          <w:tab w:val="left" w:pos="5387"/>
          <w:tab w:val="left" w:pos="5954"/>
        </w:tabs>
        <w:rPr>
          <w:lang w:val="es-419"/>
        </w:rPr>
      </w:pPr>
    </w:p>
    <w:p w14:paraId="2E412DAA" w14:textId="77777777" w:rsidR="00E8341C" w:rsidRPr="00D40DC9" w:rsidRDefault="009956BC" w:rsidP="00E8341C">
      <w:pPr>
        <w:tabs>
          <w:tab w:val="left" w:pos="567"/>
          <w:tab w:val="left" w:pos="1134"/>
          <w:tab w:val="left" w:pos="5387"/>
        </w:tabs>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Se invita al TC a examinar:</w:t>
      </w:r>
    </w:p>
    <w:p w14:paraId="1581ABB3" w14:textId="77777777" w:rsidR="00E8341C" w:rsidRPr="00D40DC9" w:rsidRDefault="00E8341C" w:rsidP="00E8341C">
      <w:pPr>
        <w:tabs>
          <w:tab w:val="left" w:pos="567"/>
          <w:tab w:val="left" w:pos="1134"/>
          <w:tab w:val="left" w:pos="5387"/>
        </w:tabs>
        <w:rPr>
          <w:lang w:val="es-419"/>
        </w:rPr>
      </w:pPr>
    </w:p>
    <w:p w14:paraId="2AA4BCCF" w14:textId="77777777" w:rsidR="00E8341C" w:rsidRPr="00D40DC9" w:rsidRDefault="00E8341C" w:rsidP="00E8341C">
      <w:pPr>
        <w:tabs>
          <w:tab w:val="left" w:pos="567"/>
          <w:tab w:val="left" w:pos="1134"/>
          <w:tab w:val="left" w:pos="5387"/>
          <w:tab w:val="left" w:pos="5954"/>
        </w:tabs>
        <w:rPr>
          <w:lang w:val="es-419"/>
        </w:rPr>
      </w:pPr>
      <w:r w:rsidRPr="00D40DC9">
        <w:rPr>
          <w:lang w:val="es-419"/>
        </w:rPr>
        <w:tab/>
        <w:t>o)</w:t>
      </w:r>
      <w:r w:rsidRPr="00D40DC9">
        <w:rPr>
          <w:lang w:val="es-419"/>
        </w:rPr>
        <w:tab/>
        <w:t xml:space="preserve">el programa para la elaboración de los documentos TGP que figura en </w:t>
      </w:r>
      <w:r w:rsidRPr="002F5AB7">
        <w:rPr>
          <w:lang w:val="es-419"/>
        </w:rPr>
        <w:t>el Anexo VI del</w:t>
      </w:r>
      <w:r w:rsidRPr="00D40DC9">
        <w:rPr>
          <w:lang w:val="es-419"/>
        </w:rPr>
        <w:t xml:space="preserve"> presente documento; y</w:t>
      </w:r>
    </w:p>
    <w:p w14:paraId="0CEC0F51" w14:textId="77777777" w:rsidR="00E8341C" w:rsidRPr="00D40DC9" w:rsidRDefault="00E8341C" w:rsidP="00E8341C">
      <w:pPr>
        <w:tabs>
          <w:tab w:val="left" w:pos="567"/>
          <w:tab w:val="left" w:pos="1134"/>
          <w:tab w:val="left" w:pos="5387"/>
          <w:tab w:val="left" w:pos="5954"/>
        </w:tabs>
        <w:rPr>
          <w:lang w:val="es-419"/>
        </w:rPr>
      </w:pPr>
    </w:p>
    <w:p w14:paraId="57146027" w14:textId="77777777" w:rsidR="009956BC" w:rsidRPr="00D40DC9" w:rsidRDefault="00E8341C" w:rsidP="00E8341C">
      <w:pPr>
        <w:tabs>
          <w:tab w:val="left" w:pos="567"/>
          <w:tab w:val="left" w:pos="1134"/>
          <w:tab w:val="left" w:pos="5387"/>
        </w:tabs>
        <w:rPr>
          <w:lang w:val="es-419"/>
        </w:rPr>
      </w:pPr>
      <w:r w:rsidRPr="00D40DC9">
        <w:rPr>
          <w:lang w:val="es-419"/>
        </w:rPr>
        <w:tab/>
        <w:t>p)</w:t>
      </w:r>
      <w:r w:rsidRPr="00D40DC9">
        <w:rPr>
          <w:lang w:val="es-419"/>
        </w:rPr>
        <w:tab/>
        <w:t>la propuesta de extender el alcance de este documento para abarcar todo material de información, para las futuras sesiones del Comité Técnico.</w:t>
      </w:r>
    </w:p>
    <w:p w14:paraId="43B9AE2E" w14:textId="77777777" w:rsidR="009956BC" w:rsidRPr="00D40DC9" w:rsidRDefault="009956BC" w:rsidP="009956BC">
      <w:pPr>
        <w:rPr>
          <w:rFonts w:cs="Arial"/>
          <w:lang w:val="es-419"/>
        </w:rPr>
      </w:pPr>
    </w:p>
    <w:p w14:paraId="455BF7C6" w14:textId="77777777" w:rsidR="00F20BA5" w:rsidRPr="00D40DC9" w:rsidRDefault="00F20BA5" w:rsidP="009956BC">
      <w:pPr>
        <w:rPr>
          <w:rFonts w:cs="Arial"/>
          <w:lang w:val="es-419"/>
        </w:rPr>
      </w:pPr>
    </w:p>
    <w:p w14:paraId="743D3155" w14:textId="77777777" w:rsidR="009956BC" w:rsidRPr="00D40DC9" w:rsidRDefault="009956BC" w:rsidP="009956BC">
      <w:pPr>
        <w:rPr>
          <w:rFonts w:cs="Arial"/>
          <w:lang w:val="es-419"/>
        </w:rPr>
      </w:pPr>
      <w:r w:rsidRPr="00D40DC9">
        <w:rPr>
          <w:rFonts w:cs="Arial"/>
          <w:lang w:val="es-419"/>
        </w:rPr>
        <w:fldChar w:fldCharType="begin"/>
      </w:r>
      <w:r w:rsidRPr="00D40DC9">
        <w:rPr>
          <w:rFonts w:cs="Arial"/>
          <w:lang w:val="es-419"/>
        </w:rPr>
        <w:instrText xml:space="preserve"> AUTONUM  </w:instrText>
      </w:r>
      <w:r w:rsidRPr="00D40DC9">
        <w:rPr>
          <w:rFonts w:cs="Arial"/>
          <w:lang w:val="es-419"/>
        </w:rPr>
        <w:fldChar w:fldCharType="end"/>
      </w:r>
      <w:r w:rsidRPr="00D40DC9">
        <w:rPr>
          <w:lang w:val="es-419"/>
        </w:rPr>
        <w:tab/>
        <w:t>El presente documento se estructura del modo siguiente:</w:t>
      </w:r>
    </w:p>
    <w:p w14:paraId="6A9A71E1" w14:textId="77777777" w:rsidR="00F20BA5" w:rsidRPr="00D40DC9" w:rsidRDefault="00F20BA5" w:rsidP="009956BC">
      <w:pPr>
        <w:rPr>
          <w:rFonts w:cs="Arial"/>
          <w:lang w:val="es-419"/>
        </w:rPr>
      </w:pPr>
    </w:p>
    <w:p w14:paraId="3BA101B3" w14:textId="6498EB57" w:rsidR="00B04CEA" w:rsidRPr="00D40DC9" w:rsidRDefault="009956BC">
      <w:pPr>
        <w:pStyle w:val="TOC1"/>
        <w:rPr>
          <w:rFonts w:asciiTheme="minorHAnsi" w:eastAsiaTheme="minorEastAsia" w:hAnsiTheme="minorHAnsi" w:cstheme="minorBidi"/>
          <w:caps w:val="0"/>
          <w:noProof/>
          <w:sz w:val="22"/>
          <w:szCs w:val="22"/>
          <w:lang w:val="es-419" w:bidi="ar-SA"/>
        </w:rPr>
      </w:pPr>
      <w:r w:rsidRPr="00D40DC9">
        <w:rPr>
          <w:rFonts w:cs="Arial"/>
          <w:bCs/>
          <w:noProof/>
          <w:snapToGrid w:val="0"/>
          <w:highlight w:val="cyan"/>
          <w:lang w:val="es-419"/>
        </w:rPr>
        <w:fldChar w:fldCharType="begin"/>
      </w:r>
      <w:r w:rsidRPr="00D40DC9">
        <w:rPr>
          <w:rFonts w:cs="Arial"/>
          <w:bCs/>
          <w:noProof/>
          <w:snapToGrid w:val="0"/>
          <w:highlight w:val="cyan"/>
          <w:lang w:val="es-419"/>
        </w:rPr>
        <w:instrText xml:space="preserve"> TOC \o "1-4" \h \z \u </w:instrText>
      </w:r>
      <w:r w:rsidRPr="00D40DC9">
        <w:rPr>
          <w:rFonts w:cs="Arial"/>
          <w:bCs/>
          <w:noProof/>
          <w:snapToGrid w:val="0"/>
          <w:highlight w:val="cyan"/>
          <w:lang w:val="es-419"/>
        </w:rPr>
        <w:fldChar w:fldCharType="separate"/>
      </w:r>
      <w:hyperlink w:anchor="_Toc22129391" w:history="1">
        <w:r w:rsidR="00B04CEA" w:rsidRPr="00D40DC9">
          <w:rPr>
            <w:rStyle w:val="Hyperlink"/>
            <w:noProof/>
            <w:snapToGrid w:val="0"/>
            <w:lang w:val="es-419"/>
          </w:rPr>
          <w:t>RESUMEN</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_Toc22129391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1</w:t>
        </w:r>
        <w:r w:rsidR="00B04CEA" w:rsidRPr="00D40DC9">
          <w:rPr>
            <w:noProof/>
            <w:webHidden/>
            <w:lang w:val="es-419"/>
          </w:rPr>
          <w:fldChar w:fldCharType="end"/>
        </w:r>
      </w:hyperlink>
    </w:p>
    <w:p w14:paraId="2ACB0EE3" w14:textId="39D01592" w:rsidR="00B04CEA" w:rsidRPr="00D40DC9" w:rsidRDefault="00187A68">
      <w:pPr>
        <w:pStyle w:val="TOC1"/>
        <w:rPr>
          <w:rFonts w:asciiTheme="minorHAnsi" w:eastAsiaTheme="minorEastAsia" w:hAnsiTheme="minorHAnsi" w:cstheme="minorBidi"/>
          <w:caps w:val="0"/>
          <w:noProof/>
          <w:sz w:val="22"/>
          <w:szCs w:val="22"/>
          <w:lang w:val="es-419" w:bidi="ar-SA"/>
        </w:rPr>
      </w:pPr>
      <w:hyperlink w:anchor="_Toc22129392" w:history="1">
        <w:r w:rsidR="00B04CEA" w:rsidRPr="00D40DC9">
          <w:rPr>
            <w:rStyle w:val="Hyperlink"/>
            <w:noProof/>
            <w:lang w:val="es-419"/>
          </w:rPr>
          <w:t>ANTECEDENTES</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_Toc22129392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3</w:t>
        </w:r>
        <w:r w:rsidR="00B04CEA" w:rsidRPr="00D40DC9">
          <w:rPr>
            <w:noProof/>
            <w:webHidden/>
            <w:lang w:val="es-419"/>
          </w:rPr>
          <w:fldChar w:fldCharType="end"/>
        </w:r>
      </w:hyperlink>
    </w:p>
    <w:p w14:paraId="4B06F2A8" w14:textId="1EBC28E0" w:rsidR="00B04CEA" w:rsidRPr="00D40DC9" w:rsidRDefault="00187A68">
      <w:pPr>
        <w:pStyle w:val="TOC1"/>
        <w:rPr>
          <w:rFonts w:asciiTheme="minorHAnsi" w:eastAsiaTheme="minorEastAsia" w:hAnsiTheme="minorHAnsi" w:cstheme="minorBidi"/>
          <w:caps w:val="0"/>
          <w:noProof/>
          <w:sz w:val="22"/>
          <w:szCs w:val="22"/>
          <w:lang w:val="es-419" w:bidi="ar-SA"/>
        </w:rPr>
      </w:pPr>
      <w:hyperlink w:anchor="_Toc22129393" w:history="1">
        <w:r w:rsidR="00B04CEA" w:rsidRPr="00D40DC9">
          <w:rPr>
            <w:rStyle w:val="Hyperlink"/>
            <w:noProof/>
            <w:lang w:val="es-419"/>
          </w:rPr>
          <w:t>Asuntos sujetos a aprobación por el Consejo en 2019</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_Toc22129393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3</w:t>
        </w:r>
        <w:r w:rsidR="00B04CEA" w:rsidRPr="00D40DC9">
          <w:rPr>
            <w:noProof/>
            <w:webHidden/>
            <w:lang w:val="es-419"/>
          </w:rPr>
          <w:fldChar w:fldCharType="end"/>
        </w:r>
      </w:hyperlink>
    </w:p>
    <w:p w14:paraId="6497E8DA" w14:textId="1E8223EA" w:rsidR="00B04CEA" w:rsidRPr="00D40DC9" w:rsidRDefault="00187A68">
      <w:pPr>
        <w:pStyle w:val="TOC2"/>
        <w:rPr>
          <w:rFonts w:asciiTheme="minorHAnsi" w:eastAsiaTheme="minorEastAsia" w:hAnsiTheme="minorHAnsi" w:cstheme="minorBidi"/>
          <w:noProof/>
          <w:sz w:val="22"/>
          <w:szCs w:val="22"/>
          <w:lang w:val="es-419" w:bidi="ar-SA"/>
        </w:rPr>
      </w:pPr>
      <w:hyperlink w:anchor="_Toc22129394" w:history="1">
        <w:r w:rsidR="00B04CEA" w:rsidRPr="00D40DC9">
          <w:rPr>
            <w:rStyle w:val="Hyperlink"/>
            <w:noProof/>
            <w:lang w:val="es-419"/>
          </w:rPr>
          <w:t>Documento TGP/7: Elaboración de las directrices de examen (revisión) (documento TGP/7/7 Draft 1)</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_Toc22129394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3</w:t>
        </w:r>
        <w:r w:rsidR="00B04CEA" w:rsidRPr="00D40DC9">
          <w:rPr>
            <w:noProof/>
            <w:webHidden/>
            <w:lang w:val="es-419"/>
          </w:rPr>
          <w:fldChar w:fldCharType="end"/>
        </w:r>
      </w:hyperlink>
    </w:p>
    <w:p w14:paraId="32CCDA86" w14:textId="1B679D7E" w:rsidR="00B04CEA" w:rsidRPr="00D40DC9" w:rsidRDefault="00187A68">
      <w:pPr>
        <w:pStyle w:val="TOC2"/>
        <w:rPr>
          <w:rFonts w:asciiTheme="minorHAnsi" w:eastAsiaTheme="minorEastAsia" w:hAnsiTheme="minorHAnsi" w:cstheme="minorBidi"/>
          <w:noProof/>
          <w:sz w:val="22"/>
          <w:szCs w:val="22"/>
          <w:lang w:val="es-419" w:bidi="ar-SA"/>
        </w:rPr>
      </w:pPr>
      <w:hyperlink w:anchor="_Toc22129395" w:history="1">
        <w:r w:rsidR="00B04CEA" w:rsidRPr="00D40DC9">
          <w:rPr>
            <w:rStyle w:val="Hyperlink"/>
            <w:noProof/>
            <w:lang w:val="es-419"/>
          </w:rPr>
          <w:t>Documento TGP/8: Diseño de ensayos y técnicas utilizados en el examen de la distinción, la homogeneidad y la estabilidad (revisión) (documento TGP/8/4 Draft 1)</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_Toc22129395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4</w:t>
        </w:r>
        <w:r w:rsidR="00B04CEA" w:rsidRPr="00D40DC9">
          <w:rPr>
            <w:noProof/>
            <w:webHidden/>
            <w:lang w:val="es-419"/>
          </w:rPr>
          <w:fldChar w:fldCharType="end"/>
        </w:r>
      </w:hyperlink>
    </w:p>
    <w:p w14:paraId="77E80CA9" w14:textId="2CE8429A" w:rsidR="00B04CEA" w:rsidRPr="00D40DC9" w:rsidRDefault="00187A68">
      <w:pPr>
        <w:pStyle w:val="TOC2"/>
        <w:rPr>
          <w:rFonts w:asciiTheme="minorHAnsi" w:eastAsiaTheme="minorEastAsia" w:hAnsiTheme="minorHAnsi" w:cstheme="minorBidi"/>
          <w:noProof/>
          <w:sz w:val="22"/>
          <w:szCs w:val="22"/>
          <w:lang w:val="es-419" w:bidi="ar-SA"/>
        </w:rPr>
      </w:pPr>
      <w:hyperlink w:anchor="_Toc22129396" w:history="1">
        <w:r w:rsidR="00B04CEA" w:rsidRPr="00D40DC9">
          <w:rPr>
            <w:rStyle w:val="Hyperlink"/>
            <w:noProof/>
            <w:lang w:val="es-419"/>
          </w:rPr>
          <w:t>Documento TGP/10: Examen de la homogeneidad (revisión) (documento TGP/10/2 Draft 1)</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_Toc22129396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4</w:t>
        </w:r>
        <w:r w:rsidR="00B04CEA" w:rsidRPr="00D40DC9">
          <w:rPr>
            <w:noProof/>
            <w:webHidden/>
            <w:lang w:val="es-419"/>
          </w:rPr>
          <w:fldChar w:fldCharType="end"/>
        </w:r>
      </w:hyperlink>
    </w:p>
    <w:p w14:paraId="1C3AA243" w14:textId="0CAC4CFC" w:rsidR="00B04CEA" w:rsidRPr="00D40DC9" w:rsidRDefault="00187A68">
      <w:pPr>
        <w:pStyle w:val="TOC2"/>
        <w:rPr>
          <w:rFonts w:asciiTheme="minorHAnsi" w:eastAsiaTheme="minorEastAsia" w:hAnsiTheme="minorHAnsi" w:cstheme="minorBidi"/>
          <w:noProof/>
          <w:sz w:val="22"/>
          <w:szCs w:val="22"/>
          <w:lang w:val="es-419" w:bidi="ar-SA"/>
        </w:rPr>
      </w:pPr>
      <w:hyperlink w:anchor="_Toc22129397" w:history="1">
        <w:r w:rsidR="00B04CEA" w:rsidRPr="00D40DC9">
          <w:rPr>
            <w:rStyle w:val="Hyperlink"/>
            <w:noProof/>
            <w:lang w:val="es-419"/>
          </w:rPr>
          <w:t>Documento TGP/14: Glosario de términos utilizados en los documentos de la UPOV (documento TGP/14/4 Draft 1)</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_Toc22129397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5</w:t>
        </w:r>
        <w:r w:rsidR="00B04CEA" w:rsidRPr="00D40DC9">
          <w:rPr>
            <w:noProof/>
            <w:webHidden/>
            <w:lang w:val="es-419"/>
          </w:rPr>
          <w:fldChar w:fldCharType="end"/>
        </w:r>
      </w:hyperlink>
    </w:p>
    <w:p w14:paraId="106FA95A" w14:textId="46A63507" w:rsidR="00B04CEA" w:rsidRPr="00D40DC9" w:rsidRDefault="00187A68">
      <w:pPr>
        <w:pStyle w:val="TOC2"/>
        <w:rPr>
          <w:rFonts w:asciiTheme="minorHAnsi" w:eastAsiaTheme="minorEastAsia" w:hAnsiTheme="minorHAnsi" w:cstheme="minorBidi"/>
          <w:noProof/>
          <w:sz w:val="22"/>
          <w:szCs w:val="22"/>
          <w:lang w:val="es-419" w:bidi="ar-SA"/>
        </w:rPr>
      </w:pPr>
      <w:hyperlink w:anchor="_Toc22129398" w:history="1">
        <w:r w:rsidR="00B04CEA" w:rsidRPr="00D40DC9">
          <w:rPr>
            <w:rStyle w:val="Hyperlink"/>
            <w:noProof/>
            <w:lang w:val="es-419"/>
          </w:rPr>
          <w:t xml:space="preserve">Documento TGP/15/1 </w:t>
        </w:r>
        <w:r w:rsidR="00B04CEA" w:rsidRPr="00D40DC9">
          <w:rPr>
            <w:rStyle w:val="Hyperlink"/>
            <w:caps/>
            <w:noProof/>
            <w:lang w:val="es-419"/>
          </w:rPr>
          <w:t>*</w:t>
        </w:r>
        <w:r w:rsidR="00B04CEA" w:rsidRPr="00D40DC9">
          <w:rPr>
            <w:rStyle w:val="Hyperlink"/>
            <w:noProof/>
            <w:lang w:val="es-419"/>
          </w:rPr>
          <w:t>Orientación sobre el uso de marcadores bioquímicos y moleculares en el examen de la distinción, la homogeneidad y la estabilidad (DHE)” (revisión) (documento TGP/15/2 Draft 2)</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_Toc22129398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5</w:t>
        </w:r>
        <w:r w:rsidR="00B04CEA" w:rsidRPr="00D40DC9">
          <w:rPr>
            <w:noProof/>
            <w:webHidden/>
            <w:lang w:val="es-419"/>
          </w:rPr>
          <w:fldChar w:fldCharType="end"/>
        </w:r>
      </w:hyperlink>
    </w:p>
    <w:p w14:paraId="26C0A056" w14:textId="4EAC6208" w:rsidR="00B04CEA" w:rsidRPr="00D40DC9" w:rsidRDefault="00187A68">
      <w:pPr>
        <w:pStyle w:val="TOC2"/>
        <w:rPr>
          <w:rFonts w:asciiTheme="minorHAnsi" w:eastAsiaTheme="minorEastAsia" w:hAnsiTheme="minorHAnsi" w:cstheme="minorBidi"/>
          <w:noProof/>
          <w:sz w:val="22"/>
          <w:szCs w:val="22"/>
          <w:lang w:val="es-419" w:bidi="ar-SA"/>
        </w:rPr>
      </w:pPr>
      <w:hyperlink w:anchor="_Toc22129399" w:history="1">
        <w:r w:rsidR="00B04CEA" w:rsidRPr="00D40DC9">
          <w:rPr>
            <w:rStyle w:val="Hyperlink"/>
            <w:noProof/>
            <w:lang w:val="es-419"/>
          </w:rPr>
          <w:t>Documento TGP/0:</w:t>
        </w:r>
        <w:r w:rsidR="007D241B" w:rsidRPr="00D40DC9">
          <w:rPr>
            <w:rStyle w:val="Hyperlink"/>
            <w:noProof/>
            <w:lang w:val="es-419"/>
          </w:rPr>
          <w:t xml:space="preserve"> </w:t>
        </w:r>
        <w:r w:rsidR="00B04CEA" w:rsidRPr="00D40DC9">
          <w:rPr>
            <w:rStyle w:val="Hyperlink"/>
            <w:noProof/>
            <w:lang w:val="es-419"/>
          </w:rPr>
          <w:t>Lista de documentos TGP y fechas de última publicación (revisión) (documento TGP/0/11 Draft 1)</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_Toc22129399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6</w:t>
        </w:r>
        <w:r w:rsidR="00B04CEA" w:rsidRPr="00D40DC9">
          <w:rPr>
            <w:noProof/>
            <w:webHidden/>
            <w:lang w:val="es-419"/>
          </w:rPr>
          <w:fldChar w:fldCharType="end"/>
        </w:r>
      </w:hyperlink>
    </w:p>
    <w:p w14:paraId="46D3D763" w14:textId="49D76A55" w:rsidR="00B04CEA" w:rsidRPr="00D40DC9" w:rsidRDefault="00187A68">
      <w:pPr>
        <w:pStyle w:val="TOC1"/>
        <w:rPr>
          <w:rFonts w:asciiTheme="minorHAnsi" w:eastAsiaTheme="minorEastAsia" w:hAnsiTheme="minorHAnsi" w:cstheme="minorBidi"/>
          <w:caps w:val="0"/>
          <w:noProof/>
          <w:sz w:val="22"/>
          <w:szCs w:val="22"/>
          <w:lang w:val="es-419" w:bidi="ar-SA"/>
        </w:rPr>
      </w:pPr>
      <w:hyperlink w:anchor="_Toc22129400" w:history="1">
        <w:r w:rsidR="00B04CEA" w:rsidRPr="00D40DC9">
          <w:rPr>
            <w:rStyle w:val="Hyperlink"/>
            <w:noProof/>
            <w:lang w:val="es-419"/>
          </w:rPr>
          <w:t>Posibles futuras revisiones de los documentos TGP</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_Toc22129400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6</w:t>
        </w:r>
        <w:r w:rsidR="00B04CEA" w:rsidRPr="00D40DC9">
          <w:rPr>
            <w:noProof/>
            <w:webHidden/>
            <w:lang w:val="es-419"/>
          </w:rPr>
          <w:fldChar w:fldCharType="end"/>
        </w:r>
      </w:hyperlink>
    </w:p>
    <w:p w14:paraId="47FACA21" w14:textId="59E3C8B6" w:rsidR="00B04CEA" w:rsidRPr="00D40DC9" w:rsidRDefault="00187A68">
      <w:pPr>
        <w:pStyle w:val="TOC2"/>
        <w:rPr>
          <w:rFonts w:asciiTheme="minorHAnsi" w:eastAsiaTheme="minorEastAsia" w:hAnsiTheme="minorHAnsi" w:cstheme="minorBidi"/>
          <w:noProof/>
          <w:sz w:val="22"/>
          <w:szCs w:val="22"/>
          <w:lang w:val="es-419" w:bidi="ar-SA"/>
        </w:rPr>
      </w:pPr>
      <w:hyperlink w:anchor="_Toc22129401" w:history="1">
        <w:r w:rsidR="00B04CEA" w:rsidRPr="00D40DC9">
          <w:rPr>
            <w:rStyle w:val="Hyperlink"/>
            <w:noProof/>
            <w:lang w:val="es-419"/>
          </w:rPr>
          <w:t>Cuestiones que ha de examinar el Comité Técnico</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_Toc22129401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6</w:t>
        </w:r>
        <w:r w:rsidR="00B04CEA" w:rsidRPr="00D40DC9">
          <w:rPr>
            <w:noProof/>
            <w:webHidden/>
            <w:lang w:val="es-419"/>
          </w:rPr>
          <w:fldChar w:fldCharType="end"/>
        </w:r>
      </w:hyperlink>
    </w:p>
    <w:p w14:paraId="7B2933AB" w14:textId="4C69C914" w:rsidR="00B04CEA" w:rsidRPr="00D40DC9" w:rsidRDefault="00187A68">
      <w:pPr>
        <w:pStyle w:val="TOC3"/>
        <w:rPr>
          <w:rFonts w:asciiTheme="minorHAnsi" w:eastAsiaTheme="minorEastAsia" w:hAnsiTheme="minorHAnsi" w:cstheme="minorBidi"/>
          <w:i w:val="0"/>
          <w:noProof/>
          <w:sz w:val="22"/>
          <w:szCs w:val="22"/>
          <w:lang w:val="es-419" w:bidi="ar-SA"/>
        </w:rPr>
      </w:pPr>
      <w:hyperlink w:anchor="_Toc22129402" w:history="1">
        <w:r w:rsidR="00B04CEA" w:rsidRPr="00D40DC9">
          <w:rPr>
            <w:rStyle w:val="Hyperlink"/>
            <w:noProof/>
            <w:lang w:val="es-419"/>
          </w:rPr>
          <w:t>TGP/7: Elaboración de las directrices de examen</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_Toc22129402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6</w:t>
        </w:r>
        <w:r w:rsidR="00B04CEA" w:rsidRPr="00D40DC9">
          <w:rPr>
            <w:noProof/>
            <w:webHidden/>
            <w:lang w:val="es-419"/>
          </w:rPr>
          <w:fldChar w:fldCharType="end"/>
        </w:r>
      </w:hyperlink>
    </w:p>
    <w:p w14:paraId="76B02599" w14:textId="5BA7352B" w:rsidR="00B04CEA" w:rsidRPr="00D40DC9" w:rsidRDefault="00187A68">
      <w:pPr>
        <w:pStyle w:val="TOC4"/>
        <w:rPr>
          <w:rFonts w:asciiTheme="minorHAnsi" w:eastAsiaTheme="minorEastAsia" w:hAnsiTheme="minorHAnsi" w:cstheme="minorBidi"/>
          <w:i w:val="0"/>
          <w:noProof/>
          <w:sz w:val="22"/>
          <w:szCs w:val="22"/>
          <w:lang w:val="es-419" w:bidi="ar-SA"/>
        </w:rPr>
      </w:pPr>
      <w:hyperlink w:anchor="_Toc22129403" w:history="1">
        <w:r w:rsidR="00B04CEA" w:rsidRPr="00D40DC9">
          <w:rPr>
            <w:rStyle w:val="Hyperlink"/>
            <w:noProof/>
            <w:lang w:val="es-419"/>
          </w:rPr>
          <w:t>Caracteres que solo se aplican a ciertas variedades</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_Toc22129403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6</w:t>
        </w:r>
        <w:r w:rsidR="00B04CEA" w:rsidRPr="00D40DC9">
          <w:rPr>
            <w:noProof/>
            <w:webHidden/>
            <w:lang w:val="es-419"/>
          </w:rPr>
          <w:fldChar w:fldCharType="end"/>
        </w:r>
      </w:hyperlink>
    </w:p>
    <w:p w14:paraId="5E9F4FCC" w14:textId="160884F4" w:rsidR="00B04CEA" w:rsidRPr="00D40DC9" w:rsidRDefault="00187A68">
      <w:pPr>
        <w:pStyle w:val="TOC3"/>
        <w:rPr>
          <w:rFonts w:asciiTheme="minorHAnsi" w:eastAsiaTheme="minorEastAsia" w:hAnsiTheme="minorHAnsi" w:cstheme="minorBidi"/>
          <w:i w:val="0"/>
          <w:noProof/>
          <w:sz w:val="22"/>
          <w:szCs w:val="22"/>
          <w:lang w:val="es-419" w:bidi="ar-SA"/>
        </w:rPr>
      </w:pPr>
      <w:hyperlink w:anchor="_Toc22129404" w:history="1">
        <w:r w:rsidR="00B04CEA" w:rsidRPr="00D40DC9">
          <w:rPr>
            <w:rStyle w:val="Hyperlink"/>
            <w:noProof/>
            <w:lang w:val="es-419"/>
          </w:rPr>
          <w:t>TGP/8: Diseño de ensayos y técnicas utilizados en el examen de la distinción, la homogeneidad y la estabilidad</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_Toc22129404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6</w:t>
        </w:r>
        <w:r w:rsidR="00B04CEA" w:rsidRPr="00D40DC9">
          <w:rPr>
            <w:noProof/>
            <w:webHidden/>
            <w:lang w:val="es-419"/>
          </w:rPr>
          <w:fldChar w:fldCharType="end"/>
        </w:r>
      </w:hyperlink>
    </w:p>
    <w:p w14:paraId="20C530A2" w14:textId="372BB47D" w:rsidR="00B04CEA" w:rsidRPr="00D40DC9" w:rsidRDefault="00187A68">
      <w:pPr>
        <w:pStyle w:val="TOC4"/>
        <w:rPr>
          <w:rFonts w:asciiTheme="minorHAnsi" w:eastAsiaTheme="minorEastAsia" w:hAnsiTheme="minorHAnsi" w:cstheme="minorBidi"/>
          <w:i w:val="0"/>
          <w:noProof/>
          <w:sz w:val="22"/>
          <w:szCs w:val="22"/>
          <w:lang w:val="es-419" w:bidi="ar-SA"/>
        </w:rPr>
      </w:pPr>
      <w:hyperlink w:anchor="_Toc22129405" w:history="1">
        <w:r w:rsidR="00B04CEA" w:rsidRPr="00D40DC9">
          <w:rPr>
            <w:rStyle w:val="Hyperlink"/>
            <w:noProof/>
            <w:lang w:val="es-419"/>
          </w:rPr>
          <w:t>Criterio combinado interanual de homogeneidad (COYU)</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_Toc22129405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6</w:t>
        </w:r>
        <w:r w:rsidR="00B04CEA" w:rsidRPr="00D40DC9">
          <w:rPr>
            <w:noProof/>
            <w:webHidden/>
            <w:lang w:val="es-419"/>
          </w:rPr>
          <w:fldChar w:fldCharType="end"/>
        </w:r>
      </w:hyperlink>
    </w:p>
    <w:p w14:paraId="47E7836E" w14:textId="43B6E563" w:rsidR="00B04CEA" w:rsidRPr="00D40DC9" w:rsidRDefault="00187A68">
      <w:pPr>
        <w:pStyle w:val="TOC4"/>
        <w:rPr>
          <w:rFonts w:asciiTheme="minorHAnsi" w:eastAsiaTheme="minorEastAsia" w:hAnsiTheme="minorHAnsi" w:cstheme="minorBidi"/>
          <w:i w:val="0"/>
          <w:noProof/>
          <w:sz w:val="22"/>
          <w:szCs w:val="22"/>
          <w:lang w:val="es-419" w:bidi="ar-SA"/>
        </w:rPr>
      </w:pPr>
      <w:hyperlink w:anchor="_Toc22129406" w:history="1">
        <w:r w:rsidR="00B04CEA" w:rsidRPr="00D40DC9">
          <w:rPr>
            <w:rStyle w:val="Hyperlink"/>
            <w:noProof/>
            <w:lang w:val="es-419"/>
          </w:rPr>
          <w:t>Tratamiento de datos para la evaluación de la distinción y la elaboración de descripciones de variedades</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_Toc22129406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7</w:t>
        </w:r>
        <w:r w:rsidR="00B04CEA" w:rsidRPr="00D40DC9">
          <w:rPr>
            <w:noProof/>
            <w:webHidden/>
            <w:lang w:val="es-419"/>
          </w:rPr>
          <w:fldChar w:fldCharType="end"/>
        </w:r>
      </w:hyperlink>
    </w:p>
    <w:p w14:paraId="17A9DEDE" w14:textId="2513C9E5" w:rsidR="00B04CEA" w:rsidRPr="00D40DC9" w:rsidRDefault="00187A68">
      <w:pPr>
        <w:pStyle w:val="TOC3"/>
        <w:rPr>
          <w:rFonts w:asciiTheme="minorHAnsi" w:eastAsiaTheme="minorEastAsia" w:hAnsiTheme="minorHAnsi" w:cstheme="minorBidi"/>
          <w:i w:val="0"/>
          <w:noProof/>
          <w:sz w:val="22"/>
          <w:szCs w:val="22"/>
          <w:lang w:val="es-419" w:bidi="ar-SA"/>
        </w:rPr>
      </w:pPr>
      <w:hyperlink w:anchor="_Toc22129407" w:history="1">
        <w:r w:rsidR="00B04CEA" w:rsidRPr="00D40DC9">
          <w:rPr>
            <w:rStyle w:val="Hyperlink"/>
            <w:noProof/>
            <w:lang w:val="es-419"/>
          </w:rPr>
          <w:t>TGP/14: Glosario de términos utilizados en los documentos de la UPOV</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_Toc22129407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7</w:t>
        </w:r>
        <w:r w:rsidR="00B04CEA" w:rsidRPr="00D40DC9">
          <w:rPr>
            <w:noProof/>
            <w:webHidden/>
            <w:lang w:val="es-419"/>
          </w:rPr>
          <w:fldChar w:fldCharType="end"/>
        </w:r>
      </w:hyperlink>
    </w:p>
    <w:p w14:paraId="6AD79E32" w14:textId="17EC1081" w:rsidR="00B04CEA" w:rsidRPr="00D40DC9" w:rsidRDefault="00187A68">
      <w:pPr>
        <w:pStyle w:val="TOC4"/>
        <w:rPr>
          <w:rFonts w:asciiTheme="minorHAnsi" w:eastAsiaTheme="minorEastAsia" w:hAnsiTheme="minorHAnsi" w:cstheme="minorBidi"/>
          <w:i w:val="0"/>
          <w:noProof/>
          <w:sz w:val="22"/>
          <w:szCs w:val="22"/>
          <w:lang w:val="es-419" w:bidi="ar-SA"/>
        </w:rPr>
      </w:pPr>
      <w:hyperlink w:anchor="_Toc22129408" w:history="1">
        <w:r w:rsidR="00B04CEA" w:rsidRPr="00D40DC9">
          <w:rPr>
            <w:rStyle w:val="Hyperlink"/>
            <w:noProof/>
            <w:lang w:val="es-419"/>
          </w:rPr>
          <w:t>Nombres de los colores de la carta de colores RHS</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_Toc22129408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7</w:t>
        </w:r>
        <w:r w:rsidR="00B04CEA" w:rsidRPr="00D40DC9">
          <w:rPr>
            <w:noProof/>
            <w:webHidden/>
            <w:lang w:val="es-419"/>
          </w:rPr>
          <w:fldChar w:fldCharType="end"/>
        </w:r>
      </w:hyperlink>
    </w:p>
    <w:p w14:paraId="6CDCE32A" w14:textId="5BC91E5B" w:rsidR="00B04CEA" w:rsidRPr="00D40DC9" w:rsidRDefault="00187A68">
      <w:pPr>
        <w:pStyle w:val="TOC3"/>
        <w:rPr>
          <w:rFonts w:asciiTheme="minorHAnsi" w:eastAsiaTheme="minorEastAsia" w:hAnsiTheme="minorHAnsi" w:cstheme="minorBidi"/>
          <w:i w:val="0"/>
          <w:noProof/>
          <w:sz w:val="22"/>
          <w:szCs w:val="22"/>
          <w:lang w:val="es-419" w:bidi="ar-SA"/>
        </w:rPr>
      </w:pPr>
      <w:hyperlink w:anchor="_Toc22129409" w:history="1">
        <w:r w:rsidR="00B04CEA" w:rsidRPr="00D40DC9">
          <w:rPr>
            <w:rStyle w:val="Hyperlink"/>
            <w:noProof/>
            <w:lang w:val="es-419"/>
          </w:rPr>
          <w:t>TGP/15: Orientación sobre el uso de marcadores bioquímicos y moleculares en el examen de la distinción, la homogeneidad y la estabilidad (DHE)</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_Toc22129409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7</w:t>
        </w:r>
        <w:r w:rsidR="00B04CEA" w:rsidRPr="00D40DC9">
          <w:rPr>
            <w:noProof/>
            <w:webHidden/>
            <w:lang w:val="es-419"/>
          </w:rPr>
          <w:fldChar w:fldCharType="end"/>
        </w:r>
      </w:hyperlink>
    </w:p>
    <w:p w14:paraId="7103BDF6" w14:textId="1B4E4747" w:rsidR="00B04CEA" w:rsidRPr="00D40DC9" w:rsidRDefault="00187A68">
      <w:pPr>
        <w:pStyle w:val="TOC4"/>
        <w:rPr>
          <w:rFonts w:asciiTheme="minorHAnsi" w:eastAsiaTheme="minorEastAsia" w:hAnsiTheme="minorHAnsi" w:cstheme="minorBidi"/>
          <w:i w:val="0"/>
          <w:noProof/>
          <w:sz w:val="22"/>
          <w:szCs w:val="22"/>
          <w:lang w:val="es-419" w:bidi="ar-SA"/>
        </w:rPr>
      </w:pPr>
      <w:hyperlink w:anchor="_Toc22129410" w:history="1">
        <w:r w:rsidR="00B04CEA" w:rsidRPr="00D40DC9">
          <w:rPr>
            <w:rStyle w:val="Hyperlink"/>
            <w:noProof/>
            <w:lang w:val="es-419"/>
          </w:rPr>
          <w:t>Nuevo ejemplo: Marcador ligado a un carácter con información incompleta sobre el nivel de expresión</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_Toc22129410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7</w:t>
        </w:r>
        <w:r w:rsidR="00B04CEA" w:rsidRPr="00D40DC9">
          <w:rPr>
            <w:noProof/>
            <w:webHidden/>
            <w:lang w:val="es-419"/>
          </w:rPr>
          <w:fldChar w:fldCharType="end"/>
        </w:r>
      </w:hyperlink>
    </w:p>
    <w:p w14:paraId="379B8260" w14:textId="4FEFA610" w:rsidR="00B04CEA" w:rsidRPr="00D40DC9" w:rsidRDefault="00187A68">
      <w:pPr>
        <w:pStyle w:val="TOC1"/>
        <w:rPr>
          <w:rFonts w:asciiTheme="minorHAnsi" w:eastAsiaTheme="minorEastAsia" w:hAnsiTheme="minorHAnsi" w:cstheme="minorBidi"/>
          <w:caps w:val="0"/>
          <w:noProof/>
          <w:sz w:val="22"/>
          <w:szCs w:val="22"/>
          <w:lang w:val="es-419" w:bidi="ar-SA"/>
        </w:rPr>
      </w:pPr>
      <w:hyperlink w:anchor="_Toc22129411" w:history="1">
        <w:r w:rsidR="00B04CEA" w:rsidRPr="00D40DC9">
          <w:rPr>
            <w:rStyle w:val="Hyperlink"/>
            <w:noProof/>
            <w:lang w:val="es-419"/>
          </w:rPr>
          <w:t>Nuevas propuestas para las revisiones de los documentos TGP</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_Toc22129411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7</w:t>
        </w:r>
        <w:r w:rsidR="00B04CEA" w:rsidRPr="00D40DC9">
          <w:rPr>
            <w:noProof/>
            <w:webHidden/>
            <w:lang w:val="es-419"/>
          </w:rPr>
          <w:fldChar w:fldCharType="end"/>
        </w:r>
      </w:hyperlink>
    </w:p>
    <w:p w14:paraId="63E56807" w14:textId="0550FB09" w:rsidR="00B04CEA" w:rsidRPr="00D40DC9" w:rsidRDefault="00187A68">
      <w:pPr>
        <w:pStyle w:val="TOC2"/>
        <w:rPr>
          <w:rFonts w:asciiTheme="minorHAnsi" w:eastAsiaTheme="minorEastAsia" w:hAnsiTheme="minorHAnsi" w:cstheme="minorBidi"/>
          <w:noProof/>
          <w:sz w:val="22"/>
          <w:szCs w:val="22"/>
          <w:lang w:val="es-419" w:bidi="ar-SA"/>
        </w:rPr>
      </w:pPr>
      <w:hyperlink w:anchor="_Toc22129412" w:history="1">
        <w:r w:rsidR="00B04CEA" w:rsidRPr="00D40DC9">
          <w:rPr>
            <w:rStyle w:val="Hyperlink"/>
            <w:noProof/>
            <w:lang w:val="es-419"/>
          </w:rPr>
          <w:t>TGP/7: Elaboración de las directrices de examen</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_Toc22129412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7</w:t>
        </w:r>
        <w:r w:rsidR="00B04CEA" w:rsidRPr="00D40DC9">
          <w:rPr>
            <w:noProof/>
            <w:webHidden/>
            <w:lang w:val="es-419"/>
          </w:rPr>
          <w:fldChar w:fldCharType="end"/>
        </w:r>
      </w:hyperlink>
    </w:p>
    <w:p w14:paraId="6543CAFC" w14:textId="3BC32AF0" w:rsidR="00B04CEA" w:rsidRPr="00D40DC9" w:rsidRDefault="00187A68" w:rsidP="00B04CEA">
      <w:pPr>
        <w:pStyle w:val="TOC3"/>
        <w:rPr>
          <w:rFonts w:asciiTheme="minorHAnsi" w:eastAsiaTheme="minorEastAsia" w:hAnsiTheme="minorHAnsi" w:cstheme="minorBidi"/>
          <w:i w:val="0"/>
          <w:noProof/>
          <w:sz w:val="22"/>
          <w:szCs w:val="22"/>
          <w:lang w:val="es-419" w:bidi="ar-SA"/>
        </w:rPr>
      </w:pPr>
      <w:hyperlink w:anchor="_Toc22129413" w:history="1">
        <w:r w:rsidR="00B04CEA" w:rsidRPr="00D40DC9">
          <w:rPr>
            <w:rStyle w:val="Hyperlink"/>
            <w:noProof/>
            <w:lang w:val="es-419"/>
          </w:rPr>
          <w:t>Procedimiento de revisión parcial de las directrices de examen de la UPOV</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_Toc22129413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7</w:t>
        </w:r>
        <w:r w:rsidR="00B04CEA" w:rsidRPr="00D40DC9">
          <w:rPr>
            <w:noProof/>
            <w:webHidden/>
            <w:lang w:val="es-419"/>
          </w:rPr>
          <w:fldChar w:fldCharType="end"/>
        </w:r>
      </w:hyperlink>
    </w:p>
    <w:p w14:paraId="74CF1D81" w14:textId="6CBB5DDF" w:rsidR="00B04CEA" w:rsidRPr="00D40DC9" w:rsidRDefault="00187A68">
      <w:pPr>
        <w:pStyle w:val="TOC3"/>
        <w:rPr>
          <w:rFonts w:asciiTheme="minorHAnsi" w:eastAsiaTheme="minorEastAsia" w:hAnsiTheme="minorHAnsi" w:cstheme="minorBidi"/>
          <w:i w:val="0"/>
          <w:noProof/>
          <w:sz w:val="22"/>
          <w:szCs w:val="22"/>
          <w:lang w:val="es-419" w:bidi="ar-SA"/>
        </w:rPr>
      </w:pPr>
      <w:hyperlink w:anchor="_Toc22129415" w:history="1">
        <w:r w:rsidR="00B04CEA" w:rsidRPr="00D40DC9">
          <w:rPr>
            <w:rStyle w:val="Hyperlink"/>
            <w:noProof/>
            <w:lang w:val="es-419"/>
          </w:rPr>
          <w:t>Presentación de la escala completa de notas de los caracteres cuantitativos en las directrices de examen</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_Toc22129415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8</w:t>
        </w:r>
        <w:r w:rsidR="00B04CEA" w:rsidRPr="00D40DC9">
          <w:rPr>
            <w:noProof/>
            <w:webHidden/>
            <w:lang w:val="es-419"/>
          </w:rPr>
          <w:fldChar w:fldCharType="end"/>
        </w:r>
      </w:hyperlink>
    </w:p>
    <w:p w14:paraId="035670A8" w14:textId="1D58CD95" w:rsidR="00B04CEA" w:rsidRPr="00D40DC9" w:rsidRDefault="00187A68">
      <w:pPr>
        <w:pStyle w:val="TOC2"/>
        <w:rPr>
          <w:rFonts w:asciiTheme="minorHAnsi" w:eastAsiaTheme="minorEastAsia" w:hAnsiTheme="minorHAnsi" w:cstheme="minorBidi"/>
          <w:noProof/>
          <w:sz w:val="22"/>
          <w:szCs w:val="22"/>
          <w:lang w:val="es-419" w:bidi="ar-SA"/>
        </w:rPr>
      </w:pPr>
      <w:hyperlink w:anchor="_Toc22129417" w:history="1">
        <w:r w:rsidR="00B04CEA" w:rsidRPr="00D40DC9">
          <w:rPr>
            <w:rStyle w:val="Hyperlink"/>
            <w:noProof/>
            <w:snapToGrid w:val="0"/>
            <w:lang w:val="es-419"/>
          </w:rPr>
          <w:t>TGP/12: Orientación sobre ciertos caracteres fisiológicos</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_Toc22129417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10</w:t>
        </w:r>
        <w:r w:rsidR="00B04CEA" w:rsidRPr="00D40DC9">
          <w:rPr>
            <w:noProof/>
            <w:webHidden/>
            <w:lang w:val="es-419"/>
          </w:rPr>
          <w:fldChar w:fldCharType="end"/>
        </w:r>
      </w:hyperlink>
    </w:p>
    <w:p w14:paraId="262C820C" w14:textId="2E2F8AAA" w:rsidR="00B04CEA" w:rsidRPr="00D40DC9" w:rsidRDefault="00187A68">
      <w:pPr>
        <w:pStyle w:val="TOC3"/>
        <w:rPr>
          <w:rFonts w:asciiTheme="minorHAnsi" w:eastAsiaTheme="minorEastAsia" w:hAnsiTheme="minorHAnsi" w:cstheme="minorBidi"/>
          <w:i w:val="0"/>
          <w:noProof/>
          <w:sz w:val="22"/>
          <w:szCs w:val="22"/>
          <w:lang w:val="es-419" w:bidi="ar-SA"/>
        </w:rPr>
      </w:pPr>
      <w:hyperlink w:anchor="_Toc22129418" w:history="1">
        <w:r w:rsidR="00B04CEA" w:rsidRPr="00D40DC9">
          <w:rPr>
            <w:rStyle w:val="Hyperlink"/>
            <w:noProof/>
            <w:lang w:val="es-419"/>
          </w:rPr>
          <w:t>Explicaciones relativas a los caracteres de resistencia a las enfermedades</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_Toc22129418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10</w:t>
        </w:r>
        <w:r w:rsidR="00B04CEA" w:rsidRPr="00D40DC9">
          <w:rPr>
            <w:noProof/>
            <w:webHidden/>
            <w:lang w:val="es-419"/>
          </w:rPr>
          <w:fldChar w:fldCharType="end"/>
        </w:r>
      </w:hyperlink>
    </w:p>
    <w:p w14:paraId="6D6A280B" w14:textId="33BDCA5D" w:rsidR="00B04CEA" w:rsidRPr="00D40DC9" w:rsidRDefault="00187A68">
      <w:pPr>
        <w:pStyle w:val="TOC1"/>
        <w:rPr>
          <w:rFonts w:asciiTheme="minorHAnsi" w:eastAsiaTheme="minorEastAsia" w:hAnsiTheme="minorHAnsi" w:cstheme="minorBidi"/>
          <w:caps w:val="0"/>
          <w:noProof/>
          <w:sz w:val="22"/>
          <w:szCs w:val="22"/>
          <w:lang w:val="es-419" w:bidi="ar-SA"/>
        </w:rPr>
      </w:pPr>
      <w:hyperlink w:anchor="_Toc22129420" w:history="1">
        <w:r w:rsidR="00B04CEA" w:rsidRPr="00D40DC9">
          <w:rPr>
            <w:rStyle w:val="Hyperlink"/>
            <w:noProof/>
            <w:lang w:val="es-419"/>
          </w:rPr>
          <w:t>Programa para la elaboración de los documentos TGP</w:t>
        </w:r>
        <w:r w:rsidR="00B04CEA" w:rsidRPr="00D40DC9">
          <w:rPr>
            <w:noProof/>
            <w:webHidden/>
            <w:lang w:val="es-419"/>
          </w:rPr>
          <w:tab/>
        </w:r>
        <w:r w:rsidR="00B04CEA" w:rsidRPr="00D40DC9">
          <w:rPr>
            <w:noProof/>
            <w:webHidden/>
            <w:lang w:val="es-419"/>
          </w:rPr>
          <w:fldChar w:fldCharType="begin"/>
        </w:r>
        <w:r w:rsidR="00B04CEA" w:rsidRPr="00D40DC9">
          <w:rPr>
            <w:noProof/>
            <w:webHidden/>
            <w:lang w:val="es-419"/>
          </w:rPr>
          <w:instrText xml:space="preserve"> PAGEREF _Toc22129420 \h </w:instrText>
        </w:r>
        <w:r w:rsidR="00B04CEA" w:rsidRPr="00D40DC9">
          <w:rPr>
            <w:noProof/>
            <w:webHidden/>
            <w:lang w:val="es-419"/>
          </w:rPr>
        </w:r>
        <w:r w:rsidR="00B04CEA" w:rsidRPr="00D40DC9">
          <w:rPr>
            <w:noProof/>
            <w:webHidden/>
            <w:lang w:val="es-419"/>
          </w:rPr>
          <w:fldChar w:fldCharType="separate"/>
        </w:r>
        <w:r w:rsidR="00D40DC9" w:rsidRPr="00D40DC9">
          <w:rPr>
            <w:noProof/>
            <w:webHidden/>
            <w:lang w:val="es-419"/>
          </w:rPr>
          <w:t>11</w:t>
        </w:r>
        <w:r w:rsidR="00B04CEA" w:rsidRPr="00D40DC9">
          <w:rPr>
            <w:noProof/>
            <w:webHidden/>
            <w:lang w:val="es-419"/>
          </w:rPr>
          <w:fldChar w:fldCharType="end"/>
        </w:r>
      </w:hyperlink>
    </w:p>
    <w:p w14:paraId="420FA313" w14:textId="1D64B5D9" w:rsidR="00ED3E46" w:rsidRPr="00D40DC9" w:rsidRDefault="009956BC">
      <w:pPr>
        <w:pStyle w:val="TOC1"/>
        <w:rPr>
          <w:rFonts w:asciiTheme="minorHAnsi" w:eastAsiaTheme="minorEastAsia" w:hAnsiTheme="minorHAnsi" w:cstheme="minorBidi"/>
          <w:caps w:val="0"/>
          <w:noProof/>
          <w:sz w:val="22"/>
          <w:szCs w:val="22"/>
          <w:lang w:val="es-419"/>
        </w:rPr>
      </w:pPr>
      <w:r w:rsidRPr="00D40DC9">
        <w:rPr>
          <w:noProof/>
          <w:snapToGrid w:val="0"/>
          <w:highlight w:val="cyan"/>
          <w:lang w:val="es-419"/>
        </w:rPr>
        <w:fldChar w:fldCharType="end"/>
      </w:r>
    </w:p>
    <w:p w14:paraId="6CEFDDAD" w14:textId="77777777" w:rsidR="009956BC" w:rsidRPr="00D40DC9" w:rsidRDefault="009956BC" w:rsidP="009956BC">
      <w:pPr>
        <w:rPr>
          <w:sz w:val="18"/>
          <w:lang w:val="es-419"/>
        </w:rPr>
      </w:pPr>
      <w:r w:rsidRPr="00D40DC9">
        <w:rPr>
          <w:sz w:val="18"/>
          <w:lang w:val="es-419"/>
        </w:rPr>
        <w:t>ANEXO I:</w:t>
      </w:r>
      <w:r w:rsidRPr="00D40DC9">
        <w:rPr>
          <w:lang w:val="es-419"/>
        </w:rPr>
        <w:tab/>
      </w:r>
      <w:r w:rsidRPr="00D40DC9">
        <w:rPr>
          <w:sz w:val="18"/>
          <w:lang w:val="es-419"/>
        </w:rPr>
        <w:t xml:space="preserve">Asuntos sujetos a aprobación por el Consejo en 2019: revisiones del documento TGP/7 </w:t>
      </w:r>
    </w:p>
    <w:p w14:paraId="49182484" w14:textId="77777777" w:rsidR="009956BC" w:rsidRPr="00D40DC9" w:rsidRDefault="009956BC" w:rsidP="009956BC">
      <w:pPr>
        <w:rPr>
          <w:sz w:val="18"/>
          <w:lang w:val="es-419"/>
        </w:rPr>
      </w:pPr>
      <w:r w:rsidRPr="00D40DC9">
        <w:rPr>
          <w:sz w:val="18"/>
          <w:lang w:val="es-419"/>
        </w:rPr>
        <w:t>ANEXO II:</w:t>
      </w:r>
      <w:r w:rsidRPr="00D40DC9">
        <w:rPr>
          <w:lang w:val="es-419"/>
        </w:rPr>
        <w:tab/>
      </w:r>
      <w:r w:rsidRPr="00D40DC9">
        <w:rPr>
          <w:sz w:val="18"/>
          <w:lang w:val="es-419"/>
        </w:rPr>
        <w:t>Asuntos sujetos a aprobación por el Consejo en 2019: nueva sección del documento TGP/8</w:t>
      </w:r>
    </w:p>
    <w:p w14:paraId="3E3DC0BB" w14:textId="77777777" w:rsidR="009956BC" w:rsidRPr="00D40DC9" w:rsidRDefault="009956BC" w:rsidP="009956BC">
      <w:pPr>
        <w:rPr>
          <w:sz w:val="18"/>
          <w:lang w:val="es-419"/>
        </w:rPr>
      </w:pPr>
      <w:bookmarkStart w:id="5" w:name="_Toc386185971"/>
      <w:bookmarkStart w:id="6" w:name="_Toc419124859"/>
      <w:r w:rsidRPr="00D40DC9">
        <w:rPr>
          <w:sz w:val="18"/>
          <w:lang w:val="es-419"/>
        </w:rPr>
        <w:t>ANEXO III:</w:t>
      </w:r>
      <w:r w:rsidRPr="00D40DC9">
        <w:rPr>
          <w:lang w:val="es-419"/>
        </w:rPr>
        <w:tab/>
      </w:r>
      <w:r w:rsidRPr="00D40DC9">
        <w:rPr>
          <w:sz w:val="18"/>
          <w:lang w:val="es-419"/>
        </w:rPr>
        <w:t>Asuntos sujetos a aprobación por el Consejo en 2019: nuevas secciones del documento TGP/10</w:t>
      </w:r>
    </w:p>
    <w:p w14:paraId="6217AB89" w14:textId="77777777" w:rsidR="009956BC" w:rsidRPr="00D40DC9" w:rsidRDefault="009956BC" w:rsidP="009956BC">
      <w:pPr>
        <w:ind w:left="1134" w:hanging="1134"/>
        <w:rPr>
          <w:sz w:val="18"/>
          <w:lang w:val="es-419"/>
        </w:rPr>
      </w:pPr>
      <w:r w:rsidRPr="00D40DC9">
        <w:rPr>
          <w:sz w:val="18"/>
          <w:lang w:val="es-419"/>
        </w:rPr>
        <w:t>ANEXO IV:</w:t>
      </w:r>
      <w:r w:rsidRPr="00D40DC9">
        <w:rPr>
          <w:lang w:val="es-419"/>
        </w:rPr>
        <w:tab/>
      </w:r>
      <w:r w:rsidRPr="00D40DC9">
        <w:rPr>
          <w:sz w:val="18"/>
          <w:lang w:val="es-419"/>
        </w:rPr>
        <w:t>Asuntos sujetos a aprobación por el Consejo en 2019: revisiones del documento TGP/14</w:t>
      </w:r>
    </w:p>
    <w:p w14:paraId="411C8C4C" w14:textId="77777777" w:rsidR="009956BC" w:rsidRPr="00D40DC9" w:rsidRDefault="009956BC" w:rsidP="009956BC">
      <w:pPr>
        <w:ind w:left="1134" w:hanging="1134"/>
        <w:rPr>
          <w:sz w:val="18"/>
          <w:lang w:val="es-419"/>
        </w:rPr>
      </w:pPr>
      <w:r w:rsidRPr="00D40DC9">
        <w:rPr>
          <w:sz w:val="18"/>
          <w:lang w:val="es-419"/>
        </w:rPr>
        <w:t>ANEXO V:</w:t>
      </w:r>
      <w:r w:rsidRPr="00D40DC9">
        <w:rPr>
          <w:lang w:val="es-419"/>
        </w:rPr>
        <w:tab/>
      </w:r>
      <w:r w:rsidRPr="00D40DC9">
        <w:rPr>
          <w:sz w:val="18"/>
          <w:lang w:val="es-419"/>
        </w:rPr>
        <w:t>Asuntos sujetos a aprobación por el Consejo en 2019: nuevo modelo a incluir en el documento TGP/15</w:t>
      </w:r>
    </w:p>
    <w:p w14:paraId="7F3F1E2A" w14:textId="77777777" w:rsidR="009956BC" w:rsidRPr="00D40DC9" w:rsidRDefault="009956BC" w:rsidP="009956BC">
      <w:pPr>
        <w:ind w:left="1134" w:hanging="1134"/>
        <w:rPr>
          <w:sz w:val="18"/>
          <w:lang w:val="es-419"/>
        </w:rPr>
      </w:pPr>
      <w:r w:rsidRPr="00D40DC9">
        <w:rPr>
          <w:sz w:val="18"/>
          <w:lang w:val="es-419"/>
        </w:rPr>
        <w:t>ANEXO VI:</w:t>
      </w:r>
      <w:r w:rsidRPr="00D40DC9">
        <w:rPr>
          <w:lang w:val="es-419"/>
        </w:rPr>
        <w:tab/>
      </w:r>
      <w:r w:rsidRPr="00D40DC9">
        <w:rPr>
          <w:sz w:val="18"/>
          <w:lang w:val="es-419"/>
        </w:rPr>
        <w:t xml:space="preserve">Programa para la elaboración de los documentos TGP </w:t>
      </w:r>
    </w:p>
    <w:p w14:paraId="33753A4E" w14:textId="77777777" w:rsidR="009956BC" w:rsidRPr="00D40DC9" w:rsidRDefault="009956BC" w:rsidP="009956BC">
      <w:pPr>
        <w:ind w:left="1134" w:hanging="1134"/>
        <w:rPr>
          <w:sz w:val="18"/>
          <w:lang w:val="es-419"/>
        </w:rPr>
      </w:pPr>
    </w:p>
    <w:p w14:paraId="334A7E5B" w14:textId="77777777" w:rsidR="009956BC" w:rsidRPr="00D40DC9" w:rsidRDefault="009956BC" w:rsidP="009956BC">
      <w:pPr>
        <w:rPr>
          <w:rFonts w:cs="Arial"/>
          <w:lang w:val="es-419"/>
        </w:rPr>
      </w:pPr>
      <w:r w:rsidRPr="00D40DC9">
        <w:rPr>
          <w:rFonts w:cs="Arial"/>
          <w:lang w:val="es-419"/>
        </w:rPr>
        <w:fldChar w:fldCharType="begin"/>
      </w:r>
      <w:r w:rsidRPr="00D40DC9">
        <w:rPr>
          <w:rFonts w:cs="Arial"/>
          <w:lang w:val="es-419"/>
        </w:rPr>
        <w:instrText xml:space="preserve"> AUTONUM  </w:instrText>
      </w:r>
      <w:r w:rsidRPr="00D40DC9">
        <w:rPr>
          <w:rFonts w:cs="Arial"/>
          <w:lang w:val="es-419"/>
        </w:rPr>
        <w:fldChar w:fldCharType="end"/>
      </w:r>
      <w:r w:rsidRPr="00D40DC9">
        <w:rPr>
          <w:lang w:val="es-419"/>
        </w:rPr>
        <w:tab/>
        <w:t>En el presente documento se utilizan las abreviaturas siguientes:</w:t>
      </w:r>
    </w:p>
    <w:p w14:paraId="4BDE2F7E" w14:textId="77777777" w:rsidR="009956BC" w:rsidRPr="00D40DC9" w:rsidRDefault="009956BC" w:rsidP="009956BC">
      <w:pPr>
        <w:ind w:left="1701" w:hanging="1134"/>
        <w:rPr>
          <w:rFonts w:cs="Arial"/>
          <w:lang w:val="es-419"/>
        </w:rPr>
      </w:pPr>
    </w:p>
    <w:p w14:paraId="25D0C4B9" w14:textId="0CFD2569" w:rsidR="009956BC" w:rsidRPr="00D40DC9" w:rsidRDefault="009956BC" w:rsidP="009956BC">
      <w:pPr>
        <w:ind w:left="1701" w:hanging="1134"/>
        <w:rPr>
          <w:rFonts w:cs="Arial"/>
          <w:lang w:val="es-419"/>
        </w:rPr>
      </w:pPr>
      <w:r w:rsidRPr="00D40DC9">
        <w:rPr>
          <w:lang w:val="es-419"/>
        </w:rPr>
        <w:t>BMT:</w:t>
      </w:r>
      <w:r w:rsidR="00D40DC9" w:rsidRPr="00D40DC9">
        <w:rPr>
          <w:lang w:val="es-419"/>
        </w:rPr>
        <w:t xml:space="preserve"> </w:t>
      </w:r>
      <w:r w:rsidRPr="00D40DC9">
        <w:rPr>
          <w:lang w:val="es-419"/>
        </w:rPr>
        <w:tab/>
        <w:t>Grupo de Trabajo sobre Técnicas Bioquímicas y Moleculares, y Perfiles de ADN en particular</w:t>
      </w:r>
    </w:p>
    <w:p w14:paraId="5517BFC7" w14:textId="798EF46E" w:rsidR="009956BC" w:rsidRPr="00D40DC9" w:rsidRDefault="009956BC" w:rsidP="009956BC">
      <w:pPr>
        <w:ind w:left="1701" w:hanging="1134"/>
        <w:rPr>
          <w:rFonts w:cs="Arial"/>
          <w:lang w:val="es-419"/>
        </w:rPr>
      </w:pPr>
      <w:r w:rsidRPr="00D40DC9">
        <w:rPr>
          <w:lang w:val="es-419"/>
        </w:rPr>
        <w:t>TC:</w:t>
      </w:r>
      <w:r w:rsidR="007D241B" w:rsidRPr="00D40DC9">
        <w:rPr>
          <w:lang w:val="es-419"/>
        </w:rPr>
        <w:t xml:space="preserve"> </w:t>
      </w:r>
      <w:r w:rsidRPr="00D40DC9">
        <w:rPr>
          <w:lang w:val="es-419"/>
        </w:rPr>
        <w:tab/>
        <w:t>Comité Técnico</w:t>
      </w:r>
    </w:p>
    <w:p w14:paraId="0B251594" w14:textId="5DDA6E43" w:rsidR="009956BC" w:rsidRPr="00D40DC9" w:rsidRDefault="009956BC" w:rsidP="009956BC">
      <w:pPr>
        <w:ind w:left="1701" w:hanging="1134"/>
        <w:rPr>
          <w:rFonts w:cs="Arial"/>
          <w:lang w:val="es-419"/>
        </w:rPr>
      </w:pPr>
      <w:r w:rsidRPr="00D40DC9">
        <w:rPr>
          <w:lang w:val="es-419"/>
        </w:rPr>
        <w:t>TC-EDC:</w:t>
      </w:r>
      <w:r w:rsidR="007D241B" w:rsidRPr="00D40DC9">
        <w:rPr>
          <w:lang w:val="es-419"/>
        </w:rPr>
        <w:t xml:space="preserve"> </w:t>
      </w:r>
      <w:r w:rsidRPr="00D40DC9">
        <w:rPr>
          <w:lang w:val="es-419"/>
        </w:rPr>
        <w:tab/>
        <w:t>Comité de Redacción Ampliado</w:t>
      </w:r>
    </w:p>
    <w:p w14:paraId="28B991E7" w14:textId="5D85AD4C" w:rsidR="009956BC" w:rsidRPr="00D40DC9" w:rsidRDefault="009956BC" w:rsidP="009956BC">
      <w:pPr>
        <w:ind w:left="1701" w:hanging="1134"/>
        <w:rPr>
          <w:rFonts w:cs="Arial"/>
          <w:lang w:val="es-419"/>
        </w:rPr>
      </w:pPr>
      <w:r w:rsidRPr="00D40DC9">
        <w:rPr>
          <w:lang w:val="es-419"/>
        </w:rPr>
        <w:t>TWA:</w:t>
      </w:r>
      <w:r w:rsidR="007D241B" w:rsidRPr="00D40DC9">
        <w:rPr>
          <w:lang w:val="es-419"/>
        </w:rPr>
        <w:t xml:space="preserve"> </w:t>
      </w:r>
      <w:r w:rsidRPr="00D40DC9">
        <w:rPr>
          <w:lang w:val="es-419"/>
        </w:rPr>
        <w:tab/>
        <w:t>Grupo de Trabajo Técnico sobre Plantas Agrícolas</w:t>
      </w:r>
    </w:p>
    <w:p w14:paraId="721F1B2A" w14:textId="3E0F86CB" w:rsidR="009956BC" w:rsidRPr="00D40DC9" w:rsidRDefault="009956BC" w:rsidP="009956BC">
      <w:pPr>
        <w:ind w:left="1701" w:hanging="1134"/>
        <w:rPr>
          <w:rFonts w:cs="Arial"/>
          <w:lang w:val="es-419"/>
        </w:rPr>
      </w:pPr>
      <w:r w:rsidRPr="00D40DC9">
        <w:rPr>
          <w:lang w:val="es-419"/>
        </w:rPr>
        <w:t>TWC:</w:t>
      </w:r>
      <w:r w:rsidR="007D241B" w:rsidRPr="00D40DC9">
        <w:rPr>
          <w:lang w:val="es-419"/>
        </w:rPr>
        <w:t xml:space="preserve"> </w:t>
      </w:r>
      <w:r w:rsidRPr="00D40DC9">
        <w:rPr>
          <w:lang w:val="es-419"/>
        </w:rPr>
        <w:tab/>
        <w:t>Grupo de Trabajo Técnico sobre Automatización y Programas Informáticos</w:t>
      </w:r>
    </w:p>
    <w:p w14:paraId="2E6208B4" w14:textId="10EF8AE4" w:rsidR="009956BC" w:rsidRPr="00D40DC9" w:rsidRDefault="009956BC" w:rsidP="009956BC">
      <w:pPr>
        <w:ind w:left="1701" w:hanging="1134"/>
        <w:rPr>
          <w:rFonts w:cs="Arial"/>
          <w:lang w:val="es-419"/>
        </w:rPr>
      </w:pPr>
      <w:r w:rsidRPr="00D40DC9">
        <w:rPr>
          <w:lang w:val="es-419"/>
        </w:rPr>
        <w:t>TWF:</w:t>
      </w:r>
      <w:r w:rsidR="007D241B" w:rsidRPr="00D40DC9">
        <w:rPr>
          <w:lang w:val="es-419"/>
        </w:rPr>
        <w:t xml:space="preserve"> </w:t>
      </w:r>
      <w:r w:rsidRPr="00D40DC9">
        <w:rPr>
          <w:lang w:val="es-419"/>
        </w:rPr>
        <w:tab/>
        <w:t xml:space="preserve">Grupo de Trabajo Técnico sobre Plantas Frutales </w:t>
      </w:r>
    </w:p>
    <w:p w14:paraId="01F4B158" w14:textId="0BB4FA40" w:rsidR="009956BC" w:rsidRPr="00D40DC9" w:rsidRDefault="009956BC" w:rsidP="009956BC">
      <w:pPr>
        <w:ind w:left="1701" w:hanging="1134"/>
        <w:rPr>
          <w:rFonts w:cs="Arial"/>
          <w:lang w:val="es-419"/>
        </w:rPr>
      </w:pPr>
      <w:r w:rsidRPr="00D40DC9">
        <w:rPr>
          <w:lang w:val="es-419"/>
        </w:rPr>
        <w:t>TWO:</w:t>
      </w:r>
      <w:r w:rsidR="007D241B" w:rsidRPr="00D40DC9">
        <w:rPr>
          <w:lang w:val="es-419"/>
        </w:rPr>
        <w:t xml:space="preserve"> </w:t>
      </w:r>
      <w:r w:rsidRPr="00D40DC9">
        <w:rPr>
          <w:lang w:val="es-419"/>
        </w:rPr>
        <w:tab/>
        <w:t xml:space="preserve">Grupo de Trabajo Técnico sobre Plantas Ornamentales y Árboles Forestales </w:t>
      </w:r>
    </w:p>
    <w:p w14:paraId="2344292E" w14:textId="1806F94B" w:rsidR="009956BC" w:rsidRPr="00D40DC9" w:rsidRDefault="009956BC" w:rsidP="009956BC">
      <w:pPr>
        <w:ind w:left="1701" w:hanging="1134"/>
        <w:rPr>
          <w:rFonts w:cs="Arial"/>
          <w:lang w:val="es-419"/>
        </w:rPr>
      </w:pPr>
      <w:r w:rsidRPr="00D40DC9">
        <w:rPr>
          <w:lang w:val="es-419"/>
        </w:rPr>
        <w:t>TWV:</w:t>
      </w:r>
      <w:r w:rsidR="007D241B" w:rsidRPr="00D40DC9">
        <w:rPr>
          <w:lang w:val="es-419"/>
        </w:rPr>
        <w:t xml:space="preserve"> </w:t>
      </w:r>
      <w:r w:rsidRPr="00D40DC9">
        <w:rPr>
          <w:lang w:val="es-419"/>
        </w:rPr>
        <w:tab/>
        <w:t>Grupo de Trabajo Técnico sobre Hortalizas</w:t>
      </w:r>
    </w:p>
    <w:p w14:paraId="08EC83A3" w14:textId="30C2EDBE" w:rsidR="009956BC" w:rsidRPr="00D40DC9" w:rsidRDefault="009956BC" w:rsidP="009956BC">
      <w:pPr>
        <w:ind w:left="1701" w:hanging="1134"/>
        <w:rPr>
          <w:caps/>
          <w:lang w:val="es-419"/>
        </w:rPr>
      </w:pPr>
      <w:r w:rsidRPr="00D40DC9">
        <w:rPr>
          <w:color w:val="000000"/>
          <w:lang w:val="es-419"/>
        </w:rPr>
        <w:t>TWP:</w:t>
      </w:r>
      <w:r w:rsidR="00D40DC9" w:rsidRPr="00D40DC9">
        <w:rPr>
          <w:color w:val="000000"/>
          <w:lang w:val="es-419"/>
        </w:rPr>
        <w:t xml:space="preserve"> </w:t>
      </w:r>
      <w:r w:rsidRPr="00D40DC9">
        <w:rPr>
          <w:lang w:val="es-419"/>
        </w:rPr>
        <w:tab/>
      </w:r>
      <w:r w:rsidRPr="00D40DC9">
        <w:rPr>
          <w:color w:val="000000"/>
          <w:lang w:val="es-419"/>
        </w:rPr>
        <w:t xml:space="preserve">Grupos de Trabajo Técnico </w:t>
      </w:r>
      <w:bookmarkStart w:id="7" w:name="_Toc352678045"/>
      <w:bookmarkStart w:id="8" w:name="_Toc353797725"/>
      <w:bookmarkStart w:id="9" w:name="_Toc386185970"/>
      <w:bookmarkStart w:id="10" w:name="_Toc419124858"/>
    </w:p>
    <w:p w14:paraId="7482B7FD" w14:textId="77777777" w:rsidR="009956BC" w:rsidRPr="00D40DC9" w:rsidRDefault="009956BC" w:rsidP="009956BC">
      <w:pPr>
        <w:keepNext/>
        <w:keepLines/>
        <w:outlineLvl w:val="0"/>
        <w:rPr>
          <w:caps/>
          <w:lang w:val="es-419"/>
        </w:rPr>
      </w:pPr>
    </w:p>
    <w:p w14:paraId="55D95274" w14:textId="77777777" w:rsidR="00193892" w:rsidRPr="00D40DC9" w:rsidRDefault="00193892" w:rsidP="009956BC">
      <w:pPr>
        <w:keepNext/>
        <w:keepLines/>
        <w:outlineLvl w:val="0"/>
        <w:rPr>
          <w:caps/>
          <w:lang w:val="es-419"/>
        </w:rPr>
      </w:pPr>
    </w:p>
    <w:p w14:paraId="0D3D1B90" w14:textId="77777777" w:rsidR="009956BC" w:rsidRPr="00D40DC9" w:rsidRDefault="009956BC" w:rsidP="009956BC">
      <w:pPr>
        <w:keepNext/>
        <w:keepLines/>
        <w:outlineLvl w:val="0"/>
        <w:rPr>
          <w:caps/>
          <w:lang w:val="es-419"/>
        </w:rPr>
      </w:pPr>
      <w:bookmarkStart w:id="11" w:name="_Toc20508512"/>
      <w:bookmarkStart w:id="12" w:name="_Toc22129392"/>
      <w:r w:rsidRPr="00D40DC9">
        <w:rPr>
          <w:caps/>
          <w:lang w:val="es-419"/>
        </w:rPr>
        <w:t>ANTECEDENTES</w:t>
      </w:r>
      <w:bookmarkEnd w:id="7"/>
      <w:bookmarkEnd w:id="8"/>
      <w:bookmarkEnd w:id="9"/>
      <w:bookmarkEnd w:id="10"/>
      <w:bookmarkEnd w:id="11"/>
      <w:bookmarkEnd w:id="12"/>
    </w:p>
    <w:p w14:paraId="7C571A9B" w14:textId="77777777" w:rsidR="009956BC" w:rsidRPr="00D40DC9" w:rsidRDefault="009956BC" w:rsidP="009956BC">
      <w:pPr>
        <w:keepNext/>
        <w:keepLines/>
        <w:rPr>
          <w:rFonts w:cs="Arial"/>
          <w:lang w:val="es-419"/>
        </w:rPr>
      </w:pPr>
    </w:p>
    <w:p w14:paraId="34A4AE76" w14:textId="77777777" w:rsidR="009956BC" w:rsidRPr="00D40DC9" w:rsidRDefault="009956BC" w:rsidP="009956BC">
      <w:pPr>
        <w:keepNext/>
        <w:keepLines/>
        <w:rPr>
          <w:rFonts w:cs="Arial"/>
          <w:lang w:val="es-419"/>
        </w:rPr>
      </w:pPr>
      <w:r w:rsidRPr="00D40DC9">
        <w:rPr>
          <w:rFonts w:cs="Arial"/>
          <w:lang w:val="es-419"/>
        </w:rPr>
        <w:fldChar w:fldCharType="begin"/>
      </w:r>
      <w:r w:rsidRPr="00D40DC9">
        <w:rPr>
          <w:rFonts w:cs="Arial"/>
          <w:lang w:val="es-419"/>
        </w:rPr>
        <w:instrText xml:space="preserve"> AUTONUM  </w:instrText>
      </w:r>
      <w:r w:rsidRPr="00D40DC9">
        <w:rPr>
          <w:rFonts w:cs="Arial"/>
          <w:lang w:val="es-419"/>
        </w:rPr>
        <w:fldChar w:fldCharType="end"/>
      </w:r>
      <w:r w:rsidRPr="00D40DC9">
        <w:rPr>
          <w:lang w:val="es-419"/>
        </w:rPr>
        <w:tab/>
        <w:t>El TC, en su quincuagésima cuarta sesión, celebrada en Ginebra los días 29 y 30 de octubre de 2018, y el CAJ, en su septuagésima quinta sesión, celebrada en Ginebra el 31 de octubre de 2018, aprobaron el programa para la elaboración de los documentos TGP, que figura en los anexos de los documentos TC/54/5 Rev. y CAJ/75/13, respectivamente, a reserva de las conclusiones de sus sesiones (véanse el párrafo 251 del documento TC/54/31 “Informe” y el párrafo 13 del documento CAJ/75/14 “Informe”).</w:t>
      </w:r>
    </w:p>
    <w:p w14:paraId="2CC5ABFA" w14:textId="77777777" w:rsidR="009956BC" w:rsidRPr="00D40DC9" w:rsidRDefault="009956BC" w:rsidP="009956BC">
      <w:pPr>
        <w:keepNext/>
        <w:rPr>
          <w:rFonts w:cs="Arial"/>
          <w:lang w:val="es-419"/>
        </w:rPr>
      </w:pPr>
    </w:p>
    <w:p w14:paraId="366357C2" w14:textId="77777777" w:rsidR="009956BC" w:rsidRPr="00D40DC9" w:rsidRDefault="009956BC" w:rsidP="009956BC">
      <w:pPr>
        <w:rPr>
          <w:rFonts w:cs="Arial"/>
          <w:lang w:val="es-419"/>
        </w:rPr>
      </w:pPr>
      <w:r w:rsidRPr="00D40DC9">
        <w:rPr>
          <w:rFonts w:cs="Arial"/>
          <w:lang w:val="es-419"/>
        </w:rPr>
        <w:fldChar w:fldCharType="begin"/>
      </w:r>
      <w:r w:rsidRPr="00D40DC9">
        <w:rPr>
          <w:rFonts w:cs="Arial"/>
          <w:lang w:val="es-419"/>
        </w:rPr>
        <w:instrText xml:space="preserve"> AUTONUM  </w:instrText>
      </w:r>
      <w:r w:rsidRPr="00D40DC9">
        <w:rPr>
          <w:rFonts w:cs="Arial"/>
          <w:lang w:val="es-419"/>
        </w:rPr>
        <w:fldChar w:fldCharType="end"/>
      </w:r>
      <w:r w:rsidRPr="00D40DC9">
        <w:rPr>
          <w:lang w:val="es-419"/>
        </w:rPr>
        <w:tab/>
        <w:t xml:space="preserve">Los documentos TGP aprobados se publican en el sitio web de la UPOV en </w:t>
      </w:r>
      <w:hyperlink r:id="rId8">
        <w:r w:rsidRPr="00D40DC9">
          <w:rPr>
            <w:color w:val="0000FF"/>
            <w:u w:val="single"/>
            <w:lang w:val="es-419"/>
          </w:rPr>
          <w:t>http://www.upov.int/upov_collection/es/</w:t>
        </w:r>
      </w:hyperlink>
      <w:r w:rsidRPr="00D40DC9">
        <w:rPr>
          <w:lang w:val="es-419"/>
        </w:rPr>
        <w:t>.</w:t>
      </w:r>
    </w:p>
    <w:p w14:paraId="1C2A8153" w14:textId="77777777" w:rsidR="009956BC" w:rsidRPr="00D40DC9" w:rsidRDefault="009956BC" w:rsidP="009956BC">
      <w:pPr>
        <w:rPr>
          <w:lang w:val="es-419"/>
        </w:rPr>
      </w:pPr>
      <w:bookmarkStart w:id="13" w:name="_Toc386185983"/>
      <w:bookmarkStart w:id="14" w:name="_Toc419124871"/>
      <w:bookmarkStart w:id="15" w:name="_Toc378251517"/>
      <w:bookmarkStart w:id="16" w:name="_Toc381279978"/>
      <w:bookmarkEnd w:id="5"/>
      <w:bookmarkEnd w:id="6"/>
    </w:p>
    <w:p w14:paraId="25B00A72" w14:textId="77777777" w:rsidR="009956BC" w:rsidRPr="00D40DC9" w:rsidRDefault="009956BC" w:rsidP="009956BC">
      <w:pPr>
        <w:rPr>
          <w:lang w:val="es-419"/>
        </w:rPr>
      </w:pPr>
    </w:p>
    <w:p w14:paraId="6D8D8137" w14:textId="77777777" w:rsidR="009956BC" w:rsidRPr="00D40DC9" w:rsidRDefault="009956BC" w:rsidP="009956BC">
      <w:pPr>
        <w:keepNext/>
        <w:outlineLvl w:val="0"/>
        <w:rPr>
          <w:caps/>
          <w:lang w:val="es-419"/>
        </w:rPr>
      </w:pPr>
      <w:bookmarkStart w:id="17" w:name="_Toc20508513"/>
      <w:bookmarkStart w:id="18" w:name="_Toc22129393"/>
      <w:r w:rsidRPr="00D40DC9">
        <w:rPr>
          <w:caps/>
          <w:lang w:val="es-419"/>
        </w:rPr>
        <w:t>Asuntos sujetos a aprobación por el Consejo en 2019</w:t>
      </w:r>
      <w:bookmarkEnd w:id="17"/>
      <w:bookmarkEnd w:id="18"/>
    </w:p>
    <w:p w14:paraId="68A317F5" w14:textId="77777777" w:rsidR="009956BC" w:rsidRPr="00D40DC9" w:rsidRDefault="009956BC" w:rsidP="009956BC">
      <w:pPr>
        <w:rPr>
          <w:highlight w:val="yellow"/>
          <w:lang w:val="es-419"/>
        </w:rPr>
      </w:pPr>
    </w:p>
    <w:p w14:paraId="53DB114E" w14:textId="77777777" w:rsidR="009956BC" w:rsidRPr="00D40DC9" w:rsidRDefault="009956BC" w:rsidP="009956B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El Comité Técnico convino en que las revisiones siguientes de los documentos TGP se sometan a la aprobación del Consejo en su quincuagésima tercera sesión ordinaria, que se celebrará en Ginebra el 1 de noviembre de 2019, a reserva de la aprobación del CAJ, en su septuagésima sexta sesión, que se celebrará en Ginebra el 30 de octubre de 2019:</w:t>
      </w:r>
    </w:p>
    <w:p w14:paraId="1633CE7B" w14:textId="77777777" w:rsidR="0044336B" w:rsidRPr="00D40DC9" w:rsidRDefault="0044336B" w:rsidP="0044336B">
      <w:pPr>
        <w:keepNext/>
        <w:rPr>
          <w:lang w:val="es-419"/>
        </w:rPr>
      </w:pPr>
    </w:p>
    <w:p w14:paraId="5C8502CC" w14:textId="77777777" w:rsidR="0044336B" w:rsidRPr="00D40DC9" w:rsidRDefault="0044336B" w:rsidP="0044336B">
      <w:pPr>
        <w:keepNext/>
        <w:outlineLvl w:val="1"/>
        <w:rPr>
          <w:u w:val="single"/>
          <w:lang w:val="es-419"/>
        </w:rPr>
      </w:pPr>
      <w:bookmarkStart w:id="19" w:name="_Toc15566517"/>
      <w:bookmarkStart w:id="20" w:name="_Toc20508514"/>
      <w:bookmarkStart w:id="21" w:name="_Toc22129394"/>
      <w:r w:rsidRPr="00D40DC9">
        <w:rPr>
          <w:u w:val="single"/>
          <w:lang w:val="es-419"/>
        </w:rPr>
        <w:t xml:space="preserve">Documento TGP/7: Elaboración de las directrices de examen (revisión) (documento TGP/7/7 </w:t>
      </w:r>
      <w:proofErr w:type="spellStart"/>
      <w:r w:rsidRPr="00D40DC9">
        <w:rPr>
          <w:u w:val="single"/>
          <w:lang w:val="es-419"/>
        </w:rPr>
        <w:t>Draft</w:t>
      </w:r>
      <w:proofErr w:type="spellEnd"/>
      <w:r w:rsidRPr="00D40DC9">
        <w:rPr>
          <w:u w:val="single"/>
          <w:lang w:val="es-419"/>
        </w:rPr>
        <w:t xml:space="preserve"> 1)</w:t>
      </w:r>
      <w:bookmarkEnd w:id="19"/>
      <w:bookmarkEnd w:id="20"/>
      <w:bookmarkEnd w:id="21"/>
    </w:p>
    <w:p w14:paraId="75C93C33" w14:textId="77777777" w:rsidR="0044336B" w:rsidRPr="00D40DC9" w:rsidRDefault="0044336B" w:rsidP="0044336B">
      <w:pPr>
        <w:keepNext/>
        <w:rPr>
          <w:highlight w:val="yellow"/>
          <w:lang w:val="es-419"/>
        </w:rPr>
      </w:pPr>
    </w:p>
    <w:p w14:paraId="4417668A" w14:textId="508DD7BD" w:rsidR="0044336B" w:rsidRPr="00D40DC9" w:rsidRDefault="0044336B" w:rsidP="0044336B">
      <w:pPr>
        <w:keepNext/>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En su quincuagésima cuarta sesión, el TC respaldó las propuestas de orientación sobre la “Duración de los exámenes DHE” y el “Procedimiento para introducir directrices de examen” que se han de incluir en una revisión del documento TGP/7 “Elaboración de las directrices de examen”</w:t>
      </w:r>
      <w:r w:rsidR="007D241B" w:rsidRPr="00D40DC9">
        <w:rPr>
          <w:lang w:val="es-419"/>
        </w:rPr>
        <w:t xml:space="preserve"> </w:t>
      </w:r>
      <w:r w:rsidRPr="00D40DC9">
        <w:rPr>
          <w:lang w:val="es-419"/>
        </w:rPr>
        <w:t>(véase el documento </w:t>
      </w:r>
      <w:hyperlink r:id="rId9">
        <w:r w:rsidR="000F3A66">
          <w:rPr>
            <w:lang w:val="es-419"/>
          </w:rPr>
          <w:t>TC/54/31</w:t>
        </w:r>
      </w:hyperlink>
      <w:r w:rsidRPr="00D40DC9">
        <w:rPr>
          <w:lang w:val="es-419"/>
        </w:rPr>
        <w:t xml:space="preserve"> “Informe”, párrafos 210 a 212 y 217 a 220).</w:t>
      </w:r>
    </w:p>
    <w:p w14:paraId="50C59945" w14:textId="77777777" w:rsidR="0044336B" w:rsidRPr="00D40DC9" w:rsidRDefault="0044336B" w:rsidP="0044336B">
      <w:pPr>
        <w:rPr>
          <w:lang w:val="es-419"/>
        </w:rPr>
      </w:pPr>
    </w:p>
    <w:p w14:paraId="4795BD70" w14:textId="340A3480" w:rsidR="0044336B" w:rsidRPr="00D40DC9" w:rsidRDefault="0044336B" w:rsidP="0044336B">
      <w:pPr>
        <w:rPr>
          <w:spacing w:val="-2"/>
          <w:lang w:val="es-419"/>
        </w:rPr>
      </w:pPr>
      <w:r w:rsidRPr="00D40DC9">
        <w:rPr>
          <w:spacing w:val="-2"/>
          <w:lang w:val="es-419"/>
        </w:rPr>
        <w:fldChar w:fldCharType="begin"/>
      </w:r>
      <w:r w:rsidRPr="00D40DC9">
        <w:rPr>
          <w:spacing w:val="-2"/>
          <w:lang w:val="es-419"/>
        </w:rPr>
        <w:instrText xml:space="preserve"> AUTONUM  </w:instrText>
      </w:r>
      <w:r w:rsidRPr="00D40DC9">
        <w:rPr>
          <w:spacing w:val="-2"/>
          <w:lang w:val="es-419"/>
        </w:rPr>
        <w:fldChar w:fldCharType="end"/>
      </w:r>
      <w:r w:rsidRPr="00D40DC9">
        <w:rPr>
          <w:lang w:val="es-419"/>
        </w:rPr>
        <w:tab/>
        <w:t>Con arreglo a lo anterior, el TC convino en que la revisión del documento TGP/7/6 (documento TGP/7/7 </w:t>
      </w:r>
      <w:proofErr w:type="spellStart"/>
      <w:r w:rsidRPr="00D40DC9">
        <w:rPr>
          <w:lang w:val="es-419"/>
        </w:rPr>
        <w:t>Draft</w:t>
      </w:r>
      <w:proofErr w:type="spellEnd"/>
      <w:r w:rsidRPr="00D40DC9">
        <w:rPr>
          <w:lang w:val="es-419"/>
        </w:rPr>
        <w:t> 1</w:t>
      </w:r>
      <w:r w:rsidR="002F5AB7">
        <w:rPr>
          <w:lang w:val="es-419"/>
        </w:rPr>
        <w:t xml:space="preserve"> Rev.</w:t>
      </w:r>
      <w:r w:rsidRPr="00D40DC9">
        <w:rPr>
          <w:lang w:val="es-419"/>
        </w:rPr>
        <w:t>) se someta a la aprobación del Consejo, en su quincuagésima tercera sesión ordinaria, a reserva de la aprobación del CAJ en su septuagésima sexta sesión.</w:t>
      </w:r>
    </w:p>
    <w:p w14:paraId="56915591" w14:textId="77777777" w:rsidR="0044336B" w:rsidRPr="00D40DC9" w:rsidRDefault="0044336B" w:rsidP="0044336B">
      <w:pPr>
        <w:rPr>
          <w:spacing w:val="-2"/>
          <w:lang w:val="es-419"/>
        </w:rPr>
      </w:pPr>
    </w:p>
    <w:p w14:paraId="208C7A63" w14:textId="224EA432" w:rsidR="0044336B" w:rsidRPr="00D40DC9" w:rsidRDefault="0044336B" w:rsidP="0044336B">
      <w:pPr>
        <w:rPr>
          <w:bCs/>
          <w:snapToGrid w:val="0"/>
          <w:szCs w:val="24"/>
          <w:lang w:val="es-419"/>
        </w:rPr>
      </w:pPr>
      <w:r w:rsidRPr="00D40DC9">
        <w:rPr>
          <w:spacing w:val="-2"/>
          <w:lang w:val="es-419"/>
        </w:rPr>
        <w:fldChar w:fldCharType="begin"/>
      </w:r>
      <w:r w:rsidRPr="00D40DC9">
        <w:rPr>
          <w:spacing w:val="-2"/>
          <w:lang w:val="es-419"/>
        </w:rPr>
        <w:instrText xml:space="preserve"> AUTONUM  </w:instrText>
      </w:r>
      <w:r w:rsidRPr="00D40DC9">
        <w:rPr>
          <w:spacing w:val="-2"/>
          <w:lang w:val="es-419"/>
        </w:rPr>
        <w:fldChar w:fldCharType="end"/>
      </w:r>
      <w:r w:rsidRPr="00D40DC9">
        <w:rPr>
          <w:lang w:val="es-419"/>
        </w:rPr>
        <w:tab/>
        <w:t>Los respectivos miembros del Comité de Redacción han revisado las traducciones al alemán, español y francés del texto original en inglés antes de que se presente al Consejo el proyecto de documento TGP/7/7.</w:t>
      </w:r>
      <w:r w:rsidR="007D241B" w:rsidRPr="00D40DC9">
        <w:rPr>
          <w:lang w:val="es-419"/>
        </w:rPr>
        <w:t xml:space="preserve"> </w:t>
      </w:r>
      <w:r w:rsidRPr="00D40DC9">
        <w:rPr>
          <w:lang w:val="es-419"/>
        </w:rPr>
        <w:t>El documento TGP/7/7 </w:t>
      </w:r>
      <w:proofErr w:type="spellStart"/>
      <w:r w:rsidRPr="00D40DC9">
        <w:rPr>
          <w:lang w:val="es-419"/>
        </w:rPr>
        <w:t>Draft</w:t>
      </w:r>
      <w:proofErr w:type="spellEnd"/>
      <w:r w:rsidRPr="00D40DC9">
        <w:rPr>
          <w:lang w:val="es-419"/>
        </w:rPr>
        <w:t xml:space="preserve"> 1 </w:t>
      </w:r>
      <w:r w:rsidR="002F5AB7">
        <w:rPr>
          <w:lang w:val="es-419"/>
        </w:rPr>
        <w:t xml:space="preserve">Rev. </w:t>
      </w:r>
      <w:r w:rsidRPr="00D40DC9">
        <w:rPr>
          <w:lang w:val="es-419"/>
        </w:rPr>
        <w:t>incorpora las enmiendas acordadas por el TC, expuestas en el Anexo I del presente documento (con marcas de revisión), y los cambios lingüísticos efectuados por los respectivos miembros del Comité de Redacción.</w:t>
      </w:r>
    </w:p>
    <w:p w14:paraId="483FF238" w14:textId="77777777" w:rsidR="0044336B" w:rsidRPr="00D40DC9" w:rsidRDefault="0044336B" w:rsidP="0044336B">
      <w:pPr>
        <w:rPr>
          <w:lang w:val="es-419"/>
        </w:rPr>
      </w:pPr>
    </w:p>
    <w:p w14:paraId="583C2868" w14:textId="14FD69EF" w:rsidR="0044336B" w:rsidRPr="00D40DC9" w:rsidRDefault="0044336B" w:rsidP="0044336B">
      <w:pPr>
        <w:pStyle w:val="DecisionParagraphs"/>
        <w:rPr>
          <w:lang w:val="es-419"/>
        </w:rPr>
      </w:pPr>
      <w:r w:rsidRPr="00D40DC9">
        <w:rPr>
          <w:lang w:val="es-419"/>
        </w:rPr>
        <w:lastRenderedPageBreak/>
        <w:fldChar w:fldCharType="begin"/>
      </w:r>
      <w:r w:rsidRPr="00D40DC9">
        <w:rPr>
          <w:lang w:val="es-419"/>
        </w:rPr>
        <w:instrText xml:space="preserve"> AUTONUM  </w:instrText>
      </w:r>
      <w:r w:rsidRPr="00D40DC9">
        <w:rPr>
          <w:lang w:val="es-419"/>
        </w:rPr>
        <w:fldChar w:fldCharType="end"/>
      </w:r>
      <w:r w:rsidRPr="00D40DC9">
        <w:rPr>
          <w:lang w:val="es-419"/>
        </w:rPr>
        <w:tab/>
        <w:t xml:space="preserve">Se invita al TC a tomar nota de que la revisión del documento TGP/7 “Elaboración de las directrices de examen” (documento TGP/7/7) se someterá a la aprobación del Consejo, en su quincuagésima tercera sesión ordinaria, a reserva de la aprobación del CAJ en su septuagésima sexta sesión, sobre la base del documento TGP/7/7 </w:t>
      </w:r>
      <w:proofErr w:type="spellStart"/>
      <w:r w:rsidRPr="00D40DC9">
        <w:rPr>
          <w:lang w:val="es-419"/>
        </w:rPr>
        <w:t>Draft</w:t>
      </w:r>
      <w:proofErr w:type="spellEnd"/>
      <w:r w:rsidRPr="00D40DC9">
        <w:rPr>
          <w:lang w:val="es-419"/>
        </w:rPr>
        <w:t> 1</w:t>
      </w:r>
      <w:r w:rsidR="00DD1532">
        <w:rPr>
          <w:lang w:val="es-419"/>
        </w:rPr>
        <w:t xml:space="preserve"> </w:t>
      </w:r>
      <w:proofErr w:type="gramStart"/>
      <w:r w:rsidR="00DD1532">
        <w:rPr>
          <w:lang w:val="es-419"/>
        </w:rPr>
        <w:t>Rev.</w:t>
      </w:r>
      <w:r w:rsidRPr="00D40DC9">
        <w:rPr>
          <w:lang w:val="es-419"/>
        </w:rPr>
        <w:t>.</w:t>
      </w:r>
      <w:proofErr w:type="gramEnd"/>
    </w:p>
    <w:p w14:paraId="16E7045C" w14:textId="77777777" w:rsidR="0044336B" w:rsidRPr="00D40DC9" w:rsidRDefault="0044336B" w:rsidP="0044336B">
      <w:pPr>
        <w:rPr>
          <w:rFonts w:eastAsia="MS Mincho"/>
          <w:lang w:val="es-419"/>
        </w:rPr>
      </w:pPr>
    </w:p>
    <w:p w14:paraId="379F0A73" w14:textId="77777777" w:rsidR="0044336B" w:rsidRPr="00D40DC9" w:rsidRDefault="0044336B" w:rsidP="00524DB4">
      <w:pPr>
        <w:pStyle w:val="Heading2"/>
        <w:rPr>
          <w:lang w:val="es-419"/>
        </w:rPr>
      </w:pPr>
      <w:bookmarkStart w:id="22" w:name="_Toc15566518"/>
      <w:bookmarkStart w:id="23" w:name="_Toc20508515"/>
      <w:bookmarkStart w:id="24" w:name="_Toc22129395"/>
      <w:r w:rsidRPr="00D40DC9">
        <w:rPr>
          <w:lang w:val="es-419"/>
        </w:rPr>
        <w:t>Documento TGP/8: Diseño de ensayos y técnicas utilizados en el examen de la distinción, la homogeneidad y la estabilidad (revisión) (documento TGP/8/4 </w:t>
      </w:r>
      <w:proofErr w:type="spellStart"/>
      <w:r w:rsidRPr="00D40DC9">
        <w:rPr>
          <w:lang w:val="es-419"/>
        </w:rPr>
        <w:t>Draft</w:t>
      </w:r>
      <w:proofErr w:type="spellEnd"/>
      <w:r w:rsidRPr="00D40DC9">
        <w:rPr>
          <w:lang w:val="es-419"/>
        </w:rPr>
        <w:t> 1)</w:t>
      </w:r>
      <w:bookmarkEnd w:id="22"/>
      <w:bookmarkEnd w:id="23"/>
      <w:bookmarkEnd w:id="24"/>
    </w:p>
    <w:p w14:paraId="6B60AD20" w14:textId="77777777" w:rsidR="0044336B" w:rsidRPr="00D40DC9" w:rsidRDefault="0044336B" w:rsidP="00524DB4">
      <w:pPr>
        <w:keepNext/>
        <w:rPr>
          <w:lang w:val="es-419"/>
        </w:rPr>
      </w:pPr>
    </w:p>
    <w:p w14:paraId="76DE8C2C" w14:textId="3E2BD205" w:rsidR="0044336B" w:rsidRPr="00D40DC9" w:rsidRDefault="0044336B" w:rsidP="00524DB4">
      <w:pPr>
        <w:keepNext/>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En su quincuagésima tercera sesión,</w:t>
      </w:r>
      <w:bookmarkStart w:id="25" w:name="_Ref12539616"/>
      <w:r w:rsidRPr="00D40DC9">
        <w:rPr>
          <w:lang w:val="es-419"/>
        </w:rPr>
        <w:t xml:space="preserve"> celebrada en Ginebra del 3 al 5 de abril de 2017,</w:t>
      </w:r>
      <w:bookmarkEnd w:id="25"/>
      <w:r w:rsidRPr="00D40DC9">
        <w:rPr>
          <w:lang w:val="es-419"/>
        </w:rPr>
        <w:t xml:space="preserve"> el TC respaldó la propuesta de orientación relativa al “Examen de caracteres mediante la observación de muestras en bloque” que se ha de incluir en una revisión del documento TGP/8 “Diseño de ensayos y técnicas utilizados en el examen de la distinción, la homogeneidad y la estabilidad” (véanse los párrafos 113 a 116 del documento</w:t>
      </w:r>
      <w:r w:rsidR="00A90178" w:rsidRPr="00D40DC9">
        <w:rPr>
          <w:lang w:val="es-419"/>
        </w:rPr>
        <w:t> </w:t>
      </w:r>
      <w:r w:rsidRPr="00D40DC9">
        <w:rPr>
          <w:lang w:val="es-419"/>
        </w:rPr>
        <w:t xml:space="preserve">TC/53/31 “Informe”). </w:t>
      </w:r>
    </w:p>
    <w:p w14:paraId="52B47562" w14:textId="77777777" w:rsidR="0044336B" w:rsidRPr="00D40DC9" w:rsidRDefault="0044336B" w:rsidP="0044336B">
      <w:pPr>
        <w:rPr>
          <w:lang w:val="es-419"/>
        </w:rPr>
      </w:pPr>
    </w:p>
    <w:p w14:paraId="7008251D" w14:textId="346AE7B9" w:rsidR="0044336B" w:rsidRPr="00D40DC9" w:rsidRDefault="0044336B" w:rsidP="0044336B">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En su quincuagésima cuarta sesión, el TC convino en que la orientación que figura en el documento TGP/8/2: parte II: sección 8: subsección 8.1.7 se sustituya por una referencia a la nueva orientación relativa a la “Evaluación de la homogeneidad sobre la base de las plantas fuera de tipo mediante la observación de más de un ciclo de cultivo o mediante la observación de </w:t>
      </w:r>
      <w:proofErr w:type="spellStart"/>
      <w:r w:rsidRPr="00D40DC9">
        <w:rPr>
          <w:lang w:val="es-419"/>
        </w:rPr>
        <w:t>submuestras</w:t>
      </w:r>
      <w:proofErr w:type="spellEnd"/>
      <w:r w:rsidRPr="00D40DC9">
        <w:rPr>
          <w:lang w:val="es-419"/>
        </w:rPr>
        <w:t>” que se ha de incluir en el documento TGP/10 “Examen de la homogeneidad” (véase el documento </w:t>
      </w:r>
      <w:hyperlink r:id="rId10">
        <w:hyperlink r:id="rId11">
          <w:r w:rsidR="000F3A66">
            <w:rPr>
              <w:rStyle w:val="Hyperlink"/>
              <w:lang w:val="es-419"/>
            </w:rPr>
            <w:t>TC/54/31</w:t>
          </w:r>
        </w:hyperlink>
      </w:hyperlink>
      <w:r w:rsidRPr="00D40DC9">
        <w:rPr>
          <w:lang w:val="es-419"/>
        </w:rPr>
        <w:t xml:space="preserve"> “Informe”, párrafos 231 y 232).</w:t>
      </w:r>
    </w:p>
    <w:p w14:paraId="0384B4B0" w14:textId="77777777" w:rsidR="0044336B" w:rsidRPr="00D40DC9" w:rsidRDefault="0044336B" w:rsidP="0044336B">
      <w:pPr>
        <w:rPr>
          <w:lang w:val="es-419"/>
        </w:rPr>
      </w:pPr>
    </w:p>
    <w:p w14:paraId="15146DD3" w14:textId="77777777" w:rsidR="0044336B" w:rsidRPr="00D40DC9" w:rsidRDefault="0044336B" w:rsidP="0044336B">
      <w:pPr>
        <w:rPr>
          <w:spacing w:val="-2"/>
          <w:lang w:val="es-419"/>
        </w:rPr>
      </w:pPr>
      <w:r w:rsidRPr="00D40DC9">
        <w:rPr>
          <w:spacing w:val="-2"/>
          <w:lang w:val="es-419"/>
        </w:rPr>
        <w:fldChar w:fldCharType="begin"/>
      </w:r>
      <w:r w:rsidRPr="00D40DC9">
        <w:rPr>
          <w:spacing w:val="-2"/>
          <w:lang w:val="es-419"/>
        </w:rPr>
        <w:instrText xml:space="preserve"> AUTONUM  </w:instrText>
      </w:r>
      <w:r w:rsidRPr="00D40DC9">
        <w:rPr>
          <w:spacing w:val="-2"/>
          <w:lang w:val="es-419"/>
        </w:rPr>
        <w:fldChar w:fldCharType="end"/>
      </w:r>
      <w:r w:rsidRPr="00D40DC9">
        <w:rPr>
          <w:lang w:val="es-419"/>
        </w:rPr>
        <w:tab/>
        <w:t>Con arreglo a lo anterior, el TC convino en que la revisión del documento TGP/8/3 (documento TGP/8/4 </w:t>
      </w:r>
      <w:proofErr w:type="spellStart"/>
      <w:r w:rsidRPr="00D40DC9">
        <w:rPr>
          <w:lang w:val="es-419"/>
        </w:rPr>
        <w:t>Draft</w:t>
      </w:r>
      <w:proofErr w:type="spellEnd"/>
      <w:r w:rsidRPr="00D40DC9">
        <w:rPr>
          <w:lang w:val="es-419"/>
        </w:rPr>
        <w:t> 1) se someta a la aprobación del Consejo en su quincuagésima tercera sesión ordinaria, a reserva de la aprobación del CAJ en su septuagésima sexta sesión.</w:t>
      </w:r>
    </w:p>
    <w:p w14:paraId="4BC5FFBC" w14:textId="77777777" w:rsidR="0044336B" w:rsidRPr="00D40DC9" w:rsidRDefault="0044336B" w:rsidP="0044336B">
      <w:pPr>
        <w:rPr>
          <w:spacing w:val="-2"/>
          <w:lang w:val="es-419"/>
        </w:rPr>
      </w:pPr>
    </w:p>
    <w:p w14:paraId="05F09F19" w14:textId="179AB74A" w:rsidR="0044336B" w:rsidRPr="00D40DC9" w:rsidRDefault="0044336B" w:rsidP="0044336B">
      <w:pPr>
        <w:rPr>
          <w:bCs/>
          <w:snapToGrid w:val="0"/>
          <w:szCs w:val="24"/>
          <w:lang w:val="es-419"/>
        </w:rPr>
      </w:pPr>
      <w:r w:rsidRPr="00D40DC9">
        <w:rPr>
          <w:spacing w:val="-2"/>
          <w:lang w:val="es-419"/>
        </w:rPr>
        <w:fldChar w:fldCharType="begin"/>
      </w:r>
      <w:r w:rsidRPr="00D40DC9">
        <w:rPr>
          <w:spacing w:val="-2"/>
          <w:lang w:val="es-419"/>
        </w:rPr>
        <w:instrText xml:space="preserve"> AUTONUM  </w:instrText>
      </w:r>
      <w:r w:rsidRPr="00D40DC9">
        <w:rPr>
          <w:spacing w:val="-2"/>
          <w:lang w:val="es-419"/>
        </w:rPr>
        <w:fldChar w:fldCharType="end"/>
      </w:r>
      <w:r w:rsidRPr="00D40DC9">
        <w:rPr>
          <w:lang w:val="es-419"/>
        </w:rPr>
        <w:tab/>
        <w:t>Los respectivos miembros del Comité de Redacción han revisado las traducciones al alemán, español y francés del texto original en inglés antes de que se presente al Consejo el proyecto de documento TGP/8/4.</w:t>
      </w:r>
      <w:r w:rsidR="007D241B" w:rsidRPr="00D40DC9">
        <w:rPr>
          <w:lang w:val="es-419"/>
        </w:rPr>
        <w:t xml:space="preserve"> </w:t>
      </w:r>
      <w:r w:rsidRPr="00D40DC9">
        <w:rPr>
          <w:lang w:val="es-419"/>
        </w:rPr>
        <w:t>El documento TGP/8/4 </w:t>
      </w:r>
      <w:proofErr w:type="spellStart"/>
      <w:r w:rsidRPr="00D40DC9">
        <w:rPr>
          <w:lang w:val="es-419"/>
        </w:rPr>
        <w:t>Draft</w:t>
      </w:r>
      <w:proofErr w:type="spellEnd"/>
      <w:r w:rsidRPr="00D40DC9">
        <w:rPr>
          <w:lang w:val="es-419"/>
        </w:rPr>
        <w:t> 1 incorpora las enmiendas acordadas por el TC, expuestas en el Anexo II del presente documento (con marcas de revisión), y los cambios lingüísticos efectuados por los respectivos miembros del Comité de Redacción.</w:t>
      </w:r>
    </w:p>
    <w:p w14:paraId="7B1446B7" w14:textId="77777777" w:rsidR="0044336B" w:rsidRPr="00D40DC9" w:rsidRDefault="0044336B" w:rsidP="0044336B">
      <w:pPr>
        <w:rPr>
          <w:bCs/>
          <w:snapToGrid w:val="0"/>
          <w:szCs w:val="24"/>
          <w:lang w:val="es-419"/>
        </w:rPr>
      </w:pPr>
    </w:p>
    <w:p w14:paraId="53E9C301" w14:textId="77777777" w:rsidR="0044336B" w:rsidRPr="00D40DC9" w:rsidRDefault="0044336B" w:rsidP="0044336B">
      <w:pPr>
        <w:pStyle w:val="DecisionParagraphs"/>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Se invita al TC a tomar nota de que la revisión del documento TGP/8 “Diseño de ensayos y técnicas utilizados en el examen de la distinción, la homogeneidad y la estabilidad” (documento TGP/8/3) se someterá a la aprobación del Consejo, en su quincuagésima tercera sesión ordinaria, a reserva de la aprobación del CAJ en su septuagésima sexta sesión, sobre la base del documento TGP/8/4 </w:t>
      </w:r>
      <w:proofErr w:type="spellStart"/>
      <w:r w:rsidRPr="00D40DC9">
        <w:rPr>
          <w:lang w:val="es-419"/>
        </w:rPr>
        <w:t>Draft</w:t>
      </w:r>
      <w:proofErr w:type="spellEnd"/>
      <w:r w:rsidRPr="00D40DC9">
        <w:rPr>
          <w:lang w:val="es-419"/>
        </w:rPr>
        <w:t xml:space="preserve"> 1. </w:t>
      </w:r>
    </w:p>
    <w:p w14:paraId="49EAE630" w14:textId="77777777" w:rsidR="00524DB4" w:rsidRPr="00D40DC9" w:rsidRDefault="00524DB4" w:rsidP="0044336B">
      <w:pPr>
        <w:pStyle w:val="DecisionParagraphs"/>
        <w:rPr>
          <w:lang w:val="es-419"/>
        </w:rPr>
      </w:pPr>
    </w:p>
    <w:p w14:paraId="538D9DB2" w14:textId="77777777" w:rsidR="0044336B" w:rsidRPr="00D40DC9" w:rsidRDefault="0044336B" w:rsidP="0044336B">
      <w:pPr>
        <w:pStyle w:val="Heading2"/>
        <w:rPr>
          <w:lang w:val="es-419"/>
        </w:rPr>
      </w:pPr>
      <w:bookmarkStart w:id="26" w:name="_Toc519608630"/>
      <w:bookmarkStart w:id="27" w:name="_Toc15566519"/>
      <w:bookmarkStart w:id="28" w:name="_Toc20508516"/>
      <w:bookmarkStart w:id="29" w:name="_Toc22129396"/>
      <w:r w:rsidRPr="00D40DC9">
        <w:rPr>
          <w:lang w:val="es-419"/>
        </w:rPr>
        <w:t>Documento TGP/10: Examen de la homogeneidad</w:t>
      </w:r>
      <w:bookmarkEnd w:id="26"/>
      <w:r w:rsidRPr="00D40DC9">
        <w:rPr>
          <w:lang w:val="es-419"/>
        </w:rPr>
        <w:t xml:space="preserve"> (revisión) (documento TGP/10/2 </w:t>
      </w:r>
      <w:proofErr w:type="spellStart"/>
      <w:r w:rsidRPr="00D40DC9">
        <w:rPr>
          <w:lang w:val="es-419"/>
        </w:rPr>
        <w:t>Draft</w:t>
      </w:r>
      <w:proofErr w:type="spellEnd"/>
      <w:r w:rsidRPr="00D40DC9">
        <w:rPr>
          <w:lang w:val="es-419"/>
        </w:rPr>
        <w:t xml:space="preserve"> 1)</w:t>
      </w:r>
      <w:bookmarkEnd w:id="27"/>
      <w:bookmarkEnd w:id="28"/>
      <w:bookmarkEnd w:id="29"/>
    </w:p>
    <w:p w14:paraId="7AE7A2D5" w14:textId="77777777" w:rsidR="0044336B" w:rsidRPr="00D40DC9" w:rsidRDefault="0044336B" w:rsidP="0044336B">
      <w:pPr>
        <w:keepNext/>
        <w:rPr>
          <w:rFonts w:eastAsia="MS Mincho"/>
          <w:i/>
          <w:lang w:val="es-419"/>
        </w:rPr>
      </w:pPr>
    </w:p>
    <w:p w14:paraId="235EB82C" w14:textId="168B6485" w:rsidR="0044336B" w:rsidRPr="00D40DC9" w:rsidRDefault="0044336B" w:rsidP="0044336B">
      <w:pPr>
        <w:keepNext/>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En su quincuagésima cuarta sesión, el TC acordó que el proyecto de orientación acerca de la </w:t>
      </w:r>
      <w:r w:rsidRPr="00D40DC9">
        <w:rPr>
          <w:color w:val="000000"/>
          <w:lang w:val="es-419"/>
        </w:rPr>
        <w:t xml:space="preserve">“Evaluación de la homogeneidad sobre la base de las plantas fuera de tipo mediante la observación de más de un ciclo de cultivo o mediante la observación de </w:t>
      </w:r>
      <w:proofErr w:type="spellStart"/>
      <w:r w:rsidRPr="00D40DC9">
        <w:rPr>
          <w:color w:val="000000"/>
          <w:lang w:val="es-419"/>
        </w:rPr>
        <w:t>submuestras</w:t>
      </w:r>
      <w:proofErr w:type="spellEnd"/>
      <w:r w:rsidRPr="00D40DC9">
        <w:rPr>
          <w:color w:val="000000"/>
          <w:lang w:val="es-419"/>
        </w:rPr>
        <w:t>”</w:t>
      </w:r>
      <w:r w:rsidRPr="00D40DC9">
        <w:rPr>
          <w:lang w:val="es-419"/>
        </w:rPr>
        <w:t xml:space="preserve"> se someta a la aprobación del Consejo con miras a su inclusión en una futura revisión del documento TGP/10 “Examen de la homogeneidad” (véase el documento </w:t>
      </w:r>
      <w:hyperlink r:id="rId12">
        <w:r w:rsidR="000F3A66">
          <w:rPr>
            <w:lang w:val="es-419"/>
          </w:rPr>
          <w:t>TC/54/31</w:t>
        </w:r>
      </w:hyperlink>
      <w:r w:rsidR="000F3A66" w:rsidRPr="00D40DC9">
        <w:rPr>
          <w:lang w:val="es-419"/>
        </w:rPr>
        <w:t xml:space="preserve"> </w:t>
      </w:r>
      <w:r w:rsidRPr="00D40DC9">
        <w:rPr>
          <w:lang w:val="es-419"/>
        </w:rPr>
        <w:t xml:space="preserve"> “Informe”, párrafos 233 y 234).</w:t>
      </w:r>
      <w:r w:rsidR="007D241B" w:rsidRPr="00D40DC9">
        <w:rPr>
          <w:color w:val="000000"/>
          <w:lang w:val="es-419"/>
        </w:rPr>
        <w:t xml:space="preserve"> </w:t>
      </w:r>
    </w:p>
    <w:p w14:paraId="03CC2DF4" w14:textId="77777777" w:rsidR="0044336B" w:rsidRPr="00D40DC9" w:rsidRDefault="0044336B" w:rsidP="0044336B">
      <w:pPr>
        <w:rPr>
          <w:lang w:val="es-419"/>
        </w:rPr>
      </w:pPr>
    </w:p>
    <w:p w14:paraId="4B0BA56F" w14:textId="7E332316" w:rsidR="0044336B" w:rsidRPr="00D40DC9" w:rsidRDefault="0044336B" w:rsidP="0044336B">
      <w:pPr>
        <w:rPr>
          <w:bCs/>
          <w:snapToGrid w:val="0"/>
          <w:szCs w:val="24"/>
          <w:lang w:val="es-419"/>
        </w:rPr>
      </w:pPr>
      <w:r w:rsidRPr="00D40DC9">
        <w:rPr>
          <w:spacing w:val="-2"/>
          <w:lang w:val="es-419"/>
        </w:rPr>
        <w:fldChar w:fldCharType="begin"/>
      </w:r>
      <w:r w:rsidRPr="00D40DC9">
        <w:rPr>
          <w:spacing w:val="-2"/>
          <w:lang w:val="es-419"/>
        </w:rPr>
        <w:instrText xml:space="preserve"> AUTONUM  </w:instrText>
      </w:r>
      <w:r w:rsidRPr="00D40DC9">
        <w:rPr>
          <w:spacing w:val="-2"/>
          <w:lang w:val="es-419"/>
        </w:rPr>
        <w:fldChar w:fldCharType="end"/>
      </w:r>
      <w:r w:rsidRPr="00D40DC9">
        <w:rPr>
          <w:lang w:val="es-419"/>
        </w:rPr>
        <w:tab/>
        <w:t>Los respectivos miembros del Comité de Redacción han revisado las traducciones al alemán, español y francés del texto original en inglés antes de que se presente al Consejo el proyecto de documento TGP/10/2.</w:t>
      </w:r>
      <w:r w:rsidR="007D241B" w:rsidRPr="00D40DC9">
        <w:rPr>
          <w:lang w:val="es-419"/>
        </w:rPr>
        <w:t xml:space="preserve"> </w:t>
      </w:r>
      <w:r w:rsidRPr="00D40DC9">
        <w:rPr>
          <w:lang w:val="es-419"/>
        </w:rPr>
        <w:t>El documento TGP/10/2 </w:t>
      </w:r>
      <w:proofErr w:type="spellStart"/>
      <w:r w:rsidRPr="00D40DC9">
        <w:rPr>
          <w:lang w:val="es-419"/>
        </w:rPr>
        <w:t>Draft</w:t>
      </w:r>
      <w:proofErr w:type="spellEnd"/>
      <w:r w:rsidRPr="00D40DC9">
        <w:rPr>
          <w:lang w:val="es-419"/>
        </w:rPr>
        <w:t> 1 incorpora las enmiendas acordadas por el TC, expuestas en el Anexo III del</w:t>
      </w:r>
      <w:r w:rsidR="00C375D8" w:rsidRPr="00D40DC9">
        <w:rPr>
          <w:lang w:val="es-419"/>
        </w:rPr>
        <w:t> </w:t>
      </w:r>
      <w:r w:rsidRPr="00D40DC9">
        <w:rPr>
          <w:lang w:val="es-419"/>
        </w:rPr>
        <w:t>presente documento, y los cambios lingüísticos efectuados por los respectivos miembros del</w:t>
      </w:r>
      <w:r w:rsidR="00C375D8" w:rsidRPr="00D40DC9">
        <w:rPr>
          <w:lang w:val="es-419"/>
        </w:rPr>
        <w:t> </w:t>
      </w:r>
      <w:r w:rsidRPr="00D40DC9">
        <w:rPr>
          <w:lang w:val="es-419"/>
        </w:rPr>
        <w:t>Comité</w:t>
      </w:r>
      <w:r w:rsidR="00C375D8" w:rsidRPr="00D40DC9">
        <w:rPr>
          <w:lang w:val="es-419"/>
        </w:rPr>
        <w:t> </w:t>
      </w:r>
      <w:r w:rsidRPr="00D40DC9">
        <w:rPr>
          <w:lang w:val="es-419"/>
        </w:rPr>
        <w:t>de</w:t>
      </w:r>
      <w:r w:rsidR="00C375D8" w:rsidRPr="00D40DC9">
        <w:rPr>
          <w:lang w:val="es-419"/>
        </w:rPr>
        <w:t> </w:t>
      </w:r>
      <w:r w:rsidRPr="00D40DC9">
        <w:rPr>
          <w:lang w:val="es-419"/>
        </w:rPr>
        <w:t>Redacción.</w:t>
      </w:r>
    </w:p>
    <w:p w14:paraId="18D66B38" w14:textId="77777777" w:rsidR="0044336B" w:rsidRPr="00D40DC9" w:rsidRDefault="0044336B" w:rsidP="0044336B">
      <w:pPr>
        <w:rPr>
          <w:bCs/>
          <w:snapToGrid w:val="0"/>
          <w:szCs w:val="24"/>
          <w:lang w:val="es-419"/>
        </w:rPr>
      </w:pPr>
    </w:p>
    <w:p w14:paraId="74DBF94A" w14:textId="77777777" w:rsidR="0044336B" w:rsidRPr="00D40DC9" w:rsidRDefault="0044336B" w:rsidP="00DD1532">
      <w:pPr>
        <w:pStyle w:val="DecisionParagraphs"/>
        <w:keepNext/>
        <w:keepLines/>
        <w:rPr>
          <w:lang w:val="es-419"/>
        </w:rPr>
      </w:pPr>
      <w:r w:rsidRPr="00D40DC9">
        <w:rPr>
          <w:lang w:val="es-419"/>
        </w:rPr>
        <w:lastRenderedPageBreak/>
        <w:fldChar w:fldCharType="begin"/>
      </w:r>
      <w:r w:rsidRPr="00D40DC9">
        <w:rPr>
          <w:lang w:val="es-419"/>
        </w:rPr>
        <w:instrText xml:space="preserve"> AUTONUM  </w:instrText>
      </w:r>
      <w:r w:rsidRPr="00D40DC9">
        <w:rPr>
          <w:lang w:val="es-419"/>
        </w:rPr>
        <w:fldChar w:fldCharType="end"/>
      </w:r>
      <w:r w:rsidRPr="00D40DC9">
        <w:rPr>
          <w:lang w:val="es-419"/>
        </w:rPr>
        <w:tab/>
        <w:t xml:space="preserve">Se invita al TC a tomar nota de que la revisión del documento TGP/10 “Examen de la homogeneidad” (documento TGP/10/1) se someterá a la aprobación del Consejo, en su quincuagésima tercera sesión ordinaria, a reserva de la aprobación del CAJ en su septuagésima sexta sesión, sobre la base del documento TGP/10/2 </w:t>
      </w:r>
      <w:proofErr w:type="spellStart"/>
      <w:r w:rsidRPr="00D40DC9">
        <w:rPr>
          <w:lang w:val="es-419"/>
        </w:rPr>
        <w:t>Draft</w:t>
      </w:r>
      <w:proofErr w:type="spellEnd"/>
      <w:r w:rsidRPr="00D40DC9">
        <w:rPr>
          <w:lang w:val="es-419"/>
        </w:rPr>
        <w:t xml:space="preserve"> 1. </w:t>
      </w:r>
    </w:p>
    <w:p w14:paraId="73840838" w14:textId="77777777" w:rsidR="002D1193" w:rsidRPr="00D40DC9" w:rsidRDefault="002D1193" w:rsidP="0044336B">
      <w:pPr>
        <w:rPr>
          <w:lang w:val="es-419"/>
        </w:rPr>
      </w:pPr>
    </w:p>
    <w:p w14:paraId="2B3C5444" w14:textId="77777777" w:rsidR="002D1193" w:rsidRPr="00D40DC9" w:rsidRDefault="002D1193" w:rsidP="0044336B">
      <w:pPr>
        <w:rPr>
          <w:lang w:val="es-419"/>
        </w:rPr>
      </w:pPr>
    </w:p>
    <w:p w14:paraId="44797B5C" w14:textId="0CCECF49" w:rsidR="0044336B" w:rsidRPr="00D40DC9" w:rsidRDefault="0044336B" w:rsidP="0044336B">
      <w:pPr>
        <w:keepNext/>
        <w:outlineLvl w:val="1"/>
        <w:rPr>
          <w:u w:val="single"/>
          <w:lang w:val="es-419"/>
        </w:rPr>
      </w:pPr>
      <w:bookmarkStart w:id="30" w:name="_Toc519608632"/>
      <w:bookmarkStart w:id="31" w:name="_Toc15566520"/>
      <w:bookmarkStart w:id="32" w:name="_Toc20508517"/>
      <w:bookmarkStart w:id="33" w:name="_Toc22129397"/>
      <w:r w:rsidRPr="00D40DC9">
        <w:rPr>
          <w:u w:val="single"/>
          <w:lang w:val="es-419"/>
        </w:rPr>
        <w:t>Documento TGP/14: Glosario de términos utilizados en los documentos</w:t>
      </w:r>
      <w:bookmarkEnd w:id="30"/>
      <w:r w:rsidRPr="00D40DC9">
        <w:rPr>
          <w:u w:val="single"/>
          <w:lang w:val="es-419"/>
        </w:rPr>
        <w:t xml:space="preserve"> de la UPOV (documento TGP/14/4</w:t>
      </w:r>
      <w:r w:rsidR="00B04CEA" w:rsidRPr="00D40DC9">
        <w:rPr>
          <w:u w:val="single"/>
          <w:lang w:val="es-419"/>
        </w:rPr>
        <w:t> </w:t>
      </w:r>
      <w:proofErr w:type="spellStart"/>
      <w:r w:rsidRPr="00D40DC9">
        <w:rPr>
          <w:u w:val="single"/>
          <w:lang w:val="es-419"/>
        </w:rPr>
        <w:t>Draft</w:t>
      </w:r>
      <w:proofErr w:type="spellEnd"/>
      <w:r w:rsidRPr="00D40DC9">
        <w:rPr>
          <w:u w:val="single"/>
          <w:lang w:val="es-419"/>
        </w:rPr>
        <w:t> 1)</w:t>
      </w:r>
      <w:bookmarkEnd w:id="31"/>
      <w:bookmarkEnd w:id="32"/>
      <w:bookmarkEnd w:id="33"/>
    </w:p>
    <w:p w14:paraId="037E5D48" w14:textId="77777777" w:rsidR="0044336B" w:rsidRPr="00D40DC9" w:rsidRDefault="0044336B" w:rsidP="0044336B">
      <w:pPr>
        <w:rPr>
          <w:i/>
          <w:lang w:val="es-419"/>
        </w:rPr>
      </w:pPr>
    </w:p>
    <w:p w14:paraId="21CD3301" w14:textId="77777777" w:rsidR="0044336B" w:rsidRPr="00D40DC9" w:rsidRDefault="0044336B" w:rsidP="0044336B">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En su quincuagésima tercera sesión, el TC convino en revisar el documento TGP/14: sección 2: subsección 2: “Formas y estructuras”, para modificar el cuadro de la variante 2 del ejemplo 5, según se expone en el Anexo IV del presente documento (véase el párrafo 141 del documento TC/53/31 “Informe”)</w:t>
      </w:r>
    </w:p>
    <w:p w14:paraId="582A6868" w14:textId="77777777" w:rsidR="0044336B" w:rsidRPr="00D40DC9" w:rsidRDefault="0044336B" w:rsidP="0044336B">
      <w:pPr>
        <w:keepNext/>
        <w:outlineLvl w:val="2"/>
        <w:rPr>
          <w:rFonts w:eastAsia="MS Mincho"/>
          <w:i/>
          <w:lang w:val="es-419"/>
        </w:rPr>
      </w:pPr>
    </w:p>
    <w:p w14:paraId="6DF43CB7" w14:textId="68BDA846" w:rsidR="0044336B" w:rsidRPr="00D40DC9" w:rsidRDefault="0044336B" w:rsidP="0044336B">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En su quincuagésima cuarta sesión, el TC respaldó las propuestas de revisión del documento TGP/14 “Glosario de términos utilizados en los documentos de la UPOV” para incluir una orientación sobre los factores que se han de tener en cuenta al crear grupos de color a efectos de agrupar variedades y organizar el ensayo en cultivo (véase el documento </w:t>
      </w:r>
      <w:hyperlink r:id="rId13">
        <w:r w:rsidR="000F3A66">
          <w:rPr>
            <w:lang w:val="es-419"/>
          </w:rPr>
          <w:t>TC/54/31</w:t>
        </w:r>
      </w:hyperlink>
      <w:r w:rsidRPr="00D40DC9">
        <w:rPr>
          <w:lang w:val="es-419"/>
        </w:rPr>
        <w:t xml:space="preserve"> “Informe”, párrafo 244).</w:t>
      </w:r>
      <w:r w:rsidR="007D241B" w:rsidRPr="00D40DC9">
        <w:rPr>
          <w:lang w:val="es-419"/>
        </w:rPr>
        <w:t xml:space="preserve"> </w:t>
      </w:r>
    </w:p>
    <w:p w14:paraId="4DCA17A4" w14:textId="77777777" w:rsidR="0044336B" w:rsidRPr="00D40DC9" w:rsidRDefault="0044336B" w:rsidP="0044336B">
      <w:pPr>
        <w:rPr>
          <w:lang w:val="es-419"/>
        </w:rPr>
      </w:pPr>
    </w:p>
    <w:p w14:paraId="5CF9BC6D" w14:textId="4349CDF2" w:rsidR="0044336B" w:rsidRPr="00D40DC9" w:rsidRDefault="0044336B" w:rsidP="0044336B">
      <w:pPr>
        <w:rPr>
          <w:spacing w:val="-2"/>
          <w:lang w:val="es-419"/>
        </w:rPr>
      </w:pPr>
      <w:r w:rsidRPr="00D40DC9">
        <w:rPr>
          <w:spacing w:val="-2"/>
          <w:lang w:val="es-419"/>
        </w:rPr>
        <w:fldChar w:fldCharType="begin"/>
      </w:r>
      <w:r w:rsidRPr="00D40DC9">
        <w:rPr>
          <w:spacing w:val="-2"/>
          <w:lang w:val="es-419"/>
        </w:rPr>
        <w:instrText xml:space="preserve"> AUTONUM  </w:instrText>
      </w:r>
      <w:r w:rsidRPr="00D40DC9">
        <w:rPr>
          <w:spacing w:val="-2"/>
          <w:lang w:val="es-419"/>
        </w:rPr>
        <w:fldChar w:fldCharType="end"/>
      </w:r>
      <w:r w:rsidRPr="00D40DC9">
        <w:rPr>
          <w:lang w:val="es-419"/>
        </w:rPr>
        <w:tab/>
        <w:t>Con arreglo a lo anterior, el TC convino en que la revisión del documento TGP/14/3 (documento TGP/14/4 </w:t>
      </w:r>
      <w:proofErr w:type="spellStart"/>
      <w:r w:rsidRPr="00D40DC9">
        <w:rPr>
          <w:lang w:val="es-419"/>
        </w:rPr>
        <w:t>Draft</w:t>
      </w:r>
      <w:proofErr w:type="spellEnd"/>
      <w:r w:rsidRPr="00D40DC9">
        <w:rPr>
          <w:lang w:val="es-419"/>
        </w:rPr>
        <w:t> 1) se someta a la aprobación del Consejo en su quincuagésima tercera sesión ordinaria, a reserva de la aprobación del CAJ en su septuagésima sexta sesión.</w:t>
      </w:r>
      <w:r w:rsidR="007D241B" w:rsidRPr="00D40DC9">
        <w:rPr>
          <w:lang w:val="es-419"/>
        </w:rPr>
        <w:t xml:space="preserve"> </w:t>
      </w:r>
    </w:p>
    <w:p w14:paraId="73BE973B" w14:textId="77777777" w:rsidR="0044336B" w:rsidRPr="00D40DC9" w:rsidRDefault="0044336B" w:rsidP="0044336B">
      <w:pPr>
        <w:rPr>
          <w:spacing w:val="-2"/>
          <w:lang w:val="es-419"/>
        </w:rPr>
      </w:pPr>
    </w:p>
    <w:p w14:paraId="71BCB960" w14:textId="0BE4CCEB" w:rsidR="0044336B" w:rsidRPr="00D40DC9" w:rsidRDefault="0044336B" w:rsidP="0044336B">
      <w:pPr>
        <w:rPr>
          <w:bCs/>
          <w:snapToGrid w:val="0"/>
          <w:szCs w:val="24"/>
          <w:lang w:val="es-419"/>
        </w:rPr>
      </w:pPr>
      <w:r w:rsidRPr="00D40DC9">
        <w:rPr>
          <w:spacing w:val="-2"/>
          <w:lang w:val="es-419"/>
        </w:rPr>
        <w:fldChar w:fldCharType="begin"/>
      </w:r>
      <w:r w:rsidRPr="00D40DC9">
        <w:rPr>
          <w:spacing w:val="-2"/>
          <w:lang w:val="es-419"/>
        </w:rPr>
        <w:instrText xml:space="preserve"> AUTONUM  </w:instrText>
      </w:r>
      <w:r w:rsidRPr="00D40DC9">
        <w:rPr>
          <w:spacing w:val="-2"/>
          <w:lang w:val="es-419"/>
        </w:rPr>
        <w:fldChar w:fldCharType="end"/>
      </w:r>
      <w:r w:rsidRPr="00D40DC9">
        <w:rPr>
          <w:lang w:val="es-419"/>
        </w:rPr>
        <w:tab/>
        <w:t>Los respectivos miembros del Comité de Redacción han revisado las traducciones al alemán, español y francés del texto original en inglés antes de que se presente al Consejo el proyecto de documento TGP/14/4.</w:t>
      </w:r>
      <w:r w:rsidR="007D241B" w:rsidRPr="00D40DC9">
        <w:rPr>
          <w:lang w:val="es-419"/>
        </w:rPr>
        <w:t xml:space="preserve"> </w:t>
      </w:r>
      <w:r w:rsidRPr="00D40DC9">
        <w:rPr>
          <w:lang w:val="es-419"/>
        </w:rPr>
        <w:t>El documento TGP/14/4 </w:t>
      </w:r>
      <w:proofErr w:type="spellStart"/>
      <w:r w:rsidRPr="00D40DC9">
        <w:rPr>
          <w:lang w:val="es-419"/>
        </w:rPr>
        <w:t>Draft</w:t>
      </w:r>
      <w:proofErr w:type="spellEnd"/>
      <w:r w:rsidRPr="00D40DC9">
        <w:rPr>
          <w:lang w:val="es-419"/>
        </w:rPr>
        <w:t> 1 incorpora las enmiendas acordadas por el TC, expuestas en el Anexo IV del presente documento, y los cambios lingüísticos efectuados por los respectivos miembros del Comité de</w:t>
      </w:r>
      <w:r w:rsidR="00B04CEA" w:rsidRPr="00D40DC9">
        <w:rPr>
          <w:lang w:val="es-419"/>
        </w:rPr>
        <w:t> </w:t>
      </w:r>
      <w:r w:rsidRPr="00D40DC9">
        <w:rPr>
          <w:lang w:val="es-419"/>
        </w:rPr>
        <w:t>Redacción.</w:t>
      </w:r>
    </w:p>
    <w:p w14:paraId="70209D52" w14:textId="77777777" w:rsidR="0044336B" w:rsidRPr="00D40DC9" w:rsidRDefault="0044336B" w:rsidP="0044336B">
      <w:pPr>
        <w:rPr>
          <w:lang w:val="es-419"/>
        </w:rPr>
      </w:pPr>
    </w:p>
    <w:p w14:paraId="2E403FF6" w14:textId="77777777" w:rsidR="0044336B" w:rsidRPr="00D40DC9" w:rsidRDefault="0044336B" w:rsidP="00A35379">
      <w:pPr>
        <w:pStyle w:val="DecisionParagraphs"/>
        <w:keepLines/>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Se invita al TC a tomar nota de que la revisión del documento TGP/14 “Glosario de términos utilizados en los documentos de la UPOV” (documento TGP/14/3) se someterá a la aprobación del Consejo, en su quincuagésima tercera sesión ordinaria, a reserva de la aprobación del CAJ en su septuagésima sexta sesión, sobre la base del documento TGP/14/4 </w:t>
      </w:r>
      <w:proofErr w:type="spellStart"/>
      <w:r w:rsidRPr="00D40DC9">
        <w:rPr>
          <w:lang w:val="es-419"/>
        </w:rPr>
        <w:t>Draft</w:t>
      </w:r>
      <w:proofErr w:type="spellEnd"/>
      <w:r w:rsidRPr="00D40DC9">
        <w:rPr>
          <w:lang w:val="es-419"/>
        </w:rPr>
        <w:t> 1.</w:t>
      </w:r>
    </w:p>
    <w:p w14:paraId="71E28CDE" w14:textId="77777777" w:rsidR="0044336B" w:rsidRPr="00D40DC9" w:rsidRDefault="0044336B" w:rsidP="0044336B">
      <w:pPr>
        <w:rPr>
          <w:lang w:val="es-419"/>
        </w:rPr>
      </w:pPr>
    </w:p>
    <w:p w14:paraId="1B430BF3" w14:textId="77777777" w:rsidR="0044336B" w:rsidRPr="00D40DC9" w:rsidRDefault="0044336B" w:rsidP="0044336B">
      <w:pPr>
        <w:rPr>
          <w:lang w:val="es-419"/>
        </w:rPr>
      </w:pPr>
    </w:p>
    <w:p w14:paraId="762E20F2" w14:textId="002B88AE" w:rsidR="0044336B" w:rsidRPr="00D40DC9" w:rsidRDefault="0044336B" w:rsidP="0044336B">
      <w:pPr>
        <w:pStyle w:val="Heading2"/>
        <w:rPr>
          <w:lang w:val="es-419"/>
        </w:rPr>
      </w:pPr>
      <w:bookmarkStart w:id="34" w:name="_Toc15566521"/>
      <w:bookmarkStart w:id="35" w:name="_Toc20508518"/>
      <w:bookmarkStart w:id="36" w:name="_Toc22129398"/>
      <w:r w:rsidRPr="00D40DC9">
        <w:rPr>
          <w:lang w:val="es-419"/>
        </w:rPr>
        <w:t>Documento TGP/15/1</w:t>
      </w:r>
      <w:r w:rsidR="00235198" w:rsidRPr="00D40DC9">
        <w:rPr>
          <w:caps/>
          <w:lang w:val="es-419"/>
        </w:rPr>
        <w:t xml:space="preserve">: </w:t>
      </w:r>
      <w:r w:rsidRPr="00D40DC9">
        <w:rPr>
          <w:lang w:val="es-419"/>
        </w:rPr>
        <w:t>Orientación sobre el uso de marcadores bioquímicos y moleculares en el examen de la distinción, la homogeneidad y la estabilidad (DHE) (revisión) (documento TGP/15/2 </w:t>
      </w:r>
      <w:proofErr w:type="spellStart"/>
      <w:r w:rsidRPr="00D40DC9">
        <w:rPr>
          <w:lang w:val="es-419"/>
        </w:rPr>
        <w:t>Draft</w:t>
      </w:r>
      <w:proofErr w:type="spellEnd"/>
      <w:r w:rsidRPr="00D40DC9">
        <w:rPr>
          <w:lang w:val="es-419"/>
        </w:rPr>
        <w:t> 2)</w:t>
      </w:r>
      <w:bookmarkEnd w:id="34"/>
      <w:bookmarkEnd w:id="35"/>
      <w:bookmarkEnd w:id="36"/>
      <w:r w:rsidRPr="00D40DC9">
        <w:rPr>
          <w:lang w:val="es-419"/>
        </w:rPr>
        <w:t xml:space="preserve"> </w:t>
      </w:r>
    </w:p>
    <w:p w14:paraId="62B2E28B" w14:textId="77777777" w:rsidR="0044336B" w:rsidRPr="00D40DC9" w:rsidRDefault="0044336B" w:rsidP="0044336B">
      <w:pPr>
        <w:ind w:left="567" w:hanging="567"/>
        <w:rPr>
          <w:rFonts w:cs="Arial"/>
          <w:lang w:val="es-419"/>
        </w:rPr>
      </w:pPr>
    </w:p>
    <w:p w14:paraId="03A9C771" w14:textId="48D2288A" w:rsidR="0044336B" w:rsidRPr="00D40DC9" w:rsidRDefault="0044336B" w:rsidP="0044336B">
      <w:pPr>
        <w:rPr>
          <w:lang w:val="es-419"/>
        </w:rPr>
      </w:pPr>
      <w:r w:rsidRPr="00D40DC9">
        <w:rPr>
          <w:rFonts w:cs="Arial"/>
          <w:lang w:val="es-419"/>
        </w:rPr>
        <w:fldChar w:fldCharType="begin"/>
      </w:r>
      <w:r w:rsidRPr="00D40DC9">
        <w:rPr>
          <w:rFonts w:cs="Arial"/>
          <w:lang w:val="es-419"/>
        </w:rPr>
        <w:instrText xml:space="preserve"> AUTONUM  </w:instrText>
      </w:r>
      <w:r w:rsidRPr="00D40DC9">
        <w:rPr>
          <w:rFonts w:cs="Arial"/>
          <w:lang w:val="es-419"/>
        </w:rPr>
        <w:fldChar w:fldCharType="end"/>
      </w:r>
      <w:r w:rsidRPr="00D40DC9">
        <w:rPr>
          <w:lang w:val="es-419"/>
        </w:rPr>
        <w:tab/>
        <w:t xml:space="preserve">En su quincuagésima cuarta sesión, el TC convino en que el texto siguiente del documento UPOV/INF/18/1 “Posible utilización de marcadores moleculares en el examen de la distinción, la homogeneidad y la estabilidad (DHE)” </w:t>
      </w:r>
      <w:r w:rsidR="005559A4" w:rsidRPr="00D40DC9">
        <w:rPr>
          <w:lang w:val="es-419"/>
        </w:rPr>
        <w:t xml:space="preserve">se ha de introducir </w:t>
      </w:r>
      <w:r w:rsidRPr="00D40DC9">
        <w:rPr>
          <w:lang w:val="es-419"/>
        </w:rPr>
        <w:t>en el documento TGP/15 “Orientación sobre el uso de marcadores bioquímicos y moleculares en el examen de la distinción, la homogeneidad y la estabilidad (DHE)” para aclarar que es responsabilidad de la autoridad determinar la fiabilidad del vínculo entre el gen y la expresión del carácter (véase el documento </w:t>
      </w:r>
      <w:hyperlink r:id="rId14">
        <w:r w:rsidR="000F3A66">
          <w:rPr>
            <w:lang w:val="es-419"/>
          </w:rPr>
          <w:t>TC/54/31</w:t>
        </w:r>
      </w:hyperlink>
      <w:r w:rsidRPr="00D40DC9">
        <w:rPr>
          <w:lang w:val="es-419"/>
        </w:rPr>
        <w:t xml:space="preserve"> “Informe”, párrafos 272 y 273):</w:t>
      </w:r>
    </w:p>
    <w:p w14:paraId="2354DE78" w14:textId="77777777" w:rsidR="0044336B" w:rsidRPr="00D40DC9" w:rsidRDefault="0044336B" w:rsidP="0044336B">
      <w:pPr>
        <w:rPr>
          <w:rFonts w:cs="Arial"/>
          <w:lang w:val="es-419"/>
        </w:rPr>
      </w:pPr>
    </w:p>
    <w:p w14:paraId="09E75FB7" w14:textId="77777777" w:rsidR="0044336B" w:rsidRPr="00D40DC9" w:rsidRDefault="0044336B" w:rsidP="0044336B">
      <w:pPr>
        <w:autoSpaceDE w:val="0"/>
        <w:autoSpaceDN w:val="0"/>
        <w:adjustRightInd w:val="0"/>
        <w:ind w:left="567" w:right="567"/>
        <w:rPr>
          <w:sz w:val="18"/>
          <w:lang w:val="es-419"/>
        </w:rPr>
      </w:pPr>
      <w:r w:rsidRPr="00D40DC9">
        <w:rPr>
          <w:sz w:val="18"/>
          <w:lang w:val="es-419"/>
        </w:rPr>
        <w:t>“3.1.4</w:t>
      </w:r>
      <w:r w:rsidRPr="00D40DC9">
        <w:rPr>
          <w:lang w:val="es-419"/>
        </w:rPr>
        <w:tab/>
      </w:r>
      <w:r w:rsidRPr="00D40DC9">
        <w:rPr>
          <w:sz w:val="18"/>
          <w:lang w:val="es-419"/>
        </w:rPr>
        <w:t xml:space="preserve">Al examinar el modelo y el ejemplo que figuran en el Anexo 1 del presente documento, el TC subrayó la importancia del cumplimiento de las premisas. A este respecto, aclaró que incumbe a la autoridad competente determinar si se han cumplido las premisas (véase el párrafo 152 del documento TC/45/16 “Informe”).” </w:t>
      </w:r>
    </w:p>
    <w:p w14:paraId="0C4F92DA" w14:textId="77777777" w:rsidR="0044336B" w:rsidRPr="00D40DC9" w:rsidRDefault="0044336B" w:rsidP="0044336B">
      <w:pPr>
        <w:pStyle w:val="EndnoteText"/>
        <w:rPr>
          <w:lang w:val="es-419"/>
        </w:rPr>
      </w:pPr>
    </w:p>
    <w:p w14:paraId="63C15E7B" w14:textId="77777777" w:rsidR="0044336B" w:rsidRPr="00D40DC9" w:rsidRDefault="0044336B" w:rsidP="0044336B">
      <w:pPr>
        <w:rPr>
          <w:lang w:val="es-419"/>
        </w:rPr>
      </w:pPr>
      <w:r w:rsidRPr="00D40DC9">
        <w:rPr>
          <w:rFonts w:cs="Arial"/>
          <w:lang w:val="es-419"/>
        </w:rPr>
        <w:fldChar w:fldCharType="begin"/>
      </w:r>
      <w:r w:rsidRPr="00D40DC9">
        <w:rPr>
          <w:rFonts w:cs="Arial"/>
          <w:lang w:val="es-419"/>
        </w:rPr>
        <w:instrText xml:space="preserve"> AUTONUM  </w:instrText>
      </w:r>
      <w:r w:rsidRPr="00D40DC9">
        <w:rPr>
          <w:rFonts w:cs="Arial"/>
          <w:lang w:val="es-419"/>
        </w:rPr>
        <w:fldChar w:fldCharType="end"/>
      </w:r>
      <w:r w:rsidRPr="00D40DC9">
        <w:rPr>
          <w:lang w:val="es-419"/>
        </w:rPr>
        <w:tab/>
        <w:t>En su quincuagésima cuarta sesión, el TC examinó la propuesta del BMT y convino en incluir en el documento TGP/15 la explicación de que incumbe al correspondiente TWP y el TC determinar si se cumple el criterio de fiabilidad del vínculo entre el gen y la expresión del carácter para añadir un método en las directrices de examen.</w:t>
      </w:r>
    </w:p>
    <w:p w14:paraId="0C5271BF" w14:textId="77777777" w:rsidR="0044336B" w:rsidRPr="00D40DC9" w:rsidRDefault="0044336B" w:rsidP="0044336B">
      <w:pPr>
        <w:rPr>
          <w:lang w:val="es-419"/>
        </w:rPr>
      </w:pPr>
    </w:p>
    <w:p w14:paraId="51E276CA" w14:textId="30786ADA" w:rsidR="0044336B" w:rsidRPr="00D40DC9" w:rsidRDefault="0044336B" w:rsidP="0044336B">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En su quincuagésima cuarta sesión, el TC convino también en incluir un nuevo modelo denominado “Selección genética de variedades similares para el primer ciclo de cultivo. Ejemplo: la judía común” en el documento TGP/15 para el uso de marcadores bioquímicos y moleculares en el examen de la distinción, la </w:t>
      </w:r>
      <w:r w:rsidRPr="00D40DC9">
        <w:rPr>
          <w:lang w:val="es-419"/>
        </w:rPr>
        <w:lastRenderedPageBreak/>
        <w:t xml:space="preserve">homogeneidad y la estabilidad (DHE), sobre la base del documento TGP/15/2 </w:t>
      </w:r>
      <w:proofErr w:type="spellStart"/>
      <w:r w:rsidRPr="00D40DC9">
        <w:rPr>
          <w:lang w:val="es-419"/>
        </w:rPr>
        <w:t>Draft</w:t>
      </w:r>
      <w:proofErr w:type="spellEnd"/>
      <w:r w:rsidRPr="00D40DC9">
        <w:rPr>
          <w:lang w:val="es-419"/>
        </w:rPr>
        <w:t xml:space="preserve"> 1, revisado por el TC</w:t>
      </w:r>
      <w:r w:rsidRPr="00D40DC9">
        <w:rPr>
          <w:lang w:val="es-419"/>
        </w:rPr>
        <w:noBreakHyphen/>
        <w:t>EDC, que figura en el Anexo III del documento </w:t>
      </w:r>
      <w:r w:rsidR="000F3A66">
        <w:rPr>
          <w:lang w:val="es-419"/>
        </w:rPr>
        <w:t>TC/54/31</w:t>
      </w:r>
      <w:r w:rsidRPr="00D40DC9">
        <w:rPr>
          <w:lang w:val="es-419"/>
        </w:rPr>
        <w:t xml:space="preserve"> “Informe” (véa</w:t>
      </w:r>
      <w:r w:rsidR="00BE4680" w:rsidRPr="00D40DC9">
        <w:rPr>
          <w:lang w:val="es-419"/>
        </w:rPr>
        <w:t>n</w:t>
      </w:r>
      <w:r w:rsidRPr="00D40DC9">
        <w:rPr>
          <w:lang w:val="es-419"/>
        </w:rPr>
        <w:t xml:space="preserve">se </w:t>
      </w:r>
      <w:r w:rsidR="00BE4680" w:rsidRPr="00D40DC9">
        <w:rPr>
          <w:lang w:val="es-419"/>
        </w:rPr>
        <w:t>los párrafos 290 y 291 d</w:t>
      </w:r>
      <w:r w:rsidRPr="00D40DC9">
        <w:rPr>
          <w:lang w:val="es-419"/>
        </w:rPr>
        <w:t>el documento </w:t>
      </w:r>
      <w:r w:rsidR="000F3A66">
        <w:rPr>
          <w:lang w:val="es-419"/>
        </w:rPr>
        <w:t>TC/54/31</w:t>
      </w:r>
      <w:r w:rsidRPr="00D40DC9">
        <w:rPr>
          <w:lang w:val="es-419"/>
        </w:rPr>
        <w:t xml:space="preserve"> “Informe”).</w:t>
      </w:r>
    </w:p>
    <w:p w14:paraId="77F40B61" w14:textId="77777777" w:rsidR="0044336B" w:rsidRPr="00D40DC9" w:rsidRDefault="0044336B" w:rsidP="0044336B">
      <w:pPr>
        <w:rPr>
          <w:lang w:val="es-419"/>
        </w:rPr>
      </w:pPr>
    </w:p>
    <w:p w14:paraId="68658CEF" w14:textId="77777777" w:rsidR="0044336B" w:rsidRPr="00D40DC9" w:rsidRDefault="0044336B" w:rsidP="0044336B">
      <w:pPr>
        <w:rPr>
          <w:spacing w:val="-2"/>
          <w:lang w:val="es-419"/>
        </w:rPr>
      </w:pPr>
      <w:r w:rsidRPr="00D40DC9">
        <w:rPr>
          <w:spacing w:val="-2"/>
          <w:lang w:val="es-419"/>
        </w:rPr>
        <w:fldChar w:fldCharType="begin"/>
      </w:r>
      <w:r w:rsidRPr="00D40DC9">
        <w:rPr>
          <w:spacing w:val="-2"/>
          <w:lang w:val="es-419"/>
        </w:rPr>
        <w:instrText xml:space="preserve"> AUTONUM  </w:instrText>
      </w:r>
      <w:r w:rsidRPr="00D40DC9">
        <w:rPr>
          <w:spacing w:val="-2"/>
          <w:lang w:val="es-419"/>
        </w:rPr>
        <w:fldChar w:fldCharType="end"/>
      </w:r>
      <w:r w:rsidRPr="00D40DC9">
        <w:rPr>
          <w:lang w:val="es-419"/>
        </w:rPr>
        <w:tab/>
        <w:t>Con arreglo a lo anterior, el TC convino en que la revisión del documento TGP/15/1 (documento TGP/15/2 </w:t>
      </w:r>
      <w:proofErr w:type="spellStart"/>
      <w:r w:rsidRPr="00D40DC9">
        <w:rPr>
          <w:lang w:val="es-419"/>
        </w:rPr>
        <w:t>Draft</w:t>
      </w:r>
      <w:proofErr w:type="spellEnd"/>
      <w:r w:rsidRPr="00D40DC9">
        <w:rPr>
          <w:lang w:val="es-419"/>
        </w:rPr>
        <w:t> 2) se someta a la aprobación del Consejo en su quincuagésima tercera sesión ordinaria, a reserva de la aprobación del CAJ en su septuagésima sexta sesión.</w:t>
      </w:r>
    </w:p>
    <w:p w14:paraId="1ADCA10A" w14:textId="77777777" w:rsidR="0044336B" w:rsidRPr="00D40DC9" w:rsidRDefault="0044336B" w:rsidP="0044336B">
      <w:pPr>
        <w:rPr>
          <w:spacing w:val="-2"/>
          <w:lang w:val="es-419"/>
        </w:rPr>
      </w:pPr>
    </w:p>
    <w:p w14:paraId="1D1ACBE9" w14:textId="0B780831" w:rsidR="0044336B" w:rsidRPr="00D40DC9" w:rsidRDefault="0044336B" w:rsidP="0044336B">
      <w:pPr>
        <w:rPr>
          <w:bCs/>
          <w:snapToGrid w:val="0"/>
          <w:szCs w:val="24"/>
          <w:lang w:val="es-419"/>
        </w:rPr>
      </w:pPr>
      <w:r w:rsidRPr="00D40DC9">
        <w:rPr>
          <w:spacing w:val="-2"/>
          <w:lang w:val="es-419"/>
        </w:rPr>
        <w:fldChar w:fldCharType="begin"/>
      </w:r>
      <w:r w:rsidRPr="00D40DC9">
        <w:rPr>
          <w:spacing w:val="-2"/>
          <w:lang w:val="es-419"/>
        </w:rPr>
        <w:instrText xml:space="preserve"> AUTONUM  </w:instrText>
      </w:r>
      <w:r w:rsidRPr="00D40DC9">
        <w:rPr>
          <w:spacing w:val="-2"/>
          <w:lang w:val="es-419"/>
        </w:rPr>
        <w:fldChar w:fldCharType="end"/>
      </w:r>
      <w:r w:rsidRPr="00D40DC9">
        <w:rPr>
          <w:lang w:val="es-419"/>
        </w:rPr>
        <w:tab/>
        <w:t>Los respectivos miembros del Comité de Redacción han revisado las traducciones al alemán, español y francés del texto original en inglés antes de que se presente al Consejo el proyecto de documento TGP/15/2.</w:t>
      </w:r>
      <w:r w:rsidR="007D241B" w:rsidRPr="00D40DC9">
        <w:rPr>
          <w:lang w:val="es-419"/>
        </w:rPr>
        <w:t xml:space="preserve"> </w:t>
      </w:r>
      <w:r w:rsidRPr="00D40DC9">
        <w:rPr>
          <w:lang w:val="es-419"/>
        </w:rPr>
        <w:t>El documento TGP/15/2 </w:t>
      </w:r>
      <w:proofErr w:type="spellStart"/>
      <w:r w:rsidRPr="00D40DC9">
        <w:rPr>
          <w:lang w:val="es-419"/>
        </w:rPr>
        <w:t>Draft</w:t>
      </w:r>
      <w:proofErr w:type="spellEnd"/>
      <w:r w:rsidRPr="00D40DC9">
        <w:rPr>
          <w:lang w:val="es-419"/>
        </w:rPr>
        <w:t> 2 incorpora las enmiendas acordadas por el TC, expuestas en el Anexo V del presente documento, y los cambios lingüísticos efectuados por los respectivos miembros del Comité de</w:t>
      </w:r>
      <w:r w:rsidR="00B04CEA" w:rsidRPr="00D40DC9">
        <w:rPr>
          <w:lang w:val="es-419"/>
        </w:rPr>
        <w:t> </w:t>
      </w:r>
      <w:r w:rsidRPr="00D40DC9">
        <w:rPr>
          <w:lang w:val="es-419"/>
        </w:rPr>
        <w:t>Redacción.</w:t>
      </w:r>
    </w:p>
    <w:p w14:paraId="280D63DE" w14:textId="77777777" w:rsidR="0044336B" w:rsidRPr="00D40DC9" w:rsidRDefault="0044336B" w:rsidP="0044336B">
      <w:pPr>
        <w:rPr>
          <w:lang w:val="es-419"/>
        </w:rPr>
      </w:pPr>
    </w:p>
    <w:p w14:paraId="24BCF44C" w14:textId="77777777" w:rsidR="0044336B" w:rsidRPr="00D40DC9" w:rsidRDefault="0044336B" w:rsidP="0044336B">
      <w:pPr>
        <w:pStyle w:val="DecisionParagraphs"/>
        <w:keepNext/>
        <w:keepLines/>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Se invita al TC a tomar nota de que la revisión del documento TGP/15 </w:t>
      </w:r>
      <w:r w:rsidRPr="00D40DC9">
        <w:rPr>
          <w:caps/>
          <w:lang w:val="es-419"/>
        </w:rPr>
        <w:t>“</w:t>
      </w:r>
      <w:r w:rsidRPr="00D40DC9">
        <w:rPr>
          <w:lang w:val="es-419"/>
        </w:rPr>
        <w:t>Orientación sobre el uso de marcadores bioquímicos y moleculares en el examen de la distinción, la homogeneidad y la estabilidad (DHE)” (documento TGP/15/1) se someterá a la aprobación del Consejo, en su quincuagésima tercera sesión ordinaria, a reserva de la aprobación del CAJ en su septuagésima sexta sesión, sobre la base del documento TGP/15/2 </w:t>
      </w:r>
      <w:proofErr w:type="spellStart"/>
      <w:r w:rsidRPr="00D40DC9">
        <w:rPr>
          <w:lang w:val="es-419"/>
        </w:rPr>
        <w:t>Draft</w:t>
      </w:r>
      <w:proofErr w:type="spellEnd"/>
      <w:r w:rsidRPr="00D40DC9">
        <w:rPr>
          <w:lang w:val="es-419"/>
        </w:rPr>
        <w:t xml:space="preserve"> 2. </w:t>
      </w:r>
    </w:p>
    <w:p w14:paraId="7FF4C75F" w14:textId="77777777" w:rsidR="0044336B" w:rsidRPr="00D40DC9" w:rsidRDefault="0044336B" w:rsidP="0044336B">
      <w:pPr>
        <w:tabs>
          <w:tab w:val="left" w:pos="5387"/>
        </w:tabs>
        <w:rPr>
          <w:lang w:val="es-419"/>
        </w:rPr>
      </w:pPr>
    </w:p>
    <w:p w14:paraId="6C917774" w14:textId="77777777" w:rsidR="0044336B" w:rsidRPr="00D40DC9" w:rsidRDefault="0044336B" w:rsidP="0044336B">
      <w:pPr>
        <w:tabs>
          <w:tab w:val="left" w:pos="5387"/>
        </w:tabs>
        <w:rPr>
          <w:lang w:val="es-419"/>
        </w:rPr>
      </w:pPr>
    </w:p>
    <w:p w14:paraId="23A0855E" w14:textId="04CB3E14" w:rsidR="0044336B" w:rsidRPr="00D40DC9" w:rsidRDefault="0044336B" w:rsidP="0044336B">
      <w:pPr>
        <w:pStyle w:val="Heading2"/>
        <w:rPr>
          <w:snapToGrid w:val="0"/>
          <w:lang w:val="es-419"/>
        </w:rPr>
      </w:pPr>
      <w:bookmarkStart w:id="37" w:name="_Toc15566522"/>
      <w:bookmarkStart w:id="38" w:name="_Toc20508519"/>
      <w:bookmarkStart w:id="39" w:name="_Toc22129399"/>
      <w:r w:rsidRPr="00D40DC9">
        <w:rPr>
          <w:lang w:val="es-419"/>
        </w:rPr>
        <w:t>Documento TGP/0:</w:t>
      </w:r>
      <w:r w:rsidR="007D241B" w:rsidRPr="00D40DC9">
        <w:rPr>
          <w:lang w:val="es-419"/>
        </w:rPr>
        <w:t xml:space="preserve"> </w:t>
      </w:r>
      <w:r w:rsidRPr="00D40DC9">
        <w:rPr>
          <w:lang w:val="es-419"/>
        </w:rPr>
        <w:t>Lista de documentos TGP y fechas de última publicación (revisión) (documento TGP/0/11 </w:t>
      </w:r>
      <w:proofErr w:type="spellStart"/>
      <w:r w:rsidRPr="00D40DC9">
        <w:rPr>
          <w:lang w:val="es-419"/>
        </w:rPr>
        <w:t>Draft</w:t>
      </w:r>
      <w:proofErr w:type="spellEnd"/>
      <w:r w:rsidRPr="00D40DC9">
        <w:rPr>
          <w:lang w:val="es-419"/>
        </w:rPr>
        <w:t> 1)</w:t>
      </w:r>
      <w:bookmarkEnd w:id="37"/>
      <w:bookmarkEnd w:id="38"/>
      <w:bookmarkEnd w:id="39"/>
      <w:r w:rsidRPr="00D40DC9">
        <w:rPr>
          <w:lang w:val="es-419"/>
        </w:rPr>
        <w:t xml:space="preserve"> </w:t>
      </w:r>
    </w:p>
    <w:p w14:paraId="60293419" w14:textId="77777777" w:rsidR="0044336B" w:rsidRPr="00D40DC9" w:rsidRDefault="0044336B" w:rsidP="0044336B">
      <w:pPr>
        <w:keepNext/>
        <w:rPr>
          <w:lang w:val="es-419"/>
        </w:rPr>
      </w:pPr>
    </w:p>
    <w:p w14:paraId="27C091D4" w14:textId="77777777" w:rsidR="0044336B" w:rsidRPr="00D40DC9" w:rsidRDefault="0044336B" w:rsidP="0044336B">
      <w:pPr>
        <w:keepNext/>
        <w:rPr>
          <w:rFonts w:cs="Arial"/>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Se invita al TC a tomar nota de que, junto con la aprobación de los documentos TGP revisados en la quincuagésima tercera sesión ordinaria del Consejo, se propondrá a este que apruebe la revisión del documento TGP/0 “Lista de documentos TGP y fechas de última publicación” (documento TGP/0/10) sobre la base del documento TGP/0/11 </w:t>
      </w:r>
      <w:proofErr w:type="spellStart"/>
      <w:r w:rsidRPr="00D40DC9">
        <w:rPr>
          <w:lang w:val="es-419"/>
        </w:rPr>
        <w:t>Draft</w:t>
      </w:r>
      <w:proofErr w:type="spellEnd"/>
      <w:r w:rsidRPr="00D40DC9">
        <w:rPr>
          <w:lang w:val="es-419"/>
        </w:rPr>
        <w:t> 1.</w:t>
      </w:r>
    </w:p>
    <w:p w14:paraId="21A73754" w14:textId="77777777" w:rsidR="0044336B" w:rsidRPr="00D40DC9" w:rsidRDefault="0044336B" w:rsidP="0044336B">
      <w:pPr>
        <w:rPr>
          <w:lang w:val="es-419"/>
        </w:rPr>
      </w:pPr>
    </w:p>
    <w:p w14:paraId="270245AB" w14:textId="77777777" w:rsidR="0044336B" w:rsidRPr="00D40DC9" w:rsidRDefault="0044336B" w:rsidP="0044336B">
      <w:pPr>
        <w:tabs>
          <w:tab w:val="left" w:pos="5387"/>
          <w:tab w:val="left" w:pos="5954"/>
        </w:tabs>
        <w:ind w:left="4820"/>
        <w:rPr>
          <w:lang w:val="es-419"/>
        </w:rPr>
      </w:pPr>
      <w:r w:rsidRPr="00D40DC9">
        <w:rPr>
          <w:i/>
          <w:lang w:val="es-419"/>
        </w:rPr>
        <w:fldChar w:fldCharType="begin"/>
      </w:r>
      <w:r w:rsidRPr="00D40DC9">
        <w:rPr>
          <w:i/>
          <w:lang w:val="es-419"/>
        </w:rPr>
        <w:instrText xml:space="preserve"> AUTONUM  </w:instrText>
      </w:r>
      <w:r w:rsidRPr="00D40DC9">
        <w:rPr>
          <w:i/>
          <w:lang w:val="es-419"/>
        </w:rPr>
        <w:fldChar w:fldCharType="end"/>
      </w:r>
      <w:r w:rsidRPr="00D40DC9">
        <w:rPr>
          <w:lang w:val="es-419"/>
        </w:rPr>
        <w:tab/>
      </w:r>
      <w:r w:rsidRPr="00D40DC9">
        <w:rPr>
          <w:i/>
          <w:lang w:val="es-419"/>
        </w:rPr>
        <w:t>Se invita al TC a tomar nota de que, junto con la aprobación de los documentos TGP revisados en la quincuagésima tercera sesión ordinaria del Consejo, se propondrá a este que apruebe la revisión del documento TGP/0 “Lista de documentos TGP y fechas de última publicación” (documento TGP/0/10) sobre la base del documento TGP/0/11 </w:t>
      </w:r>
      <w:proofErr w:type="spellStart"/>
      <w:r w:rsidRPr="00D40DC9">
        <w:rPr>
          <w:i/>
          <w:lang w:val="es-419"/>
        </w:rPr>
        <w:t>Draft</w:t>
      </w:r>
      <w:proofErr w:type="spellEnd"/>
      <w:r w:rsidRPr="00D40DC9">
        <w:rPr>
          <w:i/>
          <w:lang w:val="es-419"/>
        </w:rPr>
        <w:t> 1.</w:t>
      </w:r>
      <w:r w:rsidRPr="00D40DC9">
        <w:rPr>
          <w:lang w:val="es-419"/>
        </w:rPr>
        <w:t xml:space="preserve"> </w:t>
      </w:r>
    </w:p>
    <w:p w14:paraId="1D3774C9" w14:textId="77777777" w:rsidR="0044336B" w:rsidRPr="00D40DC9" w:rsidRDefault="0044336B" w:rsidP="009956BC">
      <w:pPr>
        <w:rPr>
          <w:lang w:val="es-419"/>
        </w:rPr>
      </w:pPr>
    </w:p>
    <w:p w14:paraId="7387F751" w14:textId="77777777" w:rsidR="009956BC" w:rsidRPr="00D40DC9" w:rsidRDefault="009956BC" w:rsidP="009956BC">
      <w:pPr>
        <w:rPr>
          <w:lang w:val="es-419"/>
        </w:rPr>
      </w:pPr>
    </w:p>
    <w:p w14:paraId="4227D663" w14:textId="77777777" w:rsidR="009956BC" w:rsidRPr="00D40DC9" w:rsidRDefault="009956BC" w:rsidP="009956BC">
      <w:pPr>
        <w:keepNext/>
        <w:outlineLvl w:val="0"/>
        <w:rPr>
          <w:caps/>
          <w:lang w:val="es-419"/>
        </w:rPr>
      </w:pPr>
      <w:bookmarkStart w:id="40" w:name="_Toc20508520"/>
      <w:bookmarkStart w:id="41" w:name="_Toc22129400"/>
      <w:r w:rsidRPr="00D40DC9">
        <w:rPr>
          <w:caps/>
          <w:lang w:val="es-419"/>
        </w:rPr>
        <w:t>Posibles futuras revisiones de los documentos TGP</w:t>
      </w:r>
      <w:bookmarkEnd w:id="40"/>
      <w:bookmarkEnd w:id="41"/>
    </w:p>
    <w:p w14:paraId="0D586677" w14:textId="77777777" w:rsidR="009956BC" w:rsidRPr="00D40DC9" w:rsidRDefault="009956BC" w:rsidP="009956BC">
      <w:pPr>
        <w:rPr>
          <w:lang w:val="es-419"/>
        </w:rPr>
      </w:pPr>
    </w:p>
    <w:p w14:paraId="135F962F" w14:textId="77777777" w:rsidR="009956BC" w:rsidRPr="00D40DC9" w:rsidRDefault="000F1B8F" w:rsidP="000F1B8F">
      <w:pPr>
        <w:pStyle w:val="Heading2"/>
        <w:rPr>
          <w:lang w:val="es-419"/>
        </w:rPr>
      </w:pPr>
      <w:bookmarkStart w:id="42" w:name="_Toc20508521"/>
      <w:bookmarkStart w:id="43" w:name="_Toc22129401"/>
      <w:r w:rsidRPr="00D40DC9">
        <w:rPr>
          <w:lang w:val="es-419"/>
        </w:rPr>
        <w:t>Cuestiones que ha de examinar el Comité Técnico</w:t>
      </w:r>
      <w:bookmarkEnd w:id="42"/>
      <w:bookmarkEnd w:id="43"/>
    </w:p>
    <w:p w14:paraId="55115054" w14:textId="77777777" w:rsidR="009956BC" w:rsidRPr="00D40DC9" w:rsidRDefault="009956BC" w:rsidP="009956BC">
      <w:pPr>
        <w:rPr>
          <w:lang w:val="es-419"/>
        </w:rPr>
      </w:pPr>
    </w:p>
    <w:p w14:paraId="14439CC1" w14:textId="77777777" w:rsidR="009956BC" w:rsidRPr="00D40DC9" w:rsidRDefault="009956BC" w:rsidP="000F1B8F">
      <w:pPr>
        <w:pStyle w:val="Heading3"/>
        <w:rPr>
          <w:lang w:val="es-419"/>
        </w:rPr>
      </w:pPr>
      <w:bookmarkStart w:id="44" w:name="_Toc512250116"/>
      <w:bookmarkStart w:id="45" w:name="_Toc20508522"/>
      <w:bookmarkStart w:id="46" w:name="_Toc22129402"/>
      <w:r w:rsidRPr="00D40DC9">
        <w:rPr>
          <w:lang w:val="es-419"/>
        </w:rPr>
        <w:t>TGP/7: Elaboración de las directrices de examen</w:t>
      </w:r>
      <w:bookmarkEnd w:id="44"/>
      <w:bookmarkEnd w:id="45"/>
      <w:bookmarkEnd w:id="46"/>
    </w:p>
    <w:p w14:paraId="00E163B8" w14:textId="77777777" w:rsidR="009956BC" w:rsidRPr="00D40DC9" w:rsidRDefault="009956BC" w:rsidP="009956BC">
      <w:pPr>
        <w:keepNext/>
        <w:keepLines/>
        <w:rPr>
          <w:lang w:val="es-419"/>
        </w:rPr>
      </w:pPr>
    </w:p>
    <w:p w14:paraId="61BB47E2" w14:textId="77777777" w:rsidR="009956BC" w:rsidRPr="00D40DC9" w:rsidRDefault="009956BC" w:rsidP="000F1B8F">
      <w:pPr>
        <w:pStyle w:val="Heading4"/>
        <w:rPr>
          <w:rFonts w:eastAsia="MS Mincho"/>
          <w:lang w:val="es-419"/>
        </w:rPr>
      </w:pPr>
      <w:bookmarkStart w:id="47" w:name="_Toc20508523"/>
      <w:bookmarkStart w:id="48" w:name="_Toc22129403"/>
      <w:r w:rsidRPr="00D40DC9">
        <w:rPr>
          <w:lang w:val="es-419"/>
        </w:rPr>
        <w:t>Caracteres que solo se aplican a ciertas variedades</w:t>
      </w:r>
      <w:bookmarkEnd w:id="47"/>
      <w:bookmarkEnd w:id="48"/>
    </w:p>
    <w:p w14:paraId="68C1923A" w14:textId="77777777" w:rsidR="009956BC" w:rsidRPr="00D40DC9" w:rsidRDefault="009956BC" w:rsidP="009956BC">
      <w:pPr>
        <w:keepNext/>
        <w:keepLines/>
        <w:ind w:left="1134" w:firstLine="567"/>
        <w:rPr>
          <w:lang w:val="es-419"/>
        </w:rPr>
      </w:pPr>
      <w:r w:rsidRPr="00D40DC9">
        <w:rPr>
          <w:lang w:val="es-419"/>
        </w:rPr>
        <w:t>Véase el documento TC/55/12</w:t>
      </w:r>
    </w:p>
    <w:p w14:paraId="65139A4D" w14:textId="77777777" w:rsidR="009956BC" w:rsidRPr="00D40DC9" w:rsidRDefault="009956BC" w:rsidP="009956BC">
      <w:pPr>
        <w:keepNext/>
        <w:keepLines/>
        <w:ind w:left="1134"/>
        <w:rPr>
          <w:lang w:val="es-419"/>
        </w:rPr>
      </w:pPr>
    </w:p>
    <w:p w14:paraId="3C137701" w14:textId="77777777" w:rsidR="009956BC" w:rsidRPr="00D40DC9" w:rsidRDefault="009956BC" w:rsidP="000F1B8F">
      <w:pPr>
        <w:pStyle w:val="Heading3"/>
        <w:rPr>
          <w:lang w:val="es-419"/>
        </w:rPr>
      </w:pPr>
      <w:bookmarkStart w:id="49" w:name="_Toc20508524"/>
      <w:bookmarkStart w:id="50" w:name="_Toc22129404"/>
      <w:r w:rsidRPr="00D40DC9">
        <w:rPr>
          <w:lang w:val="es-419"/>
        </w:rPr>
        <w:t>TGP/8: Diseño de ensayos y técnicas utilizados en el examen de la distinción, la homogeneidad y la estabilidad</w:t>
      </w:r>
      <w:bookmarkEnd w:id="49"/>
      <w:bookmarkEnd w:id="50"/>
    </w:p>
    <w:p w14:paraId="51C944F1" w14:textId="77777777" w:rsidR="009956BC" w:rsidRPr="00D40DC9" w:rsidRDefault="009956BC" w:rsidP="009956BC">
      <w:pPr>
        <w:rPr>
          <w:lang w:val="es-419"/>
        </w:rPr>
      </w:pPr>
    </w:p>
    <w:p w14:paraId="3166BAC0" w14:textId="77777777" w:rsidR="009956BC" w:rsidRPr="00D40DC9" w:rsidRDefault="009956BC" w:rsidP="000F1B8F">
      <w:pPr>
        <w:pStyle w:val="Heading4"/>
        <w:rPr>
          <w:rFonts w:eastAsia="MS Mincho"/>
          <w:lang w:val="es-419"/>
        </w:rPr>
      </w:pPr>
      <w:bookmarkStart w:id="51" w:name="_Toc20508525"/>
      <w:bookmarkStart w:id="52" w:name="_Toc22129405"/>
      <w:r w:rsidRPr="00D40DC9">
        <w:rPr>
          <w:lang w:val="es-419"/>
        </w:rPr>
        <w:t>Criterio combinado interanual de homogeneidad (COYU)</w:t>
      </w:r>
      <w:bookmarkEnd w:id="51"/>
      <w:bookmarkEnd w:id="52"/>
    </w:p>
    <w:p w14:paraId="4D17327D" w14:textId="77777777" w:rsidR="009956BC" w:rsidRPr="00D40DC9" w:rsidRDefault="009956BC" w:rsidP="009956BC">
      <w:pPr>
        <w:keepNext/>
        <w:rPr>
          <w:lang w:val="es-419"/>
        </w:rPr>
      </w:pPr>
    </w:p>
    <w:p w14:paraId="0DF8BDFB" w14:textId="77777777" w:rsidR="009956BC" w:rsidRPr="00D40DC9" w:rsidRDefault="009956BC" w:rsidP="009956BC">
      <w:pPr>
        <w:keepNext/>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En su quincuagésima cuarta sesión, el TC examinó el documento TC/54/17 “Criterio combinado interanual de distinción (COYU)” (véanse los párrafos 221 a 224 del documento TC/54/31 “Informe”).</w:t>
      </w:r>
    </w:p>
    <w:p w14:paraId="1A9CEE1F" w14:textId="77777777" w:rsidR="009956BC" w:rsidRPr="00D40DC9" w:rsidRDefault="009956BC" w:rsidP="009956BC">
      <w:pPr>
        <w:rPr>
          <w:lang w:val="es-419"/>
        </w:rPr>
      </w:pPr>
    </w:p>
    <w:p w14:paraId="1167EDFC" w14:textId="552A13A3" w:rsidR="009956BC" w:rsidRPr="00D40DC9" w:rsidRDefault="009956BC" w:rsidP="009956BC">
      <w:pPr>
        <w:rPr>
          <w:bCs/>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El TC tomó nota de que se ha completado el desarrollo estadístico del nuevo método de cálculo del COYU, en particular la determinación de los niveles de probabilidad necesarios para que las decisiones sean equiparables a las tomadas con el actual método de cálculo del COYU.</w:t>
      </w:r>
      <w:r w:rsidR="007D241B" w:rsidRPr="00D40DC9">
        <w:rPr>
          <w:lang w:val="es-419"/>
        </w:rPr>
        <w:t xml:space="preserve"> </w:t>
      </w:r>
    </w:p>
    <w:p w14:paraId="5B21A467" w14:textId="77777777" w:rsidR="009956BC" w:rsidRPr="00D40DC9" w:rsidRDefault="009956BC" w:rsidP="009956BC">
      <w:pPr>
        <w:rPr>
          <w:lang w:val="es-419"/>
        </w:rPr>
      </w:pPr>
    </w:p>
    <w:p w14:paraId="34ACE4AD" w14:textId="77777777" w:rsidR="009956BC" w:rsidRPr="00D40DC9" w:rsidRDefault="009956BC" w:rsidP="009956BC">
      <w:pPr>
        <w:rPr>
          <w:lang w:val="es-419"/>
        </w:rPr>
      </w:pPr>
      <w:r w:rsidRPr="00D40DC9">
        <w:rPr>
          <w:lang w:val="es-419"/>
        </w:rPr>
        <w:lastRenderedPageBreak/>
        <w:fldChar w:fldCharType="begin"/>
      </w:r>
      <w:r w:rsidRPr="00D40DC9">
        <w:rPr>
          <w:lang w:val="es-419"/>
        </w:rPr>
        <w:instrText xml:space="preserve"> AUTONUM  </w:instrText>
      </w:r>
      <w:r w:rsidRPr="00D40DC9">
        <w:rPr>
          <w:lang w:val="es-419"/>
        </w:rPr>
        <w:fldChar w:fldCharType="end"/>
      </w:r>
      <w:r w:rsidRPr="00D40DC9">
        <w:rPr>
          <w:lang w:val="es-419"/>
        </w:rPr>
        <w:tab/>
        <w:t>El TC tomó nota de la invitación cursada por el Reino Unido a fin de que los expertos interesados se pongan en contacto para probar el nuevo programa informático que incorpora el método mejorado de cálculo del COYU.</w:t>
      </w:r>
    </w:p>
    <w:p w14:paraId="67CD91D8" w14:textId="77777777" w:rsidR="009956BC" w:rsidRPr="00D40DC9" w:rsidRDefault="009956BC" w:rsidP="009956BC">
      <w:pPr>
        <w:rPr>
          <w:lang w:val="es-419"/>
        </w:rPr>
      </w:pPr>
    </w:p>
    <w:p w14:paraId="5460F2DE" w14:textId="77777777" w:rsidR="009956BC" w:rsidRPr="00D40DC9" w:rsidRDefault="009956BC" w:rsidP="009956BC">
      <w:pPr>
        <w:rPr>
          <w:iCs/>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El TC tomó nota de la invitación del TWC a que el experto del Reino Unido redacte una sección para sustituir en el documento TGP/8 la referida al método de cálculo del COYU.</w:t>
      </w:r>
    </w:p>
    <w:p w14:paraId="265221F7" w14:textId="77777777" w:rsidR="00B725AE" w:rsidRPr="00D40DC9" w:rsidRDefault="00B725AE" w:rsidP="009956BC">
      <w:pPr>
        <w:rPr>
          <w:iCs/>
          <w:lang w:val="es-419"/>
        </w:rPr>
      </w:pPr>
    </w:p>
    <w:p w14:paraId="37EDC91D" w14:textId="1B8CBCC0" w:rsidR="00B725AE" w:rsidRPr="00D40DC9" w:rsidRDefault="00B725AE" w:rsidP="009956B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En su trigésima séptima sesión, que se celebrará en Hangzhou (China), del 14 al 16 de octubre de 2019, el TWC, examinará un proyecto de sección sobre el método de cálculo del COYU para sustituir a la que figura en el documento TGP/8, sobre la base de un documento elaborado por un experto del Reino Unido.</w:t>
      </w:r>
      <w:r w:rsidR="007D241B" w:rsidRPr="00D40DC9">
        <w:rPr>
          <w:lang w:val="es-419"/>
        </w:rPr>
        <w:t xml:space="preserve"> </w:t>
      </w:r>
      <w:r w:rsidRPr="00D40DC9">
        <w:rPr>
          <w:lang w:val="es-419"/>
        </w:rPr>
        <w:t>Las novedades que se produzcan sobre este asunto en la trigésima séptima sesión del TWC se comunicarán al TC en una adición al presente documento.</w:t>
      </w:r>
    </w:p>
    <w:p w14:paraId="384922D8" w14:textId="77777777" w:rsidR="009956BC" w:rsidRPr="00D40DC9" w:rsidRDefault="009956BC" w:rsidP="009956BC">
      <w:pPr>
        <w:ind w:left="567"/>
        <w:rPr>
          <w:lang w:val="es-419"/>
        </w:rPr>
      </w:pPr>
    </w:p>
    <w:p w14:paraId="68CA92FB" w14:textId="77777777" w:rsidR="009956BC" w:rsidRPr="00D40DC9" w:rsidRDefault="009956BC" w:rsidP="000F1B8F">
      <w:pPr>
        <w:pStyle w:val="Heading4"/>
        <w:rPr>
          <w:rFonts w:eastAsia="MS Mincho"/>
          <w:lang w:val="es-419"/>
        </w:rPr>
      </w:pPr>
      <w:bookmarkStart w:id="53" w:name="_Toc20508526"/>
      <w:bookmarkStart w:id="54" w:name="_Toc22129406"/>
      <w:r w:rsidRPr="00D40DC9">
        <w:rPr>
          <w:lang w:val="es-419"/>
        </w:rPr>
        <w:t>Tratamiento de datos para la evaluación de la distinción y la elaboración de descripciones de variedades</w:t>
      </w:r>
      <w:bookmarkEnd w:id="53"/>
      <w:bookmarkEnd w:id="54"/>
    </w:p>
    <w:p w14:paraId="3E759135" w14:textId="77777777" w:rsidR="009956BC" w:rsidRPr="00D40DC9" w:rsidRDefault="009956BC" w:rsidP="009956BC">
      <w:pPr>
        <w:keepNext/>
        <w:keepLines/>
        <w:ind w:left="1134" w:firstLine="567"/>
        <w:rPr>
          <w:lang w:val="es-419"/>
        </w:rPr>
      </w:pPr>
      <w:r w:rsidRPr="00D40DC9">
        <w:rPr>
          <w:lang w:val="es-419"/>
        </w:rPr>
        <w:t>Véase el documento TC/55/13</w:t>
      </w:r>
    </w:p>
    <w:p w14:paraId="0D3BA0F9" w14:textId="77777777" w:rsidR="002D1193" w:rsidRPr="00D40DC9" w:rsidRDefault="002D1193" w:rsidP="009956BC">
      <w:pPr>
        <w:rPr>
          <w:lang w:val="es-419"/>
        </w:rPr>
      </w:pPr>
    </w:p>
    <w:p w14:paraId="439B1C84" w14:textId="77777777" w:rsidR="002D1193" w:rsidRPr="00D40DC9" w:rsidRDefault="002D1193" w:rsidP="009956BC">
      <w:pPr>
        <w:rPr>
          <w:lang w:val="es-419"/>
        </w:rPr>
      </w:pPr>
    </w:p>
    <w:p w14:paraId="30A1C64D" w14:textId="77777777" w:rsidR="002D1193" w:rsidRPr="00D40DC9" w:rsidRDefault="002D1193" w:rsidP="009956BC">
      <w:pPr>
        <w:rPr>
          <w:lang w:val="es-419"/>
        </w:rPr>
      </w:pPr>
    </w:p>
    <w:p w14:paraId="4941435A" w14:textId="77777777" w:rsidR="009956BC" w:rsidRPr="00D40DC9" w:rsidRDefault="009956BC" w:rsidP="000F1B8F">
      <w:pPr>
        <w:pStyle w:val="Heading3"/>
        <w:rPr>
          <w:lang w:val="es-419"/>
        </w:rPr>
      </w:pPr>
      <w:bookmarkStart w:id="55" w:name="_Toc20508527"/>
      <w:bookmarkStart w:id="56" w:name="_Toc22129407"/>
      <w:r w:rsidRPr="00D40DC9">
        <w:rPr>
          <w:lang w:val="es-419"/>
        </w:rPr>
        <w:t>TGP/14: Glosario de términos utilizados en los documentos de la UPOV</w:t>
      </w:r>
      <w:bookmarkEnd w:id="55"/>
      <w:bookmarkEnd w:id="56"/>
    </w:p>
    <w:p w14:paraId="67C1A331" w14:textId="77777777" w:rsidR="009956BC" w:rsidRPr="00D40DC9" w:rsidRDefault="009956BC" w:rsidP="009956BC">
      <w:pPr>
        <w:rPr>
          <w:lang w:val="es-419"/>
        </w:rPr>
      </w:pPr>
    </w:p>
    <w:p w14:paraId="0A9E844B" w14:textId="77777777" w:rsidR="009956BC" w:rsidRPr="00D40DC9" w:rsidRDefault="009956BC" w:rsidP="000F1B8F">
      <w:pPr>
        <w:pStyle w:val="Heading4"/>
        <w:rPr>
          <w:rFonts w:eastAsia="MS Mincho"/>
          <w:lang w:val="es-419"/>
        </w:rPr>
      </w:pPr>
      <w:bookmarkStart w:id="57" w:name="_Toc20508528"/>
      <w:bookmarkStart w:id="58" w:name="_Toc22129408"/>
      <w:r w:rsidRPr="00D40DC9">
        <w:rPr>
          <w:lang w:val="es-419"/>
        </w:rPr>
        <w:t>Nombres de los colores de la carta de colores RHS</w:t>
      </w:r>
      <w:bookmarkEnd w:id="57"/>
      <w:bookmarkEnd w:id="58"/>
    </w:p>
    <w:p w14:paraId="7E45DD86" w14:textId="77777777" w:rsidR="009956BC" w:rsidRPr="00D40DC9" w:rsidRDefault="009956BC" w:rsidP="009956BC">
      <w:pPr>
        <w:keepNext/>
        <w:keepLines/>
        <w:ind w:left="1134" w:firstLine="567"/>
        <w:rPr>
          <w:lang w:val="es-419"/>
        </w:rPr>
      </w:pPr>
      <w:r w:rsidRPr="00D40DC9">
        <w:rPr>
          <w:lang w:val="es-419"/>
        </w:rPr>
        <w:t>Véase el documento TC/55/14</w:t>
      </w:r>
    </w:p>
    <w:p w14:paraId="59506B4B" w14:textId="77777777" w:rsidR="009956BC" w:rsidRPr="00D40DC9" w:rsidRDefault="009956BC" w:rsidP="009956BC">
      <w:pPr>
        <w:tabs>
          <w:tab w:val="left" w:pos="5387"/>
        </w:tabs>
        <w:rPr>
          <w:lang w:val="es-419"/>
        </w:rPr>
      </w:pPr>
    </w:p>
    <w:p w14:paraId="7D3101C5" w14:textId="77777777" w:rsidR="009956BC" w:rsidRPr="00D40DC9" w:rsidRDefault="009956BC" w:rsidP="000F1B8F">
      <w:pPr>
        <w:pStyle w:val="Heading3"/>
        <w:rPr>
          <w:lang w:val="es-419"/>
        </w:rPr>
      </w:pPr>
      <w:bookmarkStart w:id="59" w:name="_Toc20508529"/>
      <w:bookmarkStart w:id="60" w:name="_Toc22129409"/>
      <w:r w:rsidRPr="00D40DC9">
        <w:rPr>
          <w:lang w:val="es-419"/>
        </w:rPr>
        <w:t>TGP/15: Orientación sobre el uso de marcadores bioquímicos y moleculares en el examen de la distinción, la homogeneidad y la estabilidad (DHE)</w:t>
      </w:r>
      <w:bookmarkEnd w:id="59"/>
      <w:bookmarkEnd w:id="60"/>
      <w:r w:rsidRPr="00D40DC9">
        <w:rPr>
          <w:lang w:val="es-419"/>
        </w:rPr>
        <w:t xml:space="preserve"> </w:t>
      </w:r>
    </w:p>
    <w:p w14:paraId="5C1DE77D" w14:textId="77777777" w:rsidR="009956BC" w:rsidRPr="00D40DC9" w:rsidRDefault="009956BC" w:rsidP="009956BC">
      <w:pPr>
        <w:rPr>
          <w:lang w:val="es-419"/>
        </w:rPr>
      </w:pPr>
    </w:p>
    <w:p w14:paraId="0246893F" w14:textId="77777777" w:rsidR="009956BC" w:rsidRPr="00D40DC9" w:rsidRDefault="009956BC" w:rsidP="000F1B8F">
      <w:pPr>
        <w:pStyle w:val="Heading4"/>
        <w:rPr>
          <w:rFonts w:eastAsia="MS Mincho"/>
          <w:lang w:val="es-419"/>
        </w:rPr>
      </w:pPr>
      <w:bookmarkStart w:id="61" w:name="_Toc20508530"/>
      <w:bookmarkStart w:id="62" w:name="_Toc22129410"/>
      <w:r w:rsidRPr="00D40DC9">
        <w:rPr>
          <w:lang w:val="es-419"/>
        </w:rPr>
        <w:t>Nuevo ejemplo: Marcador ligado a un carácter con información incompleta sobre el nivel de expresión</w:t>
      </w:r>
      <w:bookmarkEnd w:id="61"/>
      <w:bookmarkEnd w:id="62"/>
    </w:p>
    <w:p w14:paraId="670BD967" w14:textId="77777777" w:rsidR="009956BC" w:rsidRPr="00D40DC9" w:rsidRDefault="009956BC" w:rsidP="009956BC">
      <w:pPr>
        <w:keepNext/>
        <w:keepLines/>
        <w:ind w:left="1134" w:firstLine="567"/>
        <w:rPr>
          <w:lang w:val="es-419"/>
        </w:rPr>
      </w:pPr>
      <w:r w:rsidRPr="00D40DC9">
        <w:rPr>
          <w:lang w:val="es-419"/>
        </w:rPr>
        <w:t>Véase el documento TC/55/15</w:t>
      </w:r>
    </w:p>
    <w:p w14:paraId="4CA02201" w14:textId="77777777" w:rsidR="009956BC" w:rsidRPr="00D40DC9" w:rsidRDefault="009956BC" w:rsidP="009956BC">
      <w:pPr>
        <w:tabs>
          <w:tab w:val="left" w:pos="5387"/>
        </w:tabs>
        <w:rPr>
          <w:highlight w:val="yellow"/>
          <w:lang w:val="es-419"/>
        </w:rPr>
      </w:pPr>
    </w:p>
    <w:p w14:paraId="36456C30" w14:textId="77777777" w:rsidR="009956BC" w:rsidRPr="00D40DC9" w:rsidRDefault="009956BC" w:rsidP="009956BC">
      <w:pPr>
        <w:tabs>
          <w:tab w:val="left" w:pos="5387"/>
          <w:tab w:val="left" w:pos="5954"/>
        </w:tabs>
        <w:ind w:left="4820"/>
        <w:rPr>
          <w:i/>
          <w:lang w:val="es-419"/>
        </w:rPr>
      </w:pPr>
      <w:r w:rsidRPr="00D40DC9">
        <w:rPr>
          <w:i/>
          <w:lang w:val="es-419"/>
        </w:rPr>
        <w:fldChar w:fldCharType="begin"/>
      </w:r>
      <w:r w:rsidRPr="00D40DC9">
        <w:rPr>
          <w:i/>
          <w:lang w:val="es-419"/>
        </w:rPr>
        <w:instrText xml:space="preserve"> AUTONUM  </w:instrText>
      </w:r>
      <w:r w:rsidRPr="00D40DC9">
        <w:rPr>
          <w:i/>
          <w:lang w:val="es-419"/>
        </w:rPr>
        <w:fldChar w:fldCharType="end"/>
      </w:r>
      <w:r w:rsidRPr="00D40DC9">
        <w:rPr>
          <w:lang w:val="es-419"/>
        </w:rPr>
        <w:tab/>
      </w:r>
      <w:r w:rsidRPr="00D40DC9">
        <w:rPr>
          <w:i/>
          <w:lang w:val="es-419"/>
        </w:rPr>
        <w:t>Se invita al TC a tomar nota de:</w:t>
      </w:r>
    </w:p>
    <w:p w14:paraId="20542F87" w14:textId="77777777" w:rsidR="009956BC" w:rsidRPr="00D40DC9" w:rsidRDefault="009956BC" w:rsidP="009956BC">
      <w:pPr>
        <w:tabs>
          <w:tab w:val="left" w:pos="5387"/>
          <w:tab w:val="left" w:pos="5954"/>
        </w:tabs>
        <w:ind w:left="4820"/>
        <w:rPr>
          <w:i/>
          <w:lang w:val="es-419"/>
        </w:rPr>
      </w:pPr>
    </w:p>
    <w:p w14:paraId="58B00976" w14:textId="77777777" w:rsidR="009956BC" w:rsidRPr="00D40DC9" w:rsidRDefault="009956BC" w:rsidP="0084043B">
      <w:pPr>
        <w:tabs>
          <w:tab w:val="left" w:pos="5387"/>
          <w:tab w:val="left" w:pos="5954"/>
        </w:tabs>
        <w:ind w:left="4820" w:firstLine="570"/>
        <w:rPr>
          <w:i/>
          <w:lang w:val="es-419"/>
        </w:rPr>
      </w:pPr>
      <w:r w:rsidRPr="00D40DC9">
        <w:rPr>
          <w:i/>
          <w:lang w:val="es-419"/>
        </w:rPr>
        <w:t>a)</w:t>
      </w:r>
      <w:r w:rsidRPr="00D40DC9">
        <w:rPr>
          <w:lang w:val="es-419"/>
        </w:rPr>
        <w:tab/>
      </w:r>
      <w:r w:rsidRPr="00D40DC9">
        <w:rPr>
          <w:i/>
          <w:lang w:val="es-419"/>
        </w:rPr>
        <w:t>las cuestiones que se deben tener en cuenta en una posible revisión ulterior de los documentos TGP/7, TGP/8, TGP/14 y TGP/15, que se examinan en otros documentos;</w:t>
      </w:r>
    </w:p>
    <w:p w14:paraId="7467CF47" w14:textId="77777777" w:rsidR="009956BC" w:rsidRPr="00D40DC9" w:rsidRDefault="009956BC" w:rsidP="009956BC">
      <w:pPr>
        <w:tabs>
          <w:tab w:val="left" w:pos="5387"/>
          <w:tab w:val="left" w:pos="5954"/>
        </w:tabs>
        <w:ind w:left="4820" w:firstLine="570"/>
        <w:rPr>
          <w:i/>
          <w:lang w:val="es-419"/>
        </w:rPr>
      </w:pPr>
    </w:p>
    <w:p w14:paraId="4D87C7B6" w14:textId="77777777" w:rsidR="009956BC" w:rsidRPr="00D40DC9" w:rsidRDefault="009956BC" w:rsidP="009956BC">
      <w:pPr>
        <w:tabs>
          <w:tab w:val="left" w:pos="5387"/>
          <w:tab w:val="left" w:pos="5954"/>
        </w:tabs>
        <w:ind w:left="4820" w:firstLine="570"/>
        <w:rPr>
          <w:i/>
          <w:lang w:val="es-419"/>
        </w:rPr>
      </w:pPr>
      <w:r w:rsidRPr="00D40DC9">
        <w:rPr>
          <w:i/>
          <w:lang w:val="es-419"/>
        </w:rPr>
        <w:t>b)</w:t>
      </w:r>
      <w:r w:rsidRPr="00D40DC9">
        <w:rPr>
          <w:lang w:val="es-419"/>
        </w:rPr>
        <w:tab/>
      </w:r>
      <w:r w:rsidRPr="00D40DC9">
        <w:rPr>
          <w:i/>
          <w:lang w:val="es-419"/>
        </w:rPr>
        <w:t>la invitación cursada por el Reino Unido a fin de que los expertos interesados se pongan en contacto para probar el nuevo programa informático que incorpora el método mejorado de cálculo del COYU; y</w:t>
      </w:r>
    </w:p>
    <w:p w14:paraId="6D0560C3" w14:textId="77777777" w:rsidR="009956BC" w:rsidRPr="00D40DC9" w:rsidRDefault="009956BC" w:rsidP="009956BC">
      <w:pPr>
        <w:tabs>
          <w:tab w:val="left" w:pos="5387"/>
          <w:tab w:val="left" w:pos="5954"/>
        </w:tabs>
        <w:ind w:left="4820" w:firstLine="570"/>
        <w:rPr>
          <w:i/>
          <w:lang w:val="es-419"/>
        </w:rPr>
      </w:pPr>
    </w:p>
    <w:p w14:paraId="025E1C45" w14:textId="77777777" w:rsidR="009956BC" w:rsidRPr="00D40DC9" w:rsidRDefault="009956BC" w:rsidP="00151149">
      <w:pPr>
        <w:tabs>
          <w:tab w:val="left" w:pos="5387"/>
          <w:tab w:val="left" w:pos="5954"/>
        </w:tabs>
        <w:ind w:left="4820" w:firstLine="570"/>
        <w:rPr>
          <w:i/>
          <w:lang w:val="es-419"/>
        </w:rPr>
      </w:pPr>
      <w:r w:rsidRPr="00D40DC9">
        <w:rPr>
          <w:i/>
          <w:lang w:val="es-419"/>
        </w:rPr>
        <w:t>c)</w:t>
      </w:r>
      <w:r w:rsidRPr="00D40DC9">
        <w:rPr>
          <w:lang w:val="es-419"/>
        </w:rPr>
        <w:tab/>
      </w:r>
      <w:r w:rsidRPr="00D40DC9">
        <w:rPr>
          <w:i/>
          <w:lang w:val="es-419"/>
        </w:rPr>
        <w:t>que el TWC, en su trigésima séptima sesión, examinará un proyecto de sección sobre el método de cálculo del COYU para sustituir a la que figura en el documento TGP/8 y que las novedades que se produzcan sobre este asunto se comunicarán en una adición al presente documento</w:t>
      </w:r>
      <w:r w:rsidRPr="00D40DC9">
        <w:rPr>
          <w:lang w:val="es-419"/>
        </w:rPr>
        <w:t>.</w:t>
      </w:r>
    </w:p>
    <w:p w14:paraId="6F6F2741" w14:textId="77777777" w:rsidR="009956BC" w:rsidRPr="00D40DC9" w:rsidRDefault="009956BC" w:rsidP="009956BC">
      <w:pPr>
        <w:rPr>
          <w:lang w:val="es-419"/>
        </w:rPr>
      </w:pPr>
    </w:p>
    <w:p w14:paraId="1641DE8E" w14:textId="77777777" w:rsidR="009956BC" w:rsidRPr="00D40DC9" w:rsidRDefault="009956BC" w:rsidP="009956BC">
      <w:pPr>
        <w:rPr>
          <w:lang w:val="es-419"/>
        </w:rPr>
      </w:pPr>
    </w:p>
    <w:p w14:paraId="7803B464" w14:textId="77777777" w:rsidR="009956BC" w:rsidRPr="00D40DC9" w:rsidRDefault="009956BC" w:rsidP="009956BC">
      <w:pPr>
        <w:keepNext/>
        <w:outlineLvl w:val="0"/>
        <w:rPr>
          <w:caps/>
          <w:lang w:val="es-419"/>
        </w:rPr>
      </w:pPr>
      <w:bookmarkStart w:id="63" w:name="_Toc20508531"/>
      <w:bookmarkStart w:id="64" w:name="_Toc22129411"/>
      <w:r w:rsidRPr="00D40DC9">
        <w:rPr>
          <w:caps/>
          <w:lang w:val="es-419"/>
        </w:rPr>
        <w:t>Nuevas propuestas para las revisiones de los documentos TGP</w:t>
      </w:r>
      <w:bookmarkEnd w:id="63"/>
      <w:bookmarkEnd w:id="64"/>
    </w:p>
    <w:p w14:paraId="412C531E" w14:textId="77777777" w:rsidR="009956BC" w:rsidRPr="00D40DC9" w:rsidRDefault="009956BC" w:rsidP="009956BC">
      <w:pPr>
        <w:rPr>
          <w:lang w:val="es-419"/>
        </w:rPr>
      </w:pPr>
    </w:p>
    <w:p w14:paraId="5C7D8A3A" w14:textId="77777777" w:rsidR="009956BC" w:rsidRPr="00D40DC9" w:rsidRDefault="009956BC" w:rsidP="009956BC">
      <w:pPr>
        <w:keepNext/>
        <w:outlineLvl w:val="1"/>
        <w:rPr>
          <w:u w:val="single"/>
          <w:lang w:val="es-419"/>
        </w:rPr>
      </w:pPr>
      <w:bookmarkStart w:id="65" w:name="_Toc20508532"/>
      <w:bookmarkStart w:id="66" w:name="_Toc22129412"/>
      <w:r w:rsidRPr="00D40DC9">
        <w:rPr>
          <w:u w:val="single"/>
          <w:lang w:val="es-419"/>
        </w:rPr>
        <w:t>TGP/7: Elaboración de las directrices de examen</w:t>
      </w:r>
      <w:bookmarkEnd w:id="65"/>
      <w:bookmarkEnd w:id="66"/>
    </w:p>
    <w:p w14:paraId="572CB53A" w14:textId="77777777" w:rsidR="009956BC" w:rsidRPr="00D40DC9" w:rsidRDefault="009956BC" w:rsidP="009956BC">
      <w:pPr>
        <w:rPr>
          <w:lang w:val="es-419"/>
        </w:rPr>
      </w:pPr>
      <w:bookmarkStart w:id="67" w:name="_Toc352678076"/>
      <w:bookmarkStart w:id="68" w:name="_Toc353797757"/>
      <w:bookmarkStart w:id="69" w:name="_Toc386185988"/>
      <w:bookmarkStart w:id="70" w:name="_Toc419124879"/>
      <w:bookmarkEnd w:id="13"/>
      <w:bookmarkEnd w:id="14"/>
      <w:bookmarkEnd w:id="15"/>
      <w:bookmarkEnd w:id="16"/>
    </w:p>
    <w:p w14:paraId="693149F6" w14:textId="77777777" w:rsidR="009956BC" w:rsidRPr="00D40DC9" w:rsidRDefault="009956BC" w:rsidP="00E84B03">
      <w:pPr>
        <w:pStyle w:val="Heading3"/>
        <w:rPr>
          <w:rFonts w:eastAsia="MS Mincho"/>
          <w:lang w:val="es-419"/>
        </w:rPr>
      </w:pPr>
      <w:bookmarkStart w:id="71" w:name="_Toc527377896"/>
      <w:bookmarkStart w:id="72" w:name="_Toc20508533"/>
      <w:bookmarkStart w:id="73" w:name="_Toc22129413"/>
      <w:r w:rsidRPr="00D40DC9">
        <w:rPr>
          <w:lang w:val="es-419"/>
        </w:rPr>
        <w:t>Procedimiento de revisión parcial de las directrices de examen de la UPOV</w:t>
      </w:r>
      <w:bookmarkEnd w:id="71"/>
      <w:bookmarkEnd w:id="72"/>
      <w:bookmarkEnd w:id="73"/>
    </w:p>
    <w:p w14:paraId="22EF3EAE" w14:textId="77777777" w:rsidR="009956BC" w:rsidRPr="00D40DC9" w:rsidRDefault="009956BC" w:rsidP="009956BC">
      <w:pPr>
        <w:rPr>
          <w:lang w:val="es-419"/>
        </w:rPr>
      </w:pPr>
    </w:p>
    <w:p w14:paraId="4F446AA8" w14:textId="77777777" w:rsidR="009956BC" w:rsidRPr="00D40DC9" w:rsidRDefault="009956BC" w:rsidP="009956B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En su quincuagésima cuarta sesión, el TC consideró si procede modificar el procedimiento de revisión parcial de las directrices de examen, sobre la base de las propuestas siguientes, expuestas en el párrafo 24 del documento TC/54/3 (véase los párrafos 221 a 224 del documento TC/54/31 “</w:t>
      </w:r>
      <w:r w:rsidRPr="00D40DC9">
        <w:rPr>
          <w:i/>
          <w:lang w:val="es-419"/>
        </w:rPr>
        <w:t>Informe</w:t>
      </w:r>
      <w:r w:rsidRPr="00D40DC9">
        <w:rPr>
          <w:lang w:val="es-419"/>
        </w:rPr>
        <w:t>”):</w:t>
      </w:r>
    </w:p>
    <w:p w14:paraId="0EBC99E2" w14:textId="77777777" w:rsidR="009956BC" w:rsidRPr="00D40DC9" w:rsidRDefault="009956BC" w:rsidP="009956BC">
      <w:pPr>
        <w:rPr>
          <w:lang w:val="es-419"/>
        </w:rPr>
      </w:pPr>
    </w:p>
    <w:p w14:paraId="74682753" w14:textId="77777777" w:rsidR="009956BC" w:rsidRPr="00D40DC9" w:rsidRDefault="009956BC" w:rsidP="009956BC">
      <w:pPr>
        <w:numPr>
          <w:ilvl w:val="0"/>
          <w:numId w:val="1"/>
        </w:numPr>
        <w:ind w:left="1134" w:right="567" w:hanging="567"/>
        <w:contextualSpacing/>
        <w:rPr>
          <w:sz w:val="18"/>
          <w:lang w:val="es-419"/>
        </w:rPr>
      </w:pPr>
      <w:r w:rsidRPr="00D40DC9">
        <w:rPr>
          <w:sz w:val="18"/>
          <w:lang w:val="es-419"/>
        </w:rPr>
        <w:t>aceptar cualquier propuesta nueva de revisión parcial de directrices de examen por correspondencia durante el transcurso del año comprendido dos sesiones de TWP, con un plazo máximo de dos meses antes de la sesión para elaborar el documento y distribuirlo a los expertos;</w:t>
      </w:r>
    </w:p>
    <w:p w14:paraId="5AB98C25" w14:textId="77777777" w:rsidR="009956BC" w:rsidRPr="00D40DC9" w:rsidRDefault="009956BC" w:rsidP="009956BC">
      <w:pPr>
        <w:numPr>
          <w:ilvl w:val="0"/>
          <w:numId w:val="1"/>
        </w:numPr>
        <w:ind w:left="1134" w:right="567" w:hanging="567"/>
        <w:contextualSpacing/>
        <w:rPr>
          <w:sz w:val="18"/>
          <w:lang w:val="es-419"/>
        </w:rPr>
      </w:pPr>
      <w:r w:rsidRPr="00D40DC9">
        <w:rPr>
          <w:sz w:val="18"/>
          <w:lang w:val="es-419"/>
        </w:rPr>
        <w:lastRenderedPageBreak/>
        <w:t>aprobar el añadido de la revisión parcial de directrices de examen por correspondencia y conceder cuatro semanas para presentar cualquier objeción;</w:t>
      </w:r>
    </w:p>
    <w:p w14:paraId="1B423DFC" w14:textId="77777777" w:rsidR="009956BC" w:rsidRPr="00D40DC9" w:rsidRDefault="009956BC" w:rsidP="009956BC">
      <w:pPr>
        <w:numPr>
          <w:ilvl w:val="0"/>
          <w:numId w:val="1"/>
        </w:numPr>
        <w:ind w:left="1134" w:right="567" w:hanging="567"/>
        <w:contextualSpacing/>
        <w:rPr>
          <w:sz w:val="18"/>
          <w:lang w:val="es-419"/>
        </w:rPr>
      </w:pPr>
      <w:r w:rsidRPr="00D40DC9">
        <w:rPr>
          <w:sz w:val="18"/>
          <w:lang w:val="es-419"/>
        </w:rPr>
        <w:t>dado que los expertos interesados no se habrán incluido en la lista de distribución durante la aprobación del informe en el punto de la agenda “Propuestas de revisión parcial de directrices de examen”, se propone enviar el documento a todos los expertos de los TWP pertinentes para que formulen observaciones;</w:t>
      </w:r>
    </w:p>
    <w:p w14:paraId="5750BE84" w14:textId="77777777" w:rsidR="009956BC" w:rsidRPr="00D40DC9" w:rsidRDefault="009956BC" w:rsidP="009956BC">
      <w:pPr>
        <w:numPr>
          <w:ilvl w:val="0"/>
          <w:numId w:val="1"/>
        </w:numPr>
        <w:ind w:left="1134" w:right="567" w:hanging="567"/>
        <w:contextualSpacing/>
        <w:rPr>
          <w:sz w:val="18"/>
          <w:lang w:val="es-419"/>
        </w:rPr>
      </w:pPr>
      <w:r w:rsidRPr="00D40DC9">
        <w:rPr>
          <w:sz w:val="18"/>
          <w:lang w:val="es-419"/>
        </w:rPr>
        <w:t>limitar esta norma solo a las revisiones parciales.</w:t>
      </w:r>
    </w:p>
    <w:p w14:paraId="4FA9C337" w14:textId="77777777" w:rsidR="009956BC" w:rsidRPr="00D40DC9" w:rsidRDefault="009956BC" w:rsidP="009956BC">
      <w:pPr>
        <w:rPr>
          <w:lang w:val="es-419"/>
        </w:rPr>
      </w:pPr>
    </w:p>
    <w:p w14:paraId="3EB2F916" w14:textId="7130C828" w:rsidR="009956BC" w:rsidRPr="00D40DC9" w:rsidRDefault="009956BC" w:rsidP="009956B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El TC recordó que se ha examinado una propuesta similar en una sesión anterior y que los miembros de la Unión pueden modificar sus propias directrices de examen antes de que se introduzcan modificaciones en las directrices de examen de la UPOV.</w:t>
      </w:r>
      <w:r w:rsidR="007D241B" w:rsidRPr="00D40DC9">
        <w:rPr>
          <w:lang w:val="es-419"/>
        </w:rPr>
        <w:t xml:space="preserve"> </w:t>
      </w:r>
    </w:p>
    <w:p w14:paraId="730A8E3E" w14:textId="77777777" w:rsidR="009956BC" w:rsidRPr="00D40DC9" w:rsidRDefault="009956BC" w:rsidP="009956BC">
      <w:pPr>
        <w:rPr>
          <w:lang w:val="es-419"/>
        </w:rPr>
      </w:pPr>
    </w:p>
    <w:p w14:paraId="76FFC4C6" w14:textId="4135FFDD" w:rsidR="009956BC" w:rsidRPr="00D40DC9" w:rsidRDefault="009956BC" w:rsidP="009956B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El TC convino en solicitar al TWF que aclare en qué circunstancias será necesario introducir modificaciones en las directrices de examen de la UPOV con poca antelación.</w:t>
      </w:r>
      <w:r w:rsidR="007D241B" w:rsidRPr="00D40DC9">
        <w:rPr>
          <w:lang w:val="es-419"/>
        </w:rPr>
        <w:t xml:space="preserve"> </w:t>
      </w:r>
      <w:r w:rsidRPr="00D40DC9">
        <w:rPr>
          <w:lang w:val="es-419"/>
        </w:rPr>
        <w:t>En especial, el TC convino en solicitar que se aclare el tipo de modificaciones que se prevé abarcar con el procedimiento propuesto y facilitar ejemplos concretos.</w:t>
      </w:r>
    </w:p>
    <w:p w14:paraId="4D2CE1A1" w14:textId="77777777" w:rsidR="009956BC" w:rsidRPr="00D40DC9" w:rsidRDefault="009956BC" w:rsidP="009956BC">
      <w:pPr>
        <w:rPr>
          <w:lang w:val="es-419"/>
        </w:rPr>
      </w:pPr>
    </w:p>
    <w:p w14:paraId="4DD8C783" w14:textId="0592C35B" w:rsidR="009956BC" w:rsidRPr="00D40DC9" w:rsidRDefault="009956BC" w:rsidP="009956B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El TC convino en que, si se aprueba un procedimiento acelerado, las propuestas de revisión parcial de las directrices de examen se deberán publicar como mínimo dos meses antes de la sesión para que los miembros dispongan del tiempo necesario para examinarlas.</w:t>
      </w:r>
      <w:r w:rsidR="007D241B" w:rsidRPr="00D40DC9">
        <w:rPr>
          <w:lang w:val="es-419"/>
        </w:rPr>
        <w:t xml:space="preserve"> </w:t>
      </w:r>
    </w:p>
    <w:p w14:paraId="106AC742" w14:textId="77777777" w:rsidR="009956BC" w:rsidRPr="00D40DC9" w:rsidRDefault="009956BC" w:rsidP="009956BC">
      <w:pPr>
        <w:rPr>
          <w:rFonts w:cs="Arial"/>
          <w:bCs/>
          <w:i/>
          <w:snapToGrid w:val="0"/>
          <w:lang w:val="es-419"/>
        </w:rPr>
      </w:pPr>
    </w:p>
    <w:p w14:paraId="6B6ADA35" w14:textId="77777777" w:rsidR="002D1193" w:rsidRPr="00D40DC9" w:rsidRDefault="002D1193" w:rsidP="009956BC">
      <w:pPr>
        <w:rPr>
          <w:rFonts w:cs="Arial"/>
          <w:bCs/>
          <w:i/>
          <w:snapToGrid w:val="0"/>
          <w:lang w:val="es-419"/>
        </w:rPr>
      </w:pPr>
    </w:p>
    <w:p w14:paraId="7D421C09" w14:textId="77777777" w:rsidR="00E84B03" w:rsidRPr="00D40DC9" w:rsidRDefault="00E84B03" w:rsidP="00E84B03">
      <w:pPr>
        <w:pStyle w:val="Heading4"/>
        <w:rPr>
          <w:lang w:val="es-419"/>
        </w:rPr>
      </w:pPr>
      <w:bookmarkStart w:id="74" w:name="_Toc22129414"/>
      <w:r w:rsidRPr="00D40DC9">
        <w:rPr>
          <w:lang w:val="es-419"/>
        </w:rPr>
        <w:t>Observaciones formuladas por el Grupo de Trabajo Técnico sobre Plantas Frutales</w:t>
      </w:r>
      <w:bookmarkEnd w:id="74"/>
    </w:p>
    <w:p w14:paraId="6C3A7DFA" w14:textId="77777777" w:rsidR="00E84B03" w:rsidRPr="00D40DC9" w:rsidRDefault="00E84B03" w:rsidP="00E84B03">
      <w:pPr>
        <w:rPr>
          <w:lang w:val="es-419"/>
        </w:rPr>
      </w:pPr>
    </w:p>
    <w:p w14:paraId="1AFFD1A4" w14:textId="2E4BC699" w:rsidR="00E84B03" w:rsidRPr="00D40DC9" w:rsidRDefault="00E84B03" w:rsidP="00E84B03">
      <w:pPr>
        <w:keepNext/>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En su quincuagésima sesión, celebrada en Budapest (Hungría), del 24 al 28 de junio de 2019, el TWF acogió con satisfacción la posibilidad de modificar el procedimiento de revisión parcial de las directrices de examen, lo que permitirá a los expertos formular nuevas propuestas en el transcurso del año y fomentará la armonización internacional de la práctica actual en materia de examen DHE. Tal como solicitó el TC, el TWF convino en que el procedimiento acelerado </w:t>
      </w:r>
      <w:r w:rsidR="00890EA0" w:rsidRPr="00D40DC9">
        <w:rPr>
          <w:lang w:val="es-419"/>
        </w:rPr>
        <w:t xml:space="preserve">se </w:t>
      </w:r>
      <w:r w:rsidRPr="00D40DC9">
        <w:rPr>
          <w:lang w:val="es-419"/>
        </w:rPr>
        <w:t>ha de aplicar (véanse los párrafos 30 a 33 del documento TWF/50/13 “</w:t>
      </w:r>
      <w:proofErr w:type="spellStart"/>
      <w:r w:rsidRPr="00D40DC9">
        <w:rPr>
          <w:i/>
          <w:lang w:val="es-419"/>
        </w:rPr>
        <w:t>Report</w:t>
      </w:r>
      <w:proofErr w:type="spellEnd"/>
      <w:r w:rsidRPr="00D40DC9">
        <w:rPr>
          <w:lang w:val="es-419"/>
        </w:rPr>
        <w:t>”</w:t>
      </w:r>
      <w:r w:rsidR="00CD1C06" w:rsidRPr="00D40DC9">
        <w:rPr>
          <w:lang w:val="es-419"/>
        </w:rPr>
        <w:t xml:space="preserve"> (Informe</w:t>
      </w:r>
      <w:r w:rsidRPr="00D40DC9">
        <w:rPr>
          <w:lang w:val="es-419"/>
        </w:rPr>
        <w:t>):</w:t>
      </w:r>
    </w:p>
    <w:p w14:paraId="631A30C1" w14:textId="77777777" w:rsidR="00E84B03" w:rsidRPr="00D40DC9" w:rsidRDefault="00E84B03" w:rsidP="00E84B03">
      <w:pPr>
        <w:keepNext/>
        <w:rPr>
          <w:lang w:val="es-419"/>
        </w:rPr>
      </w:pPr>
    </w:p>
    <w:p w14:paraId="7ECD5472" w14:textId="77777777" w:rsidR="00E84B03" w:rsidRPr="00D40DC9" w:rsidRDefault="00E84B03" w:rsidP="00E84B03">
      <w:pPr>
        <w:pStyle w:val="ListParagraph"/>
        <w:keepNext/>
        <w:numPr>
          <w:ilvl w:val="0"/>
          <w:numId w:val="16"/>
        </w:numPr>
        <w:rPr>
          <w:lang w:val="es-419"/>
        </w:rPr>
      </w:pPr>
      <w:r w:rsidRPr="00D40DC9">
        <w:rPr>
          <w:lang w:val="es-419"/>
        </w:rPr>
        <w:t>a las propuestas de eliminar un carácter</w:t>
      </w:r>
    </w:p>
    <w:p w14:paraId="262D8EAE" w14:textId="77777777" w:rsidR="00E84B03" w:rsidRPr="00D40DC9" w:rsidRDefault="00E84B03" w:rsidP="00E84B03">
      <w:pPr>
        <w:pStyle w:val="ListParagraph"/>
        <w:keepNext/>
        <w:numPr>
          <w:ilvl w:val="0"/>
          <w:numId w:val="16"/>
        </w:numPr>
        <w:rPr>
          <w:lang w:val="es-419"/>
        </w:rPr>
      </w:pPr>
      <w:r w:rsidRPr="00D40DC9">
        <w:rPr>
          <w:lang w:val="es-419"/>
        </w:rPr>
        <w:t>a las propuestas de añadir un nuevo nivel de expresión o de añadir una nueva ilustración</w:t>
      </w:r>
    </w:p>
    <w:p w14:paraId="3CC76707" w14:textId="77777777" w:rsidR="00E84B03" w:rsidRPr="00D40DC9" w:rsidRDefault="00E84B03" w:rsidP="00E84B03">
      <w:pPr>
        <w:pStyle w:val="ListParagraph"/>
        <w:keepNext/>
        <w:numPr>
          <w:ilvl w:val="0"/>
          <w:numId w:val="16"/>
        </w:numPr>
        <w:rPr>
          <w:lang w:val="es-419"/>
        </w:rPr>
      </w:pPr>
      <w:r w:rsidRPr="00D40DC9">
        <w:rPr>
          <w:lang w:val="es-419"/>
        </w:rPr>
        <w:t>a las propuestas de añadir nuevas variedades ejemplo</w:t>
      </w:r>
    </w:p>
    <w:p w14:paraId="48C84BC3" w14:textId="77777777" w:rsidR="00E84B03" w:rsidRPr="00D40DC9" w:rsidRDefault="00E84B03" w:rsidP="00E84B03">
      <w:pPr>
        <w:keepNext/>
        <w:rPr>
          <w:lang w:val="es-419"/>
        </w:rPr>
      </w:pPr>
    </w:p>
    <w:p w14:paraId="470F57F9" w14:textId="77777777" w:rsidR="00E84B03" w:rsidRPr="00D40DC9" w:rsidRDefault="00E84B03" w:rsidP="00E84B03">
      <w:pPr>
        <w:keepNext/>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El TWF convino en que este procedimiento acelerado no se ha de aplicar:</w:t>
      </w:r>
    </w:p>
    <w:p w14:paraId="32AEC705" w14:textId="77777777" w:rsidR="00E84B03" w:rsidRPr="00D40DC9" w:rsidRDefault="00E84B03" w:rsidP="00E84B03">
      <w:pPr>
        <w:keepNext/>
        <w:rPr>
          <w:lang w:val="es-419"/>
        </w:rPr>
      </w:pPr>
    </w:p>
    <w:p w14:paraId="7615E34E" w14:textId="77777777" w:rsidR="00E84B03" w:rsidRPr="00D40DC9" w:rsidRDefault="00E84B03" w:rsidP="00E84B03">
      <w:pPr>
        <w:pStyle w:val="ListParagraph"/>
        <w:keepNext/>
        <w:numPr>
          <w:ilvl w:val="0"/>
          <w:numId w:val="17"/>
        </w:numPr>
        <w:rPr>
          <w:lang w:val="es-419"/>
        </w:rPr>
      </w:pPr>
      <w:r w:rsidRPr="00D40DC9">
        <w:rPr>
          <w:lang w:val="es-419"/>
        </w:rPr>
        <w:t>a las propuestas de caracteres de agrupamiento</w:t>
      </w:r>
    </w:p>
    <w:p w14:paraId="40BE1508" w14:textId="77777777" w:rsidR="00E84B03" w:rsidRPr="00D40DC9" w:rsidRDefault="00E84B03" w:rsidP="00E84B03">
      <w:pPr>
        <w:pStyle w:val="ListParagraph"/>
        <w:keepNext/>
        <w:numPr>
          <w:ilvl w:val="0"/>
          <w:numId w:val="17"/>
        </w:numPr>
        <w:rPr>
          <w:lang w:val="es-419"/>
        </w:rPr>
      </w:pPr>
      <w:r w:rsidRPr="00D40DC9">
        <w:rPr>
          <w:lang w:val="es-419"/>
        </w:rPr>
        <w:t>a las propuestas de añadir nuevos caracteres</w:t>
      </w:r>
    </w:p>
    <w:p w14:paraId="5739AABF" w14:textId="77777777" w:rsidR="00E84B03" w:rsidRPr="00D40DC9" w:rsidRDefault="00E84B03" w:rsidP="00E84B03">
      <w:pPr>
        <w:keepNext/>
        <w:rPr>
          <w:lang w:val="es-419"/>
        </w:rPr>
      </w:pPr>
    </w:p>
    <w:p w14:paraId="5A584F3B" w14:textId="77777777" w:rsidR="00E84B03" w:rsidRPr="00D40DC9" w:rsidRDefault="00E84B03" w:rsidP="00E84B03">
      <w:pPr>
        <w:keepNext/>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El TWF convino en que el procedimiento acelerado para las revisiones parciales de las directrices de examen debe respetar el calendario acordado para elaborar y distribuir documentos antes de la sesión, a fin de que los miembros de la Unión dispongan del tiempo necesario para examinarlas. También señaló la importancia de que se invite a todos los expertos de los TWP pertinentes a que formulen observaciones sobre todas las propuestas de nueva revisión parcial de las directrices de examen en la próxima sesión y propuso que, a ese respecto, incluya en la comunicación a todos los participantes de la sesión anterior del TWP.</w:t>
      </w:r>
    </w:p>
    <w:p w14:paraId="08E46F37" w14:textId="77777777" w:rsidR="00E84B03" w:rsidRPr="00D40DC9" w:rsidRDefault="00E84B03" w:rsidP="009956BC">
      <w:pPr>
        <w:rPr>
          <w:rFonts w:cs="Arial"/>
          <w:bCs/>
          <w:i/>
          <w:snapToGrid w:val="0"/>
          <w:lang w:val="es-419"/>
        </w:rPr>
      </w:pPr>
    </w:p>
    <w:p w14:paraId="3E8B5038" w14:textId="77777777" w:rsidR="009956BC" w:rsidRPr="00D40DC9" w:rsidRDefault="009956BC" w:rsidP="00E84B03">
      <w:pPr>
        <w:tabs>
          <w:tab w:val="left" w:pos="5387"/>
          <w:tab w:val="left" w:pos="5954"/>
        </w:tabs>
        <w:ind w:left="4820"/>
        <w:rPr>
          <w:rFonts w:cs="Arial"/>
          <w:bCs/>
          <w:i/>
          <w:snapToGrid w:val="0"/>
          <w:lang w:val="es-419"/>
        </w:rPr>
      </w:pPr>
      <w:r w:rsidRPr="00D40DC9">
        <w:rPr>
          <w:rFonts w:cs="Arial"/>
          <w:bCs/>
          <w:i/>
          <w:snapToGrid w:val="0"/>
          <w:lang w:val="es-419"/>
        </w:rPr>
        <w:fldChar w:fldCharType="begin"/>
      </w:r>
      <w:r w:rsidRPr="00D40DC9">
        <w:rPr>
          <w:rFonts w:cs="Arial"/>
          <w:bCs/>
          <w:i/>
          <w:snapToGrid w:val="0"/>
          <w:lang w:val="es-419"/>
        </w:rPr>
        <w:instrText xml:space="preserve"> AUTONUM  </w:instrText>
      </w:r>
      <w:r w:rsidRPr="00D40DC9">
        <w:rPr>
          <w:rFonts w:cs="Arial"/>
          <w:bCs/>
          <w:i/>
          <w:snapToGrid w:val="0"/>
          <w:lang w:val="es-419"/>
        </w:rPr>
        <w:fldChar w:fldCharType="end"/>
      </w:r>
      <w:r w:rsidRPr="00D40DC9">
        <w:rPr>
          <w:lang w:val="es-419"/>
        </w:rPr>
        <w:tab/>
      </w:r>
      <w:r w:rsidRPr="00D40DC9">
        <w:rPr>
          <w:i/>
          <w:snapToGrid w:val="0"/>
          <w:lang w:val="es-419"/>
        </w:rPr>
        <w:t>Se invita al TC a:</w:t>
      </w:r>
    </w:p>
    <w:p w14:paraId="019159E0" w14:textId="77777777" w:rsidR="009956BC" w:rsidRPr="00D40DC9" w:rsidRDefault="009956BC" w:rsidP="009956BC">
      <w:pPr>
        <w:keepNext/>
        <w:tabs>
          <w:tab w:val="left" w:pos="5387"/>
          <w:tab w:val="left" w:pos="5954"/>
        </w:tabs>
        <w:ind w:left="4820"/>
        <w:rPr>
          <w:rFonts w:cs="Arial"/>
          <w:bCs/>
          <w:i/>
          <w:snapToGrid w:val="0"/>
          <w:lang w:val="es-419"/>
        </w:rPr>
      </w:pPr>
    </w:p>
    <w:p w14:paraId="40319E92" w14:textId="77777777" w:rsidR="009956BC" w:rsidRPr="00D40DC9" w:rsidRDefault="009956BC" w:rsidP="009956BC">
      <w:pPr>
        <w:keepNext/>
        <w:tabs>
          <w:tab w:val="left" w:pos="5387"/>
          <w:tab w:val="left" w:pos="5954"/>
        </w:tabs>
        <w:ind w:left="4820"/>
        <w:rPr>
          <w:i/>
          <w:lang w:val="es-419"/>
        </w:rPr>
      </w:pPr>
      <w:r w:rsidRPr="00D40DC9">
        <w:rPr>
          <w:lang w:val="es-419"/>
        </w:rPr>
        <w:tab/>
      </w:r>
      <w:r w:rsidRPr="00D40DC9">
        <w:rPr>
          <w:i/>
          <w:snapToGrid w:val="0"/>
          <w:lang w:val="es-419"/>
        </w:rPr>
        <w:t>a)</w:t>
      </w:r>
      <w:r w:rsidRPr="00D40DC9">
        <w:rPr>
          <w:lang w:val="es-419"/>
        </w:rPr>
        <w:tab/>
      </w:r>
      <w:r w:rsidRPr="00D40DC9">
        <w:rPr>
          <w:i/>
          <w:lang w:val="es-419"/>
        </w:rPr>
        <w:t>examinar las propuestas del TWF sobre las circunstancias en que es posible y en que no es posible introducir modificaciones en las directrices de examen de la UPOV con poca antelación;</w:t>
      </w:r>
    </w:p>
    <w:p w14:paraId="4A9D29B8" w14:textId="77777777" w:rsidR="009956BC" w:rsidRPr="00D40DC9" w:rsidRDefault="009956BC" w:rsidP="009956BC">
      <w:pPr>
        <w:tabs>
          <w:tab w:val="left" w:pos="5387"/>
          <w:tab w:val="left" w:pos="5954"/>
        </w:tabs>
        <w:ind w:left="4820"/>
        <w:rPr>
          <w:i/>
          <w:lang w:val="es-419"/>
        </w:rPr>
      </w:pPr>
    </w:p>
    <w:p w14:paraId="0A56659E" w14:textId="39163384" w:rsidR="009956BC" w:rsidRPr="00D40DC9" w:rsidRDefault="0084043B" w:rsidP="0084043B">
      <w:pPr>
        <w:keepNext/>
        <w:tabs>
          <w:tab w:val="left" w:pos="5387"/>
          <w:tab w:val="left" w:pos="5954"/>
        </w:tabs>
        <w:ind w:left="4820"/>
        <w:rPr>
          <w:rFonts w:cs="Arial"/>
          <w:bCs/>
          <w:i/>
          <w:snapToGrid w:val="0"/>
          <w:lang w:val="es-419"/>
        </w:rPr>
      </w:pPr>
      <w:r w:rsidRPr="00D40DC9">
        <w:rPr>
          <w:i/>
          <w:lang w:val="es-419"/>
        </w:rPr>
        <w:tab/>
      </w:r>
      <w:r w:rsidR="00E84B03" w:rsidRPr="00D40DC9">
        <w:rPr>
          <w:i/>
          <w:lang w:val="es-419"/>
        </w:rPr>
        <w:t>b)</w:t>
      </w:r>
      <w:r w:rsidR="00E84B03" w:rsidRPr="00D40DC9">
        <w:rPr>
          <w:lang w:val="es-419"/>
        </w:rPr>
        <w:tab/>
      </w:r>
      <w:r w:rsidR="00E84B03" w:rsidRPr="00D40DC9">
        <w:rPr>
          <w:i/>
          <w:lang w:val="es-419"/>
        </w:rPr>
        <w:t xml:space="preserve">considerar si procede modificar el procedimiento de revisión parcial de las directrices de examen, sobre la base de la propuesta formulada por el TWF que se expone en </w:t>
      </w:r>
      <w:r w:rsidR="00E84B03" w:rsidRPr="0063369D">
        <w:rPr>
          <w:i/>
          <w:lang w:val="es-419"/>
        </w:rPr>
        <w:t>los párrafos 45 a 47 del</w:t>
      </w:r>
      <w:r w:rsidR="00E84B03" w:rsidRPr="00D40DC9">
        <w:rPr>
          <w:i/>
          <w:lang w:val="es-419"/>
        </w:rPr>
        <w:t xml:space="preserve"> presente documento.</w:t>
      </w:r>
    </w:p>
    <w:p w14:paraId="2F8515D9" w14:textId="77777777" w:rsidR="009956BC" w:rsidRPr="00D40DC9" w:rsidRDefault="009956BC" w:rsidP="009956BC">
      <w:pPr>
        <w:rPr>
          <w:lang w:val="es-419"/>
        </w:rPr>
      </w:pPr>
    </w:p>
    <w:p w14:paraId="1FA3E932" w14:textId="77777777" w:rsidR="009956BC" w:rsidRPr="00D40DC9" w:rsidRDefault="009956BC" w:rsidP="00DD1532">
      <w:pPr>
        <w:keepNext/>
        <w:outlineLvl w:val="2"/>
        <w:rPr>
          <w:rFonts w:eastAsia="MS Mincho"/>
          <w:i/>
          <w:lang w:val="es-419"/>
        </w:rPr>
      </w:pPr>
      <w:bookmarkStart w:id="75" w:name="_Toc20508534"/>
      <w:bookmarkStart w:id="76" w:name="_Toc22129415"/>
      <w:r w:rsidRPr="00D40DC9">
        <w:rPr>
          <w:i/>
          <w:lang w:val="es-419"/>
        </w:rPr>
        <w:lastRenderedPageBreak/>
        <w:t>Presentación de la escala completa de notas de los caracteres cuantitativos en las directrices de examen</w:t>
      </w:r>
      <w:bookmarkEnd w:id="75"/>
      <w:bookmarkEnd w:id="76"/>
    </w:p>
    <w:p w14:paraId="6E35E1F4" w14:textId="77777777" w:rsidR="009956BC" w:rsidRPr="00D40DC9" w:rsidRDefault="009956BC" w:rsidP="00DD1532">
      <w:pPr>
        <w:keepNext/>
        <w:rPr>
          <w:lang w:val="es-419"/>
        </w:rPr>
      </w:pPr>
    </w:p>
    <w:p w14:paraId="242A2FB9" w14:textId="77777777" w:rsidR="009956BC" w:rsidRPr="00D40DC9" w:rsidRDefault="009956BC" w:rsidP="00DD1532">
      <w:pPr>
        <w:keepNext/>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En todas las directrices de examen de la UPOV figura la explicación siguiente sobre la presentación de los niveles de expresión de los caracteres cuantitativos (véase el documento TGP/7 “Elaboración de las directrices de examen”, Anexo 1 “Estructura y texto estándar universal de los documentos TG”).</w:t>
      </w:r>
    </w:p>
    <w:p w14:paraId="01759D35" w14:textId="77777777" w:rsidR="009956BC" w:rsidRPr="00D40DC9" w:rsidRDefault="009956BC" w:rsidP="009956BC">
      <w:pPr>
        <w:rPr>
          <w:lang w:val="es-419"/>
        </w:rPr>
      </w:pPr>
    </w:p>
    <w:p w14:paraId="181CBB4B" w14:textId="388F0FD0" w:rsidR="009956BC" w:rsidRPr="00D40DC9" w:rsidRDefault="009956BC" w:rsidP="009956BC">
      <w:pPr>
        <w:ind w:left="567" w:right="567"/>
        <w:rPr>
          <w:lang w:val="es-419"/>
        </w:rPr>
      </w:pPr>
      <w:r w:rsidRPr="00D40DC9">
        <w:rPr>
          <w:color w:val="000000"/>
          <w:lang w:val="es-419"/>
        </w:rPr>
        <w:t xml:space="preserve">“En el caso de los caracteres cualitativos y </w:t>
      </w:r>
      <w:proofErr w:type="spellStart"/>
      <w:r w:rsidRPr="00D40DC9">
        <w:rPr>
          <w:color w:val="000000"/>
          <w:lang w:val="es-419"/>
        </w:rPr>
        <w:t>pseudocualitativos</w:t>
      </w:r>
      <w:proofErr w:type="spellEnd"/>
      <w:r w:rsidRPr="00D40DC9">
        <w:rPr>
          <w:color w:val="000000"/>
          <w:lang w:val="es-419"/>
        </w:rPr>
        <w:t xml:space="preserve"> (véase el Capítulo 6.3), todos los niveles pertinentes de expresión se presentan en el carácter.</w:t>
      </w:r>
      <w:r w:rsidR="007D241B" w:rsidRPr="00D40DC9">
        <w:rPr>
          <w:color w:val="000000"/>
          <w:lang w:val="es-419"/>
        </w:rPr>
        <w:t xml:space="preserve"> </w:t>
      </w:r>
      <w:r w:rsidRPr="00D40DC9">
        <w:rPr>
          <w:color w:val="000000"/>
          <w:lang w:val="es-419"/>
        </w:rPr>
        <w:t>Sin embargo, en el caso de caracteres cuantitativos con cinco o más niveles puede utilizarse una escala abreviada para reducir al mínimo el tamaño de la tabla de caracteres.</w:t>
      </w:r>
      <w:r w:rsidR="007D241B" w:rsidRPr="00D40DC9">
        <w:rPr>
          <w:color w:val="000000"/>
          <w:lang w:val="es-419"/>
        </w:rPr>
        <w:t xml:space="preserve"> </w:t>
      </w:r>
      <w:r w:rsidRPr="00D40DC9">
        <w:rPr>
          <w:color w:val="000000"/>
          <w:lang w:val="es-419"/>
        </w:rPr>
        <w:t>Por ejemplo, respecto de un carácter cuantitativo de nueve niveles de expresión, la presentación de los niveles de expresión en las directrices de examen puede abreviarse como sigue:</w:t>
      </w:r>
    </w:p>
    <w:p w14:paraId="2149F933" w14:textId="77777777" w:rsidR="009956BC" w:rsidRPr="00D40DC9" w:rsidRDefault="009956BC" w:rsidP="009956BC">
      <w:pPr>
        <w:rPr>
          <w:lang w:val="es-419"/>
        </w:rPr>
      </w:pPr>
    </w:p>
    <w:tbl>
      <w:tblPr>
        <w:tblOverlap w:val="never"/>
        <w:tblW w:w="9630" w:type="dxa"/>
        <w:tblLayout w:type="fixed"/>
        <w:tblLook w:val="01E0" w:firstRow="1" w:lastRow="1" w:firstColumn="1" w:lastColumn="1" w:noHBand="0" w:noVBand="0"/>
      </w:tblPr>
      <w:tblGrid>
        <w:gridCol w:w="9630"/>
      </w:tblGrid>
      <w:tr w:rsidR="009956BC" w:rsidRPr="00D40DC9" w14:paraId="6ACCF7B6" w14:textId="77777777" w:rsidTr="001270B2">
        <w:tc>
          <w:tcPr>
            <w:tcW w:w="8820" w:type="dxa"/>
            <w:tcMar>
              <w:top w:w="0" w:type="dxa"/>
              <w:left w:w="0" w:type="dxa"/>
              <w:bottom w:w="0" w:type="dxa"/>
              <w:right w:w="0" w:type="dxa"/>
            </w:tcMar>
          </w:tcPr>
          <w:tbl>
            <w:tblPr>
              <w:tblOverlap w:val="never"/>
              <w:tblW w:w="3585" w:type="dxa"/>
              <w:jc w:val="center"/>
              <w:tblLayout w:type="fixed"/>
              <w:tblLook w:val="01E0" w:firstRow="1" w:lastRow="1" w:firstColumn="1" w:lastColumn="1" w:noHBand="0" w:noVBand="0"/>
            </w:tblPr>
            <w:tblGrid>
              <w:gridCol w:w="2595"/>
              <w:gridCol w:w="990"/>
            </w:tblGrid>
            <w:tr w:rsidR="009956BC" w:rsidRPr="00D40DC9" w14:paraId="4575255F" w14:textId="77777777" w:rsidTr="001270B2">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2DE9ED69" w14:textId="77777777" w:rsidR="009956BC" w:rsidRPr="00D40DC9" w:rsidRDefault="009956BC" w:rsidP="009956BC">
                  <w:pPr>
                    <w:jc w:val="center"/>
                    <w:rPr>
                      <w:rFonts w:eastAsia="Arial" w:cs="Arial"/>
                      <w:i/>
                      <w:iCs/>
                      <w:color w:val="000000"/>
                      <w:sz w:val="16"/>
                      <w:szCs w:val="16"/>
                      <w:lang w:val="es-419"/>
                    </w:rPr>
                  </w:pPr>
                  <w:r w:rsidRPr="00D40DC9">
                    <w:rPr>
                      <w:i/>
                      <w:color w:val="000000"/>
                      <w:sz w:val="16"/>
                      <w:lang w:val="es-419"/>
                    </w:rPr>
                    <w:t>Nivel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0245A91B" w14:textId="77777777" w:rsidR="009956BC" w:rsidRPr="00D40DC9" w:rsidRDefault="009956BC" w:rsidP="009956BC">
                  <w:pPr>
                    <w:jc w:val="center"/>
                    <w:rPr>
                      <w:rFonts w:eastAsia="Arial" w:cs="Arial"/>
                      <w:i/>
                      <w:iCs/>
                      <w:color w:val="000000"/>
                      <w:sz w:val="16"/>
                      <w:szCs w:val="16"/>
                      <w:lang w:val="es-419"/>
                    </w:rPr>
                  </w:pPr>
                  <w:r w:rsidRPr="00D40DC9">
                    <w:rPr>
                      <w:i/>
                      <w:color w:val="000000"/>
                      <w:sz w:val="16"/>
                      <w:lang w:val="es-419"/>
                    </w:rPr>
                    <w:t>Nota</w:t>
                  </w:r>
                </w:p>
              </w:tc>
            </w:tr>
            <w:tr w:rsidR="009956BC" w:rsidRPr="00D40DC9" w14:paraId="7D3E8C53" w14:textId="77777777" w:rsidTr="001270B2">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3A278452" w14:textId="77777777" w:rsidR="009956BC" w:rsidRPr="00D40DC9" w:rsidRDefault="009956BC" w:rsidP="009956BC">
                  <w:pPr>
                    <w:rPr>
                      <w:rFonts w:eastAsia="Arial" w:cs="Arial"/>
                      <w:color w:val="000000"/>
                      <w:sz w:val="16"/>
                      <w:szCs w:val="16"/>
                      <w:lang w:val="es-419"/>
                    </w:rPr>
                  </w:pPr>
                  <w:r w:rsidRPr="00D40DC9">
                    <w:rPr>
                      <w:color w:val="000000"/>
                      <w:sz w:val="16"/>
                      <w:lang w:val="es-419"/>
                    </w:rPr>
                    <w:t>pequeño</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190C0593" w14:textId="77777777" w:rsidR="009956BC" w:rsidRPr="00D40DC9" w:rsidRDefault="009956BC" w:rsidP="009956BC">
                  <w:pPr>
                    <w:jc w:val="center"/>
                    <w:rPr>
                      <w:rFonts w:eastAsia="Arial" w:cs="Arial"/>
                      <w:color w:val="000000"/>
                      <w:sz w:val="16"/>
                      <w:szCs w:val="16"/>
                      <w:lang w:val="es-419"/>
                    </w:rPr>
                  </w:pPr>
                  <w:r w:rsidRPr="00D40DC9">
                    <w:rPr>
                      <w:color w:val="000000"/>
                      <w:sz w:val="16"/>
                      <w:lang w:val="es-419"/>
                    </w:rPr>
                    <w:t>3</w:t>
                  </w:r>
                </w:p>
              </w:tc>
            </w:tr>
            <w:tr w:rsidR="009956BC" w:rsidRPr="00D40DC9" w14:paraId="0FEAA037" w14:textId="77777777" w:rsidTr="001270B2">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639A47A2" w14:textId="77777777" w:rsidR="009956BC" w:rsidRPr="00D40DC9" w:rsidRDefault="009956BC" w:rsidP="009956BC">
                  <w:pPr>
                    <w:rPr>
                      <w:rFonts w:eastAsia="Arial" w:cs="Arial"/>
                      <w:color w:val="000000"/>
                      <w:sz w:val="16"/>
                      <w:szCs w:val="16"/>
                      <w:lang w:val="es-419"/>
                    </w:rPr>
                  </w:pPr>
                  <w:r w:rsidRPr="00D40DC9">
                    <w:rPr>
                      <w:color w:val="000000"/>
                      <w:sz w:val="16"/>
                      <w:lang w:val="es-419"/>
                    </w:rPr>
                    <w:t>mediano</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30BAF8E1" w14:textId="77777777" w:rsidR="009956BC" w:rsidRPr="00D40DC9" w:rsidRDefault="009956BC" w:rsidP="009956BC">
                  <w:pPr>
                    <w:jc w:val="center"/>
                    <w:rPr>
                      <w:rFonts w:eastAsia="Arial" w:cs="Arial"/>
                      <w:color w:val="000000"/>
                      <w:sz w:val="16"/>
                      <w:szCs w:val="16"/>
                      <w:lang w:val="es-419"/>
                    </w:rPr>
                  </w:pPr>
                  <w:r w:rsidRPr="00D40DC9">
                    <w:rPr>
                      <w:color w:val="000000"/>
                      <w:sz w:val="16"/>
                      <w:lang w:val="es-419"/>
                    </w:rPr>
                    <w:t>5</w:t>
                  </w:r>
                </w:p>
              </w:tc>
            </w:tr>
            <w:tr w:rsidR="009956BC" w:rsidRPr="00D40DC9" w14:paraId="12F70226" w14:textId="77777777" w:rsidTr="001270B2">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3711149B" w14:textId="77777777" w:rsidR="009956BC" w:rsidRPr="00D40DC9" w:rsidRDefault="009956BC" w:rsidP="009956BC">
                  <w:pPr>
                    <w:rPr>
                      <w:rFonts w:eastAsia="Arial" w:cs="Arial"/>
                      <w:color w:val="000000"/>
                      <w:sz w:val="16"/>
                      <w:szCs w:val="16"/>
                      <w:lang w:val="es-419"/>
                    </w:rPr>
                  </w:pPr>
                  <w:r w:rsidRPr="00D40DC9">
                    <w:rPr>
                      <w:color w:val="000000"/>
                      <w:sz w:val="16"/>
                      <w:lang w:val="es-419"/>
                    </w:rPr>
                    <w:t>grande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255041BF" w14:textId="77777777" w:rsidR="009956BC" w:rsidRPr="00D40DC9" w:rsidRDefault="009956BC" w:rsidP="009956BC">
                  <w:pPr>
                    <w:jc w:val="center"/>
                    <w:rPr>
                      <w:rFonts w:eastAsia="Arial" w:cs="Arial"/>
                      <w:color w:val="000000"/>
                      <w:sz w:val="16"/>
                      <w:szCs w:val="16"/>
                      <w:lang w:val="es-419"/>
                    </w:rPr>
                  </w:pPr>
                  <w:r w:rsidRPr="00D40DC9">
                    <w:rPr>
                      <w:color w:val="000000"/>
                      <w:sz w:val="16"/>
                      <w:lang w:val="es-419"/>
                    </w:rPr>
                    <w:t>7</w:t>
                  </w:r>
                </w:p>
              </w:tc>
            </w:tr>
          </w:tbl>
          <w:p w14:paraId="291A2367" w14:textId="77777777" w:rsidR="009956BC" w:rsidRPr="00D40DC9" w:rsidRDefault="009956BC" w:rsidP="009956BC">
            <w:pPr>
              <w:spacing w:line="1" w:lineRule="auto"/>
              <w:rPr>
                <w:lang w:val="es-419"/>
              </w:rPr>
            </w:pPr>
          </w:p>
        </w:tc>
      </w:tr>
    </w:tbl>
    <w:p w14:paraId="54480464" w14:textId="77777777" w:rsidR="009956BC" w:rsidRPr="00D40DC9" w:rsidRDefault="009956BC" w:rsidP="009956BC">
      <w:pPr>
        <w:rPr>
          <w:lang w:val="es-419"/>
        </w:rPr>
      </w:pPr>
    </w:p>
    <w:p w14:paraId="69DD5328" w14:textId="77777777" w:rsidR="009956BC" w:rsidRPr="00D40DC9" w:rsidRDefault="009956BC" w:rsidP="009956BC">
      <w:pPr>
        <w:ind w:left="567" w:right="567"/>
        <w:rPr>
          <w:lang w:val="es-419"/>
        </w:rPr>
      </w:pPr>
      <w:r w:rsidRPr="00D40DC9">
        <w:rPr>
          <w:color w:val="000000"/>
          <w:lang w:val="es-419"/>
        </w:rPr>
        <w:t>Ahora bien, cabe observar que los nueve niveles de expresión siguientes existen para describir las variedades y deberán utilizarse según proceda:</w:t>
      </w:r>
    </w:p>
    <w:p w14:paraId="6ACC15C6" w14:textId="77777777" w:rsidR="009956BC" w:rsidRPr="00D40DC9" w:rsidRDefault="009956BC" w:rsidP="009956BC">
      <w:pPr>
        <w:rPr>
          <w:lang w:val="es-419"/>
        </w:rPr>
      </w:pPr>
    </w:p>
    <w:tbl>
      <w:tblPr>
        <w:tblOverlap w:val="never"/>
        <w:tblW w:w="3585" w:type="dxa"/>
        <w:jc w:val="center"/>
        <w:tblLayout w:type="fixed"/>
        <w:tblLook w:val="01E0" w:firstRow="1" w:lastRow="1" w:firstColumn="1" w:lastColumn="1" w:noHBand="0" w:noVBand="0"/>
      </w:tblPr>
      <w:tblGrid>
        <w:gridCol w:w="2595"/>
        <w:gridCol w:w="990"/>
      </w:tblGrid>
      <w:tr w:rsidR="009956BC" w:rsidRPr="00D40DC9" w14:paraId="151CFCF5" w14:textId="77777777"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326C2A84" w14:textId="77777777" w:rsidR="009956BC" w:rsidRPr="00D40DC9" w:rsidRDefault="009956BC" w:rsidP="009956BC">
            <w:pPr>
              <w:keepNext/>
              <w:jc w:val="center"/>
              <w:rPr>
                <w:rFonts w:eastAsia="Arial" w:cs="Arial"/>
                <w:i/>
                <w:iCs/>
                <w:color w:val="000000"/>
                <w:sz w:val="16"/>
                <w:szCs w:val="16"/>
                <w:lang w:val="es-419"/>
              </w:rPr>
            </w:pPr>
            <w:r w:rsidRPr="00D40DC9">
              <w:rPr>
                <w:i/>
                <w:color w:val="000000"/>
                <w:sz w:val="16"/>
                <w:lang w:val="es-419"/>
              </w:rPr>
              <w:t>Nivel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7AA7DED8" w14:textId="77777777" w:rsidR="009956BC" w:rsidRPr="00D40DC9" w:rsidRDefault="009956BC" w:rsidP="009956BC">
            <w:pPr>
              <w:keepNext/>
              <w:jc w:val="center"/>
              <w:rPr>
                <w:rFonts w:eastAsia="Arial" w:cs="Arial"/>
                <w:i/>
                <w:iCs/>
                <w:color w:val="000000"/>
                <w:sz w:val="16"/>
                <w:szCs w:val="16"/>
                <w:lang w:val="es-419"/>
              </w:rPr>
            </w:pPr>
            <w:r w:rsidRPr="00D40DC9">
              <w:rPr>
                <w:i/>
                <w:color w:val="000000"/>
                <w:sz w:val="16"/>
                <w:lang w:val="es-419"/>
              </w:rPr>
              <w:t>Nota</w:t>
            </w:r>
          </w:p>
        </w:tc>
      </w:tr>
      <w:tr w:rsidR="009956BC" w:rsidRPr="00D40DC9" w14:paraId="01746E14" w14:textId="77777777"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1420F97B" w14:textId="77777777" w:rsidR="009956BC" w:rsidRPr="00D40DC9" w:rsidRDefault="009956BC" w:rsidP="009956BC">
            <w:pPr>
              <w:keepNext/>
              <w:rPr>
                <w:rFonts w:eastAsia="Arial" w:cs="Arial"/>
                <w:color w:val="000000"/>
                <w:sz w:val="16"/>
                <w:szCs w:val="16"/>
                <w:lang w:val="es-419"/>
              </w:rPr>
            </w:pPr>
            <w:r w:rsidRPr="00D40DC9">
              <w:rPr>
                <w:color w:val="000000"/>
                <w:sz w:val="16"/>
                <w:lang w:val="es-419"/>
              </w:rPr>
              <w:t>muy pequeño</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500F992F" w14:textId="77777777" w:rsidR="009956BC" w:rsidRPr="00D40DC9" w:rsidRDefault="009956BC" w:rsidP="009956BC">
            <w:pPr>
              <w:keepNext/>
              <w:jc w:val="center"/>
              <w:rPr>
                <w:rFonts w:eastAsia="Arial" w:cs="Arial"/>
                <w:color w:val="000000"/>
                <w:sz w:val="16"/>
                <w:szCs w:val="16"/>
                <w:lang w:val="es-419"/>
              </w:rPr>
            </w:pPr>
            <w:r w:rsidRPr="00D40DC9">
              <w:rPr>
                <w:color w:val="000000"/>
                <w:sz w:val="16"/>
                <w:lang w:val="es-419"/>
              </w:rPr>
              <w:t>1</w:t>
            </w:r>
          </w:p>
        </w:tc>
      </w:tr>
      <w:tr w:rsidR="009956BC" w:rsidRPr="00D40DC9" w14:paraId="4776F899" w14:textId="77777777"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6AAFAC1C" w14:textId="77777777" w:rsidR="009956BC" w:rsidRPr="00D40DC9" w:rsidRDefault="009956BC" w:rsidP="009956BC">
            <w:pPr>
              <w:keepNext/>
              <w:rPr>
                <w:rFonts w:eastAsia="Arial" w:cs="Arial"/>
                <w:color w:val="000000"/>
                <w:sz w:val="16"/>
                <w:szCs w:val="16"/>
                <w:lang w:val="es-419"/>
              </w:rPr>
            </w:pPr>
            <w:r w:rsidRPr="00D40DC9">
              <w:rPr>
                <w:color w:val="000000"/>
                <w:sz w:val="16"/>
                <w:lang w:val="es-419"/>
              </w:rPr>
              <w:t>muy pequeño a pequeño</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706AACE0" w14:textId="77777777" w:rsidR="009956BC" w:rsidRPr="00D40DC9" w:rsidRDefault="009956BC" w:rsidP="009956BC">
            <w:pPr>
              <w:keepNext/>
              <w:jc w:val="center"/>
              <w:rPr>
                <w:rFonts w:eastAsia="Arial" w:cs="Arial"/>
                <w:color w:val="000000"/>
                <w:sz w:val="16"/>
                <w:szCs w:val="16"/>
                <w:lang w:val="es-419"/>
              </w:rPr>
            </w:pPr>
            <w:r w:rsidRPr="00D40DC9">
              <w:rPr>
                <w:color w:val="000000"/>
                <w:sz w:val="16"/>
                <w:lang w:val="es-419"/>
              </w:rPr>
              <w:t>2</w:t>
            </w:r>
          </w:p>
        </w:tc>
      </w:tr>
      <w:tr w:rsidR="009956BC" w:rsidRPr="00D40DC9" w14:paraId="31E6D09C" w14:textId="77777777"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3A2BDCB9" w14:textId="77777777" w:rsidR="009956BC" w:rsidRPr="00D40DC9" w:rsidRDefault="009956BC" w:rsidP="009956BC">
            <w:pPr>
              <w:keepNext/>
              <w:rPr>
                <w:rFonts w:eastAsia="Arial" w:cs="Arial"/>
                <w:color w:val="000000"/>
                <w:sz w:val="16"/>
                <w:szCs w:val="16"/>
                <w:lang w:val="es-419"/>
              </w:rPr>
            </w:pPr>
            <w:r w:rsidRPr="00D40DC9">
              <w:rPr>
                <w:color w:val="000000"/>
                <w:sz w:val="16"/>
                <w:lang w:val="es-419"/>
              </w:rPr>
              <w:t>pequeño</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3FBF8890" w14:textId="77777777" w:rsidR="009956BC" w:rsidRPr="00D40DC9" w:rsidRDefault="009956BC" w:rsidP="009956BC">
            <w:pPr>
              <w:keepNext/>
              <w:jc w:val="center"/>
              <w:rPr>
                <w:rFonts w:eastAsia="Arial" w:cs="Arial"/>
                <w:color w:val="000000"/>
                <w:sz w:val="16"/>
                <w:szCs w:val="16"/>
                <w:lang w:val="es-419"/>
              </w:rPr>
            </w:pPr>
            <w:r w:rsidRPr="00D40DC9">
              <w:rPr>
                <w:color w:val="000000"/>
                <w:sz w:val="16"/>
                <w:lang w:val="es-419"/>
              </w:rPr>
              <w:t>3</w:t>
            </w:r>
          </w:p>
        </w:tc>
      </w:tr>
      <w:tr w:rsidR="009956BC" w:rsidRPr="00D40DC9" w14:paraId="0913B370" w14:textId="77777777"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7EDDB168" w14:textId="77777777" w:rsidR="009956BC" w:rsidRPr="00D40DC9" w:rsidRDefault="009956BC" w:rsidP="009956BC">
            <w:pPr>
              <w:keepNext/>
              <w:rPr>
                <w:rFonts w:eastAsia="Arial" w:cs="Arial"/>
                <w:color w:val="000000"/>
                <w:sz w:val="16"/>
                <w:szCs w:val="16"/>
                <w:lang w:val="es-419"/>
              </w:rPr>
            </w:pPr>
            <w:r w:rsidRPr="00D40DC9">
              <w:rPr>
                <w:color w:val="000000"/>
                <w:sz w:val="16"/>
                <w:lang w:val="es-419"/>
              </w:rPr>
              <w:t>pequeño a medio</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19EBE097" w14:textId="77777777" w:rsidR="009956BC" w:rsidRPr="00D40DC9" w:rsidRDefault="009956BC" w:rsidP="009956BC">
            <w:pPr>
              <w:keepNext/>
              <w:jc w:val="center"/>
              <w:rPr>
                <w:rFonts w:eastAsia="Arial" w:cs="Arial"/>
                <w:color w:val="000000"/>
                <w:sz w:val="16"/>
                <w:szCs w:val="16"/>
                <w:lang w:val="es-419"/>
              </w:rPr>
            </w:pPr>
            <w:r w:rsidRPr="00D40DC9">
              <w:rPr>
                <w:color w:val="000000"/>
                <w:sz w:val="16"/>
                <w:lang w:val="es-419"/>
              </w:rPr>
              <w:t>4</w:t>
            </w:r>
          </w:p>
        </w:tc>
      </w:tr>
      <w:tr w:rsidR="009956BC" w:rsidRPr="00D40DC9" w14:paraId="5EED66D3" w14:textId="77777777"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53D7741A" w14:textId="77777777" w:rsidR="009956BC" w:rsidRPr="00D40DC9" w:rsidRDefault="009956BC" w:rsidP="009956BC">
            <w:pPr>
              <w:keepNext/>
              <w:rPr>
                <w:rFonts w:eastAsia="Arial" w:cs="Arial"/>
                <w:color w:val="000000"/>
                <w:sz w:val="16"/>
                <w:szCs w:val="16"/>
                <w:lang w:val="es-419"/>
              </w:rPr>
            </w:pPr>
            <w:r w:rsidRPr="00D40DC9">
              <w:rPr>
                <w:color w:val="000000"/>
                <w:sz w:val="16"/>
                <w:lang w:val="es-419"/>
              </w:rPr>
              <w:t>mediano</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0B8DEDED" w14:textId="77777777" w:rsidR="009956BC" w:rsidRPr="00D40DC9" w:rsidRDefault="009956BC" w:rsidP="009956BC">
            <w:pPr>
              <w:keepNext/>
              <w:jc w:val="center"/>
              <w:rPr>
                <w:rFonts w:eastAsia="Arial" w:cs="Arial"/>
                <w:color w:val="000000"/>
                <w:sz w:val="16"/>
                <w:szCs w:val="16"/>
                <w:lang w:val="es-419"/>
              </w:rPr>
            </w:pPr>
            <w:r w:rsidRPr="00D40DC9">
              <w:rPr>
                <w:color w:val="000000"/>
                <w:sz w:val="16"/>
                <w:lang w:val="es-419"/>
              </w:rPr>
              <w:t>5</w:t>
            </w:r>
          </w:p>
        </w:tc>
      </w:tr>
      <w:tr w:rsidR="009956BC" w:rsidRPr="00D40DC9" w14:paraId="3874B2B2" w14:textId="77777777"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548EA2AA" w14:textId="77777777" w:rsidR="009956BC" w:rsidRPr="00D40DC9" w:rsidRDefault="009956BC" w:rsidP="009956BC">
            <w:pPr>
              <w:keepNext/>
              <w:rPr>
                <w:rFonts w:eastAsia="Arial" w:cs="Arial"/>
                <w:color w:val="000000"/>
                <w:sz w:val="16"/>
                <w:szCs w:val="16"/>
                <w:lang w:val="es-419"/>
              </w:rPr>
            </w:pPr>
            <w:r w:rsidRPr="00D40DC9">
              <w:rPr>
                <w:color w:val="000000"/>
                <w:sz w:val="16"/>
                <w:lang w:val="es-419"/>
              </w:rPr>
              <w:t>mediano a grande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7F0330D1" w14:textId="77777777" w:rsidR="009956BC" w:rsidRPr="00D40DC9" w:rsidRDefault="009956BC" w:rsidP="009956BC">
            <w:pPr>
              <w:keepNext/>
              <w:jc w:val="center"/>
              <w:rPr>
                <w:rFonts w:eastAsia="Arial" w:cs="Arial"/>
                <w:color w:val="000000"/>
                <w:sz w:val="16"/>
                <w:szCs w:val="16"/>
                <w:lang w:val="es-419"/>
              </w:rPr>
            </w:pPr>
            <w:r w:rsidRPr="00D40DC9">
              <w:rPr>
                <w:color w:val="000000"/>
                <w:sz w:val="16"/>
                <w:lang w:val="es-419"/>
              </w:rPr>
              <w:t>6</w:t>
            </w:r>
          </w:p>
        </w:tc>
      </w:tr>
      <w:tr w:rsidR="009956BC" w:rsidRPr="00D40DC9" w14:paraId="7C2FAE5D" w14:textId="77777777"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6FF81860" w14:textId="77777777" w:rsidR="009956BC" w:rsidRPr="00D40DC9" w:rsidRDefault="009956BC" w:rsidP="009956BC">
            <w:pPr>
              <w:keepNext/>
              <w:rPr>
                <w:rFonts w:eastAsia="Arial" w:cs="Arial"/>
                <w:color w:val="000000"/>
                <w:sz w:val="16"/>
                <w:szCs w:val="16"/>
                <w:lang w:val="es-419"/>
              </w:rPr>
            </w:pPr>
            <w:r w:rsidRPr="00D40DC9">
              <w:rPr>
                <w:color w:val="000000"/>
                <w:sz w:val="16"/>
                <w:lang w:val="es-419"/>
              </w:rPr>
              <w:t>grande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1BCC002E" w14:textId="77777777" w:rsidR="009956BC" w:rsidRPr="00D40DC9" w:rsidRDefault="009956BC" w:rsidP="009956BC">
            <w:pPr>
              <w:keepNext/>
              <w:jc w:val="center"/>
              <w:rPr>
                <w:rFonts w:eastAsia="Arial" w:cs="Arial"/>
                <w:color w:val="000000"/>
                <w:sz w:val="16"/>
                <w:szCs w:val="16"/>
                <w:lang w:val="es-419"/>
              </w:rPr>
            </w:pPr>
            <w:r w:rsidRPr="00D40DC9">
              <w:rPr>
                <w:color w:val="000000"/>
                <w:sz w:val="16"/>
                <w:lang w:val="es-419"/>
              </w:rPr>
              <w:t>7</w:t>
            </w:r>
          </w:p>
        </w:tc>
      </w:tr>
      <w:tr w:rsidR="009956BC" w:rsidRPr="00D40DC9" w14:paraId="71D3304C" w14:textId="77777777"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4C4114D4" w14:textId="77777777" w:rsidR="009956BC" w:rsidRPr="00D40DC9" w:rsidRDefault="009956BC" w:rsidP="009956BC">
            <w:pPr>
              <w:keepNext/>
              <w:rPr>
                <w:rFonts w:eastAsia="Arial" w:cs="Arial"/>
                <w:color w:val="000000"/>
                <w:sz w:val="16"/>
                <w:szCs w:val="16"/>
                <w:lang w:val="es-419"/>
              </w:rPr>
            </w:pPr>
            <w:r w:rsidRPr="00D40DC9">
              <w:rPr>
                <w:color w:val="000000"/>
                <w:sz w:val="16"/>
                <w:lang w:val="es-419"/>
              </w:rPr>
              <w:t>grande a muy grande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77C8EA58" w14:textId="77777777" w:rsidR="009956BC" w:rsidRPr="00D40DC9" w:rsidRDefault="009956BC" w:rsidP="009956BC">
            <w:pPr>
              <w:keepNext/>
              <w:jc w:val="center"/>
              <w:rPr>
                <w:rFonts w:eastAsia="Arial" w:cs="Arial"/>
                <w:color w:val="000000"/>
                <w:sz w:val="16"/>
                <w:szCs w:val="16"/>
                <w:lang w:val="es-419"/>
              </w:rPr>
            </w:pPr>
            <w:r w:rsidRPr="00D40DC9">
              <w:rPr>
                <w:color w:val="000000"/>
                <w:sz w:val="16"/>
                <w:lang w:val="es-419"/>
              </w:rPr>
              <w:t>8</w:t>
            </w:r>
          </w:p>
        </w:tc>
      </w:tr>
      <w:tr w:rsidR="009956BC" w:rsidRPr="00D40DC9" w14:paraId="02DF750C" w14:textId="77777777"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4DF0B70A" w14:textId="67FAD4FF" w:rsidR="009956BC" w:rsidRPr="00D40DC9" w:rsidRDefault="009956BC" w:rsidP="009956BC">
            <w:pPr>
              <w:keepNext/>
              <w:rPr>
                <w:rFonts w:eastAsia="Arial" w:cs="Arial"/>
                <w:color w:val="000000"/>
                <w:sz w:val="16"/>
                <w:szCs w:val="16"/>
                <w:lang w:val="es-419"/>
              </w:rPr>
            </w:pPr>
            <w:r w:rsidRPr="00D40DC9">
              <w:rPr>
                <w:color w:val="000000"/>
                <w:sz w:val="16"/>
                <w:lang w:val="es-419"/>
              </w:rPr>
              <w:t>muy grande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14:paraId="26AAD5F9" w14:textId="1CCA1D78" w:rsidR="009956BC" w:rsidRPr="00D40DC9" w:rsidRDefault="009956BC" w:rsidP="009956BC">
            <w:pPr>
              <w:keepNext/>
              <w:jc w:val="center"/>
              <w:rPr>
                <w:rFonts w:eastAsia="Arial" w:cs="Arial"/>
                <w:color w:val="000000"/>
                <w:sz w:val="16"/>
                <w:szCs w:val="16"/>
                <w:lang w:val="es-419"/>
              </w:rPr>
            </w:pPr>
            <w:r w:rsidRPr="00D40DC9">
              <w:rPr>
                <w:color w:val="000000"/>
                <w:sz w:val="16"/>
                <w:lang w:val="es-419"/>
              </w:rPr>
              <w:t>9</w:t>
            </w:r>
            <w:r w:rsidR="00890EA0" w:rsidRPr="00D40DC9">
              <w:rPr>
                <w:color w:val="000000"/>
                <w:sz w:val="16"/>
                <w:lang w:val="es-419"/>
              </w:rPr>
              <w:t>”</w:t>
            </w:r>
          </w:p>
        </w:tc>
      </w:tr>
    </w:tbl>
    <w:p w14:paraId="5199FAB1" w14:textId="77777777" w:rsidR="009956BC" w:rsidRPr="00D40DC9" w:rsidRDefault="009956BC" w:rsidP="009956BC">
      <w:pPr>
        <w:rPr>
          <w:lang w:val="es-419"/>
        </w:rPr>
      </w:pPr>
    </w:p>
    <w:p w14:paraId="1B332E06" w14:textId="46A5B240" w:rsidR="009956BC" w:rsidRPr="00D40DC9" w:rsidRDefault="009956BC" w:rsidP="009956B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A pesar de que se incluye esta explicación, existen una confusión y un malentendido generalizados respecto de la escala “abreviada”.</w:t>
      </w:r>
      <w:r w:rsidR="007D241B" w:rsidRPr="00D40DC9">
        <w:rPr>
          <w:lang w:val="es-419"/>
        </w:rPr>
        <w:t xml:space="preserve"> </w:t>
      </w:r>
      <w:r w:rsidRPr="00D40DC9">
        <w:rPr>
          <w:lang w:val="es-419"/>
        </w:rPr>
        <w:t xml:space="preserve">Además, la documentación de la UPOV, tal como las directrices de examen, se publican </w:t>
      </w:r>
      <w:r w:rsidR="00CD1C06" w:rsidRPr="00D40DC9">
        <w:rPr>
          <w:lang w:val="es-419"/>
        </w:rPr>
        <w:t xml:space="preserve">en </w:t>
      </w:r>
      <w:r w:rsidRPr="00D40DC9">
        <w:rPr>
          <w:lang w:val="es-419"/>
        </w:rPr>
        <w:t>el sitio web de la UPOV y ya no se envían como documentos por correo electrónico a los miembros de la UPOV.</w:t>
      </w:r>
      <w:r w:rsidR="007D241B" w:rsidRPr="00D40DC9">
        <w:rPr>
          <w:lang w:val="es-419"/>
        </w:rPr>
        <w:t xml:space="preserve"> </w:t>
      </w:r>
      <w:r w:rsidRPr="00D40DC9">
        <w:rPr>
          <w:lang w:val="es-419"/>
        </w:rPr>
        <w:t>Por lo tanto, es posible que ya no sea conveniente utilizar una escala abreviada para reducir al mínimo el tamaño de la tabla de caracteres.</w:t>
      </w:r>
      <w:r w:rsidR="007D241B" w:rsidRPr="00D40DC9">
        <w:rPr>
          <w:lang w:val="es-419"/>
        </w:rPr>
        <w:t xml:space="preserve"> </w:t>
      </w:r>
      <w:r w:rsidRPr="00D40DC9">
        <w:rPr>
          <w:lang w:val="es-419"/>
        </w:rPr>
        <w:t>Presentar todos los niveles de expresión de los caracteres cuantitativos en la tabla de caracteres también eliminará la necesidad de dar un tratamiento especial a los caracteres que se incluyen en el cuestionario técnico.</w:t>
      </w:r>
      <w:r w:rsidR="007D241B" w:rsidRPr="00D40DC9">
        <w:rPr>
          <w:lang w:val="es-419"/>
        </w:rPr>
        <w:t xml:space="preserve"> </w:t>
      </w:r>
      <w:r w:rsidRPr="00D40DC9">
        <w:rPr>
          <w:lang w:val="es-419"/>
        </w:rPr>
        <w:t>Otra ventaja deriva del hecho de que se necesitan todos los niveles de expresión para los caracteres incluidos en UPOV PRISMA.</w:t>
      </w:r>
      <w:r w:rsidR="007D241B" w:rsidRPr="00D40DC9">
        <w:rPr>
          <w:lang w:val="es-419"/>
        </w:rPr>
        <w:t xml:space="preserve"> </w:t>
      </w:r>
      <w:r w:rsidRPr="00D40DC9">
        <w:rPr>
          <w:lang w:val="es-419"/>
        </w:rPr>
        <w:t>Por estos motivos, se propone a los miembros de la UPOV que examinen la posibilidad de presentar todos los niveles de expresión de los caracteres cuantitativos en las directrices de examen.</w:t>
      </w:r>
    </w:p>
    <w:p w14:paraId="15795EDE" w14:textId="77777777" w:rsidR="009956BC" w:rsidRPr="00D40DC9" w:rsidRDefault="009956BC" w:rsidP="009956BC">
      <w:pPr>
        <w:rPr>
          <w:lang w:val="es-419"/>
        </w:rPr>
      </w:pPr>
    </w:p>
    <w:p w14:paraId="6C393773" w14:textId="63F2B6D5" w:rsidR="009956BC" w:rsidRPr="00D40DC9" w:rsidRDefault="009956BC" w:rsidP="009956BC">
      <w:pPr>
        <w:rPr>
          <w:rFonts w:eastAsia="Arial" w:cs="Arial"/>
          <w:color w:val="000000"/>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En sus sesiones de 2019, se invitó a los TWP a considerar la posibilidad de revisar la nota orientativa (GN) 20 “Presentación de caracteres: niveles de expresión conforme al tipo de expresión de un carácter” y el</w:t>
      </w:r>
      <w:r w:rsidR="00CD1C06" w:rsidRPr="00D40DC9">
        <w:rPr>
          <w:lang w:val="es-419"/>
        </w:rPr>
        <w:t> </w:t>
      </w:r>
      <w:r w:rsidRPr="00D40DC9">
        <w:rPr>
          <w:lang w:val="es-419"/>
        </w:rPr>
        <w:t>Anexo 1 “Estructura y texto estándar universal de los documentos TG” del documento TGP/7, para que se presenten todos los niveles de expresión de los caracteres cuantitativos incluidos en las directrices de examen.</w:t>
      </w:r>
    </w:p>
    <w:p w14:paraId="6A111795" w14:textId="77777777" w:rsidR="005F0359" w:rsidRPr="00D40DC9" w:rsidRDefault="005F0359" w:rsidP="009956BC">
      <w:pPr>
        <w:rPr>
          <w:rFonts w:eastAsia="Arial" w:cs="Arial"/>
          <w:color w:val="000000"/>
          <w:lang w:val="es-419"/>
        </w:rPr>
      </w:pPr>
    </w:p>
    <w:p w14:paraId="2CC2A30B" w14:textId="77777777" w:rsidR="00AE2C77" w:rsidRPr="00D40DC9" w:rsidRDefault="00AE2C77" w:rsidP="00AE2C77">
      <w:pPr>
        <w:pStyle w:val="Heading4"/>
        <w:rPr>
          <w:rFonts w:eastAsia="Arial"/>
          <w:lang w:val="es-419"/>
        </w:rPr>
      </w:pPr>
      <w:bookmarkStart w:id="77" w:name="_Toc22129416"/>
      <w:r w:rsidRPr="00D40DC9">
        <w:rPr>
          <w:lang w:val="es-419"/>
        </w:rPr>
        <w:t>Observaciones formuladas por los TWP en sus sesiones de 2019</w:t>
      </w:r>
      <w:bookmarkEnd w:id="77"/>
    </w:p>
    <w:p w14:paraId="41F5B6C3" w14:textId="77777777" w:rsidR="00AE2C77" w:rsidRPr="00D40DC9" w:rsidRDefault="00AE2C77" w:rsidP="009956BC">
      <w:pPr>
        <w:rPr>
          <w:rFonts w:eastAsia="Arial" w:cs="Arial"/>
          <w:color w:val="000000"/>
          <w:lang w:val="es-419"/>
        </w:rPr>
      </w:pPr>
    </w:p>
    <w:p w14:paraId="0A71218C" w14:textId="77777777" w:rsidR="005F0359" w:rsidRPr="00D40DC9" w:rsidRDefault="00AE2C77" w:rsidP="009956B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En sus sesiones de 2019, el TWO, el TWV, el TWF y el TWA examinaron la propuesta de revisión de la nota orientativa 20 del documento TGP/7, para que se presenten todos los nivele</w:t>
      </w:r>
      <w:r w:rsidRPr="00D40DC9">
        <w:rPr>
          <w:color w:val="000000"/>
          <w:lang w:val="es-419"/>
        </w:rPr>
        <w:t>s de expresión de los caracteres cuantitativos</w:t>
      </w:r>
      <w:r w:rsidRPr="00D40DC9">
        <w:rPr>
          <w:lang w:val="es-419"/>
        </w:rPr>
        <w:t xml:space="preserve"> </w:t>
      </w:r>
      <w:r w:rsidRPr="00D40DC9">
        <w:rPr>
          <w:color w:val="000000"/>
          <w:lang w:val="es-419"/>
        </w:rPr>
        <w:t>en las directrices</w:t>
      </w:r>
      <w:r w:rsidRPr="00D40DC9">
        <w:rPr>
          <w:lang w:val="es-419"/>
        </w:rPr>
        <w:t xml:space="preserve"> de examen</w:t>
      </w:r>
      <w:r w:rsidRPr="00D40DC9">
        <w:rPr>
          <w:color w:val="000000"/>
          <w:lang w:val="es-419"/>
        </w:rPr>
        <w:t xml:space="preserve"> </w:t>
      </w:r>
      <w:r w:rsidRPr="00D40DC9">
        <w:rPr>
          <w:lang w:val="es-419"/>
        </w:rPr>
        <w:t>(véanse los documentos TWO/51/12 “</w:t>
      </w:r>
      <w:proofErr w:type="spellStart"/>
      <w:r w:rsidRPr="00D40DC9">
        <w:rPr>
          <w:i/>
          <w:lang w:val="es-419"/>
        </w:rPr>
        <w:t>Report</w:t>
      </w:r>
      <w:proofErr w:type="spellEnd"/>
      <w:r w:rsidRPr="00D40DC9">
        <w:rPr>
          <w:lang w:val="es-419"/>
        </w:rPr>
        <w:t>”, párrafos 19 a 23, TWV/53/14 “</w:t>
      </w:r>
      <w:proofErr w:type="spellStart"/>
      <w:r w:rsidRPr="00D40DC9">
        <w:rPr>
          <w:i/>
          <w:lang w:val="es-419"/>
        </w:rPr>
        <w:t>Report</w:t>
      </w:r>
      <w:proofErr w:type="spellEnd"/>
      <w:r w:rsidRPr="00D40DC9">
        <w:rPr>
          <w:lang w:val="es-419"/>
        </w:rPr>
        <w:t>”, párrafos 12 a 16, TWF/50/13 “</w:t>
      </w:r>
      <w:proofErr w:type="spellStart"/>
      <w:r w:rsidRPr="00D40DC9">
        <w:rPr>
          <w:i/>
          <w:lang w:val="es-419"/>
        </w:rPr>
        <w:t>Report</w:t>
      </w:r>
      <w:proofErr w:type="spellEnd"/>
      <w:r w:rsidRPr="00D40DC9">
        <w:rPr>
          <w:lang w:val="es-419"/>
        </w:rPr>
        <w:t>”, párrafos 11 y 13 and TWA/48/9 “</w:t>
      </w:r>
      <w:proofErr w:type="spellStart"/>
      <w:r w:rsidRPr="00D40DC9">
        <w:rPr>
          <w:i/>
          <w:lang w:val="es-419"/>
        </w:rPr>
        <w:t>Report</w:t>
      </w:r>
      <w:proofErr w:type="spellEnd"/>
      <w:r w:rsidRPr="00D40DC9">
        <w:rPr>
          <w:lang w:val="es-419"/>
        </w:rPr>
        <w:t>”, párrafos 40 a 42).</w:t>
      </w:r>
    </w:p>
    <w:p w14:paraId="3120AF02" w14:textId="77777777" w:rsidR="00016165" w:rsidRPr="00D40DC9" w:rsidRDefault="00016165" w:rsidP="00016165">
      <w:pPr>
        <w:rPr>
          <w:lang w:val="es-419"/>
        </w:rPr>
      </w:pPr>
    </w:p>
    <w:p w14:paraId="4DE6AD94" w14:textId="77777777" w:rsidR="00016165" w:rsidRPr="00D40DC9" w:rsidRDefault="00016165" w:rsidP="00016165">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El TWO, el TWV y el TWF convinieron en que se deben presentar todos los niveles de expresión de los caracteres cuantitativos en las directrices de examen. </w:t>
      </w:r>
    </w:p>
    <w:p w14:paraId="259DD60B" w14:textId="77777777" w:rsidR="00016165" w:rsidRPr="00D40DC9" w:rsidRDefault="00016165" w:rsidP="00016165">
      <w:pPr>
        <w:rPr>
          <w:lang w:val="es-419"/>
        </w:rPr>
      </w:pPr>
    </w:p>
    <w:p w14:paraId="33291E37" w14:textId="63CDFA26" w:rsidR="00016165" w:rsidRPr="00D40DC9" w:rsidRDefault="00016165" w:rsidP="00016165">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El TWO y el TWV recordaron que, según la orientación ofrecida en el documento TGP/7, en el caso de los caracteres cuantitativos, es necesario proporcionar variedades ejemplo como mínimo para tres niveles de expresión cuando su escala es de “1 a 9” y como mínimo para dos niveles de expresión cuando su escala es de “1 a 5”, “1 a 4” o “1 a 3”.</w:t>
      </w:r>
      <w:r w:rsidR="007D241B" w:rsidRPr="00D40DC9">
        <w:rPr>
          <w:lang w:val="es-419"/>
        </w:rPr>
        <w:t xml:space="preserve"> </w:t>
      </w:r>
      <w:r w:rsidRPr="00D40DC9">
        <w:rPr>
          <w:lang w:val="es-419"/>
        </w:rPr>
        <w:t xml:space="preserve">El TWO y el TWV respaldaron la propuesta de presentar todos los niveles de </w:t>
      </w:r>
      <w:r w:rsidRPr="00D40DC9">
        <w:rPr>
          <w:lang w:val="es-419"/>
        </w:rPr>
        <w:lastRenderedPageBreak/>
        <w:t>expresión de los caracteres cuantitativos en las directrices de examen y convinieron en que hacerlo no modificará el número mínimo de variedades ejemplo necesario en el documento TGP/7.</w:t>
      </w:r>
      <w:r w:rsidR="007D241B" w:rsidRPr="00D40DC9">
        <w:rPr>
          <w:lang w:val="es-419"/>
        </w:rPr>
        <w:t xml:space="preserve"> </w:t>
      </w:r>
    </w:p>
    <w:p w14:paraId="4B7902FD" w14:textId="77777777" w:rsidR="00016165" w:rsidRPr="00D40DC9" w:rsidRDefault="00016165" w:rsidP="00016165">
      <w:pPr>
        <w:rPr>
          <w:lang w:val="es-419"/>
        </w:rPr>
      </w:pPr>
    </w:p>
    <w:p w14:paraId="7C748A09" w14:textId="77777777" w:rsidR="00016165" w:rsidRPr="00D40DC9" w:rsidRDefault="00016165" w:rsidP="00016165">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El TWF acogió con satisfacción la propuesta de presentar la escala completa de las notas de los caracteres cuantitativos en las directrices de examen, ya que redundará en una mayor claridad para los examinadores, en especial en el caso de que el examen se realice en las instalaciones de los obtentores. </w:t>
      </w:r>
      <w:proofErr w:type="gramStart"/>
      <w:r w:rsidRPr="00D40DC9">
        <w:rPr>
          <w:lang w:val="es-419"/>
        </w:rPr>
        <w:t>Asimismo</w:t>
      </w:r>
      <w:proofErr w:type="gramEnd"/>
      <w:r w:rsidRPr="00D40DC9">
        <w:rPr>
          <w:lang w:val="es-419"/>
        </w:rPr>
        <w:t xml:space="preserve"> convino en que mejorará la calidad de los datos proporcionados.</w:t>
      </w:r>
    </w:p>
    <w:p w14:paraId="1DE06B37" w14:textId="77777777" w:rsidR="00016165" w:rsidRPr="00D40DC9" w:rsidRDefault="00016165" w:rsidP="00016165">
      <w:pPr>
        <w:rPr>
          <w:lang w:val="es-419"/>
        </w:rPr>
      </w:pPr>
    </w:p>
    <w:p w14:paraId="457DDED8" w14:textId="77777777" w:rsidR="00016165" w:rsidRPr="00D40DC9" w:rsidRDefault="00016165" w:rsidP="00016165">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El TWA examinó la propuesta de revisión del documento TGP/7 para que se presenten todos los niveles de expresión de los caracteres cuantitativos en las directrices de examen y convino en la imposibilidad de llegar a una conclusión sobre este asunto en esta etapa. </w:t>
      </w:r>
    </w:p>
    <w:p w14:paraId="08DAD159" w14:textId="77777777" w:rsidR="00016165" w:rsidRPr="00D40DC9" w:rsidRDefault="00016165" w:rsidP="00016165">
      <w:pPr>
        <w:rPr>
          <w:lang w:val="es-419"/>
        </w:rPr>
      </w:pPr>
    </w:p>
    <w:p w14:paraId="4D9E04BE" w14:textId="6AA328C3" w:rsidR="00016165" w:rsidRPr="00D40DC9" w:rsidRDefault="00016165" w:rsidP="00016165">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El TWA tomo nota de que presentar todos los nivel</w:t>
      </w:r>
      <w:r w:rsidR="00D40DC9">
        <w:rPr>
          <w:lang w:val="es-419"/>
        </w:rPr>
        <w:t>es</w:t>
      </w:r>
      <w:r w:rsidRPr="00D40DC9">
        <w:rPr>
          <w:lang w:val="es-419"/>
        </w:rPr>
        <w:t xml:space="preserve"> de expresión en las directrices de examen puede ser útil para los examinadores menos experimentados y otros usuarios de las directrices de examen, tales como los obtentores.</w:t>
      </w:r>
      <w:r w:rsidR="007D241B" w:rsidRPr="00D40DC9">
        <w:rPr>
          <w:lang w:val="es-419"/>
        </w:rPr>
        <w:t xml:space="preserve"> </w:t>
      </w:r>
      <w:r w:rsidRPr="00D40DC9">
        <w:rPr>
          <w:lang w:val="es-419"/>
        </w:rPr>
        <w:t>El TWA también tomó nota de que presentar todos los niveles de expresión es importante para los sistemas de solicitud en línea, incluidos los sistemas nacionales de solicitud en línea y UPOV PRISMA.</w:t>
      </w:r>
      <w:r w:rsidR="007D241B" w:rsidRPr="00D40DC9">
        <w:rPr>
          <w:lang w:val="es-419"/>
        </w:rPr>
        <w:t xml:space="preserve"> </w:t>
      </w:r>
    </w:p>
    <w:p w14:paraId="4228DCD1" w14:textId="77777777" w:rsidR="00016165" w:rsidRPr="00D40DC9" w:rsidRDefault="00016165" w:rsidP="00016165">
      <w:pPr>
        <w:rPr>
          <w:lang w:val="es-419"/>
        </w:rPr>
      </w:pPr>
    </w:p>
    <w:p w14:paraId="34AC1811" w14:textId="4F50451F" w:rsidR="00016165" w:rsidRPr="00D40DC9" w:rsidRDefault="00016165" w:rsidP="00016165">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El TWA tomó nota de la explicación estándar ofrecida en las directrices de examen de que, en el caso de los caracteres cuantitativos con 5 o más niveles, es posible utilizar una escala abreviada, aunque existan otros niveles de expresión para describir las variedades y se deben utilizar según corresponda.</w:t>
      </w:r>
      <w:r w:rsidR="007D241B" w:rsidRPr="00D40DC9">
        <w:rPr>
          <w:lang w:val="es-419"/>
        </w:rPr>
        <w:t xml:space="preserve"> </w:t>
      </w:r>
      <w:r w:rsidRPr="00D40DC9">
        <w:rPr>
          <w:lang w:val="es-419"/>
        </w:rPr>
        <w:t xml:space="preserve">El TWA observó que presentar </w:t>
      </w:r>
      <w:r w:rsidR="00D40DC9" w:rsidRPr="00D40DC9">
        <w:rPr>
          <w:lang w:val="es-419"/>
        </w:rPr>
        <w:t>todos los niveles</w:t>
      </w:r>
      <w:r w:rsidRPr="00D40DC9">
        <w:rPr>
          <w:lang w:val="es-419"/>
        </w:rPr>
        <w:t xml:space="preserve"> de expresión puede aumentar la extensión de las directrices de examen y hacer que el documento sea menos práctico para su uso en el campo por examinadores expertos.</w:t>
      </w:r>
    </w:p>
    <w:p w14:paraId="49240B5C" w14:textId="77777777" w:rsidR="00016165" w:rsidRPr="00D40DC9" w:rsidRDefault="00016165" w:rsidP="00016165">
      <w:pPr>
        <w:rPr>
          <w:lang w:val="es-419"/>
        </w:rPr>
      </w:pPr>
    </w:p>
    <w:p w14:paraId="06D49155" w14:textId="77777777" w:rsidR="00016165" w:rsidRPr="00D40DC9" w:rsidRDefault="00016165" w:rsidP="00016165">
      <w:pPr>
        <w:rPr>
          <w:rFonts w:cs="Arial"/>
          <w:lang w:val="es-419"/>
        </w:rPr>
      </w:pPr>
      <w:r w:rsidRPr="00D40DC9">
        <w:rPr>
          <w:rFonts w:cs="Arial"/>
          <w:lang w:val="es-419"/>
        </w:rPr>
        <w:fldChar w:fldCharType="begin"/>
      </w:r>
      <w:r w:rsidRPr="00D40DC9">
        <w:rPr>
          <w:rFonts w:cs="Arial"/>
          <w:lang w:val="es-419"/>
        </w:rPr>
        <w:instrText xml:space="preserve"> AUTONUM  </w:instrText>
      </w:r>
      <w:r w:rsidRPr="00D40DC9">
        <w:rPr>
          <w:rFonts w:cs="Arial"/>
          <w:lang w:val="es-419"/>
        </w:rPr>
        <w:fldChar w:fldCharType="end"/>
      </w:r>
      <w:r w:rsidRPr="00D40DC9">
        <w:rPr>
          <w:lang w:val="es-419"/>
        </w:rPr>
        <w:tab/>
        <w:t>Las observaciones que el TWC formule en su trigésima séptima sesión, que se celebrará en Hangzhou (China), del 14 al 16 de octubre de 2019, se expondrán en una adición al presente documento.</w:t>
      </w:r>
    </w:p>
    <w:p w14:paraId="23D8133E" w14:textId="77777777" w:rsidR="009956BC" w:rsidRPr="00D40DC9" w:rsidRDefault="009956BC" w:rsidP="009956BC">
      <w:pPr>
        <w:tabs>
          <w:tab w:val="left" w:pos="5387"/>
        </w:tabs>
        <w:ind w:left="4820"/>
        <w:rPr>
          <w:i/>
          <w:lang w:val="es-419"/>
        </w:rPr>
      </w:pPr>
    </w:p>
    <w:p w14:paraId="3366EF31" w14:textId="36E149A1" w:rsidR="009956BC" w:rsidRPr="00D40DC9" w:rsidRDefault="009956BC" w:rsidP="00A02FB5">
      <w:pPr>
        <w:tabs>
          <w:tab w:val="left" w:pos="5387"/>
        </w:tabs>
        <w:ind w:left="4820"/>
        <w:rPr>
          <w:i/>
          <w:lang w:val="es-419"/>
        </w:rPr>
      </w:pPr>
      <w:r w:rsidRPr="00D40DC9">
        <w:rPr>
          <w:i/>
          <w:lang w:val="es-419"/>
        </w:rPr>
        <w:fldChar w:fldCharType="begin"/>
      </w:r>
      <w:r w:rsidRPr="00D40DC9">
        <w:rPr>
          <w:i/>
          <w:lang w:val="es-419"/>
        </w:rPr>
        <w:instrText xml:space="preserve"> AUTONUM  </w:instrText>
      </w:r>
      <w:r w:rsidRPr="00D40DC9">
        <w:rPr>
          <w:i/>
          <w:lang w:val="es-419"/>
        </w:rPr>
        <w:fldChar w:fldCharType="end"/>
      </w:r>
      <w:r w:rsidRPr="00D40DC9">
        <w:rPr>
          <w:lang w:val="es-419"/>
        </w:rPr>
        <w:tab/>
      </w:r>
      <w:r w:rsidRPr="00D40DC9">
        <w:rPr>
          <w:i/>
          <w:lang w:val="es-419"/>
        </w:rPr>
        <w:t xml:space="preserve">Se invita al TC a examinar la propuesta de revisar el documento TGP/7 </w:t>
      </w:r>
      <w:r w:rsidRPr="00D40DC9">
        <w:rPr>
          <w:i/>
          <w:color w:val="000000"/>
          <w:lang w:val="es-419"/>
        </w:rPr>
        <w:t>para que se presenten todos los niveles de expresión de los caracteres cuantitativos en las directrices de examen, teniendo en cuenta las observaciones formuladas por los TWP en</w:t>
      </w:r>
      <w:r w:rsidR="0084043B" w:rsidRPr="00D40DC9">
        <w:rPr>
          <w:i/>
          <w:color w:val="000000"/>
          <w:lang w:val="es-419"/>
        </w:rPr>
        <w:t> </w:t>
      </w:r>
      <w:r w:rsidRPr="00D40DC9">
        <w:rPr>
          <w:i/>
          <w:color w:val="000000"/>
          <w:lang w:val="es-419"/>
        </w:rPr>
        <w:t>sus sesiones de 2019, expuestas en</w:t>
      </w:r>
      <w:r w:rsidRPr="00D40DC9">
        <w:rPr>
          <w:i/>
          <w:lang w:val="es-419"/>
        </w:rPr>
        <w:t xml:space="preserve"> los </w:t>
      </w:r>
      <w:r w:rsidRPr="0062202C">
        <w:rPr>
          <w:i/>
          <w:lang w:val="es-419"/>
        </w:rPr>
        <w:t>párrafos 53</w:t>
      </w:r>
      <w:r w:rsidR="0084043B" w:rsidRPr="0062202C">
        <w:rPr>
          <w:i/>
          <w:lang w:val="es-419"/>
        </w:rPr>
        <w:t> </w:t>
      </w:r>
      <w:r w:rsidRPr="0062202C">
        <w:rPr>
          <w:i/>
          <w:lang w:val="es-419"/>
        </w:rPr>
        <w:t>a 60 del</w:t>
      </w:r>
      <w:r w:rsidRPr="00D40DC9">
        <w:rPr>
          <w:i/>
          <w:lang w:val="es-419"/>
        </w:rPr>
        <w:t xml:space="preserve"> presente documento. </w:t>
      </w:r>
    </w:p>
    <w:p w14:paraId="0EF2F116" w14:textId="77777777" w:rsidR="009956BC" w:rsidRPr="00D40DC9" w:rsidRDefault="009956BC" w:rsidP="009956BC">
      <w:pPr>
        <w:rPr>
          <w:lang w:val="es-419"/>
        </w:rPr>
      </w:pPr>
    </w:p>
    <w:p w14:paraId="19179B02" w14:textId="77777777" w:rsidR="009956BC" w:rsidRPr="00D40DC9" w:rsidRDefault="009956BC" w:rsidP="009956BC">
      <w:pPr>
        <w:rPr>
          <w:lang w:val="es-419"/>
        </w:rPr>
      </w:pPr>
    </w:p>
    <w:p w14:paraId="39A2502D" w14:textId="77777777" w:rsidR="009956BC" w:rsidRPr="00D40DC9" w:rsidRDefault="009956BC" w:rsidP="009956BC">
      <w:pPr>
        <w:keepNext/>
        <w:outlineLvl w:val="1"/>
        <w:rPr>
          <w:snapToGrid w:val="0"/>
          <w:u w:val="single"/>
          <w:lang w:val="es-419"/>
        </w:rPr>
      </w:pPr>
      <w:bookmarkStart w:id="78" w:name="_Toc519608642"/>
      <w:bookmarkStart w:id="79" w:name="_Toc20508535"/>
      <w:bookmarkStart w:id="80" w:name="_Toc22129417"/>
      <w:r w:rsidRPr="00D40DC9">
        <w:rPr>
          <w:snapToGrid w:val="0"/>
          <w:u w:val="single"/>
          <w:lang w:val="es-419"/>
        </w:rPr>
        <w:t>TGP/12: Orientación sobre ciertos caracteres fisiológicos</w:t>
      </w:r>
      <w:bookmarkEnd w:id="78"/>
      <w:bookmarkEnd w:id="79"/>
      <w:bookmarkEnd w:id="80"/>
    </w:p>
    <w:p w14:paraId="22EAADE2" w14:textId="77777777" w:rsidR="009956BC" w:rsidRPr="00D40DC9" w:rsidRDefault="009956BC" w:rsidP="009956BC">
      <w:pPr>
        <w:rPr>
          <w:rFonts w:cs="Arial"/>
          <w:bCs/>
          <w:snapToGrid w:val="0"/>
          <w:lang w:val="es-419"/>
        </w:rPr>
      </w:pPr>
    </w:p>
    <w:p w14:paraId="201D8148" w14:textId="77777777" w:rsidR="009956BC" w:rsidRPr="00D40DC9" w:rsidRDefault="009956BC" w:rsidP="009956BC">
      <w:pPr>
        <w:keepNext/>
        <w:outlineLvl w:val="2"/>
        <w:rPr>
          <w:rFonts w:eastAsia="MS Mincho"/>
          <w:i/>
          <w:lang w:val="es-419"/>
        </w:rPr>
      </w:pPr>
      <w:bookmarkStart w:id="81" w:name="_Toc519608643"/>
      <w:bookmarkStart w:id="82" w:name="_Toc20508536"/>
      <w:bookmarkStart w:id="83" w:name="_Toc22129418"/>
      <w:r w:rsidRPr="00D40DC9">
        <w:rPr>
          <w:i/>
          <w:lang w:val="es-419"/>
        </w:rPr>
        <w:t>Explicaciones relativas a los caracteres de resistencia a las enfermedades</w:t>
      </w:r>
      <w:bookmarkEnd w:id="81"/>
      <w:bookmarkEnd w:id="82"/>
      <w:bookmarkEnd w:id="83"/>
    </w:p>
    <w:p w14:paraId="26F57A41" w14:textId="77777777" w:rsidR="009956BC" w:rsidRPr="00D40DC9" w:rsidRDefault="009956BC" w:rsidP="009956BC">
      <w:pPr>
        <w:rPr>
          <w:lang w:val="es-419"/>
        </w:rPr>
      </w:pPr>
    </w:p>
    <w:p w14:paraId="325FD3F3" w14:textId="244946D1" w:rsidR="009956BC" w:rsidRPr="00D40DC9" w:rsidRDefault="009956BC" w:rsidP="009956B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En su quincuagésima cuarta sesión, el TC consideró la posibilidad de invitar a los TWP a que elaboren más orientaciones sobre la forma de proporcionar las explicaciones relativas a los caracteres de resistencia a las enfermedades en las directrices de examen, por medio del protocolo normalizado de resistencia a las enfermedades facilitado en el documento TGP/12 “Orientación sobre ciertos caracteres fisiológicos”, entre ellos los elementos que no sea obligatorio incluir (véanse los párrafos 249 y 250 del documento TC/54/31 “Informe”).</w:t>
      </w:r>
      <w:r w:rsidR="007D241B" w:rsidRPr="00D40DC9">
        <w:rPr>
          <w:lang w:val="es-419"/>
        </w:rPr>
        <w:t xml:space="preserve"> </w:t>
      </w:r>
    </w:p>
    <w:p w14:paraId="2152DDEE" w14:textId="77777777" w:rsidR="009956BC" w:rsidRPr="00D40DC9" w:rsidRDefault="009956BC" w:rsidP="009956BC">
      <w:pPr>
        <w:rPr>
          <w:lang w:val="es-419"/>
        </w:rPr>
      </w:pPr>
    </w:p>
    <w:p w14:paraId="0318C656" w14:textId="77777777" w:rsidR="009956BC" w:rsidRPr="00D40DC9" w:rsidRDefault="009956BC" w:rsidP="009956B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El TC tomó nota de que la utilización de caracteres de resistencia a las enfermedades se debatirá en el TWV, en su próxima sesión, y convino en esperar los resultados de estos debates antes de elaborar nuevas orientaciones.</w:t>
      </w:r>
    </w:p>
    <w:p w14:paraId="687D80AB" w14:textId="77777777" w:rsidR="009956BC" w:rsidRPr="00D40DC9" w:rsidRDefault="009956BC" w:rsidP="009956BC">
      <w:pPr>
        <w:rPr>
          <w:i/>
          <w:lang w:val="es-419"/>
        </w:rPr>
      </w:pPr>
    </w:p>
    <w:p w14:paraId="31BE1F81" w14:textId="77777777" w:rsidR="001101C2" w:rsidRPr="00D40DC9" w:rsidRDefault="001101C2" w:rsidP="001101C2">
      <w:pPr>
        <w:pStyle w:val="Heading4"/>
        <w:rPr>
          <w:lang w:val="es-419"/>
        </w:rPr>
      </w:pPr>
      <w:bookmarkStart w:id="84" w:name="_Toc22129419"/>
      <w:r w:rsidRPr="00D40DC9">
        <w:rPr>
          <w:lang w:val="es-419"/>
        </w:rPr>
        <w:t>Examen por el Grupo de Trabajo Técnico sobre Hortalizas</w:t>
      </w:r>
      <w:bookmarkEnd w:id="84"/>
    </w:p>
    <w:p w14:paraId="65CB5A3F" w14:textId="77777777" w:rsidR="001101C2" w:rsidRPr="00D40DC9" w:rsidRDefault="001101C2" w:rsidP="001101C2">
      <w:pPr>
        <w:rPr>
          <w:lang w:val="es-419"/>
        </w:rPr>
      </w:pPr>
    </w:p>
    <w:p w14:paraId="4552208B" w14:textId="77777777" w:rsidR="00C13C5C" w:rsidRPr="00D40DC9" w:rsidRDefault="00C13C5C" w:rsidP="00C13C5C">
      <w:pPr>
        <w:keepNext/>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En su quincuagésima tercera sesión, celebrada en Seúl (República de Corea), del 20 al 24 de mayo de 2019, el TWV asistió a las siguientes ponencias, de las que se facilita una copia en el documento TWV/53/13 Rev. (véanse los párrafos 59 a 62 del documento TWV/53/14 Rev. </w:t>
      </w:r>
      <w:r w:rsidRPr="00D40DC9">
        <w:rPr>
          <w:i/>
          <w:lang w:val="es-419"/>
        </w:rPr>
        <w:t>“</w:t>
      </w:r>
      <w:proofErr w:type="spellStart"/>
      <w:r w:rsidRPr="00D40DC9">
        <w:rPr>
          <w:i/>
          <w:lang w:val="es-419"/>
        </w:rPr>
        <w:t>Revised</w:t>
      </w:r>
      <w:proofErr w:type="spellEnd"/>
      <w:r w:rsidRPr="00D40DC9">
        <w:rPr>
          <w:i/>
          <w:lang w:val="es-419"/>
        </w:rPr>
        <w:t xml:space="preserve"> </w:t>
      </w:r>
      <w:proofErr w:type="spellStart"/>
      <w:r w:rsidRPr="00D40DC9">
        <w:rPr>
          <w:i/>
          <w:lang w:val="es-419"/>
        </w:rPr>
        <w:t>Report</w:t>
      </w:r>
      <w:proofErr w:type="spellEnd"/>
      <w:r w:rsidRPr="00D40DC9">
        <w:rPr>
          <w:lang w:val="es-419"/>
        </w:rPr>
        <w:t>” (Informe revisado):</w:t>
      </w:r>
    </w:p>
    <w:p w14:paraId="7AB73F6C" w14:textId="77777777" w:rsidR="00C13C5C" w:rsidRPr="00D40DC9" w:rsidRDefault="00C13C5C" w:rsidP="00C13C5C">
      <w:pPr>
        <w:keepNext/>
        <w:rPr>
          <w:lang w:val="es-419"/>
        </w:rPr>
      </w:pPr>
    </w:p>
    <w:p w14:paraId="630904A6" w14:textId="36F4747A" w:rsidR="00C13C5C" w:rsidRPr="00D40DC9" w:rsidRDefault="00AC28E9" w:rsidP="00AC28E9">
      <w:pPr>
        <w:spacing w:line="276" w:lineRule="auto"/>
        <w:ind w:left="1134" w:hanging="567"/>
        <w:contextualSpacing/>
        <w:rPr>
          <w:rFonts w:eastAsia="MS Mincho"/>
          <w:lang w:val="es-419"/>
        </w:rPr>
      </w:pPr>
      <w:r w:rsidRPr="00D40DC9">
        <w:rPr>
          <w:lang w:val="es-419"/>
        </w:rPr>
        <w:t>a)</w:t>
      </w:r>
      <w:r w:rsidRPr="00D40DC9">
        <w:rPr>
          <w:lang w:val="es-419"/>
        </w:rPr>
        <w:tab/>
      </w:r>
      <w:r w:rsidR="00C13C5C" w:rsidRPr="00D40DC9">
        <w:rPr>
          <w:lang w:val="es-419"/>
        </w:rPr>
        <w:t>“Utilización de caracteres de resistencia”, a cargo de un experto de la Unión Europea.</w:t>
      </w:r>
    </w:p>
    <w:p w14:paraId="6C043C3A" w14:textId="35FD0E3B" w:rsidR="00C13C5C" w:rsidRPr="00D40DC9" w:rsidRDefault="00AC28E9" w:rsidP="00AC28E9">
      <w:pPr>
        <w:spacing w:line="276" w:lineRule="auto"/>
        <w:ind w:left="1134" w:hanging="567"/>
        <w:contextualSpacing/>
        <w:rPr>
          <w:rFonts w:eastAsia="MS Mincho"/>
          <w:lang w:val="es-419"/>
        </w:rPr>
      </w:pPr>
      <w:r w:rsidRPr="00D40DC9">
        <w:rPr>
          <w:lang w:val="es-419"/>
        </w:rPr>
        <w:t>b)</w:t>
      </w:r>
      <w:r w:rsidRPr="00D40DC9">
        <w:rPr>
          <w:lang w:val="es-419"/>
        </w:rPr>
        <w:tab/>
      </w:r>
      <w:r w:rsidR="00C13C5C" w:rsidRPr="00D40DC9">
        <w:rPr>
          <w:lang w:val="es-419"/>
        </w:rPr>
        <w:t>“Evaluación de la resistencia a enfermedades en variedades de hortalizas según las normas de la UPOV,</w:t>
      </w:r>
      <w:r w:rsidR="007D241B" w:rsidRPr="00D40DC9">
        <w:rPr>
          <w:lang w:val="es-419"/>
        </w:rPr>
        <w:t xml:space="preserve"> </w:t>
      </w:r>
      <w:r w:rsidR="00C13C5C" w:rsidRPr="00D40DC9">
        <w:rPr>
          <w:lang w:val="es-419"/>
        </w:rPr>
        <w:t>centrada en las actividades italianas”, a cargo de un experto de Italia.</w:t>
      </w:r>
    </w:p>
    <w:p w14:paraId="79877ACC" w14:textId="6B03CA38" w:rsidR="00C13C5C" w:rsidRPr="00D40DC9" w:rsidRDefault="00AC28E9" w:rsidP="00AC28E9">
      <w:pPr>
        <w:spacing w:line="276" w:lineRule="auto"/>
        <w:ind w:left="1134" w:hanging="567"/>
        <w:contextualSpacing/>
        <w:rPr>
          <w:rFonts w:eastAsia="MS Mincho"/>
          <w:lang w:val="es-419"/>
        </w:rPr>
      </w:pPr>
      <w:r w:rsidRPr="00D40DC9">
        <w:rPr>
          <w:lang w:val="es-419"/>
        </w:rPr>
        <w:t>c)</w:t>
      </w:r>
      <w:r w:rsidRPr="00D40DC9">
        <w:rPr>
          <w:lang w:val="es-419"/>
        </w:rPr>
        <w:tab/>
      </w:r>
      <w:r w:rsidR="00C13C5C" w:rsidRPr="00D40DC9">
        <w:rPr>
          <w:lang w:val="es-419"/>
        </w:rPr>
        <w:t>“Resistencia a las enfermedades en el examen DHE”, a cargo de expertos de Francia y los</w:t>
      </w:r>
      <w:r w:rsidR="000F1025" w:rsidRPr="00D40DC9">
        <w:rPr>
          <w:lang w:val="es-419"/>
        </w:rPr>
        <w:t> </w:t>
      </w:r>
      <w:r w:rsidR="00C13C5C" w:rsidRPr="00D40DC9">
        <w:rPr>
          <w:lang w:val="es-419"/>
        </w:rPr>
        <w:t>Países Bajos.</w:t>
      </w:r>
    </w:p>
    <w:p w14:paraId="5D7EDC85" w14:textId="46D84B3B" w:rsidR="00C13C5C" w:rsidRPr="00D40DC9" w:rsidRDefault="00AC28E9" w:rsidP="00AC28E9">
      <w:pPr>
        <w:spacing w:line="276" w:lineRule="auto"/>
        <w:ind w:left="1134" w:hanging="567"/>
        <w:contextualSpacing/>
        <w:rPr>
          <w:rFonts w:eastAsia="MS Mincho"/>
          <w:lang w:val="es-419"/>
        </w:rPr>
      </w:pPr>
      <w:r w:rsidRPr="00D40DC9">
        <w:rPr>
          <w:lang w:val="es-419"/>
        </w:rPr>
        <w:lastRenderedPageBreak/>
        <w:t>d)</w:t>
      </w:r>
      <w:r w:rsidRPr="00D40DC9">
        <w:rPr>
          <w:lang w:val="es-419"/>
        </w:rPr>
        <w:tab/>
      </w:r>
      <w:r w:rsidR="00C13C5C" w:rsidRPr="00D40DC9">
        <w:rPr>
          <w:lang w:val="es-419"/>
        </w:rPr>
        <w:t xml:space="preserve">“Armonización de los ensayos de resistencia a las enfermedades en el examen DHE: </w:t>
      </w:r>
      <w:proofErr w:type="spellStart"/>
      <w:r w:rsidR="00C13C5C" w:rsidRPr="00D40DC9">
        <w:rPr>
          <w:lang w:val="es-419"/>
        </w:rPr>
        <w:t>Harmores</w:t>
      </w:r>
      <w:proofErr w:type="spellEnd"/>
      <w:r w:rsidR="00C13C5C" w:rsidRPr="00D40DC9">
        <w:rPr>
          <w:lang w:val="es-419"/>
        </w:rPr>
        <w:t> 3”, ‏a cargo de un experto de Francia (en nombre del Grupo de Trabajo).</w:t>
      </w:r>
    </w:p>
    <w:p w14:paraId="66DEB042" w14:textId="662863FF" w:rsidR="00C13C5C" w:rsidRPr="00D40DC9" w:rsidRDefault="00AC28E9" w:rsidP="00AC28E9">
      <w:pPr>
        <w:spacing w:line="276" w:lineRule="auto"/>
        <w:ind w:left="1134" w:hanging="567"/>
        <w:contextualSpacing/>
        <w:rPr>
          <w:rFonts w:eastAsia="MS Mincho"/>
          <w:snapToGrid w:val="0"/>
          <w:lang w:val="es-419"/>
        </w:rPr>
      </w:pPr>
      <w:r w:rsidRPr="00D40DC9">
        <w:rPr>
          <w:lang w:val="es-419"/>
        </w:rPr>
        <w:t>e)</w:t>
      </w:r>
      <w:r w:rsidRPr="00D40DC9">
        <w:rPr>
          <w:lang w:val="es-419"/>
        </w:rPr>
        <w:tab/>
      </w:r>
      <w:r w:rsidR="00C13C5C" w:rsidRPr="00D40DC9">
        <w:rPr>
          <w:lang w:val="es-419"/>
        </w:rPr>
        <w:t xml:space="preserve">“Resistencia a las enfermedades en las hortalizas: ¿cómo procede la industria europea en materia de declaraciones?”, a cargo de un experto de la </w:t>
      </w:r>
      <w:proofErr w:type="spellStart"/>
      <w:r w:rsidR="00C13C5C" w:rsidRPr="00D40DC9">
        <w:rPr>
          <w:i/>
          <w:lang w:val="es-419"/>
        </w:rPr>
        <w:t>European</w:t>
      </w:r>
      <w:proofErr w:type="spellEnd"/>
      <w:r w:rsidR="00C13C5C" w:rsidRPr="00D40DC9">
        <w:rPr>
          <w:i/>
          <w:lang w:val="es-419"/>
        </w:rPr>
        <w:t xml:space="preserve"> </w:t>
      </w:r>
      <w:proofErr w:type="spellStart"/>
      <w:r w:rsidR="00C13C5C" w:rsidRPr="00D40DC9">
        <w:rPr>
          <w:i/>
          <w:lang w:val="es-419"/>
        </w:rPr>
        <w:t>Seed</w:t>
      </w:r>
      <w:proofErr w:type="spellEnd"/>
      <w:r w:rsidR="00C13C5C" w:rsidRPr="00D40DC9">
        <w:rPr>
          <w:i/>
          <w:lang w:val="es-419"/>
        </w:rPr>
        <w:t xml:space="preserve"> </w:t>
      </w:r>
      <w:proofErr w:type="spellStart"/>
      <w:r w:rsidR="00C13C5C" w:rsidRPr="00D40DC9">
        <w:rPr>
          <w:i/>
          <w:lang w:val="es-419"/>
        </w:rPr>
        <w:t>Association</w:t>
      </w:r>
      <w:proofErr w:type="spellEnd"/>
      <w:r w:rsidR="00C13C5C" w:rsidRPr="00D40DC9">
        <w:rPr>
          <w:lang w:val="es-419"/>
        </w:rPr>
        <w:t xml:space="preserve"> (ESA).</w:t>
      </w:r>
    </w:p>
    <w:p w14:paraId="081CBAEF" w14:textId="4399A4E1" w:rsidR="00C13C5C" w:rsidRPr="00D40DC9" w:rsidRDefault="003426E6" w:rsidP="00AC28E9">
      <w:pPr>
        <w:spacing w:line="276" w:lineRule="auto"/>
        <w:ind w:left="1134" w:hanging="567"/>
        <w:contextualSpacing/>
        <w:rPr>
          <w:rFonts w:eastAsia="MS Mincho"/>
          <w:lang w:val="es-419"/>
        </w:rPr>
      </w:pPr>
      <w:r w:rsidRPr="00D40DC9">
        <w:rPr>
          <w:lang w:val="es-419"/>
        </w:rPr>
        <w:t>f)</w:t>
      </w:r>
      <w:r w:rsidRPr="00D40DC9">
        <w:rPr>
          <w:lang w:val="es-419"/>
        </w:rPr>
        <w:tab/>
      </w:r>
      <w:r w:rsidR="00C13C5C" w:rsidRPr="00D40DC9">
        <w:rPr>
          <w:lang w:val="es-419"/>
        </w:rPr>
        <w:t xml:space="preserve">“Grupo de Trabajo del ISF sobre Terminología del ámbito de la Resistencia a las Enfermedades”, a cargo de un experto de la </w:t>
      </w:r>
      <w:r w:rsidR="00C13C5C" w:rsidRPr="00D40DC9">
        <w:rPr>
          <w:i/>
          <w:lang w:val="es-419"/>
        </w:rPr>
        <w:t xml:space="preserve">International </w:t>
      </w:r>
      <w:proofErr w:type="spellStart"/>
      <w:r w:rsidR="00C13C5C" w:rsidRPr="00D40DC9">
        <w:rPr>
          <w:i/>
          <w:lang w:val="es-419"/>
        </w:rPr>
        <w:t>Seed</w:t>
      </w:r>
      <w:proofErr w:type="spellEnd"/>
      <w:r w:rsidR="00C13C5C" w:rsidRPr="00D40DC9">
        <w:rPr>
          <w:i/>
          <w:lang w:val="es-419"/>
        </w:rPr>
        <w:t xml:space="preserve"> </w:t>
      </w:r>
      <w:proofErr w:type="spellStart"/>
      <w:r w:rsidR="00C13C5C" w:rsidRPr="00D40DC9">
        <w:rPr>
          <w:i/>
          <w:lang w:val="es-419"/>
        </w:rPr>
        <w:t>Federation</w:t>
      </w:r>
      <w:proofErr w:type="spellEnd"/>
      <w:r w:rsidR="00C13C5C" w:rsidRPr="00D40DC9">
        <w:rPr>
          <w:lang w:val="es-419"/>
        </w:rPr>
        <w:t xml:space="preserve"> (ISF).</w:t>
      </w:r>
    </w:p>
    <w:p w14:paraId="513C05F7" w14:textId="77777777" w:rsidR="00C13C5C" w:rsidRPr="00D40DC9" w:rsidRDefault="00C13C5C" w:rsidP="00C13C5C">
      <w:pPr>
        <w:rPr>
          <w:lang w:val="es-419"/>
        </w:rPr>
      </w:pPr>
    </w:p>
    <w:p w14:paraId="06BDB5D7" w14:textId="77777777" w:rsidR="00C13C5C" w:rsidRPr="00D40DC9" w:rsidRDefault="00C13C5C" w:rsidP="00C13C5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El TWV convino en que la orientación ofrecida actualmente en los documentos de la UPOV en relación con la utilización de los caracteres de resistencia a las enfermedades en las directrices de examen y en el examen DHE es clara y suficiente, por el momento. El TWV tomó nota de </w:t>
      </w:r>
      <w:proofErr w:type="gramStart"/>
      <w:r w:rsidRPr="00D40DC9">
        <w:rPr>
          <w:lang w:val="es-419"/>
        </w:rPr>
        <w:t>que</w:t>
      </w:r>
      <w:proofErr w:type="gramEnd"/>
      <w:r w:rsidRPr="00D40DC9">
        <w:rPr>
          <w:lang w:val="es-419"/>
        </w:rPr>
        <w:t xml:space="preserve"> en el ámbito de los caracteres de resistencia a las enfermedades, cuando se utiliza el tipo de expresión cuantitativa, es posible utilizar más de tres niveles.</w:t>
      </w:r>
    </w:p>
    <w:p w14:paraId="36F5BC2B" w14:textId="77777777" w:rsidR="00C13C5C" w:rsidRPr="00D40DC9" w:rsidRDefault="00C13C5C" w:rsidP="00C13C5C">
      <w:pPr>
        <w:rPr>
          <w:lang w:val="es-419"/>
        </w:rPr>
      </w:pPr>
    </w:p>
    <w:p w14:paraId="0C4086E8" w14:textId="77777777" w:rsidR="00C13C5C" w:rsidRPr="00D40DC9" w:rsidRDefault="00C13C5C" w:rsidP="00C13C5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El TWV convino en que la resistencia a las enfermedades es un importante objetivo de </w:t>
      </w:r>
      <w:proofErr w:type="spellStart"/>
      <w:r w:rsidRPr="00D40DC9">
        <w:rPr>
          <w:lang w:val="es-419"/>
        </w:rPr>
        <w:t>fitomejoramiento</w:t>
      </w:r>
      <w:proofErr w:type="spellEnd"/>
      <w:r w:rsidRPr="00D40DC9">
        <w:rPr>
          <w:lang w:val="es-419"/>
        </w:rPr>
        <w:t xml:space="preserve"> y, por lo tanto, la cooperación entre todos los interesados será beneficiosa para garantizar que el desarrollo del examen DHE y la elaboración de las directrices de examen sean acordes a las expectativas de los usuarios del sistema. </w:t>
      </w:r>
    </w:p>
    <w:p w14:paraId="2284181F" w14:textId="77777777" w:rsidR="00C13C5C" w:rsidRPr="00D40DC9" w:rsidRDefault="00C13C5C" w:rsidP="00C13C5C">
      <w:pPr>
        <w:rPr>
          <w:lang w:val="es-419"/>
        </w:rPr>
      </w:pPr>
    </w:p>
    <w:p w14:paraId="409E2CB0" w14:textId="77777777" w:rsidR="00C13C5C" w:rsidRPr="00D40DC9" w:rsidRDefault="00C13C5C" w:rsidP="00C13C5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El TWV convino en que los caracteres de resistencia a las enfermedades son importantes para el examen DHE y en especial para la distinción, el agrupamiento y las descripciones de variedades. En consecuencia, el TWV convino en que es responsabilidad de cada TWP actualizar las directrices de examen oportunamente y si procede, además de emplear el tiempo necesario para incluir o actualizar caracteres con métodos aprobados para su evaluación (p. ej. tipo de expresión cuantitativa o cualitativa y terminología común acordada) y para el protocolo de ensayo de enfermedades validado que ha de seguirse. A fin de lograr este objetivo, el TWV convino en que se ha de consultar e implicar a todos los interesados (esto es, los expertos en DHE, </w:t>
      </w:r>
      <w:proofErr w:type="spellStart"/>
      <w:r w:rsidRPr="00D40DC9">
        <w:rPr>
          <w:lang w:val="es-419"/>
        </w:rPr>
        <w:t>fitopatólogos</w:t>
      </w:r>
      <w:proofErr w:type="spellEnd"/>
      <w:r w:rsidRPr="00D40DC9">
        <w:rPr>
          <w:lang w:val="es-419"/>
        </w:rPr>
        <w:t xml:space="preserve"> y obtentores) y se ha de conceder el tiempo necesario para asegurar que todas las oficinas de examen DHE den su consentimiento antes de añadir nuevos caracteres de resistencia a enfermedades o un nuevo protocolo de ensayo de enfermedades.</w:t>
      </w:r>
    </w:p>
    <w:p w14:paraId="0F252419" w14:textId="77777777" w:rsidR="001101C2" w:rsidRPr="00D40DC9" w:rsidRDefault="001101C2" w:rsidP="001101C2">
      <w:pPr>
        <w:rPr>
          <w:lang w:val="es-419"/>
        </w:rPr>
      </w:pPr>
    </w:p>
    <w:p w14:paraId="1EE6837D" w14:textId="77777777" w:rsidR="009956BC" w:rsidRPr="00D40DC9" w:rsidRDefault="009956BC" w:rsidP="009A3859">
      <w:pPr>
        <w:tabs>
          <w:tab w:val="left" w:pos="5387"/>
          <w:tab w:val="left" w:pos="5954"/>
        </w:tabs>
        <w:ind w:left="4820"/>
        <w:rPr>
          <w:lang w:val="es-419"/>
        </w:rPr>
      </w:pPr>
      <w:r w:rsidRPr="00D40DC9">
        <w:rPr>
          <w:rFonts w:cs="Arial"/>
          <w:bCs/>
          <w:i/>
          <w:snapToGrid w:val="0"/>
          <w:lang w:val="es-419"/>
        </w:rPr>
        <w:fldChar w:fldCharType="begin"/>
      </w:r>
      <w:r w:rsidRPr="00D40DC9">
        <w:rPr>
          <w:rFonts w:cs="Arial"/>
          <w:bCs/>
          <w:i/>
          <w:snapToGrid w:val="0"/>
          <w:lang w:val="es-419"/>
        </w:rPr>
        <w:instrText xml:space="preserve"> AUTONUM  </w:instrText>
      </w:r>
      <w:r w:rsidRPr="00D40DC9">
        <w:rPr>
          <w:rFonts w:cs="Arial"/>
          <w:bCs/>
          <w:i/>
          <w:snapToGrid w:val="0"/>
          <w:lang w:val="es-419"/>
        </w:rPr>
        <w:fldChar w:fldCharType="end"/>
      </w:r>
      <w:r w:rsidRPr="00D40DC9">
        <w:rPr>
          <w:lang w:val="es-419"/>
        </w:rPr>
        <w:tab/>
      </w:r>
      <w:r w:rsidRPr="00D40DC9">
        <w:rPr>
          <w:i/>
          <w:snapToGrid w:val="0"/>
          <w:lang w:val="es-419"/>
        </w:rPr>
        <w:t xml:space="preserve">Se invita al TC a tomar nota de que el TWV convino en que la orientación ofrecida actualmente en los documentos de la UPOV en relación con la utilización de los caracteres de resistencia a las enfermedades en las directrices de examen y en el examen DHE, por el momento, es clara y suficiente, según se expone en el </w:t>
      </w:r>
      <w:r w:rsidRPr="0062202C">
        <w:rPr>
          <w:i/>
          <w:snapToGrid w:val="0"/>
          <w:lang w:val="es-419"/>
        </w:rPr>
        <w:t>párrafo 65 del</w:t>
      </w:r>
      <w:r w:rsidRPr="00D40DC9">
        <w:rPr>
          <w:i/>
          <w:snapToGrid w:val="0"/>
          <w:lang w:val="es-419"/>
        </w:rPr>
        <w:t xml:space="preserve"> presente documento. </w:t>
      </w:r>
    </w:p>
    <w:p w14:paraId="0C4F12ED" w14:textId="77777777" w:rsidR="009956BC" w:rsidRPr="00D40DC9" w:rsidRDefault="009956BC" w:rsidP="009956BC">
      <w:pPr>
        <w:rPr>
          <w:lang w:val="es-419"/>
        </w:rPr>
      </w:pPr>
    </w:p>
    <w:p w14:paraId="5095D0A2" w14:textId="77777777" w:rsidR="002D1193" w:rsidRPr="00D40DC9" w:rsidRDefault="002D1193" w:rsidP="009956BC">
      <w:pPr>
        <w:rPr>
          <w:lang w:val="es-419"/>
        </w:rPr>
      </w:pPr>
    </w:p>
    <w:p w14:paraId="1E71BC15" w14:textId="77777777" w:rsidR="009956BC" w:rsidRPr="00D40DC9" w:rsidRDefault="009956BC" w:rsidP="009956BC">
      <w:pPr>
        <w:keepNext/>
        <w:outlineLvl w:val="0"/>
        <w:rPr>
          <w:caps/>
          <w:lang w:val="es-419"/>
        </w:rPr>
      </w:pPr>
      <w:bookmarkStart w:id="85" w:name="_Toc519608644"/>
      <w:bookmarkStart w:id="86" w:name="_Toc20508537"/>
      <w:bookmarkStart w:id="87" w:name="_Toc22129420"/>
      <w:r w:rsidRPr="00D40DC9">
        <w:rPr>
          <w:caps/>
          <w:lang w:val="es-419"/>
        </w:rPr>
        <w:t>Programa para la elaboración de los documentos TGP</w:t>
      </w:r>
      <w:bookmarkEnd w:id="85"/>
      <w:bookmarkEnd w:id="86"/>
      <w:bookmarkEnd w:id="87"/>
    </w:p>
    <w:p w14:paraId="0C493452" w14:textId="77777777" w:rsidR="009956BC" w:rsidRPr="00D40DC9" w:rsidRDefault="009956BC" w:rsidP="009956BC">
      <w:pPr>
        <w:rPr>
          <w:lang w:val="es-419"/>
        </w:rPr>
      </w:pPr>
    </w:p>
    <w:p w14:paraId="6F68D43A" w14:textId="53364647" w:rsidR="009956BC" w:rsidRPr="00D40DC9" w:rsidRDefault="009956BC" w:rsidP="009956B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En el </w:t>
      </w:r>
      <w:r w:rsidRPr="007B1641">
        <w:rPr>
          <w:lang w:val="es-419"/>
        </w:rPr>
        <w:t>Anexo VI de</w:t>
      </w:r>
      <w:r w:rsidRPr="00D40DC9">
        <w:rPr>
          <w:lang w:val="es-419"/>
        </w:rPr>
        <w:t xml:space="preserve"> este documento figura el programa para la elaboración de los documentos TGP modificados teniendo en cuenta las observaciones formuladas por los TWP en sus sesiones de 2019.</w:t>
      </w:r>
      <w:r w:rsidR="007D241B" w:rsidRPr="00D40DC9">
        <w:rPr>
          <w:lang w:val="es-419"/>
        </w:rPr>
        <w:t xml:space="preserve"> </w:t>
      </w:r>
    </w:p>
    <w:p w14:paraId="23A295E1" w14:textId="77777777" w:rsidR="000C1143" w:rsidRPr="00D40DC9" w:rsidRDefault="000C1143" w:rsidP="009956BC">
      <w:pPr>
        <w:rPr>
          <w:lang w:val="es-419"/>
        </w:rPr>
      </w:pPr>
    </w:p>
    <w:p w14:paraId="2F5CA64A" w14:textId="77777777" w:rsidR="000C1143" w:rsidRPr="00D40DC9" w:rsidRDefault="000C1143" w:rsidP="009956B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Se propone extender el alcance de este documento para abarcar todo material de información pertinente, para las futuras sesiones del Comité Técnico.</w:t>
      </w:r>
    </w:p>
    <w:p w14:paraId="10643EA6" w14:textId="77777777" w:rsidR="009956BC" w:rsidRPr="00D40DC9" w:rsidRDefault="009956BC" w:rsidP="009956BC">
      <w:pPr>
        <w:rPr>
          <w:lang w:val="es-419"/>
        </w:rPr>
      </w:pPr>
    </w:p>
    <w:p w14:paraId="70C43101" w14:textId="77777777" w:rsidR="000C1143" w:rsidRPr="00D40DC9" w:rsidRDefault="009956BC" w:rsidP="00193892">
      <w:pPr>
        <w:keepNext/>
        <w:tabs>
          <w:tab w:val="left" w:pos="5387"/>
        </w:tabs>
        <w:ind w:left="4820"/>
        <w:rPr>
          <w:i/>
          <w:lang w:val="es-419"/>
        </w:rPr>
      </w:pPr>
      <w:r w:rsidRPr="00D40DC9">
        <w:rPr>
          <w:i/>
          <w:lang w:val="es-419"/>
        </w:rPr>
        <w:fldChar w:fldCharType="begin"/>
      </w:r>
      <w:r w:rsidRPr="00D40DC9">
        <w:rPr>
          <w:i/>
          <w:lang w:val="es-419"/>
        </w:rPr>
        <w:instrText xml:space="preserve"> AUTONUM  </w:instrText>
      </w:r>
      <w:r w:rsidRPr="00D40DC9">
        <w:rPr>
          <w:i/>
          <w:lang w:val="es-419"/>
        </w:rPr>
        <w:fldChar w:fldCharType="end"/>
      </w:r>
      <w:r w:rsidRPr="00D40DC9">
        <w:rPr>
          <w:lang w:val="es-419"/>
        </w:rPr>
        <w:tab/>
      </w:r>
      <w:r w:rsidRPr="00D40DC9">
        <w:rPr>
          <w:i/>
          <w:lang w:val="es-419"/>
        </w:rPr>
        <w:t>Se invita al TC a examinar</w:t>
      </w:r>
      <w:r w:rsidRPr="00D40DC9">
        <w:rPr>
          <w:lang w:val="es-419"/>
        </w:rPr>
        <w:t>:</w:t>
      </w:r>
    </w:p>
    <w:p w14:paraId="3198F73D" w14:textId="77777777" w:rsidR="000C1143" w:rsidRPr="00D40DC9" w:rsidRDefault="000C1143" w:rsidP="00193892">
      <w:pPr>
        <w:keepNext/>
        <w:tabs>
          <w:tab w:val="left" w:pos="5387"/>
        </w:tabs>
        <w:ind w:left="4820"/>
        <w:rPr>
          <w:i/>
          <w:lang w:val="es-419"/>
        </w:rPr>
      </w:pPr>
    </w:p>
    <w:p w14:paraId="5451AD02" w14:textId="77777777" w:rsidR="009956BC" w:rsidRPr="00D40DC9" w:rsidRDefault="000C1143" w:rsidP="00193892">
      <w:pPr>
        <w:keepNext/>
        <w:tabs>
          <w:tab w:val="left" w:pos="5387"/>
          <w:tab w:val="left" w:pos="5954"/>
        </w:tabs>
        <w:ind w:left="4820"/>
        <w:rPr>
          <w:i/>
          <w:lang w:val="es-419"/>
        </w:rPr>
      </w:pPr>
      <w:r w:rsidRPr="00D40DC9">
        <w:rPr>
          <w:lang w:val="es-419"/>
        </w:rPr>
        <w:tab/>
      </w:r>
      <w:r w:rsidRPr="00D40DC9">
        <w:rPr>
          <w:i/>
          <w:lang w:val="es-419"/>
        </w:rPr>
        <w:t>a)</w:t>
      </w:r>
      <w:r w:rsidRPr="00D40DC9">
        <w:rPr>
          <w:lang w:val="es-419"/>
        </w:rPr>
        <w:tab/>
      </w:r>
      <w:r w:rsidRPr="00D40DC9">
        <w:rPr>
          <w:i/>
          <w:lang w:val="es-419"/>
        </w:rPr>
        <w:t xml:space="preserve">el programa para la elaboración de los documentos TGP que figura en el </w:t>
      </w:r>
      <w:r w:rsidRPr="007B1641">
        <w:rPr>
          <w:i/>
          <w:lang w:val="es-419"/>
        </w:rPr>
        <w:t>Anexo VI</w:t>
      </w:r>
      <w:r w:rsidRPr="00D40DC9">
        <w:rPr>
          <w:i/>
          <w:lang w:val="es-419"/>
        </w:rPr>
        <w:t xml:space="preserve"> del presente documento; y</w:t>
      </w:r>
    </w:p>
    <w:p w14:paraId="5C671B5D" w14:textId="77777777" w:rsidR="000C1143" w:rsidRPr="00D40DC9" w:rsidRDefault="000C1143" w:rsidP="000C1143">
      <w:pPr>
        <w:tabs>
          <w:tab w:val="left" w:pos="5387"/>
          <w:tab w:val="left" w:pos="5954"/>
        </w:tabs>
        <w:ind w:left="4820"/>
        <w:rPr>
          <w:i/>
          <w:lang w:val="es-419"/>
        </w:rPr>
      </w:pPr>
    </w:p>
    <w:p w14:paraId="7A919F5D" w14:textId="77777777" w:rsidR="000C1143" w:rsidRPr="00D40DC9" w:rsidRDefault="000C1143" w:rsidP="000C1143">
      <w:pPr>
        <w:tabs>
          <w:tab w:val="left" w:pos="5387"/>
          <w:tab w:val="left" w:pos="5954"/>
        </w:tabs>
        <w:ind w:left="4820"/>
        <w:rPr>
          <w:i/>
          <w:lang w:val="es-419"/>
        </w:rPr>
      </w:pPr>
      <w:r w:rsidRPr="00D40DC9">
        <w:rPr>
          <w:lang w:val="es-419"/>
        </w:rPr>
        <w:tab/>
      </w:r>
      <w:r w:rsidRPr="00D40DC9">
        <w:rPr>
          <w:i/>
          <w:lang w:val="es-419"/>
        </w:rPr>
        <w:t>b)</w:t>
      </w:r>
      <w:r w:rsidRPr="00D40DC9">
        <w:rPr>
          <w:lang w:val="es-419"/>
        </w:rPr>
        <w:tab/>
      </w:r>
      <w:r w:rsidRPr="00D40DC9">
        <w:rPr>
          <w:i/>
          <w:lang w:val="es-419"/>
        </w:rPr>
        <w:t>la propuesta de extender el alcance de este documento para abarcar todo material de información pertinente, para las futuras sesiones del Comité Técnico</w:t>
      </w:r>
      <w:r w:rsidRPr="00D40DC9">
        <w:rPr>
          <w:lang w:val="es-419"/>
        </w:rPr>
        <w:t>.</w:t>
      </w:r>
    </w:p>
    <w:p w14:paraId="3F9BB828" w14:textId="77777777" w:rsidR="009956BC" w:rsidRPr="00D40DC9" w:rsidRDefault="009956BC" w:rsidP="009956BC">
      <w:pPr>
        <w:rPr>
          <w:rFonts w:cs="Arial"/>
          <w:bCs/>
          <w:snapToGrid w:val="0"/>
          <w:lang w:val="es-419"/>
        </w:rPr>
      </w:pPr>
    </w:p>
    <w:p w14:paraId="53F4BCA8" w14:textId="77777777" w:rsidR="009956BC" w:rsidRPr="00D40DC9" w:rsidRDefault="009956BC" w:rsidP="009956BC">
      <w:pPr>
        <w:rPr>
          <w:rFonts w:cs="Arial"/>
          <w:bCs/>
          <w:snapToGrid w:val="0"/>
          <w:lang w:val="es-419"/>
        </w:rPr>
      </w:pPr>
    </w:p>
    <w:p w14:paraId="6EF668F9" w14:textId="77777777" w:rsidR="009956BC" w:rsidRPr="00D40DC9" w:rsidRDefault="009956BC" w:rsidP="009956BC">
      <w:pPr>
        <w:rPr>
          <w:rFonts w:cs="Arial"/>
          <w:bCs/>
          <w:snapToGrid w:val="0"/>
          <w:lang w:val="es-419"/>
        </w:rPr>
      </w:pPr>
    </w:p>
    <w:bookmarkEnd w:id="67"/>
    <w:bookmarkEnd w:id="68"/>
    <w:bookmarkEnd w:id="69"/>
    <w:bookmarkEnd w:id="70"/>
    <w:p w14:paraId="7E260087" w14:textId="77777777" w:rsidR="009956BC" w:rsidRPr="00D40DC9" w:rsidRDefault="009956BC" w:rsidP="009956BC">
      <w:pPr>
        <w:jc w:val="right"/>
        <w:rPr>
          <w:snapToGrid w:val="0"/>
          <w:lang w:val="es-419"/>
        </w:rPr>
      </w:pPr>
      <w:r w:rsidRPr="00D40DC9">
        <w:rPr>
          <w:lang w:val="es-419"/>
        </w:rPr>
        <w:t xml:space="preserve"> [Siguen los Anexos]</w:t>
      </w:r>
    </w:p>
    <w:p w14:paraId="12EF46CA" w14:textId="77777777" w:rsidR="009956BC" w:rsidRPr="00D40DC9" w:rsidRDefault="009956BC" w:rsidP="009956BC">
      <w:pPr>
        <w:jc w:val="right"/>
        <w:rPr>
          <w:snapToGrid w:val="0"/>
          <w:lang w:val="es-419"/>
        </w:rPr>
        <w:sectPr w:rsidR="009956BC" w:rsidRPr="00D40DC9" w:rsidSect="001270B2">
          <w:headerReference w:type="default" r:id="rId15"/>
          <w:pgSz w:w="11907" w:h="16840" w:code="9"/>
          <w:pgMar w:top="709" w:right="1134" w:bottom="993" w:left="1134" w:header="510" w:footer="680" w:gutter="0"/>
          <w:pgNumType w:start="1"/>
          <w:cols w:space="720"/>
          <w:titlePg/>
        </w:sectPr>
      </w:pPr>
    </w:p>
    <w:p w14:paraId="007B5DB9" w14:textId="77777777" w:rsidR="009956BC" w:rsidRPr="00D40DC9" w:rsidRDefault="009956BC" w:rsidP="009956BC">
      <w:pPr>
        <w:jc w:val="center"/>
        <w:rPr>
          <w:lang w:val="es-419"/>
        </w:rPr>
      </w:pPr>
      <w:r w:rsidRPr="00D40DC9">
        <w:rPr>
          <w:lang w:val="es-419"/>
        </w:rPr>
        <w:lastRenderedPageBreak/>
        <w:t>ASUNTOS SUJETOS A LA APROBACIÓN POR EL CONSEJO EN 2019: REVISIONES DEL DOCUMENTO TGP/7</w:t>
      </w:r>
    </w:p>
    <w:p w14:paraId="17C72760" w14:textId="77777777" w:rsidR="009956BC" w:rsidRPr="00D40DC9" w:rsidRDefault="009956BC" w:rsidP="009956BC">
      <w:pPr>
        <w:rPr>
          <w:lang w:val="es-419"/>
        </w:rPr>
      </w:pPr>
    </w:p>
    <w:p w14:paraId="4E3E44F3" w14:textId="77777777" w:rsidR="009956BC" w:rsidRPr="00D40DC9" w:rsidRDefault="009956BC" w:rsidP="009956BC">
      <w:pPr>
        <w:rPr>
          <w:lang w:val="es-419"/>
        </w:rPr>
      </w:pPr>
      <w:r w:rsidRPr="00D40DC9">
        <w:rPr>
          <w:lang w:val="es-419"/>
        </w:rPr>
        <w:t xml:space="preserve">El Comité Técnico convino en que las revisiones siguientes del documento TGP/7 “Elaboración de las directrices de examen” se sometan a la aprobación del Consejo en su quincuagésima tercera sesión ordinaria, que se celebrará en Ginebra el 1 de noviembre de 2019, a reserva de la aprobación del CAJ, en su septuagésima sexta sesión, que se celebrará en Ginebra el 30 de octubre de 2019 (se indican las eliminaciones mediante </w:t>
      </w:r>
      <w:r w:rsidRPr="00D40DC9">
        <w:rPr>
          <w:strike/>
          <w:highlight w:val="lightGray"/>
          <w:lang w:val="es-419"/>
        </w:rPr>
        <w:t>sombreado y tachado</w:t>
      </w:r>
      <w:r w:rsidRPr="00D40DC9">
        <w:rPr>
          <w:lang w:val="es-419"/>
        </w:rPr>
        <w:t xml:space="preserve"> y los añadidos mediante </w:t>
      </w:r>
      <w:r w:rsidRPr="00D40DC9">
        <w:rPr>
          <w:highlight w:val="lightGray"/>
          <w:u w:val="single"/>
          <w:lang w:val="es-419"/>
        </w:rPr>
        <w:t>sombreado y subrayado</w:t>
      </w:r>
      <w:r w:rsidRPr="00D40DC9">
        <w:rPr>
          <w:lang w:val="es-419"/>
        </w:rPr>
        <w:t>):</w:t>
      </w:r>
    </w:p>
    <w:p w14:paraId="45E7F0A9" w14:textId="77777777" w:rsidR="009956BC" w:rsidRPr="00D40DC9" w:rsidRDefault="009956BC" w:rsidP="009956BC">
      <w:pPr>
        <w:rPr>
          <w:lang w:val="es-419"/>
        </w:rPr>
      </w:pPr>
    </w:p>
    <w:p w14:paraId="6E086566" w14:textId="77777777" w:rsidR="009956BC" w:rsidRPr="00D40DC9" w:rsidRDefault="009956BC" w:rsidP="009956BC">
      <w:pPr>
        <w:rPr>
          <w:u w:val="single"/>
          <w:lang w:val="es-419"/>
        </w:rPr>
      </w:pPr>
      <w:r w:rsidRPr="00D40DC9">
        <w:rPr>
          <w:lang w:val="es-419"/>
        </w:rPr>
        <w:t>i)</w:t>
      </w:r>
      <w:r w:rsidRPr="00D40DC9">
        <w:rPr>
          <w:lang w:val="es-419"/>
        </w:rPr>
        <w:tab/>
      </w:r>
      <w:r w:rsidRPr="00D40DC9">
        <w:rPr>
          <w:u w:val="single"/>
          <w:lang w:val="es-419"/>
        </w:rPr>
        <w:t xml:space="preserve">Duración de los exámenes DHE: </w:t>
      </w:r>
    </w:p>
    <w:p w14:paraId="5326EA5F" w14:textId="77777777" w:rsidR="009956BC" w:rsidRPr="00D40DC9" w:rsidRDefault="009956BC" w:rsidP="009956BC">
      <w:pPr>
        <w:rPr>
          <w:u w:val="single"/>
          <w:lang w:val="es-419"/>
        </w:rPr>
      </w:pPr>
    </w:p>
    <w:p w14:paraId="16FA2325" w14:textId="77777777" w:rsidR="009956BC" w:rsidRPr="00D40DC9" w:rsidRDefault="009956BC" w:rsidP="009956BC">
      <w:pPr>
        <w:rPr>
          <w:i/>
          <w:lang w:val="es-419"/>
        </w:rPr>
      </w:pPr>
      <w:r w:rsidRPr="00D40DC9">
        <w:rPr>
          <w:i/>
          <w:lang w:val="es-419"/>
        </w:rPr>
        <w:t>Texto estándar universal: sección 3.1: Número de ciclos de cultivo</w:t>
      </w:r>
    </w:p>
    <w:p w14:paraId="1522F3BF" w14:textId="77777777" w:rsidR="009956BC" w:rsidRPr="00D40DC9" w:rsidRDefault="009956BC" w:rsidP="009956BC">
      <w:pPr>
        <w:rPr>
          <w:lang w:val="es-419"/>
        </w:rPr>
      </w:pPr>
    </w:p>
    <w:p w14:paraId="78EDADCA" w14:textId="77777777" w:rsidR="009956BC" w:rsidRPr="00D40DC9" w:rsidRDefault="009956BC" w:rsidP="009956BC">
      <w:pPr>
        <w:rPr>
          <w:lang w:val="es-419"/>
        </w:rPr>
      </w:pPr>
      <w:r w:rsidRPr="00D40DC9">
        <w:rPr>
          <w:lang w:val="es-419"/>
        </w:rPr>
        <w:t>En su quincuagésima cuarta sesión, el TC examinó el documento TC/54/14 “Duración de los exámenes DHE” (véanse los párrafos 210 a 212 del documento TC/54/31 “Informe”).</w:t>
      </w:r>
    </w:p>
    <w:p w14:paraId="5131228E" w14:textId="77777777" w:rsidR="009956BC" w:rsidRPr="00D40DC9" w:rsidRDefault="009956BC" w:rsidP="009956BC">
      <w:pPr>
        <w:rPr>
          <w:lang w:val="es-419"/>
        </w:rPr>
      </w:pPr>
    </w:p>
    <w:p w14:paraId="65078B4F" w14:textId="77777777" w:rsidR="009956BC" w:rsidRPr="00D40DC9" w:rsidRDefault="009956BC" w:rsidP="009956BC">
      <w:pPr>
        <w:rPr>
          <w:lang w:val="es-419"/>
        </w:rPr>
      </w:pPr>
      <w:r w:rsidRPr="00D40DC9">
        <w:rPr>
          <w:lang w:val="es-419"/>
        </w:rPr>
        <w:t>El TC convino en que la orientación ofrecida en el documento TGP/7 se ha de modificar para aclarar que se podrá concluir el examen de una variedad en el momento en que la autoridad competente pueda determinar con certeza su resultado.</w:t>
      </w:r>
    </w:p>
    <w:p w14:paraId="6D783ADA" w14:textId="77777777" w:rsidR="009956BC" w:rsidRPr="00D40DC9" w:rsidRDefault="009956BC" w:rsidP="009956BC">
      <w:pPr>
        <w:rPr>
          <w:lang w:val="es-419"/>
        </w:rPr>
      </w:pPr>
    </w:p>
    <w:p w14:paraId="38769F47" w14:textId="77777777" w:rsidR="009956BC" w:rsidRPr="00D40DC9" w:rsidRDefault="009956BC" w:rsidP="009956BC">
      <w:pPr>
        <w:rPr>
          <w:lang w:val="es-419"/>
        </w:rPr>
      </w:pPr>
      <w:r w:rsidRPr="00D40DC9">
        <w:rPr>
          <w:lang w:val="es-419"/>
        </w:rPr>
        <w:t>El TC convino en que se incluya la frase siguiente en las directrices de examen como texto estándar:</w:t>
      </w:r>
    </w:p>
    <w:p w14:paraId="39C937CB" w14:textId="77777777" w:rsidR="009956BC" w:rsidRPr="00D40DC9" w:rsidRDefault="009956BC" w:rsidP="009956BC">
      <w:pPr>
        <w:rPr>
          <w:sz w:val="18"/>
          <w:highlight w:val="yellow"/>
          <w:lang w:val="es-419"/>
        </w:rPr>
      </w:pPr>
    </w:p>
    <w:p w14:paraId="776E27C8" w14:textId="77777777" w:rsidR="009956BC" w:rsidRPr="00D40DC9" w:rsidRDefault="009956BC" w:rsidP="009956BC">
      <w:pPr>
        <w:ind w:left="567" w:right="567"/>
        <w:rPr>
          <w:sz w:val="18"/>
          <w:u w:val="single"/>
          <w:lang w:val="es-419"/>
        </w:rPr>
      </w:pPr>
      <w:r w:rsidRPr="00D40DC9">
        <w:rPr>
          <w:sz w:val="18"/>
          <w:highlight w:val="lightGray"/>
          <w:u w:val="single"/>
          <w:lang w:val="es-419"/>
        </w:rPr>
        <w:t>“Se podrá concluir el examen de una variedad en el momento en la autoridad competente pueda determinar con certeza su resultado.”</w:t>
      </w:r>
    </w:p>
    <w:p w14:paraId="57F916F8" w14:textId="77777777" w:rsidR="009956BC" w:rsidRPr="00D40DC9" w:rsidRDefault="009956BC" w:rsidP="009956BC">
      <w:pPr>
        <w:rPr>
          <w:lang w:val="es-419"/>
        </w:rPr>
      </w:pPr>
    </w:p>
    <w:p w14:paraId="09F316EB" w14:textId="77777777" w:rsidR="009956BC" w:rsidRPr="00D40DC9" w:rsidRDefault="009956BC" w:rsidP="009956BC">
      <w:pPr>
        <w:rPr>
          <w:lang w:val="es-419"/>
        </w:rPr>
      </w:pPr>
    </w:p>
    <w:p w14:paraId="4DC2DB49" w14:textId="77777777" w:rsidR="009956BC" w:rsidRPr="00D40DC9" w:rsidRDefault="009956BC" w:rsidP="009956BC">
      <w:pPr>
        <w:rPr>
          <w:rFonts w:eastAsia="MS Mincho"/>
          <w:u w:val="single"/>
          <w:lang w:val="es-419"/>
        </w:rPr>
      </w:pPr>
      <w:r w:rsidRPr="00D40DC9">
        <w:rPr>
          <w:u w:val="single"/>
          <w:lang w:val="es-419"/>
        </w:rPr>
        <w:t>ii)</w:t>
      </w:r>
      <w:r w:rsidRPr="00D40DC9">
        <w:rPr>
          <w:u w:val="single"/>
          <w:lang w:val="es-419"/>
        </w:rPr>
        <w:tab/>
        <w:t xml:space="preserve">Procedimiento para aprobar directrices de examen por correspondencia </w:t>
      </w:r>
    </w:p>
    <w:p w14:paraId="476355E9" w14:textId="77777777" w:rsidR="009956BC" w:rsidRPr="00D40DC9" w:rsidRDefault="009956BC" w:rsidP="009956BC">
      <w:pPr>
        <w:rPr>
          <w:i/>
          <w:lang w:val="es-419"/>
        </w:rPr>
      </w:pPr>
    </w:p>
    <w:p w14:paraId="48E3B60B" w14:textId="77777777" w:rsidR="009956BC" w:rsidRPr="00D40DC9" w:rsidRDefault="009956BC" w:rsidP="009956BC">
      <w:pPr>
        <w:rPr>
          <w:i/>
          <w:lang w:val="es-419"/>
        </w:rPr>
      </w:pPr>
      <w:r w:rsidRPr="00D40DC9">
        <w:rPr>
          <w:i/>
          <w:lang w:val="es-419"/>
        </w:rPr>
        <w:t>Sección 2.2 “Procedimiento para introducir directrices de examen”</w:t>
      </w:r>
    </w:p>
    <w:p w14:paraId="62CB9B23" w14:textId="77777777" w:rsidR="009956BC" w:rsidRPr="00D40DC9" w:rsidRDefault="009956BC" w:rsidP="009956BC">
      <w:pPr>
        <w:rPr>
          <w:i/>
          <w:lang w:val="es-419"/>
        </w:rPr>
      </w:pPr>
    </w:p>
    <w:p w14:paraId="380B7112" w14:textId="77777777" w:rsidR="009956BC" w:rsidRPr="00D40DC9" w:rsidRDefault="009956BC" w:rsidP="009956BC">
      <w:pPr>
        <w:rPr>
          <w:lang w:val="es-419"/>
        </w:rPr>
      </w:pPr>
      <w:r w:rsidRPr="00D40DC9">
        <w:rPr>
          <w:lang w:val="es-419"/>
        </w:rPr>
        <w:t>En su quincuagésima cuarta sesión, el TC examinó el documento TC/54/16 “Procedimiento para aprobar proyectos de directrices de examen” (véanse los párrafos 217 a 220 del documento TC/54/31 “Informe”).</w:t>
      </w:r>
    </w:p>
    <w:p w14:paraId="29FD93D6" w14:textId="77777777" w:rsidR="009956BC" w:rsidRPr="00D40DC9" w:rsidRDefault="009956BC" w:rsidP="009956BC">
      <w:pPr>
        <w:rPr>
          <w:lang w:val="es-419"/>
        </w:rPr>
      </w:pPr>
    </w:p>
    <w:p w14:paraId="001D397C" w14:textId="134F5774" w:rsidR="009956BC" w:rsidRPr="00D40DC9" w:rsidRDefault="009956BC" w:rsidP="009956BC">
      <w:pPr>
        <w:rPr>
          <w:lang w:val="es-419"/>
        </w:rPr>
      </w:pPr>
      <w:r w:rsidRPr="00D40DC9">
        <w:rPr>
          <w:lang w:val="es-419"/>
        </w:rPr>
        <w:t>El TC examinó la propuesta de revisión del documento TGP/7 “Elaboración de las directrices de examen” a fin de que refleje la introducción de un procedimiento para aprobar directrices de examen por correspondencia, según se expone en el párrafo 14 del documento TC/54/16, y asistió a una ponencia a cargo de la Oficina de la UPOV, que se reproduce en una adición al documento TC/54/16.</w:t>
      </w:r>
      <w:r w:rsidR="007D241B" w:rsidRPr="00D40DC9">
        <w:rPr>
          <w:lang w:val="es-419"/>
        </w:rPr>
        <w:t xml:space="preserve"> </w:t>
      </w:r>
      <w:r w:rsidRPr="00D40DC9">
        <w:rPr>
          <w:lang w:val="es-419"/>
        </w:rPr>
        <w:t xml:space="preserve">El TC convino en que se modifique la orientación que se ofrece en el documento TGP/7 como se indica a continuación: </w:t>
      </w:r>
    </w:p>
    <w:p w14:paraId="7C32FB1F" w14:textId="77777777" w:rsidR="009956BC" w:rsidRPr="00D40DC9" w:rsidRDefault="009956BC" w:rsidP="009956BC">
      <w:pPr>
        <w:rPr>
          <w:lang w:val="es-419"/>
        </w:rPr>
      </w:pPr>
    </w:p>
    <w:p w14:paraId="4AD8D37E" w14:textId="13B6180E" w:rsidR="009956BC" w:rsidRPr="00D40DC9" w:rsidRDefault="009956BC" w:rsidP="009956BC">
      <w:pPr>
        <w:ind w:left="567" w:right="567"/>
        <w:rPr>
          <w:sz w:val="18"/>
          <w:szCs w:val="18"/>
          <w:u w:val="single"/>
          <w:lang w:val="es-419"/>
        </w:rPr>
      </w:pPr>
      <w:r w:rsidRPr="00D40DC9">
        <w:rPr>
          <w:sz w:val="18"/>
          <w:u w:val="single"/>
          <w:lang w:val="es-419"/>
        </w:rPr>
        <w:t>“2.2.7</w:t>
      </w:r>
      <w:r w:rsidRPr="00D40DC9">
        <w:rPr>
          <w:lang w:val="es-419"/>
        </w:rPr>
        <w:tab/>
      </w:r>
      <w:r w:rsidRPr="00D40DC9">
        <w:rPr>
          <w:sz w:val="18"/>
          <w:u w:val="single"/>
          <w:bdr w:val="single" w:sz="4" w:space="0" w:color="auto"/>
          <w:lang w:val="es-419"/>
        </w:rPr>
        <w:t>ETAPA 7</w:t>
      </w:r>
      <w:r w:rsidRPr="00D40DC9">
        <w:rPr>
          <w:lang w:val="es-419"/>
        </w:rPr>
        <w:tab/>
      </w:r>
      <w:r w:rsidRPr="00D40DC9">
        <w:rPr>
          <w:sz w:val="18"/>
          <w:u w:val="single"/>
          <w:lang w:val="es-419"/>
        </w:rPr>
        <w:t>Examen del proyecto de directrices de examen por parte del Comité de Redacción</w:t>
      </w:r>
      <w:r w:rsidR="007D241B" w:rsidRPr="00D40DC9">
        <w:rPr>
          <w:sz w:val="18"/>
          <w:u w:val="single"/>
          <w:lang w:val="es-419"/>
        </w:rPr>
        <w:t xml:space="preserve"> </w:t>
      </w:r>
    </w:p>
    <w:p w14:paraId="7B365AF7" w14:textId="77777777" w:rsidR="009956BC" w:rsidRPr="00D40DC9" w:rsidRDefault="009956BC" w:rsidP="009956BC">
      <w:pPr>
        <w:ind w:left="567" w:right="567"/>
        <w:rPr>
          <w:sz w:val="18"/>
          <w:szCs w:val="18"/>
          <w:lang w:val="es-419"/>
        </w:rPr>
      </w:pPr>
    </w:p>
    <w:p w14:paraId="6F4CBFE5" w14:textId="738365F7" w:rsidR="009956BC" w:rsidRPr="00D40DC9" w:rsidRDefault="009956BC" w:rsidP="009956BC">
      <w:pPr>
        <w:ind w:left="567" w:right="567"/>
        <w:rPr>
          <w:sz w:val="18"/>
          <w:szCs w:val="18"/>
          <w:lang w:val="es-419"/>
        </w:rPr>
      </w:pPr>
      <w:r w:rsidRPr="00D40DC9">
        <w:rPr>
          <w:lang w:val="es-419"/>
        </w:rPr>
        <w:t>2.2.7.1</w:t>
      </w:r>
      <w:r w:rsidRPr="00D40DC9">
        <w:rPr>
          <w:lang w:val="es-419"/>
        </w:rPr>
        <w:tab/>
        <w:t>El TC-EDC fue creado por el Comité Técnico con el propósito de examinar los proyectos de todas las directrices de examen elaborados por los TWP antes de someterlos a la aprobación del Comité Técnico.</w:t>
      </w:r>
      <w:r w:rsidR="007D241B" w:rsidRPr="00D40DC9">
        <w:rPr>
          <w:sz w:val="18"/>
          <w:lang w:val="es-419"/>
        </w:rPr>
        <w:t xml:space="preserve"> </w:t>
      </w:r>
      <w:r w:rsidRPr="00D40DC9">
        <w:rPr>
          <w:sz w:val="18"/>
          <w:lang w:val="es-419"/>
        </w:rPr>
        <w:t>La función del TC-EDC es garantizar que las directrices de examen sean coherentes con los requisitos del documento TGP/7 y comprobar la sintonía de los textos en todos los idiomas oficiales de la UPOV.</w:t>
      </w:r>
      <w:r w:rsidR="007D241B" w:rsidRPr="00D40DC9">
        <w:rPr>
          <w:sz w:val="18"/>
          <w:lang w:val="es-419"/>
        </w:rPr>
        <w:t xml:space="preserve"> </w:t>
      </w:r>
      <w:r w:rsidRPr="00D40DC9">
        <w:rPr>
          <w:sz w:val="18"/>
          <w:lang w:val="es-419"/>
        </w:rPr>
        <w:t>El TC-EDC no lleva a cabo un examen profundo de las cuestiones técnicas de las directrices de examen.</w:t>
      </w:r>
      <w:r w:rsidR="007D241B" w:rsidRPr="00D40DC9">
        <w:rPr>
          <w:sz w:val="18"/>
          <w:lang w:val="es-419"/>
        </w:rPr>
        <w:t xml:space="preserve"> </w:t>
      </w:r>
      <w:r w:rsidRPr="00D40DC9">
        <w:rPr>
          <w:sz w:val="18"/>
          <w:lang w:val="es-419"/>
        </w:rPr>
        <w:t>Los miembros del TC-EDC son seleccionados por el TC, tanto para ofrecer una vasta experiencia del sistema de la UPOV como para representar los idiomas de la UPOV, es decir, español, alemán, francés e inglés.</w:t>
      </w:r>
      <w:r w:rsidR="007D241B" w:rsidRPr="00D40DC9">
        <w:rPr>
          <w:sz w:val="18"/>
          <w:lang w:val="es-419"/>
        </w:rPr>
        <w:t xml:space="preserve"> </w:t>
      </w:r>
      <w:r w:rsidRPr="00D40DC9">
        <w:rPr>
          <w:sz w:val="18"/>
          <w:lang w:val="es-419"/>
        </w:rPr>
        <w:t>La presidencia del TC-EDC es ejercida por la Secretaría de la UPOV.</w:t>
      </w:r>
    </w:p>
    <w:p w14:paraId="6E6AB24B" w14:textId="77777777" w:rsidR="009956BC" w:rsidRPr="00D40DC9" w:rsidRDefault="009956BC" w:rsidP="009956BC">
      <w:pPr>
        <w:ind w:left="567" w:right="567"/>
        <w:rPr>
          <w:sz w:val="18"/>
          <w:szCs w:val="18"/>
          <w:lang w:val="es-419"/>
        </w:rPr>
      </w:pPr>
    </w:p>
    <w:p w14:paraId="0E46DC10" w14:textId="77777777" w:rsidR="009956BC" w:rsidRPr="00D40DC9" w:rsidRDefault="009956BC" w:rsidP="009956BC">
      <w:pPr>
        <w:ind w:left="567" w:right="567"/>
        <w:rPr>
          <w:sz w:val="18"/>
          <w:szCs w:val="18"/>
          <w:lang w:val="es-419"/>
        </w:rPr>
      </w:pPr>
      <w:r w:rsidRPr="00D40DC9">
        <w:rPr>
          <w:lang w:val="es-419"/>
        </w:rPr>
        <w:t>2.2.7.2</w:t>
      </w:r>
      <w:r w:rsidRPr="00D40DC9">
        <w:rPr>
          <w:lang w:val="es-419"/>
        </w:rPr>
        <w:tab/>
        <w:t>El Comité de Redacción revisa el proyecto de directrices de examen tomando en consideración las instrucciones específicas que recibe del Comité Técnico y formula asimismo recomendaciones sobre la conveniencia de aprobarlas (Etapa 8).</w:t>
      </w:r>
      <w:r w:rsidRPr="00D40DC9">
        <w:rPr>
          <w:sz w:val="18"/>
          <w:lang w:val="es-419"/>
        </w:rPr>
        <w:t xml:space="preserve"> Asimismo, puede proponer al Comité Técnico que apruebe las directrices de examen tras realizar las enmiendas de redacción que considere necesarias. </w:t>
      </w:r>
    </w:p>
    <w:p w14:paraId="4F750C2E" w14:textId="77777777" w:rsidR="009956BC" w:rsidRPr="00D40DC9" w:rsidRDefault="009956BC" w:rsidP="009956BC">
      <w:pPr>
        <w:ind w:left="567" w:right="567"/>
        <w:rPr>
          <w:sz w:val="18"/>
          <w:szCs w:val="18"/>
          <w:lang w:val="es-419"/>
        </w:rPr>
      </w:pPr>
    </w:p>
    <w:p w14:paraId="58612DA8" w14:textId="73B7B28A" w:rsidR="009956BC" w:rsidRPr="00D40DC9" w:rsidRDefault="009956BC" w:rsidP="009956BC">
      <w:pPr>
        <w:ind w:left="567" w:right="567"/>
        <w:rPr>
          <w:strike/>
          <w:sz w:val="18"/>
          <w:szCs w:val="18"/>
          <w:highlight w:val="lightGray"/>
          <w:lang w:val="es-419"/>
        </w:rPr>
      </w:pPr>
      <w:r w:rsidRPr="00D40DC9">
        <w:rPr>
          <w:strike/>
          <w:sz w:val="18"/>
          <w:highlight w:val="lightGray"/>
          <w:lang w:val="es-419"/>
        </w:rPr>
        <w:t>2.2.7.3</w:t>
      </w:r>
      <w:r w:rsidRPr="00D40DC9">
        <w:rPr>
          <w:lang w:val="es-419"/>
        </w:rPr>
        <w:tab/>
      </w:r>
      <w:r w:rsidRPr="00D40DC9">
        <w:rPr>
          <w:strike/>
          <w:sz w:val="18"/>
          <w:highlight w:val="lightGray"/>
          <w:lang w:val="es-419"/>
        </w:rPr>
        <w:t>Si el Comité de Redacción considera que deben resolverse cuestiones técnicas, podrá buscar resolver esas cuestiones con el experto principal antes del examen de las directrices de examen por parte del Comité Técnico.</w:t>
      </w:r>
      <w:r w:rsidR="007D241B" w:rsidRPr="00D40DC9">
        <w:rPr>
          <w:strike/>
          <w:sz w:val="18"/>
          <w:highlight w:val="lightGray"/>
          <w:lang w:val="es-419"/>
        </w:rPr>
        <w:t xml:space="preserve"> </w:t>
      </w:r>
      <w:r w:rsidRPr="00D40DC9">
        <w:rPr>
          <w:strike/>
          <w:sz w:val="18"/>
          <w:highlight w:val="lightGray"/>
          <w:lang w:val="es-419"/>
        </w:rPr>
        <w:t>En los casos en que esto no sea posible, el Comité de Redacción podrá recomendar que el Comité Técnico:</w:t>
      </w:r>
    </w:p>
    <w:p w14:paraId="232163EB" w14:textId="77777777" w:rsidR="009956BC" w:rsidRPr="00D40DC9" w:rsidRDefault="009956BC" w:rsidP="009956BC">
      <w:pPr>
        <w:ind w:left="567" w:right="567"/>
        <w:rPr>
          <w:strike/>
          <w:sz w:val="18"/>
          <w:szCs w:val="18"/>
          <w:highlight w:val="lightGray"/>
          <w:lang w:val="es-419"/>
        </w:rPr>
      </w:pPr>
    </w:p>
    <w:p w14:paraId="5302F8B3" w14:textId="77777777" w:rsidR="009956BC" w:rsidRPr="00D40DC9" w:rsidRDefault="009956BC" w:rsidP="009956BC">
      <w:pPr>
        <w:ind w:left="567" w:right="567"/>
        <w:rPr>
          <w:strike/>
          <w:sz w:val="18"/>
          <w:szCs w:val="18"/>
          <w:highlight w:val="lightGray"/>
          <w:lang w:val="es-419"/>
        </w:rPr>
      </w:pPr>
      <w:r w:rsidRPr="00D40DC9">
        <w:rPr>
          <w:lang w:val="es-419"/>
        </w:rPr>
        <w:tab/>
      </w:r>
      <w:r w:rsidRPr="00D40DC9">
        <w:rPr>
          <w:strike/>
          <w:sz w:val="18"/>
          <w:highlight w:val="lightGray"/>
          <w:lang w:val="es-419"/>
        </w:rPr>
        <w:t>a)</w:t>
      </w:r>
      <w:r w:rsidRPr="00D40DC9">
        <w:rPr>
          <w:lang w:val="es-419"/>
        </w:rPr>
        <w:tab/>
      </w:r>
      <w:r w:rsidRPr="00D40DC9">
        <w:rPr>
          <w:strike/>
          <w:sz w:val="18"/>
          <w:highlight w:val="lightGray"/>
          <w:lang w:val="es-419"/>
        </w:rPr>
        <w:t xml:space="preserve">remita las directrices de examen al TWP (etapa 4) o </w:t>
      </w:r>
    </w:p>
    <w:p w14:paraId="340BCC0F" w14:textId="77777777" w:rsidR="009956BC" w:rsidRPr="00D40DC9" w:rsidRDefault="009956BC" w:rsidP="009956BC">
      <w:pPr>
        <w:ind w:left="567" w:right="567"/>
        <w:rPr>
          <w:strike/>
          <w:sz w:val="18"/>
          <w:szCs w:val="18"/>
          <w:lang w:val="es-419"/>
        </w:rPr>
      </w:pPr>
      <w:r w:rsidRPr="00D40DC9">
        <w:rPr>
          <w:lang w:val="es-419"/>
        </w:rPr>
        <w:tab/>
      </w:r>
      <w:r w:rsidRPr="00D40DC9">
        <w:rPr>
          <w:strike/>
          <w:sz w:val="18"/>
          <w:highlight w:val="lightGray"/>
          <w:lang w:val="es-419"/>
        </w:rPr>
        <w:t>b)</w:t>
      </w:r>
      <w:r w:rsidRPr="00D40DC9">
        <w:rPr>
          <w:lang w:val="es-419"/>
        </w:rPr>
        <w:tab/>
      </w:r>
      <w:r w:rsidRPr="00D40DC9">
        <w:rPr>
          <w:strike/>
          <w:sz w:val="18"/>
          <w:highlight w:val="lightGray"/>
          <w:lang w:val="es-419"/>
        </w:rPr>
        <w:t>apruebe las directrices de examen a condición de que el experto principal presente información adicional aprobada por todos los expertos interesados y el Presidente del TWP pertinente</w:t>
      </w:r>
      <w:r w:rsidRPr="00D40DC9">
        <w:rPr>
          <w:lang w:val="es-419"/>
        </w:rPr>
        <w:t>.</w:t>
      </w:r>
    </w:p>
    <w:p w14:paraId="43A03DE8" w14:textId="77777777" w:rsidR="009956BC" w:rsidRPr="00D40DC9" w:rsidRDefault="009956BC" w:rsidP="009956BC">
      <w:pPr>
        <w:ind w:left="567" w:right="567"/>
        <w:rPr>
          <w:sz w:val="18"/>
          <w:szCs w:val="18"/>
          <w:lang w:val="es-419"/>
        </w:rPr>
      </w:pPr>
    </w:p>
    <w:p w14:paraId="7573BAAE" w14:textId="0A3C6175" w:rsidR="009956BC" w:rsidRPr="00D40DC9" w:rsidRDefault="009956BC" w:rsidP="009956BC">
      <w:pPr>
        <w:ind w:left="567" w:right="567"/>
        <w:rPr>
          <w:sz w:val="18"/>
          <w:szCs w:val="18"/>
          <w:highlight w:val="lightGray"/>
          <w:u w:val="single"/>
          <w:lang w:val="es-419"/>
        </w:rPr>
      </w:pPr>
      <w:r w:rsidRPr="00D40DC9">
        <w:rPr>
          <w:sz w:val="18"/>
          <w:highlight w:val="lightGray"/>
          <w:u w:val="single"/>
          <w:lang w:val="es-419"/>
        </w:rPr>
        <w:lastRenderedPageBreak/>
        <w:t>NUEVO</w:t>
      </w:r>
      <w:r w:rsidR="00D40DC9" w:rsidRPr="00D40DC9">
        <w:rPr>
          <w:lang w:val="es-419"/>
        </w:rPr>
        <w:tab/>
      </w:r>
      <w:r w:rsidRPr="00D40DC9">
        <w:rPr>
          <w:sz w:val="18"/>
          <w:highlight w:val="lightGray"/>
          <w:u w:val="single"/>
          <w:lang w:val="es-419"/>
        </w:rPr>
        <w:t>A no ser que el TC convenga lo contrario, el TC-EDC se reunirá dos veces al año, una vez entre marzo y abril y otra en paralelo a la sesión del TC (entre octubre y noviembre).</w:t>
      </w:r>
      <w:r w:rsidR="007D241B" w:rsidRPr="00D40DC9">
        <w:rPr>
          <w:sz w:val="18"/>
          <w:highlight w:val="lightGray"/>
          <w:u w:val="single"/>
          <w:lang w:val="es-419"/>
        </w:rPr>
        <w:t xml:space="preserve"> </w:t>
      </w:r>
      <w:r w:rsidRPr="00D40DC9">
        <w:rPr>
          <w:sz w:val="18"/>
          <w:highlight w:val="lightGray"/>
          <w:u w:val="single"/>
          <w:lang w:val="es-419"/>
        </w:rPr>
        <w:t>El TC-EDC examinará las directrices de examen que los Grupos de Trabajo Técnico remitan como mínimo 14 semanas antes de la reunión del TC-EDC.</w:t>
      </w:r>
      <w:r w:rsidR="007D241B" w:rsidRPr="00D40DC9">
        <w:rPr>
          <w:sz w:val="18"/>
          <w:highlight w:val="lightGray"/>
          <w:u w:val="single"/>
          <w:lang w:val="es-419"/>
        </w:rPr>
        <w:t xml:space="preserve"> </w:t>
      </w:r>
      <w:r w:rsidRPr="00D40DC9">
        <w:rPr>
          <w:sz w:val="18"/>
          <w:highlight w:val="lightGray"/>
          <w:u w:val="single"/>
          <w:lang w:val="es-419"/>
        </w:rPr>
        <w:t>Las directrices de examen remitidas menos de 14 semanas antes de la reunión del TC-EDC se examinarán en la siguiente reunión.</w:t>
      </w:r>
    </w:p>
    <w:p w14:paraId="73CD9766" w14:textId="77777777" w:rsidR="009956BC" w:rsidRPr="00D40DC9" w:rsidRDefault="009956BC" w:rsidP="009956BC">
      <w:pPr>
        <w:tabs>
          <w:tab w:val="left" w:pos="567"/>
          <w:tab w:val="left" w:pos="1134"/>
          <w:tab w:val="left" w:pos="5387"/>
        </w:tabs>
        <w:ind w:left="567" w:right="567"/>
        <w:rPr>
          <w:sz w:val="18"/>
          <w:szCs w:val="18"/>
          <w:highlight w:val="lightGray"/>
          <w:u w:val="single"/>
          <w:lang w:val="es-419"/>
        </w:rPr>
      </w:pPr>
    </w:p>
    <w:p w14:paraId="31361D5D" w14:textId="40F4E331" w:rsidR="009956BC" w:rsidRPr="00D40DC9" w:rsidRDefault="009956BC" w:rsidP="009956BC">
      <w:pPr>
        <w:ind w:left="567" w:right="567"/>
        <w:rPr>
          <w:sz w:val="18"/>
          <w:szCs w:val="18"/>
          <w:highlight w:val="lightGray"/>
          <w:u w:val="single"/>
          <w:lang w:val="es-419"/>
        </w:rPr>
      </w:pPr>
      <w:r w:rsidRPr="00D40DC9">
        <w:rPr>
          <w:sz w:val="18"/>
          <w:highlight w:val="lightGray"/>
          <w:u w:val="single"/>
          <w:lang w:val="es-419"/>
        </w:rPr>
        <w:t>NUEVO</w:t>
      </w:r>
      <w:r w:rsidR="007B1641">
        <w:rPr>
          <w:lang w:val="es-419"/>
        </w:rPr>
        <w:tab/>
      </w:r>
      <w:r w:rsidRPr="00D40DC9">
        <w:rPr>
          <w:sz w:val="18"/>
          <w:highlight w:val="lightGray"/>
          <w:u w:val="single"/>
          <w:lang w:val="es-419"/>
        </w:rPr>
        <w:t>El examen que el TC-EDC realice de las directrices de examen puede tener los siguientes resultados</w:t>
      </w:r>
    </w:p>
    <w:p w14:paraId="041155A0" w14:textId="77777777" w:rsidR="009956BC" w:rsidRPr="00D40DC9" w:rsidRDefault="009956BC" w:rsidP="009956BC">
      <w:pPr>
        <w:ind w:left="567" w:right="567"/>
        <w:rPr>
          <w:sz w:val="18"/>
          <w:szCs w:val="18"/>
          <w:highlight w:val="lightGray"/>
          <w:u w:val="single"/>
          <w:lang w:val="es-419"/>
        </w:rPr>
      </w:pPr>
    </w:p>
    <w:p w14:paraId="280E90A0" w14:textId="14846E2A" w:rsidR="009956BC" w:rsidRPr="00D40DC9" w:rsidRDefault="003426E6" w:rsidP="003426E6">
      <w:pPr>
        <w:ind w:left="1134" w:right="567" w:hanging="567"/>
        <w:contextualSpacing/>
        <w:rPr>
          <w:rFonts w:cs="Arial"/>
          <w:sz w:val="18"/>
          <w:szCs w:val="18"/>
          <w:highlight w:val="lightGray"/>
          <w:u w:val="single"/>
          <w:lang w:val="es-419"/>
        </w:rPr>
      </w:pPr>
      <w:r w:rsidRPr="00D40DC9">
        <w:rPr>
          <w:sz w:val="18"/>
          <w:highlight w:val="lightGray"/>
          <w:u w:val="single"/>
          <w:lang w:val="es-419"/>
        </w:rPr>
        <w:t>a)</w:t>
      </w:r>
      <w:r w:rsidRPr="00D40DC9">
        <w:rPr>
          <w:sz w:val="18"/>
          <w:highlight w:val="lightGray"/>
          <w:u w:val="single"/>
          <w:lang w:val="es-419"/>
        </w:rPr>
        <w:tab/>
      </w:r>
      <w:r w:rsidR="009956BC" w:rsidRPr="00D40DC9">
        <w:rPr>
          <w:sz w:val="18"/>
          <w:highlight w:val="lightGray"/>
          <w:u w:val="single"/>
          <w:lang w:val="es-419"/>
        </w:rPr>
        <w:t>que no sea necesario modificar las directrices de examen o que las modificaciones necesarias sean estrictamente de redacción y que el TC-EDC acuerde recomendaciones al respecto; o</w:t>
      </w:r>
    </w:p>
    <w:p w14:paraId="51CF1820" w14:textId="3C108881" w:rsidR="009956BC" w:rsidRPr="00D40DC9" w:rsidRDefault="003426E6" w:rsidP="003426E6">
      <w:pPr>
        <w:ind w:left="1134" w:right="567" w:hanging="567"/>
        <w:contextualSpacing/>
        <w:rPr>
          <w:rFonts w:cs="Arial"/>
          <w:sz w:val="18"/>
          <w:szCs w:val="18"/>
          <w:highlight w:val="lightGray"/>
          <w:u w:val="single"/>
          <w:lang w:val="es-419"/>
        </w:rPr>
      </w:pPr>
      <w:r w:rsidRPr="00D40DC9">
        <w:rPr>
          <w:sz w:val="18"/>
          <w:highlight w:val="lightGray"/>
          <w:u w:val="single"/>
          <w:lang w:val="es-419"/>
        </w:rPr>
        <w:t>b)</w:t>
      </w:r>
      <w:r w:rsidRPr="00D40DC9">
        <w:rPr>
          <w:sz w:val="18"/>
          <w:highlight w:val="lightGray"/>
          <w:u w:val="single"/>
          <w:lang w:val="es-419"/>
        </w:rPr>
        <w:tab/>
      </w:r>
      <w:r w:rsidR="009956BC" w:rsidRPr="00D40DC9">
        <w:rPr>
          <w:sz w:val="18"/>
          <w:highlight w:val="lightGray"/>
          <w:u w:val="single"/>
          <w:lang w:val="es-419"/>
        </w:rPr>
        <w:t>que sea preciso aclarar la redacción; o</w:t>
      </w:r>
    </w:p>
    <w:p w14:paraId="10DD60D7" w14:textId="014B776C" w:rsidR="009956BC" w:rsidRPr="00D40DC9" w:rsidRDefault="003426E6" w:rsidP="003426E6">
      <w:pPr>
        <w:ind w:left="1134" w:right="567" w:hanging="567"/>
        <w:contextualSpacing/>
        <w:rPr>
          <w:rFonts w:cs="Arial"/>
          <w:sz w:val="18"/>
          <w:szCs w:val="18"/>
          <w:highlight w:val="lightGray"/>
          <w:u w:val="single"/>
          <w:lang w:val="es-419"/>
        </w:rPr>
      </w:pPr>
      <w:r w:rsidRPr="00D40DC9">
        <w:rPr>
          <w:sz w:val="18"/>
          <w:highlight w:val="lightGray"/>
          <w:u w:val="single"/>
          <w:lang w:val="es-419"/>
        </w:rPr>
        <w:t>c)</w:t>
      </w:r>
      <w:r w:rsidRPr="00D40DC9">
        <w:rPr>
          <w:sz w:val="18"/>
          <w:highlight w:val="lightGray"/>
          <w:u w:val="single"/>
          <w:lang w:val="es-419"/>
        </w:rPr>
        <w:tab/>
      </w:r>
      <w:r w:rsidR="009956BC" w:rsidRPr="00D40DC9">
        <w:rPr>
          <w:sz w:val="18"/>
          <w:highlight w:val="lightGray"/>
          <w:u w:val="single"/>
          <w:lang w:val="es-419"/>
        </w:rPr>
        <w:t>que deban resolverse cuestiones técnicas.</w:t>
      </w:r>
    </w:p>
    <w:p w14:paraId="17D8CA16" w14:textId="77777777" w:rsidR="009956BC" w:rsidRPr="00D40DC9" w:rsidRDefault="009956BC" w:rsidP="009956BC">
      <w:pPr>
        <w:ind w:left="567" w:right="567"/>
        <w:rPr>
          <w:sz w:val="18"/>
          <w:szCs w:val="18"/>
          <w:highlight w:val="lightGray"/>
          <w:u w:val="single"/>
          <w:lang w:val="es-419"/>
        </w:rPr>
      </w:pPr>
    </w:p>
    <w:p w14:paraId="72CD6762" w14:textId="77777777" w:rsidR="009956BC" w:rsidRPr="00D40DC9" w:rsidRDefault="009956BC" w:rsidP="009956BC">
      <w:pPr>
        <w:ind w:left="567" w:right="567"/>
        <w:rPr>
          <w:sz w:val="18"/>
          <w:szCs w:val="18"/>
          <w:highlight w:val="lightGray"/>
          <w:u w:val="single"/>
          <w:lang w:val="es-419"/>
        </w:rPr>
      </w:pPr>
      <w:r w:rsidRPr="00D40DC9">
        <w:rPr>
          <w:sz w:val="18"/>
          <w:highlight w:val="lightGray"/>
          <w:u w:val="single"/>
          <w:lang w:val="es-419"/>
        </w:rPr>
        <w:t>NUEVO</w:t>
      </w:r>
      <w:r w:rsidRPr="00D40DC9">
        <w:rPr>
          <w:lang w:val="es-419"/>
        </w:rPr>
        <w:tab/>
      </w:r>
      <w:r w:rsidRPr="00D40DC9">
        <w:rPr>
          <w:sz w:val="18"/>
          <w:highlight w:val="lightGray"/>
          <w:u w:val="single"/>
          <w:lang w:val="es-419"/>
        </w:rPr>
        <w:t xml:space="preserve">En los casos en que no sea necesario modificar las directrices de examen o que las modificaciones necesarias sean estrictamente de redacción y que el TC-EDC acuerde recomendaciones al respecto, las directrices de examen se someterán a la aprobación del Comité Técnico. </w:t>
      </w:r>
    </w:p>
    <w:p w14:paraId="4D04200C" w14:textId="77777777" w:rsidR="009956BC" w:rsidRPr="00D40DC9" w:rsidRDefault="009956BC" w:rsidP="009956BC">
      <w:pPr>
        <w:ind w:left="567" w:right="567"/>
        <w:rPr>
          <w:sz w:val="18"/>
          <w:szCs w:val="18"/>
          <w:highlight w:val="lightGray"/>
          <w:u w:val="single"/>
          <w:lang w:val="es-419"/>
        </w:rPr>
      </w:pPr>
    </w:p>
    <w:p w14:paraId="324E5988" w14:textId="77777777" w:rsidR="009956BC" w:rsidRPr="00D40DC9" w:rsidRDefault="009956BC" w:rsidP="009956BC">
      <w:pPr>
        <w:ind w:left="567" w:right="567"/>
        <w:rPr>
          <w:sz w:val="18"/>
          <w:szCs w:val="18"/>
          <w:highlight w:val="lightGray"/>
          <w:u w:val="single"/>
          <w:lang w:val="es-419"/>
        </w:rPr>
      </w:pPr>
      <w:r w:rsidRPr="00D40DC9">
        <w:rPr>
          <w:sz w:val="18"/>
          <w:highlight w:val="lightGray"/>
          <w:u w:val="single"/>
          <w:lang w:val="es-419"/>
        </w:rPr>
        <w:t>NUEVO</w:t>
      </w:r>
      <w:r w:rsidRPr="00D40DC9">
        <w:rPr>
          <w:lang w:val="es-419"/>
        </w:rPr>
        <w:tab/>
      </w:r>
      <w:r w:rsidRPr="00D40DC9">
        <w:rPr>
          <w:sz w:val="18"/>
          <w:highlight w:val="lightGray"/>
          <w:u w:val="single"/>
          <w:lang w:val="es-419"/>
        </w:rPr>
        <w:t xml:space="preserve">Cuando en las directrices de examen sea preciso aclarar la redacción, se aplicará el siguiente procedimiento: </w:t>
      </w:r>
    </w:p>
    <w:p w14:paraId="02CD82D6" w14:textId="77777777" w:rsidR="009956BC" w:rsidRPr="00D40DC9" w:rsidRDefault="009956BC" w:rsidP="009956BC">
      <w:pPr>
        <w:ind w:left="567" w:right="567"/>
        <w:rPr>
          <w:rFonts w:cs="Arial"/>
          <w:sz w:val="18"/>
          <w:szCs w:val="18"/>
          <w:highlight w:val="lightGray"/>
          <w:u w:val="single"/>
          <w:lang w:val="es-419"/>
        </w:rPr>
      </w:pPr>
    </w:p>
    <w:p w14:paraId="212109B6" w14:textId="77777777" w:rsidR="009956BC" w:rsidRPr="00D40DC9" w:rsidRDefault="009956BC" w:rsidP="009956BC">
      <w:pPr>
        <w:numPr>
          <w:ilvl w:val="0"/>
          <w:numId w:val="4"/>
        </w:numPr>
        <w:ind w:left="1134" w:right="567" w:hanging="567"/>
        <w:contextualSpacing/>
        <w:rPr>
          <w:rFonts w:cs="Arial"/>
          <w:sz w:val="18"/>
          <w:szCs w:val="18"/>
          <w:highlight w:val="lightGray"/>
          <w:u w:val="single"/>
          <w:lang w:val="es-419"/>
        </w:rPr>
      </w:pPr>
      <w:r w:rsidRPr="00D40DC9">
        <w:rPr>
          <w:sz w:val="18"/>
          <w:highlight w:val="lightGray"/>
          <w:u w:val="single"/>
          <w:lang w:val="es-419"/>
        </w:rPr>
        <w:t>se transmite una solicitud de aclaraciones al experto principal;</w:t>
      </w:r>
    </w:p>
    <w:p w14:paraId="0B7E46EA" w14:textId="77777777" w:rsidR="009956BC" w:rsidRPr="00D40DC9" w:rsidRDefault="009956BC" w:rsidP="009956BC">
      <w:pPr>
        <w:numPr>
          <w:ilvl w:val="0"/>
          <w:numId w:val="4"/>
        </w:numPr>
        <w:ind w:left="1134" w:right="567" w:hanging="567"/>
        <w:contextualSpacing/>
        <w:rPr>
          <w:rFonts w:cs="Arial"/>
          <w:sz w:val="18"/>
          <w:szCs w:val="18"/>
          <w:highlight w:val="lightGray"/>
          <w:u w:val="single"/>
          <w:lang w:val="es-419"/>
        </w:rPr>
      </w:pPr>
      <w:r w:rsidRPr="00D40DC9">
        <w:rPr>
          <w:sz w:val="18"/>
          <w:highlight w:val="lightGray"/>
          <w:u w:val="single"/>
          <w:lang w:val="es-419"/>
        </w:rPr>
        <w:t>las aclaraciones han de facilitarse en menos de cuatro semanas;</w:t>
      </w:r>
    </w:p>
    <w:p w14:paraId="0673478B" w14:textId="77777777" w:rsidR="009956BC" w:rsidRPr="00D40DC9" w:rsidRDefault="009956BC" w:rsidP="009956BC">
      <w:pPr>
        <w:numPr>
          <w:ilvl w:val="0"/>
          <w:numId w:val="4"/>
        </w:numPr>
        <w:ind w:left="1134" w:right="567" w:hanging="567"/>
        <w:contextualSpacing/>
        <w:rPr>
          <w:rFonts w:cs="Arial"/>
          <w:sz w:val="18"/>
          <w:szCs w:val="18"/>
          <w:highlight w:val="lightGray"/>
          <w:u w:val="single"/>
          <w:lang w:val="es-419"/>
        </w:rPr>
      </w:pPr>
      <w:r w:rsidRPr="00D40DC9">
        <w:rPr>
          <w:sz w:val="18"/>
          <w:highlight w:val="lightGray"/>
          <w:u w:val="single"/>
          <w:lang w:val="es-419"/>
        </w:rPr>
        <w:t>si el TC-EDC suscribe las aclaraciones, se recomienda la aprobación de las directrices de examen en su reunión;</w:t>
      </w:r>
    </w:p>
    <w:p w14:paraId="0F8C4C62" w14:textId="77777777" w:rsidR="009956BC" w:rsidRPr="00D40DC9" w:rsidRDefault="009956BC" w:rsidP="009956BC">
      <w:pPr>
        <w:numPr>
          <w:ilvl w:val="0"/>
          <w:numId w:val="4"/>
        </w:numPr>
        <w:ind w:left="1134" w:right="567" w:hanging="567"/>
        <w:contextualSpacing/>
        <w:rPr>
          <w:rFonts w:cs="Arial"/>
          <w:sz w:val="18"/>
          <w:szCs w:val="18"/>
          <w:highlight w:val="lightGray"/>
          <w:u w:val="single"/>
          <w:lang w:val="es-419"/>
        </w:rPr>
      </w:pPr>
      <w:r w:rsidRPr="00D40DC9">
        <w:rPr>
          <w:sz w:val="18"/>
          <w:highlight w:val="lightGray"/>
          <w:u w:val="single"/>
          <w:lang w:val="es-419"/>
        </w:rPr>
        <w:t>las directrices de examen se someten al examen del TC con miras a su aprobación.</w:t>
      </w:r>
    </w:p>
    <w:p w14:paraId="145AF783" w14:textId="77777777" w:rsidR="009956BC" w:rsidRPr="00D40DC9" w:rsidRDefault="009956BC" w:rsidP="009956BC">
      <w:pPr>
        <w:ind w:left="993" w:right="567" w:hanging="426"/>
        <w:rPr>
          <w:sz w:val="18"/>
          <w:szCs w:val="18"/>
          <w:highlight w:val="lightGray"/>
          <w:u w:val="single"/>
          <w:lang w:val="es-419"/>
        </w:rPr>
      </w:pPr>
    </w:p>
    <w:p w14:paraId="00D62101" w14:textId="77777777" w:rsidR="009956BC" w:rsidRPr="00D40DC9" w:rsidRDefault="009956BC" w:rsidP="009956BC">
      <w:pPr>
        <w:ind w:left="993" w:right="567" w:hanging="426"/>
        <w:rPr>
          <w:sz w:val="18"/>
          <w:szCs w:val="18"/>
          <w:highlight w:val="lightGray"/>
          <w:u w:val="single"/>
          <w:lang w:val="es-419"/>
        </w:rPr>
      </w:pPr>
      <w:r w:rsidRPr="00D40DC9">
        <w:rPr>
          <w:sz w:val="18"/>
          <w:highlight w:val="lightGray"/>
          <w:u w:val="single"/>
          <w:lang w:val="es-419"/>
        </w:rPr>
        <w:t>NUEVO</w:t>
      </w:r>
      <w:r w:rsidRPr="00D40DC9">
        <w:rPr>
          <w:lang w:val="es-419"/>
        </w:rPr>
        <w:tab/>
      </w:r>
      <w:r w:rsidRPr="00D40DC9">
        <w:rPr>
          <w:lang w:val="es-419"/>
        </w:rPr>
        <w:tab/>
      </w:r>
      <w:r w:rsidRPr="00D40DC9">
        <w:rPr>
          <w:sz w:val="18"/>
          <w:highlight w:val="lightGray"/>
          <w:u w:val="single"/>
          <w:lang w:val="es-419"/>
        </w:rPr>
        <w:t>Para las directrices de examen en las que deban resolverse cuestiones técnicas, se aplicará el siguiente procedimiento:</w:t>
      </w:r>
    </w:p>
    <w:p w14:paraId="31BCD09F" w14:textId="77777777" w:rsidR="009956BC" w:rsidRPr="00D40DC9" w:rsidRDefault="009956BC" w:rsidP="009956BC">
      <w:pPr>
        <w:ind w:left="993" w:right="567" w:hanging="426"/>
        <w:rPr>
          <w:rFonts w:cs="Arial"/>
          <w:sz w:val="18"/>
          <w:szCs w:val="18"/>
          <w:highlight w:val="lightGray"/>
          <w:u w:val="single"/>
          <w:lang w:val="es-419"/>
        </w:rPr>
      </w:pPr>
    </w:p>
    <w:p w14:paraId="339C3283" w14:textId="77777777" w:rsidR="009956BC" w:rsidRPr="00D40DC9" w:rsidRDefault="009956BC" w:rsidP="009956BC">
      <w:pPr>
        <w:numPr>
          <w:ilvl w:val="0"/>
          <w:numId w:val="5"/>
        </w:numPr>
        <w:ind w:left="993" w:right="567" w:hanging="426"/>
        <w:contextualSpacing/>
        <w:rPr>
          <w:rFonts w:cs="Arial"/>
          <w:sz w:val="18"/>
          <w:szCs w:val="18"/>
          <w:highlight w:val="lightGray"/>
          <w:u w:val="single"/>
          <w:lang w:val="es-419"/>
        </w:rPr>
      </w:pPr>
      <w:r w:rsidRPr="00D40DC9">
        <w:rPr>
          <w:sz w:val="18"/>
          <w:highlight w:val="lightGray"/>
          <w:u w:val="single"/>
          <w:lang w:val="es-419"/>
        </w:rPr>
        <w:t xml:space="preserve">deben transmitirse las cuestiones técnicas al experto principal; </w:t>
      </w:r>
    </w:p>
    <w:p w14:paraId="0A4AAD43" w14:textId="3A208B0D" w:rsidR="009956BC" w:rsidRPr="00D40DC9" w:rsidRDefault="009956BC" w:rsidP="009956BC">
      <w:pPr>
        <w:numPr>
          <w:ilvl w:val="0"/>
          <w:numId w:val="5"/>
        </w:numPr>
        <w:ind w:left="993" w:right="567" w:hanging="426"/>
        <w:contextualSpacing/>
        <w:rPr>
          <w:rFonts w:cs="Arial"/>
          <w:sz w:val="18"/>
          <w:szCs w:val="18"/>
          <w:highlight w:val="lightGray"/>
          <w:u w:val="single"/>
          <w:lang w:val="es-419"/>
        </w:rPr>
      </w:pPr>
      <w:r w:rsidRPr="00D40DC9">
        <w:rPr>
          <w:sz w:val="18"/>
          <w:highlight w:val="lightGray"/>
          <w:u w:val="single"/>
          <w:lang w:val="es-419"/>
        </w:rPr>
        <w:t>las cuestiones técnicas han de tratarse en los respectivos Grupos de Trabajo Técnico por medio de un documento TWP elaborado por el experto principal al menos cuatro semanas antes de la sesión del TWP (no se elaborará un nuevo proyecto de directrices de examen);</w:t>
      </w:r>
      <w:r w:rsidR="007D241B" w:rsidRPr="00D40DC9">
        <w:rPr>
          <w:sz w:val="18"/>
          <w:highlight w:val="lightGray"/>
          <w:u w:val="single"/>
          <w:lang w:val="es-419"/>
        </w:rPr>
        <w:t xml:space="preserve"> </w:t>
      </w:r>
    </w:p>
    <w:p w14:paraId="6DE5A11E" w14:textId="77777777" w:rsidR="009956BC" w:rsidRPr="00D40DC9" w:rsidRDefault="009956BC" w:rsidP="009956BC">
      <w:pPr>
        <w:numPr>
          <w:ilvl w:val="0"/>
          <w:numId w:val="5"/>
        </w:numPr>
        <w:ind w:left="993" w:right="567" w:hanging="426"/>
        <w:contextualSpacing/>
        <w:rPr>
          <w:rFonts w:cs="Arial"/>
          <w:sz w:val="18"/>
          <w:szCs w:val="18"/>
          <w:highlight w:val="lightGray"/>
          <w:u w:val="single"/>
          <w:lang w:val="es-419"/>
        </w:rPr>
      </w:pPr>
      <w:r w:rsidRPr="00D40DC9">
        <w:rPr>
          <w:sz w:val="18"/>
          <w:highlight w:val="lightGray"/>
          <w:u w:val="single"/>
          <w:lang w:val="es-419"/>
        </w:rPr>
        <w:t>el TC-EDC debe proporcionar una solución de las cuestiones técnicas como mínimo siete semanas antes de la reunión del TC-EDC;</w:t>
      </w:r>
    </w:p>
    <w:p w14:paraId="1D62DFD1" w14:textId="77777777" w:rsidR="009956BC" w:rsidRPr="00D40DC9" w:rsidRDefault="009956BC" w:rsidP="009956BC">
      <w:pPr>
        <w:numPr>
          <w:ilvl w:val="0"/>
          <w:numId w:val="4"/>
        </w:numPr>
        <w:ind w:left="993" w:right="567" w:hanging="426"/>
        <w:contextualSpacing/>
        <w:rPr>
          <w:rFonts w:cs="Arial"/>
          <w:sz w:val="18"/>
          <w:szCs w:val="18"/>
          <w:highlight w:val="lightGray"/>
          <w:u w:val="single"/>
          <w:lang w:val="es-419"/>
        </w:rPr>
      </w:pPr>
      <w:r w:rsidRPr="00D40DC9">
        <w:rPr>
          <w:sz w:val="18"/>
          <w:highlight w:val="lightGray"/>
          <w:u w:val="single"/>
          <w:lang w:val="es-419"/>
        </w:rPr>
        <w:t>si el TC-EDC llega a un acuerdo, se recomienda la aprobación de las directrices de examen en su reunión;</w:t>
      </w:r>
    </w:p>
    <w:p w14:paraId="753123F9" w14:textId="77777777" w:rsidR="009956BC" w:rsidRPr="00D40DC9" w:rsidRDefault="009956BC" w:rsidP="009956BC">
      <w:pPr>
        <w:numPr>
          <w:ilvl w:val="0"/>
          <w:numId w:val="4"/>
        </w:numPr>
        <w:ind w:left="993" w:right="567" w:hanging="426"/>
        <w:contextualSpacing/>
        <w:rPr>
          <w:rFonts w:cs="Arial"/>
          <w:sz w:val="18"/>
          <w:szCs w:val="18"/>
          <w:highlight w:val="lightGray"/>
          <w:u w:val="single"/>
          <w:lang w:val="es-419"/>
        </w:rPr>
      </w:pPr>
      <w:r w:rsidRPr="00D40DC9">
        <w:rPr>
          <w:sz w:val="18"/>
          <w:highlight w:val="lightGray"/>
          <w:u w:val="single"/>
          <w:lang w:val="es-419"/>
        </w:rPr>
        <w:t>las directrices de examen se someten al examen del TC con miras a su aprobación.</w:t>
      </w:r>
    </w:p>
    <w:p w14:paraId="793DF97F" w14:textId="77777777" w:rsidR="009956BC" w:rsidRPr="00D40DC9" w:rsidRDefault="009956BC" w:rsidP="009956BC">
      <w:pPr>
        <w:ind w:left="567" w:right="567"/>
        <w:rPr>
          <w:sz w:val="18"/>
          <w:szCs w:val="18"/>
          <w:lang w:val="es-419"/>
        </w:rPr>
      </w:pPr>
    </w:p>
    <w:p w14:paraId="599968A8" w14:textId="7DC369D7" w:rsidR="009956BC" w:rsidRPr="00D40DC9" w:rsidRDefault="009956BC" w:rsidP="009956BC">
      <w:pPr>
        <w:ind w:left="567" w:right="567"/>
        <w:rPr>
          <w:sz w:val="18"/>
          <w:szCs w:val="18"/>
          <w:u w:val="single"/>
          <w:lang w:val="es-419"/>
        </w:rPr>
      </w:pPr>
      <w:r w:rsidRPr="00D40DC9">
        <w:rPr>
          <w:sz w:val="18"/>
          <w:u w:val="single"/>
          <w:lang w:val="es-419"/>
        </w:rPr>
        <w:t>2.2.8</w:t>
      </w:r>
      <w:r w:rsidRPr="00D40DC9">
        <w:rPr>
          <w:lang w:val="es-419"/>
        </w:rPr>
        <w:tab/>
      </w:r>
      <w:r w:rsidRPr="00D40DC9">
        <w:rPr>
          <w:sz w:val="18"/>
          <w:u w:val="single"/>
          <w:bdr w:val="single" w:sz="4" w:space="0" w:color="auto"/>
          <w:lang w:val="es-419"/>
        </w:rPr>
        <w:t>ETAPA 8</w:t>
      </w:r>
      <w:r w:rsidRPr="00D40DC9">
        <w:rPr>
          <w:lang w:val="es-419"/>
        </w:rPr>
        <w:tab/>
      </w:r>
      <w:r w:rsidRPr="00D40DC9">
        <w:rPr>
          <w:sz w:val="18"/>
          <w:u w:val="single"/>
          <w:lang w:val="es-419"/>
        </w:rPr>
        <w:t>Aprobación del proyecto de directrices de examen por parte del Comité Técnico</w:t>
      </w:r>
      <w:r w:rsidR="007D241B" w:rsidRPr="00D40DC9">
        <w:rPr>
          <w:sz w:val="18"/>
          <w:u w:val="single"/>
          <w:lang w:val="es-419"/>
        </w:rPr>
        <w:t xml:space="preserve"> </w:t>
      </w:r>
    </w:p>
    <w:p w14:paraId="6D50E80B" w14:textId="77777777" w:rsidR="009956BC" w:rsidRPr="00D40DC9" w:rsidRDefault="009956BC" w:rsidP="009956BC">
      <w:pPr>
        <w:ind w:left="567" w:right="567"/>
        <w:rPr>
          <w:sz w:val="18"/>
          <w:szCs w:val="18"/>
          <w:lang w:val="es-419"/>
        </w:rPr>
      </w:pPr>
    </w:p>
    <w:p w14:paraId="53E2E73B" w14:textId="77777777" w:rsidR="009956BC" w:rsidRPr="00D40DC9" w:rsidRDefault="009956BC" w:rsidP="009956BC">
      <w:pPr>
        <w:ind w:left="567" w:right="567"/>
        <w:rPr>
          <w:sz w:val="18"/>
          <w:szCs w:val="18"/>
          <w:lang w:val="es-419"/>
        </w:rPr>
      </w:pPr>
      <w:r w:rsidRPr="00D40DC9">
        <w:rPr>
          <w:lang w:val="es-419"/>
        </w:rPr>
        <w:t>2.2.8.1</w:t>
      </w:r>
      <w:r w:rsidRPr="00D40DC9">
        <w:rPr>
          <w:lang w:val="es-419"/>
        </w:rPr>
        <w:tab/>
        <w:t xml:space="preserve">Basándose en las recomendaciones del Comité de Redacción, el Comité Técnico decidirá si aprueba las directrices de examen o </w:t>
      </w:r>
      <w:proofErr w:type="gramStart"/>
      <w:r w:rsidRPr="00D40DC9">
        <w:rPr>
          <w:lang w:val="es-419"/>
        </w:rPr>
        <w:t>las remite</w:t>
      </w:r>
      <w:proofErr w:type="gramEnd"/>
      <w:r w:rsidRPr="00D40DC9">
        <w:rPr>
          <w:lang w:val="es-419"/>
        </w:rPr>
        <w:t xml:space="preserve"> de vuelta al TWP que corresponda.</w:t>
      </w:r>
    </w:p>
    <w:p w14:paraId="42CD9860" w14:textId="77777777" w:rsidR="009956BC" w:rsidRPr="00D40DC9" w:rsidRDefault="009956BC" w:rsidP="009956BC">
      <w:pPr>
        <w:ind w:left="567" w:right="567"/>
        <w:rPr>
          <w:sz w:val="18"/>
          <w:szCs w:val="18"/>
          <w:lang w:val="es-419"/>
        </w:rPr>
      </w:pPr>
    </w:p>
    <w:p w14:paraId="645B81D3" w14:textId="0880EBA1" w:rsidR="009956BC" w:rsidRPr="00D40DC9" w:rsidRDefault="009956BC" w:rsidP="009956BC">
      <w:pPr>
        <w:ind w:left="567" w:right="567"/>
        <w:rPr>
          <w:sz w:val="18"/>
          <w:szCs w:val="18"/>
          <w:highlight w:val="lightGray"/>
          <w:u w:val="single"/>
          <w:lang w:val="es-419"/>
        </w:rPr>
      </w:pPr>
      <w:r w:rsidRPr="00D40DC9">
        <w:rPr>
          <w:sz w:val="18"/>
          <w:highlight w:val="lightGray"/>
          <w:u w:val="single"/>
          <w:lang w:val="es-419"/>
        </w:rPr>
        <w:t>NUEVO</w:t>
      </w:r>
      <w:r w:rsidRPr="00D40DC9">
        <w:rPr>
          <w:lang w:val="es-419"/>
        </w:rPr>
        <w:tab/>
      </w:r>
      <w:r w:rsidRPr="00D40DC9">
        <w:rPr>
          <w:sz w:val="18"/>
          <w:highlight w:val="lightGray"/>
          <w:u w:val="single"/>
          <w:lang w:val="es-419"/>
        </w:rPr>
        <w:t>El Comité Técnico podrá aprobar las directrices de examen en su sesión o por correspondencia.</w:t>
      </w:r>
      <w:r w:rsidR="007D241B" w:rsidRPr="00D40DC9">
        <w:rPr>
          <w:sz w:val="18"/>
          <w:highlight w:val="lightGray"/>
          <w:u w:val="single"/>
          <w:lang w:val="es-419"/>
        </w:rPr>
        <w:t xml:space="preserve"> </w:t>
      </w:r>
      <w:r w:rsidRPr="00D40DC9">
        <w:rPr>
          <w:sz w:val="18"/>
          <w:highlight w:val="lightGray"/>
          <w:u w:val="single"/>
          <w:lang w:val="es-419"/>
        </w:rPr>
        <w:t>Las directrices de examen podrán aprobarse por correspondencia conforme al siguiente procedimiento:</w:t>
      </w:r>
    </w:p>
    <w:p w14:paraId="25906B86" w14:textId="77777777" w:rsidR="009956BC" w:rsidRPr="00D40DC9" w:rsidRDefault="009956BC" w:rsidP="009956BC">
      <w:pPr>
        <w:ind w:left="567" w:right="567"/>
        <w:rPr>
          <w:sz w:val="18"/>
          <w:szCs w:val="18"/>
          <w:highlight w:val="lightGray"/>
          <w:u w:val="single"/>
          <w:lang w:val="es-419"/>
        </w:rPr>
      </w:pPr>
    </w:p>
    <w:p w14:paraId="3079AE6D" w14:textId="77777777" w:rsidR="009956BC" w:rsidRPr="00D40DC9" w:rsidRDefault="009956BC" w:rsidP="009956BC">
      <w:pPr>
        <w:numPr>
          <w:ilvl w:val="0"/>
          <w:numId w:val="3"/>
        </w:numPr>
        <w:tabs>
          <w:tab w:val="left" w:pos="1134"/>
          <w:tab w:val="left" w:pos="5387"/>
        </w:tabs>
        <w:ind w:left="1134" w:right="567" w:hanging="567"/>
        <w:contextualSpacing/>
        <w:rPr>
          <w:rFonts w:cs="Arial"/>
          <w:sz w:val="18"/>
          <w:szCs w:val="18"/>
          <w:highlight w:val="lightGray"/>
          <w:u w:val="single"/>
          <w:lang w:val="es-419"/>
        </w:rPr>
      </w:pPr>
      <w:r w:rsidRPr="00D40DC9">
        <w:rPr>
          <w:sz w:val="18"/>
          <w:highlight w:val="lightGray"/>
          <w:u w:val="single"/>
          <w:lang w:val="es-419"/>
        </w:rPr>
        <w:t>el proyecto de directrices de examen se distribuye a los miembros del TC para que lo aprueben por correspondencia, junto con las recomendaciones del TC-EDC;</w:t>
      </w:r>
    </w:p>
    <w:p w14:paraId="47254EA9" w14:textId="77777777" w:rsidR="009956BC" w:rsidRPr="00D40DC9" w:rsidRDefault="009956BC" w:rsidP="009956BC">
      <w:pPr>
        <w:numPr>
          <w:ilvl w:val="0"/>
          <w:numId w:val="3"/>
        </w:numPr>
        <w:tabs>
          <w:tab w:val="left" w:pos="1134"/>
          <w:tab w:val="left" w:pos="5387"/>
        </w:tabs>
        <w:ind w:left="1134" w:right="567" w:hanging="567"/>
        <w:contextualSpacing/>
        <w:rPr>
          <w:rFonts w:cs="Arial"/>
          <w:sz w:val="18"/>
          <w:szCs w:val="18"/>
          <w:highlight w:val="lightGray"/>
          <w:u w:val="single"/>
          <w:lang w:val="es-419"/>
        </w:rPr>
      </w:pPr>
      <w:r w:rsidRPr="00D40DC9">
        <w:rPr>
          <w:sz w:val="18"/>
          <w:highlight w:val="lightGray"/>
          <w:u w:val="single"/>
          <w:lang w:val="es-419"/>
        </w:rPr>
        <w:t>si en un plazo de seis semanas no se han recibido observaciones, el proyecto de directrices de examen se considerará aprobado;</w:t>
      </w:r>
    </w:p>
    <w:p w14:paraId="7D4772AC" w14:textId="77777777" w:rsidR="009956BC" w:rsidRPr="00D40DC9" w:rsidRDefault="009956BC" w:rsidP="009956BC">
      <w:pPr>
        <w:numPr>
          <w:ilvl w:val="0"/>
          <w:numId w:val="3"/>
        </w:numPr>
        <w:tabs>
          <w:tab w:val="left" w:pos="1134"/>
          <w:tab w:val="left" w:pos="5387"/>
        </w:tabs>
        <w:ind w:left="1134" w:right="567" w:hanging="567"/>
        <w:contextualSpacing/>
        <w:rPr>
          <w:rFonts w:cs="Arial"/>
          <w:sz w:val="18"/>
          <w:szCs w:val="18"/>
          <w:highlight w:val="lightGray"/>
          <w:u w:val="single"/>
          <w:lang w:val="es-419"/>
        </w:rPr>
      </w:pPr>
      <w:r w:rsidRPr="00D40DC9">
        <w:rPr>
          <w:sz w:val="18"/>
          <w:highlight w:val="lightGray"/>
          <w:u w:val="single"/>
          <w:lang w:val="es-419"/>
        </w:rPr>
        <w:t>en caso de recibirse observaciones, el proyecto de directrices de examen se remite a los TWP pertinentes a fin de que analicen dichas observaciones.</w:t>
      </w:r>
    </w:p>
    <w:p w14:paraId="3907230D" w14:textId="77777777" w:rsidR="009956BC" w:rsidRPr="00D40DC9" w:rsidRDefault="009956BC" w:rsidP="009956BC">
      <w:pPr>
        <w:ind w:left="567" w:right="567"/>
        <w:rPr>
          <w:sz w:val="18"/>
          <w:szCs w:val="18"/>
          <w:lang w:val="es-419"/>
        </w:rPr>
      </w:pPr>
    </w:p>
    <w:p w14:paraId="61D87938" w14:textId="1D6E2CFC" w:rsidR="009956BC" w:rsidRPr="00D40DC9" w:rsidRDefault="009956BC" w:rsidP="009956BC">
      <w:pPr>
        <w:ind w:left="567" w:right="567"/>
        <w:rPr>
          <w:sz w:val="18"/>
          <w:szCs w:val="18"/>
          <w:lang w:val="es-419"/>
        </w:rPr>
      </w:pPr>
      <w:r w:rsidRPr="00D40DC9">
        <w:rPr>
          <w:lang w:val="es-419"/>
        </w:rPr>
        <w:t>2.2.8.2</w:t>
      </w:r>
      <w:r w:rsidRPr="00D40DC9">
        <w:rPr>
          <w:lang w:val="es-419"/>
        </w:rPr>
        <w:tab/>
        <w:t>Si el Comité Técnico aprueba las directrices de examen, la Oficina hará todas las enmiendas acordadas por el Comité Técnico, que se registrarán en un informe de la sesión del Comité Técnico pertinente.</w:t>
      </w:r>
      <w:r w:rsidR="007D241B" w:rsidRPr="00D40DC9">
        <w:rPr>
          <w:sz w:val="18"/>
          <w:lang w:val="es-419"/>
        </w:rPr>
        <w:t xml:space="preserve"> </w:t>
      </w:r>
      <w:r w:rsidRPr="00D40DC9">
        <w:rPr>
          <w:sz w:val="18"/>
          <w:lang w:val="es-419"/>
        </w:rPr>
        <w:t>A continuación, la Oficina publicará las directrices de examen aprobadas.</w:t>
      </w:r>
      <w:r w:rsidR="003426E6" w:rsidRPr="00D40DC9">
        <w:rPr>
          <w:sz w:val="18"/>
          <w:lang w:val="es-419"/>
        </w:rPr>
        <w:t>”</w:t>
      </w:r>
    </w:p>
    <w:p w14:paraId="48AF4ED5" w14:textId="77777777" w:rsidR="009956BC" w:rsidRPr="00D40DC9" w:rsidRDefault="009956BC" w:rsidP="009956BC">
      <w:pPr>
        <w:ind w:left="567" w:right="567"/>
        <w:rPr>
          <w:strike/>
          <w:sz w:val="18"/>
          <w:szCs w:val="18"/>
          <w:lang w:val="es-419"/>
        </w:rPr>
      </w:pPr>
    </w:p>
    <w:p w14:paraId="08701407" w14:textId="41934D22" w:rsidR="009956BC" w:rsidRPr="00D40DC9" w:rsidRDefault="009956BC" w:rsidP="009956BC">
      <w:pPr>
        <w:ind w:left="567" w:right="567"/>
        <w:rPr>
          <w:strike/>
          <w:sz w:val="18"/>
          <w:szCs w:val="18"/>
          <w:lang w:val="es-419"/>
        </w:rPr>
      </w:pPr>
      <w:r w:rsidRPr="00D40DC9">
        <w:rPr>
          <w:strike/>
          <w:sz w:val="18"/>
          <w:highlight w:val="lightGray"/>
          <w:lang w:val="es-419"/>
        </w:rPr>
        <w:t>2.2.8.3</w:t>
      </w:r>
      <w:r w:rsidR="003426E6" w:rsidRPr="00D40DC9">
        <w:rPr>
          <w:strike/>
          <w:sz w:val="18"/>
          <w:highlight w:val="lightGray"/>
          <w:lang w:val="es-419"/>
        </w:rPr>
        <w:tab/>
      </w:r>
      <w:r w:rsidRPr="00D40DC9">
        <w:rPr>
          <w:strike/>
          <w:sz w:val="18"/>
          <w:highlight w:val="lightGray"/>
          <w:lang w:val="es-419"/>
        </w:rPr>
        <w:tab/>
        <w:t>Si el Comité Técnico aprueba las directrices de examen a condición de que el experto principal presente información adicional aprobada por todos los expertos interesados y el presidente del TWP pertinente (véase la sección 2.2.7.3.b)), la Oficina deberá recibir la información necesaria, aprobada por todos los expertos interesados en un plazo de tres meses a partir de la sesión del Comité Técnico o antes de la sesión siguiente del TWP pertinente, la que antes se celebre.</w:t>
      </w:r>
      <w:r w:rsidR="007D241B" w:rsidRPr="00D40DC9">
        <w:rPr>
          <w:strike/>
          <w:sz w:val="18"/>
          <w:highlight w:val="lightGray"/>
          <w:lang w:val="es-419"/>
        </w:rPr>
        <w:t xml:space="preserve"> </w:t>
      </w:r>
      <w:r w:rsidRPr="00D40DC9">
        <w:rPr>
          <w:strike/>
          <w:sz w:val="18"/>
          <w:highlight w:val="lightGray"/>
          <w:lang w:val="es-419"/>
        </w:rPr>
        <w:t>En los casos en que la información necesaria no se presente en dicho plazo, las directrices de examen correspondientes no serán aprobadas y volverán a presentarse al TWP pertinente (Etapa 4</w:t>
      </w:r>
      <w:proofErr w:type="gramStart"/>
      <w:r w:rsidRPr="00D40DC9">
        <w:rPr>
          <w:strike/>
          <w:sz w:val="18"/>
          <w:highlight w:val="lightGray"/>
          <w:lang w:val="es-419"/>
        </w:rPr>
        <w:t>)</w:t>
      </w:r>
      <w:r w:rsidR="003426E6" w:rsidRPr="00D40DC9">
        <w:rPr>
          <w:strike/>
          <w:sz w:val="18"/>
          <w:szCs w:val="18"/>
          <w:highlight w:val="lightGray"/>
          <w:lang w:val="es-419"/>
        </w:rPr>
        <w:t xml:space="preserve"> </w:t>
      </w:r>
      <w:r w:rsidR="003426E6" w:rsidRPr="00D40DC9">
        <w:rPr>
          <w:strike/>
          <w:sz w:val="18"/>
          <w:highlight w:val="lightGray"/>
          <w:lang w:val="es-419"/>
        </w:rPr>
        <w:t>.</w:t>
      </w:r>
      <w:proofErr w:type="gramEnd"/>
      <w:r w:rsidR="003426E6" w:rsidRPr="00D40DC9">
        <w:rPr>
          <w:strike/>
          <w:sz w:val="18"/>
          <w:highlight w:val="lightGray"/>
          <w:lang w:val="es-419"/>
        </w:rPr>
        <w:t>”</w:t>
      </w:r>
    </w:p>
    <w:p w14:paraId="4EBD116E" w14:textId="77777777" w:rsidR="009956BC" w:rsidRPr="00D40DC9" w:rsidRDefault="009956BC" w:rsidP="009956BC">
      <w:pPr>
        <w:rPr>
          <w:lang w:val="es-419"/>
        </w:rPr>
      </w:pPr>
    </w:p>
    <w:p w14:paraId="46528E57" w14:textId="77777777" w:rsidR="009956BC" w:rsidRPr="00D40DC9" w:rsidRDefault="009956BC" w:rsidP="009956BC">
      <w:pPr>
        <w:rPr>
          <w:lang w:val="es-419"/>
        </w:rPr>
      </w:pPr>
    </w:p>
    <w:p w14:paraId="682B703A" w14:textId="04CCA7BF" w:rsidR="009956BC" w:rsidRPr="00D40DC9" w:rsidRDefault="009956BC" w:rsidP="009956BC">
      <w:pPr>
        <w:rPr>
          <w:lang w:val="es-419"/>
        </w:rPr>
      </w:pPr>
      <w:r w:rsidRPr="00D40DC9">
        <w:rPr>
          <w:lang w:val="es-419"/>
        </w:rPr>
        <w:lastRenderedPageBreak/>
        <w:t>El TC convino en que se debe añadir a la orientación un calendario adecuado de publicación de las directrices de examen aprobadas.</w:t>
      </w:r>
      <w:r w:rsidR="007D241B" w:rsidRPr="00D40DC9">
        <w:rPr>
          <w:lang w:val="es-419"/>
        </w:rPr>
        <w:t xml:space="preserve"> </w:t>
      </w:r>
      <w:r w:rsidRPr="00D40DC9">
        <w:rPr>
          <w:lang w:val="es-419"/>
        </w:rPr>
        <w:t>Se invitará al TC a examinar un calendario propuesto, en su quincuagésima quinta sesión, que se celebrará en Ginebra los días 28 y 29 de octubre de 2019.</w:t>
      </w:r>
      <w:r w:rsidR="007D241B" w:rsidRPr="00D40DC9">
        <w:rPr>
          <w:lang w:val="es-419"/>
        </w:rPr>
        <w:t xml:space="preserve"> </w:t>
      </w:r>
      <w:r w:rsidRPr="00D40DC9">
        <w:rPr>
          <w:lang w:val="es-419"/>
        </w:rPr>
        <w:t xml:space="preserve">Previo acuerdo del TC y el CAJ, el calendario propuesto se someterá a la aprobación del Consejo, en su sesión que se celebrará el 1 de noviembre de 2019. </w:t>
      </w:r>
    </w:p>
    <w:p w14:paraId="657D4BFE" w14:textId="77777777" w:rsidR="009956BC" w:rsidRPr="00D40DC9" w:rsidRDefault="009956BC" w:rsidP="009956BC">
      <w:pPr>
        <w:rPr>
          <w:lang w:val="es-419"/>
        </w:rPr>
      </w:pPr>
    </w:p>
    <w:p w14:paraId="12D930D5" w14:textId="77777777" w:rsidR="009956BC" w:rsidRPr="00D40DC9" w:rsidRDefault="009956BC" w:rsidP="009956BC">
      <w:pPr>
        <w:rPr>
          <w:lang w:val="es-419"/>
        </w:rPr>
      </w:pPr>
      <w:r w:rsidRPr="00D40DC9">
        <w:rPr>
          <w:lang w:val="es-419"/>
        </w:rPr>
        <w:t>El TC convino en que el procedimiento para aprobar directrices de examen por correspondencia se debe incorporar al contenido de los talleres preparatorios para los TWP.</w:t>
      </w:r>
    </w:p>
    <w:p w14:paraId="313321E3" w14:textId="77777777" w:rsidR="009956BC" w:rsidRPr="00D40DC9" w:rsidRDefault="009956BC" w:rsidP="009956BC">
      <w:pPr>
        <w:rPr>
          <w:lang w:val="es-419"/>
        </w:rPr>
      </w:pPr>
    </w:p>
    <w:p w14:paraId="11A7D863" w14:textId="77777777" w:rsidR="009956BC" w:rsidRPr="00D40DC9" w:rsidRDefault="009956BC" w:rsidP="009956BC">
      <w:pPr>
        <w:rPr>
          <w:lang w:val="es-419"/>
        </w:rPr>
      </w:pPr>
    </w:p>
    <w:p w14:paraId="6F24F60D" w14:textId="77777777" w:rsidR="009956BC" w:rsidRPr="00D40DC9" w:rsidRDefault="009956BC" w:rsidP="009956BC">
      <w:pPr>
        <w:rPr>
          <w:lang w:val="es-419"/>
        </w:rPr>
      </w:pPr>
    </w:p>
    <w:p w14:paraId="78003161" w14:textId="77777777" w:rsidR="009956BC" w:rsidRPr="00D40DC9" w:rsidRDefault="009956BC" w:rsidP="009956BC">
      <w:pPr>
        <w:jc w:val="right"/>
        <w:rPr>
          <w:lang w:val="es-419"/>
        </w:rPr>
      </w:pPr>
      <w:r w:rsidRPr="00D40DC9">
        <w:rPr>
          <w:lang w:val="es-419"/>
        </w:rPr>
        <w:t>[Sigue el Anexo II]</w:t>
      </w:r>
    </w:p>
    <w:p w14:paraId="3A733C5E" w14:textId="77777777" w:rsidR="009956BC" w:rsidRPr="00D40DC9" w:rsidRDefault="009956BC" w:rsidP="009956BC">
      <w:pPr>
        <w:rPr>
          <w:lang w:val="es-419"/>
        </w:rPr>
      </w:pPr>
    </w:p>
    <w:p w14:paraId="71DFABCD" w14:textId="77777777" w:rsidR="009956BC" w:rsidRPr="00D40DC9" w:rsidRDefault="009956BC" w:rsidP="009956BC">
      <w:pPr>
        <w:rPr>
          <w:lang w:val="es-419"/>
        </w:rPr>
        <w:sectPr w:rsidR="009956BC" w:rsidRPr="00D40DC9" w:rsidSect="001270B2">
          <w:headerReference w:type="default" r:id="rId16"/>
          <w:footerReference w:type="default" r:id="rId17"/>
          <w:headerReference w:type="first" r:id="rId18"/>
          <w:pgSz w:w="11907" w:h="16840" w:code="9"/>
          <w:pgMar w:top="510" w:right="1134" w:bottom="709" w:left="1134" w:header="510" w:footer="680" w:gutter="0"/>
          <w:pgNumType w:start="1"/>
          <w:cols w:space="720"/>
          <w:titlePg/>
        </w:sectPr>
      </w:pPr>
    </w:p>
    <w:p w14:paraId="2CCEC685" w14:textId="77777777" w:rsidR="009956BC" w:rsidRPr="00D40DC9" w:rsidRDefault="009956BC" w:rsidP="009956BC">
      <w:pPr>
        <w:jc w:val="center"/>
        <w:rPr>
          <w:lang w:val="es-419"/>
        </w:rPr>
      </w:pPr>
      <w:r w:rsidRPr="00D40DC9">
        <w:rPr>
          <w:lang w:val="es-419"/>
        </w:rPr>
        <w:lastRenderedPageBreak/>
        <w:t>ASUNTOS SUJETOS A LA APROBACIÓN POR EL CONSEJO EN 2019: DOCUMENTO TGP/8</w:t>
      </w:r>
    </w:p>
    <w:p w14:paraId="13A2974A" w14:textId="77777777" w:rsidR="009956BC" w:rsidRPr="00D40DC9" w:rsidRDefault="009956BC" w:rsidP="009956BC">
      <w:pPr>
        <w:rPr>
          <w:lang w:val="es-419"/>
        </w:rPr>
      </w:pPr>
    </w:p>
    <w:p w14:paraId="5F92A37C" w14:textId="3A4A3E15" w:rsidR="009956BC" w:rsidRPr="00D40DC9" w:rsidRDefault="009956BC" w:rsidP="009956BC">
      <w:pPr>
        <w:rPr>
          <w:lang w:val="es-419"/>
        </w:rPr>
      </w:pPr>
      <w:r w:rsidRPr="00D40DC9">
        <w:rPr>
          <w:lang w:val="es-419"/>
        </w:rPr>
        <w:t>El Comité Técnico convino en que la revisión siguiente del documento TGP/8 “Diseño de ensayos y técnicas utilizados en el examen de la distinción, la homogeneidad y la estabilidad” se someta a la aprobación del Consejo en su quincuagésima tercera sesión ordinaria, que se celebrará en Ginebra el 1 de noviembre de</w:t>
      </w:r>
      <w:r w:rsidR="003426E6" w:rsidRPr="00D40DC9">
        <w:rPr>
          <w:lang w:val="es-419"/>
        </w:rPr>
        <w:t> </w:t>
      </w:r>
      <w:r w:rsidRPr="00D40DC9">
        <w:rPr>
          <w:lang w:val="es-419"/>
        </w:rPr>
        <w:t>2019, a reserva de la aprobación del CAJ, en su septuagésima sexta sesión, que se celebrará en Ginebra el 30 de octubre de 2019.</w:t>
      </w:r>
    </w:p>
    <w:p w14:paraId="1796AF54" w14:textId="77777777" w:rsidR="009956BC" w:rsidRPr="00D40DC9" w:rsidRDefault="009956BC" w:rsidP="009956BC">
      <w:pPr>
        <w:keepNext/>
        <w:rPr>
          <w:caps/>
          <w:lang w:val="es-419"/>
        </w:rPr>
      </w:pPr>
    </w:p>
    <w:p w14:paraId="0AD0F6D8" w14:textId="77777777" w:rsidR="009956BC" w:rsidRPr="00D40DC9" w:rsidRDefault="009956BC" w:rsidP="009956BC">
      <w:pPr>
        <w:keepNext/>
        <w:rPr>
          <w:u w:val="single"/>
          <w:lang w:val="es-419"/>
        </w:rPr>
      </w:pPr>
      <w:r w:rsidRPr="00D40DC9">
        <w:rPr>
          <w:u w:val="single"/>
          <w:lang w:val="es-419"/>
        </w:rPr>
        <w:t>Examen DHE de muestras en bloque</w:t>
      </w:r>
    </w:p>
    <w:p w14:paraId="0D9A8155" w14:textId="77777777" w:rsidR="009956BC" w:rsidRPr="00D40DC9" w:rsidRDefault="009956BC" w:rsidP="009956BC">
      <w:pPr>
        <w:keepNext/>
        <w:rPr>
          <w:lang w:val="es-419"/>
        </w:rPr>
      </w:pPr>
    </w:p>
    <w:p w14:paraId="7B604A94" w14:textId="77777777" w:rsidR="009956BC" w:rsidRPr="00D40DC9" w:rsidRDefault="009956BC" w:rsidP="009956BC">
      <w:pPr>
        <w:keepNext/>
        <w:rPr>
          <w:i/>
          <w:lang w:val="es-419"/>
        </w:rPr>
      </w:pPr>
      <w:r w:rsidRPr="00D40DC9">
        <w:rPr>
          <w:i/>
          <w:lang w:val="es-419"/>
        </w:rPr>
        <w:t>Documento TGP/8: parte II: Técnicas utilizadas en el examen DHE: Nueva sección 12: Examen de caracteres mediante la observación de muestras en bloque</w:t>
      </w:r>
    </w:p>
    <w:p w14:paraId="381A1284" w14:textId="77777777" w:rsidR="009956BC" w:rsidRPr="00D40DC9" w:rsidRDefault="009956BC" w:rsidP="009956BC">
      <w:pPr>
        <w:keepNext/>
        <w:rPr>
          <w:lang w:val="es-419"/>
        </w:rPr>
      </w:pPr>
    </w:p>
    <w:p w14:paraId="5B452A71" w14:textId="77777777" w:rsidR="009956BC" w:rsidRPr="00D40DC9" w:rsidRDefault="009956BC" w:rsidP="009956BC">
      <w:pPr>
        <w:keepNext/>
        <w:rPr>
          <w:lang w:val="es-419"/>
        </w:rPr>
      </w:pPr>
      <w:r w:rsidRPr="00D40DC9">
        <w:rPr>
          <w:lang w:val="es-419"/>
        </w:rPr>
        <w:t>En su quincuagésima tercera sesión, celebrada en Ginebra del 3 al 5 de abril de 2017, el TC acordó los criterios siguientes como punto de partida para elaborar orientaciones, con el objeto de incluirlos en una futura revisión del documento TGP/8 (véanse los párrafos 113 a 116 del documento TC/53/31 “Informe”):</w:t>
      </w:r>
    </w:p>
    <w:p w14:paraId="077A1EC0" w14:textId="77777777" w:rsidR="009956BC" w:rsidRPr="00D40DC9" w:rsidRDefault="009956BC" w:rsidP="009956BC">
      <w:pPr>
        <w:rPr>
          <w:lang w:val="es-419"/>
        </w:rPr>
      </w:pPr>
    </w:p>
    <w:p w14:paraId="72FA5C3A" w14:textId="77777777" w:rsidR="009956BC" w:rsidRPr="00D40DC9" w:rsidRDefault="009956BC" w:rsidP="003426E6">
      <w:pPr>
        <w:ind w:left="1134" w:right="567" w:hanging="567"/>
        <w:rPr>
          <w:sz w:val="18"/>
          <w:lang w:val="es-419"/>
        </w:rPr>
      </w:pPr>
      <w:r w:rsidRPr="00D40DC9">
        <w:rPr>
          <w:sz w:val="18"/>
          <w:lang w:val="es-419"/>
        </w:rPr>
        <w:t>a)</w:t>
      </w:r>
      <w:r w:rsidRPr="00D40DC9">
        <w:rPr>
          <w:lang w:val="es-419"/>
        </w:rPr>
        <w:tab/>
      </w:r>
      <w:r w:rsidRPr="00D40DC9">
        <w:rPr>
          <w:sz w:val="18"/>
          <w:lang w:val="es-419"/>
        </w:rPr>
        <w:t>“el carácter debe satisfacer los requisitos expuestos en la ̔Introducción general al examen de la distinción, la homogeneidad y la estabilidad y a la elaboración de descripciones armonizadas de las obtenciones vegetales (véase el documento TG/1/3, sección 4.2.1);</w:t>
      </w:r>
    </w:p>
    <w:p w14:paraId="09B10AEB" w14:textId="77777777" w:rsidR="009956BC" w:rsidRPr="00D40DC9" w:rsidRDefault="009956BC" w:rsidP="003426E6">
      <w:pPr>
        <w:ind w:left="1134" w:right="567" w:hanging="567"/>
        <w:rPr>
          <w:sz w:val="18"/>
          <w:lang w:val="es-419"/>
        </w:rPr>
      </w:pPr>
    </w:p>
    <w:p w14:paraId="67FC97EF" w14:textId="41865B0B" w:rsidR="009956BC" w:rsidRPr="00D40DC9" w:rsidRDefault="009956BC" w:rsidP="003426E6">
      <w:pPr>
        <w:ind w:left="1134" w:right="567" w:hanging="567"/>
        <w:rPr>
          <w:sz w:val="18"/>
          <w:lang w:val="es-419"/>
        </w:rPr>
      </w:pPr>
      <w:r w:rsidRPr="00D40DC9">
        <w:rPr>
          <w:sz w:val="18"/>
          <w:lang w:val="es-419"/>
        </w:rPr>
        <w:t>b)</w:t>
      </w:r>
      <w:r w:rsidRPr="00D40DC9">
        <w:rPr>
          <w:lang w:val="es-419"/>
        </w:rPr>
        <w:tab/>
      </w:r>
      <w:r w:rsidRPr="00D40DC9">
        <w:rPr>
          <w:sz w:val="18"/>
          <w:lang w:val="es-419"/>
        </w:rPr>
        <w:t>debe conocerse el control genético del carácter;</w:t>
      </w:r>
    </w:p>
    <w:p w14:paraId="605D9F5D" w14:textId="77777777" w:rsidR="009956BC" w:rsidRPr="00D40DC9" w:rsidRDefault="009956BC" w:rsidP="003426E6">
      <w:pPr>
        <w:ind w:left="1134" w:right="567" w:hanging="567"/>
        <w:rPr>
          <w:iCs/>
          <w:sz w:val="18"/>
          <w:lang w:val="es-419"/>
        </w:rPr>
      </w:pPr>
    </w:p>
    <w:p w14:paraId="02B79013" w14:textId="5A5F86D1" w:rsidR="009956BC" w:rsidRPr="00D40DC9" w:rsidRDefault="009956BC" w:rsidP="003426E6">
      <w:pPr>
        <w:ind w:left="1134" w:right="567" w:hanging="567"/>
        <w:rPr>
          <w:iCs/>
          <w:sz w:val="18"/>
          <w:lang w:val="es-419"/>
        </w:rPr>
      </w:pPr>
      <w:r w:rsidRPr="00D40DC9">
        <w:rPr>
          <w:sz w:val="18"/>
          <w:lang w:val="es-419"/>
        </w:rPr>
        <w:t>c)</w:t>
      </w:r>
      <w:r w:rsidRPr="00D40DC9">
        <w:rPr>
          <w:lang w:val="es-419"/>
        </w:rPr>
        <w:tab/>
      </w:r>
      <w:r w:rsidRPr="00D40DC9">
        <w:rPr>
          <w:sz w:val="18"/>
          <w:lang w:val="es-419"/>
        </w:rPr>
        <w:t xml:space="preserve">debe validarse la idoneidad del carácter mediante una evaluación inicial de la homogeneidad en plantas individuales; </w:t>
      </w:r>
    </w:p>
    <w:p w14:paraId="571EE1D9" w14:textId="77777777" w:rsidR="009956BC" w:rsidRPr="00D40DC9" w:rsidRDefault="009956BC" w:rsidP="003426E6">
      <w:pPr>
        <w:ind w:left="1134" w:right="567" w:hanging="567"/>
        <w:rPr>
          <w:iCs/>
          <w:sz w:val="18"/>
          <w:lang w:val="es-419"/>
        </w:rPr>
      </w:pPr>
    </w:p>
    <w:p w14:paraId="56CB1D78" w14:textId="1DC3E741" w:rsidR="009956BC" w:rsidRPr="00D40DC9" w:rsidRDefault="009956BC" w:rsidP="003426E6">
      <w:pPr>
        <w:ind w:left="1134" w:right="567" w:hanging="567"/>
        <w:rPr>
          <w:iCs/>
          <w:sz w:val="18"/>
          <w:lang w:val="es-419"/>
        </w:rPr>
      </w:pPr>
      <w:r w:rsidRPr="00D40DC9">
        <w:rPr>
          <w:sz w:val="18"/>
          <w:lang w:val="es-419"/>
        </w:rPr>
        <w:t>d)</w:t>
      </w:r>
      <w:r w:rsidRPr="00D40DC9">
        <w:rPr>
          <w:lang w:val="es-419"/>
        </w:rPr>
        <w:tab/>
      </w:r>
      <w:r w:rsidRPr="00D40DC9">
        <w:rPr>
          <w:sz w:val="18"/>
          <w:lang w:val="es-419"/>
        </w:rPr>
        <w:t>debe proporcionarse información sobre la variación entre plantas y las diferencias entre ciclos de cultivo (datos obtenidos de la medición sistemática del carácter en años diferentes);</w:t>
      </w:r>
    </w:p>
    <w:p w14:paraId="49367B0E" w14:textId="77777777" w:rsidR="009956BC" w:rsidRPr="00D40DC9" w:rsidRDefault="009956BC" w:rsidP="003426E6">
      <w:pPr>
        <w:ind w:left="1134" w:right="567" w:hanging="567"/>
        <w:rPr>
          <w:iCs/>
          <w:sz w:val="18"/>
          <w:lang w:val="es-419"/>
        </w:rPr>
      </w:pPr>
    </w:p>
    <w:p w14:paraId="4A1BA898" w14:textId="7F8B6E98" w:rsidR="009956BC" w:rsidRPr="00D40DC9" w:rsidRDefault="009956BC" w:rsidP="003426E6">
      <w:pPr>
        <w:ind w:left="1134" w:right="567" w:hanging="567"/>
        <w:rPr>
          <w:sz w:val="18"/>
          <w:lang w:val="es-419"/>
        </w:rPr>
      </w:pPr>
      <w:r w:rsidRPr="00D40DC9">
        <w:rPr>
          <w:sz w:val="18"/>
          <w:lang w:val="es-419"/>
        </w:rPr>
        <w:t>e)</w:t>
      </w:r>
      <w:r w:rsidRPr="00D40DC9">
        <w:rPr>
          <w:lang w:val="es-419"/>
        </w:rPr>
        <w:tab/>
      </w:r>
      <w:r w:rsidRPr="00D40DC9">
        <w:rPr>
          <w:sz w:val="18"/>
          <w:lang w:val="es-419"/>
        </w:rPr>
        <w:t>debe proporcionarse una descripción completa del método de evaluación;</w:t>
      </w:r>
    </w:p>
    <w:p w14:paraId="221FA743" w14:textId="77777777" w:rsidR="009956BC" w:rsidRPr="00D40DC9" w:rsidRDefault="009956BC" w:rsidP="003426E6">
      <w:pPr>
        <w:ind w:left="1134" w:right="567" w:hanging="567"/>
        <w:rPr>
          <w:sz w:val="18"/>
          <w:lang w:val="es-419"/>
        </w:rPr>
      </w:pPr>
    </w:p>
    <w:p w14:paraId="3360793A" w14:textId="231EB016" w:rsidR="009956BC" w:rsidRPr="00D40DC9" w:rsidRDefault="009956BC" w:rsidP="003426E6">
      <w:pPr>
        <w:ind w:left="1134" w:right="567" w:hanging="567"/>
        <w:rPr>
          <w:sz w:val="18"/>
          <w:lang w:val="es-419"/>
        </w:rPr>
      </w:pPr>
      <w:r w:rsidRPr="00D40DC9">
        <w:rPr>
          <w:sz w:val="18"/>
          <w:lang w:val="es-419"/>
        </w:rPr>
        <w:t>f)</w:t>
      </w:r>
      <w:r w:rsidRPr="00D40DC9">
        <w:rPr>
          <w:lang w:val="es-419"/>
        </w:rPr>
        <w:tab/>
      </w:r>
      <w:r w:rsidRPr="00D40DC9">
        <w:rPr>
          <w:sz w:val="18"/>
          <w:lang w:val="es-419"/>
        </w:rPr>
        <w:t>los niveles de expresión deben basarse en la variación existente entre variedades teniendo en cuenta la influencia del medio ambiente."</w:t>
      </w:r>
    </w:p>
    <w:p w14:paraId="17176F47" w14:textId="77777777" w:rsidR="009956BC" w:rsidRPr="00D40DC9" w:rsidRDefault="009956BC" w:rsidP="009956BC">
      <w:pPr>
        <w:rPr>
          <w:lang w:val="es-419"/>
        </w:rPr>
      </w:pPr>
    </w:p>
    <w:p w14:paraId="7914BC06" w14:textId="77777777" w:rsidR="009956BC" w:rsidRPr="00D40DC9" w:rsidRDefault="009956BC" w:rsidP="009956BC">
      <w:pPr>
        <w:rPr>
          <w:lang w:val="es-419"/>
        </w:rPr>
      </w:pPr>
    </w:p>
    <w:p w14:paraId="2B7E2C17" w14:textId="77777777" w:rsidR="009956BC" w:rsidRPr="00D40DC9" w:rsidRDefault="009956BC" w:rsidP="009956BC">
      <w:pPr>
        <w:rPr>
          <w:lang w:val="es-419"/>
        </w:rPr>
      </w:pPr>
    </w:p>
    <w:p w14:paraId="226E3637" w14:textId="77777777" w:rsidR="009956BC" w:rsidRPr="00D40DC9" w:rsidRDefault="009956BC" w:rsidP="009956BC">
      <w:pPr>
        <w:jc w:val="right"/>
        <w:rPr>
          <w:lang w:val="es-419"/>
        </w:rPr>
      </w:pPr>
      <w:r w:rsidRPr="00D40DC9">
        <w:rPr>
          <w:lang w:val="es-419"/>
        </w:rPr>
        <w:t>[Sigue el Anexo III]</w:t>
      </w:r>
    </w:p>
    <w:p w14:paraId="792296DF" w14:textId="77777777" w:rsidR="009956BC" w:rsidRPr="00D40DC9" w:rsidRDefault="009956BC" w:rsidP="009956BC">
      <w:pPr>
        <w:rPr>
          <w:lang w:val="es-419"/>
        </w:rPr>
      </w:pPr>
    </w:p>
    <w:p w14:paraId="3F02E05F" w14:textId="77777777" w:rsidR="009956BC" w:rsidRPr="00D40DC9" w:rsidRDefault="009956BC" w:rsidP="009956BC">
      <w:pPr>
        <w:rPr>
          <w:lang w:val="es-419"/>
        </w:rPr>
        <w:sectPr w:rsidR="009956BC" w:rsidRPr="00D40DC9" w:rsidSect="001270B2">
          <w:headerReference w:type="first" r:id="rId19"/>
          <w:pgSz w:w="11907" w:h="16840" w:code="9"/>
          <w:pgMar w:top="510" w:right="1134" w:bottom="709" w:left="1134" w:header="510" w:footer="680" w:gutter="0"/>
          <w:pgNumType w:start="1"/>
          <w:cols w:space="720"/>
          <w:titlePg/>
        </w:sectPr>
      </w:pPr>
    </w:p>
    <w:p w14:paraId="6C6683FC" w14:textId="77777777" w:rsidR="009956BC" w:rsidRPr="00D40DC9" w:rsidRDefault="009956BC" w:rsidP="009956BC">
      <w:pPr>
        <w:jc w:val="center"/>
        <w:rPr>
          <w:lang w:val="es-419"/>
        </w:rPr>
      </w:pPr>
      <w:r w:rsidRPr="00D40DC9">
        <w:rPr>
          <w:lang w:val="es-419"/>
        </w:rPr>
        <w:lastRenderedPageBreak/>
        <w:t>ASUNTOS SUJETOS A LA APROBACIÓN POR EL CONSEJO EN 2019: DOCUMENTO TGP/10</w:t>
      </w:r>
    </w:p>
    <w:p w14:paraId="33E254D5" w14:textId="77777777" w:rsidR="009956BC" w:rsidRPr="00D40DC9" w:rsidRDefault="009956BC" w:rsidP="009956BC">
      <w:pPr>
        <w:rPr>
          <w:lang w:val="es-419"/>
        </w:rPr>
      </w:pPr>
    </w:p>
    <w:p w14:paraId="0CDD33A4" w14:textId="2FF09698" w:rsidR="009956BC" w:rsidRPr="00D40DC9" w:rsidRDefault="009956BC" w:rsidP="009956BC">
      <w:pPr>
        <w:rPr>
          <w:lang w:val="es-419"/>
        </w:rPr>
      </w:pPr>
      <w:r w:rsidRPr="00D40DC9">
        <w:rPr>
          <w:lang w:val="es-419"/>
        </w:rPr>
        <w:t>El Comité Técnico convino en que la revisión siguiente del documento TGP/10 “Examen de la homogeneidad” se someta a la aprobación del Consejo en su quincuagésima tercera sesión ordinaria</w:t>
      </w:r>
      <w:r w:rsidR="00491A90" w:rsidRPr="00D40DC9">
        <w:rPr>
          <w:lang w:val="es-419"/>
        </w:rPr>
        <w:t>,</w:t>
      </w:r>
      <w:r w:rsidRPr="00D40DC9">
        <w:rPr>
          <w:lang w:val="es-419"/>
        </w:rPr>
        <w:t xml:space="preserve"> que se celebrará en Ginebra el 1 de noviembre de 2019, a reserva de la aprobación del CAJ, en su septuagésima sexta sesión, que se celebrará en Ginebra el 30 de octubre de 2019.</w:t>
      </w:r>
    </w:p>
    <w:p w14:paraId="1D12E044" w14:textId="77777777" w:rsidR="009956BC" w:rsidRPr="00D40DC9" w:rsidRDefault="009956BC" w:rsidP="009956BC">
      <w:pPr>
        <w:rPr>
          <w:lang w:val="es-419"/>
        </w:rPr>
      </w:pPr>
    </w:p>
    <w:p w14:paraId="78324154" w14:textId="77777777" w:rsidR="009956BC" w:rsidRPr="00D40DC9" w:rsidRDefault="009956BC" w:rsidP="009956BC">
      <w:pPr>
        <w:rPr>
          <w:rFonts w:eastAsia="MS Mincho"/>
          <w:u w:val="single"/>
          <w:lang w:val="es-419"/>
        </w:rPr>
      </w:pPr>
      <w:r w:rsidRPr="00D40DC9">
        <w:rPr>
          <w:u w:val="single"/>
          <w:lang w:val="es-419"/>
        </w:rPr>
        <w:t xml:space="preserve">Evaluación de la homogeneidad sobre la base de las plantas fuera de tipo mediante la observación de más de un ciclo de cultivo o mediante la observación de </w:t>
      </w:r>
      <w:proofErr w:type="spellStart"/>
      <w:r w:rsidRPr="00D40DC9">
        <w:rPr>
          <w:u w:val="single"/>
          <w:lang w:val="es-419"/>
        </w:rPr>
        <w:t>submuestras</w:t>
      </w:r>
      <w:proofErr w:type="spellEnd"/>
      <w:r w:rsidRPr="00D40DC9">
        <w:rPr>
          <w:u w:val="single"/>
          <w:lang w:val="es-419"/>
        </w:rPr>
        <w:t xml:space="preserve"> </w:t>
      </w:r>
    </w:p>
    <w:p w14:paraId="3B012F4C" w14:textId="77777777" w:rsidR="009956BC" w:rsidRPr="00D40DC9" w:rsidRDefault="009956BC" w:rsidP="009956BC">
      <w:pPr>
        <w:rPr>
          <w:lang w:val="es-419"/>
        </w:rPr>
      </w:pPr>
    </w:p>
    <w:p w14:paraId="37805326" w14:textId="77777777" w:rsidR="009956BC" w:rsidRPr="00D40DC9" w:rsidRDefault="009956BC" w:rsidP="009956BC">
      <w:pPr>
        <w:rPr>
          <w:lang w:val="es-419"/>
        </w:rPr>
      </w:pPr>
      <w:r w:rsidRPr="00D40DC9">
        <w:rPr>
          <w:lang w:val="es-419"/>
        </w:rPr>
        <w:t xml:space="preserve">En su quincuagésima cuarta sesión, el TC examinó el documento TC/54/20 “Evaluación de la homogeneidad de las plantas fuera de tipo mediante la observación de más de un ciclo de cultivo o mediante la observación de </w:t>
      </w:r>
      <w:proofErr w:type="spellStart"/>
      <w:r w:rsidRPr="00D40DC9">
        <w:rPr>
          <w:lang w:val="es-419"/>
        </w:rPr>
        <w:t>submuestras</w:t>
      </w:r>
      <w:proofErr w:type="spellEnd"/>
      <w:r w:rsidRPr="00D40DC9">
        <w:rPr>
          <w:lang w:val="es-419"/>
        </w:rPr>
        <w:t>” (véanse los párrafos 233 y 234 del documento TC/54/31 “Informe”).</w:t>
      </w:r>
    </w:p>
    <w:p w14:paraId="510298CB" w14:textId="77777777" w:rsidR="009956BC" w:rsidRPr="00D40DC9" w:rsidRDefault="009956BC" w:rsidP="009956BC">
      <w:pPr>
        <w:rPr>
          <w:lang w:val="es-419"/>
        </w:rPr>
      </w:pPr>
    </w:p>
    <w:p w14:paraId="6BAC823A" w14:textId="0F9C015E" w:rsidR="009956BC" w:rsidRPr="00D40DC9" w:rsidRDefault="009956BC" w:rsidP="009956BC">
      <w:pPr>
        <w:rPr>
          <w:lang w:val="es-419"/>
        </w:rPr>
      </w:pPr>
      <w:r w:rsidRPr="00D40DC9">
        <w:rPr>
          <w:lang w:val="es-419"/>
        </w:rPr>
        <w:t xml:space="preserve">El TC convino en que el siguiente proyecto de orientación se ha de someter a la aprobación del Consejo, con objeto de incluirlo en una futura revisión del documento TGP/10 “Examen de la homogeneidad” para proporcionar orientación acerca de la evaluación de la homogeneidad sobre la base de las plantas fuera de tipo mediante la observación de más de un ciclo de cultivo o mediante la observación de </w:t>
      </w:r>
      <w:proofErr w:type="spellStart"/>
      <w:r w:rsidRPr="00D40DC9">
        <w:rPr>
          <w:lang w:val="es-419"/>
        </w:rPr>
        <w:t>submuestras</w:t>
      </w:r>
      <w:proofErr w:type="spellEnd"/>
      <w:r w:rsidRPr="00D40DC9">
        <w:rPr>
          <w:lang w:val="es-419"/>
        </w:rPr>
        <w:t>.</w:t>
      </w:r>
      <w:r w:rsidR="007D241B" w:rsidRPr="00D40DC9">
        <w:rPr>
          <w:color w:val="000000"/>
          <w:lang w:val="es-419"/>
        </w:rPr>
        <w:t xml:space="preserve"> </w:t>
      </w:r>
    </w:p>
    <w:p w14:paraId="540CED25" w14:textId="77777777" w:rsidR="009956BC" w:rsidRPr="00D40DC9" w:rsidRDefault="009956BC" w:rsidP="009956BC">
      <w:pPr>
        <w:rPr>
          <w:sz w:val="18"/>
          <w:lang w:val="es-419"/>
        </w:rPr>
      </w:pPr>
    </w:p>
    <w:p w14:paraId="0EF28ADF" w14:textId="77777777" w:rsidR="009956BC" w:rsidRPr="00D40DC9" w:rsidRDefault="009956BC" w:rsidP="004E77B4">
      <w:pPr>
        <w:ind w:left="567" w:right="567"/>
        <w:rPr>
          <w:sz w:val="18"/>
          <w:u w:val="single"/>
          <w:lang w:val="es-419"/>
        </w:rPr>
      </w:pPr>
      <w:r w:rsidRPr="00D40DC9">
        <w:rPr>
          <w:sz w:val="18"/>
          <w:u w:val="single"/>
          <w:lang w:val="es-419"/>
        </w:rPr>
        <w:t>Nueva sección 4.7: Evaluación de la homogeneidad de las plantas fuera de tipo mediante la observación de más de un ciclo de cultivo</w:t>
      </w:r>
    </w:p>
    <w:p w14:paraId="09C64C1B" w14:textId="77777777" w:rsidR="009956BC" w:rsidRPr="00D40DC9" w:rsidRDefault="009956BC" w:rsidP="009956BC">
      <w:pPr>
        <w:ind w:left="567" w:right="567"/>
        <w:rPr>
          <w:sz w:val="18"/>
          <w:lang w:val="es-419"/>
        </w:rPr>
      </w:pPr>
    </w:p>
    <w:p w14:paraId="1762590A" w14:textId="77777777" w:rsidR="009956BC" w:rsidRPr="00D40DC9" w:rsidRDefault="009956BC" w:rsidP="009956BC">
      <w:pPr>
        <w:ind w:left="567" w:right="567"/>
        <w:rPr>
          <w:sz w:val="18"/>
          <w:szCs w:val="24"/>
          <w:lang w:val="es-419"/>
        </w:rPr>
      </w:pPr>
      <w:r w:rsidRPr="00D40DC9">
        <w:rPr>
          <w:sz w:val="18"/>
          <w:lang w:val="es-419"/>
        </w:rPr>
        <w:t>Podrían realizarse dos ciclos de cultivo independientes en un único lugar en diferentes años o en diferentes lugares en el mismo año, según se indica en las secciones 1.2 y 1.3 de la Parte I del documento TGP/8.</w:t>
      </w:r>
    </w:p>
    <w:p w14:paraId="32FE9513" w14:textId="77777777" w:rsidR="009956BC" w:rsidRPr="00D40DC9" w:rsidRDefault="009956BC" w:rsidP="009956BC">
      <w:pPr>
        <w:ind w:left="567" w:right="567"/>
        <w:rPr>
          <w:sz w:val="18"/>
          <w:szCs w:val="24"/>
          <w:lang w:val="es-419"/>
        </w:rPr>
      </w:pPr>
    </w:p>
    <w:p w14:paraId="6BA9B578" w14:textId="1AC47BBD" w:rsidR="009956BC" w:rsidRPr="00D40DC9" w:rsidRDefault="009956BC" w:rsidP="009956BC">
      <w:pPr>
        <w:ind w:left="567" w:right="567"/>
        <w:rPr>
          <w:sz w:val="18"/>
          <w:szCs w:val="24"/>
          <w:lang w:val="es-419"/>
        </w:rPr>
      </w:pPr>
      <w:r w:rsidRPr="00D40DC9">
        <w:rPr>
          <w:sz w:val="18"/>
          <w:lang w:val="es-419"/>
        </w:rPr>
        <w:t>El uso previsto de la siguiente orientación no es la evaluación de la homogeneidad de las plantas fuera de tipo en las mismas plantas en dos ciclos de cultivo.</w:t>
      </w:r>
      <w:r w:rsidR="007D241B" w:rsidRPr="00D40DC9">
        <w:rPr>
          <w:sz w:val="18"/>
          <w:lang w:val="es-419"/>
        </w:rPr>
        <w:t xml:space="preserve"> </w:t>
      </w:r>
      <w:r w:rsidRPr="00D40DC9">
        <w:rPr>
          <w:sz w:val="18"/>
          <w:lang w:val="es-419"/>
        </w:rPr>
        <w:t>No se deben combinar los resultados de ciclos de cultivo en los que se utilicen diferentes lotes de material vegetal.</w:t>
      </w:r>
    </w:p>
    <w:p w14:paraId="68A3A5F1" w14:textId="77777777" w:rsidR="009956BC" w:rsidRPr="00D40DC9" w:rsidRDefault="009956BC" w:rsidP="009956BC">
      <w:pPr>
        <w:ind w:left="567" w:right="567"/>
        <w:rPr>
          <w:szCs w:val="24"/>
          <w:lang w:val="es-419"/>
        </w:rPr>
      </w:pPr>
    </w:p>
    <w:p w14:paraId="6921F760" w14:textId="6B66298D" w:rsidR="009956BC" w:rsidRPr="00D40DC9" w:rsidRDefault="009956BC" w:rsidP="009956BC">
      <w:pPr>
        <w:ind w:left="567" w:right="567" w:firstLine="567"/>
        <w:rPr>
          <w:i/>
          <w:sz w:val="18"/>
          <w:szCs w:val="24"/>
          <w:lang w:val="es-419"/>
        </w:rPr>
      </w:pPr>
      <w:r w:rsidRPr="00D40DC9">
        <w:rPr>
          <w:i/>
          <w:sz w:val="18"/>
          <w:lang w:val="es-419"/>
        </w:rPr>
        <w:t>Método 1:</w:t>
      </w:r>
      <w:r w:rsidR="007D241B" w:rsidRPr="00D40DC9">
        <w:rPr>
          <w:i/>
          <w:sz w:val="18"/>
          <w:lang w:val="es-419"/>
        </w:rPr>
        <w:t xml:space="preserve"> </w:t>
      </w:r>
      <w:r w:rsidRPr="00D40DC9">
        <w:rPr>
          <w:i/>
          <w:sz w:val="18"/>
          <w:lang w:val="es-419"/>
        </w:rPr>
        <w:t xml:space="preserve">Tercer ciclo de cultivo en el caso de resultados contradictorios </w:t>
      </w:r>
    </w:p>
    <w:p w14:paraId="571BFC22" w14:textId="77777777" w:rsidR="009956BC" w:rsidRPr="00D40DC9" w:rsidRDefault="009956BC" w:rsidP="009956BC">
      <w:pPr>
        <w:ind w:left="567" w:right="567"/>
        <w:jc w:val="center"/>
        <w:rPr>
          <w:b/>
          <w:sz w:val="18"/>
          <w:szCs w:val="24"/>
          <w:lang w:val="es-419"/>
        </w:rPr>
      </w:pPr>
    </w:p>
    <w:p w14:paraId="67A49185" w14:textId="77777777" w:rsidR="009956BC" w:rsidRPr="00D40DC9" w:rsidRDefault="009956BC" w:rsidP="009956BC">
      <w:pPr>
        <w:ind w:left="567" w:right="567"/>
        <w:rPr>
          <w:rFonts w:eastAsia="SimSun"/>
          <w:sz w:val="18"/>
          <w:szCs w:val="24"/>
          <w:lang w:val="es-419"/>
        </w:rPr>
      </w:pPr>
      <w:r w:rsidRPr="00D40DC9">
        <w:rPr>
          <w:sz w:val="18"/>
          <w:lang w:val="es-419"/>
        </w:rPr>
        <w:t>Se considera que una variedad es homogénea si cumple el estándar de homogeneidad en ambos ciclos de cultivo.</w:t>
      </w:r>
    </w:p>
    <w:p w14:paraId="2F6F8E1C" w14:textId="77777777" w:rsidR="009956BC" w:rsidRPr="00D40DC9" w:rsidRDefault="009956BC" w:rsidP="009956BC">
      <w:pPr>
        <w:ind w:left="567" w:right="567"/>
        <w:rPr>
          <w:rFonts w:eastAsia="SimSun"/>
          <w:sz w:val="18"/>
          <w:szCs w:val="24"/>
          <w:lang w:val="es-419"/>
        </w:rPr>
      </w:pPr>
    </w:p>
    <w:p w14:paraId="65AB8623" w14:textId="77777777" w:rsidR="009956BC" w:rsidRPr="00D40DC9" w:rsidRDefault="009956BC" w:rsidP="009956BC">
      <w:pPr>
        <w:ind w:left="567" w:right="567"/>
        <w:rPr>
          <w:rFonts w:eastAsia="SimSun"/>
          <w:sz w:val="18"/>
          <w:szCs w:val="24"/>
          <w:lang w:val="es-419"/>
        </w:rPr>
      </w:pPr>
      <w:r w:rsidRPr="00D40DC9">
        <w:rPr>
          <w:sz w:val="18"/>
          <w:lang w:val="es-419"/>
        </w:rPr>
        <w:t>Se considera que una variedad no es homogénea si no cumple el estándar de homogeneidad en ambos ciclos de cultivo.</w:t>
      </w:r>
    </w:p>
    <w:p w14:paraId="0045CEE0" w14:textId="77777777" w:rsidR="009956BC" w:rsidRPr="00D40DC9" w:rsidRDefault="009956BC" w:rsidP="009956BC">
      <w:pPr>
        <w:ind w:left="567" w:right="567"/>
        <w:rPr>
          <w:rFonts w:eastAsia="SimSun"/>
          <w:sz w:val="18"/>
          <w:szCs w:val="24"/>
          <w:lang w:val="es-419"/>
        </w:rPr>
      </w:pPr>
    </w:p>
    <w:p w14:paraId="111E18E8" w14:textId="69A9E3E2" w:rsidR="009956BC" w:rsidRPr="00D40DC9" w:rsidRDefault="009956BC" w:rsidP="009956BC">
      <w:pPr>
        <w:ind w:left="567" w:right="567"/>
        <w:rPr>
          <w:rFonts w:eastAsia="SimSun"/>
          <w:sz w:val="18"/>
          <w:lang w:val="es-419"/>
        </w:rPr>
      </w:pPr>
      <w:r w:rsidRPr="00D40DC9">
        <w:rPr>
          <w:sz w:val="18"/>
          <w:lang w:val="es-419"/>
        </w:rPr>
        <w:t xml:space="preserve">Si al término de los dos ciclos de cultivo la variedad cumple el estándar de homogeneidad en un ciclo de </w:t>
      </w:r>
      <w:proofErr w:type="gramStart"/>
      <w:r w:rsidRPr="00D40DC9">
        <w:rPr>
          <w:sz w:val="18"/>
          <w:lang w:val="es-419"/>
        </w:rPr>
        <w:t>cultivo</w:t>
      </w:r>
      <w:proofErr w:type="gramEnd"/>
      <w:r w:rsidRPr="00D40DC9">
        <w:rPr>
          <w:sz w:val="18"/>
          <w:lang w:val="es-419"/>
        </w:rPr>
        <w:t xml:space="preserve"> pero no lo cumple en el otro ciclo de cultivo, se evalúa la homogeneidad en un tercer ciclo de cultivo.</w:t>
      </w:r>
      <w:r w:rsidR="007D241B" w:rsidRPr="00D40DC9">
        <w:rPr>
          <w:sz w:val="18"/>
          <w:lang w:val="es-419"/>
        </w:rPr>
        <w:t xml:space="preserve"> </w:t>
      </w:r>
      <w:r w:rsidRPr="00D40DC9">
        <w:rPr>
          <w:sz w:val="18"/>
          <w:lang w:val="es-419"/>
        </w:rPr>
        <w:t>Si en el tercer ciclo de cultivo la variedad cumple el estándar de homogeneidad, la variedad se considerará homogénea.</w:t>
      </w:r>
      <w:r w:rsidR="007D241B" w:rsidRPr="00D40DC9">
        <w:rPr>
          <w:sz w:val="18"/>
          <w:lang w:val="es-419"/>
        </w:rPr>
        <w:t xml:space="preserve"> </w:t>
      </w:r>
      <w:r w:rsidRPr="00D40DC9">
        <w:rPr>
          <w:sz w:val="18"/>
          <w:lang w:val="es-419"/>
        </w:rPr>
        <w:t>Si al término del tercer ciclo de cultivo la variedad no cumple el estándar de homogeneidad, la variedad se considerará no homogénea.</w:t>
      </w:r>
    </w:p>
    <w:p w14:paraId="4AAE323B" w14:textId="77777777" w:rsidR="009956BC" w:rsidRPr="00D40DC9" w:rsidRDefault="009956BC" w:rsidP="009956BC">
      <w:pPr>
        <w:ind w:left="567" w:right="567"/>
        <w:rPr>
          <w:color w:val="000000"/>
          <w:sz w:val="18"/>
          <w:lang w:val="es-419"/>
        </w:rPr>
      </w:pPr>
    </w:p>
    <w:p w14:paraId="17C9E140" w14:textId="31D5FB66" w:rsidR="009956BC" w:rsidRPr="00D40DC9" w:rsidRDefault="009956BC" w:rsidP="009956BC">
      <w:pPr>
        <w:ind w:left="567" w:right="567"/>
        <w:rPr>
          <w:sz w:val="18"/>
          <w:lang w:val="es-419"/>
        </w:rPr>
      </w:pPr>
      <w:r w:rsidRPr="00D40DC9">
        <w:rPr>
          <w:color w:val="000000"/>
          <w:sz w:val="18"/>
          <w:lang w:val="es-419"/>
        </w:rPr>
        <w:t xml:space="preserve">Es preciso poner cuidado al examinar resultados que sean muy diferentes en cada uno de los ciclos de cultivo, por </w:t>
      </w:r>
      <w:proofErr w:type="gramStart"/>
      <w:r w:rsidRPr="00D40DC9">
        <w:rPr>
          <w:color w:val="000000"/>
          <w:sz w:val="18"/>
          <w:lang w:val="es-419"/>
        </w:rPr>
        <w:t>ejemplo</w:t>
      </w:r>
      <w:proofErr w:type="gramEnd"/>
      <w:r w:rsidRPr="00D40DC9">
        <w:rPr>
          <w:color w:val="000000"/>
          <w:sz w:val="18"/>
          <w:lang w:val="es-419"/>
        </w:rPr>
        <w:t xml:space="preserve"> cuando se observe una gran abundancia de plantas fuera de tipo en un ciclo de cultivo y su ausencia en otro ciclo.</w:t>
      </w:r>
      <w:r w:rsidR="007D241B" w:rsidRPr="00D40DC9">
        <w:rPr>
          <w:color w:val="000000"/>
          <w:sz w:val="18"/>
          <w:lang w:val="es-419"/>
        </w:rPr>
        <w:t xml:space="preserve"> </w:t>
      </w:r>
      <w:r w:rsidRPr="00D40DC9">
        <w:rPr>
          <w:sz w:val="18"/>
          <w:lang w:val="es-419"/>
        </w:rPr>
        <w:t>Es importante determinar si las diferencias entre ciclos en cuanto al número de plantas fuera de tipo se deben a motivos medioambientales o a las variaciones en la toma de muestras.</w:t>
      </w:r>
      <w:r w:rsidR="007D241B" w:rsidRPr="00D40DC9">
        <w:rPr>
          <w:sz w:val="18"/>
          <w:lang w:val="es-419"/>
        </w:rPr>
        <w:t xml:space="preserve"> </w:t>
      </w:r>
    </w:p>
    <w:p w14:paraId="36D31BCF" w14:textId="77777777" w:rsidR="009956BC" w:rsidRPr="00D40DC9" w:rsidRDefault="009956BC" w:rsidP="009956BC">
      <w:pPr>
        <w:ind w:left="567" w:right="567"/>
        <w:rPr>
          <w:sz w:val="18"/>
          <w:lang w:val="es-419"/>
        </w:rPr>
      </w:pPr>
    </w:p>
    <w:p w14:paraId="5BDE9995" w14:textId="77777777" w:rsidR="009956BC" w:rsidRPr="00D40DC9" w:rsidRDefault="009956BC" w:rsidP="009956BC">
      <w:pPr>
        <w:ind w:left="567" w:right="567"/>
        <w:rPr>
          <w:rFonts w:eastAsia="SimSun"/>
          <w:sz w:val="18"/>
          <w:lang w:val="es-419"/>
        </w:rPr>
      </w:pPr>
      <w:r w:rsidRPr="00D40DC9">
        <w:rPr>
          <w:sz w:val="18"/>
          <w:lang w:val="es-419"/>
        </w:rPr>
        <w:t xml:space="preserve">Además, si una variedad supera en el primer ciclo de cultivo el límite superior predefinido del número de plantas fuera de tipo, podrá rechazarse la variedad tras un único ciclo de cultivo. </w:t>
      </w:r>
    </w:p>
    <w:p w14:paraId="05B6CA9D" w14:textId="77777777" w:rsidR="009956BC" w:rsidRPr="00D40DC9" w:rsidRDefault="009956BC" w:rsidP="009956BC">
      <w:pPr>
        <w:keepNext/>
        <w:keepLines/>
        <w:ind w:left="567" w:right="567"/>
        <w:rPr>
          <w:rFonts w:eastAsia="SimSun"/>
          <w:sz w:val="18"/>
          <w:szCs w:val="24"/>
          <w:lang w:val="es-419"/>
        </w:rPr>
      </w:pPr>
    </w:p>
    <w:p w14:paraId="5087A893" w14:textId="7D6F01C8" w:rsidR="009956BC" w:rsidRPr="00D40DC9" w:rsidRDefault="009956BC" w:rsidP="009956BC">
      <w:pPr>
        <w:ind w:left="567" w:right="567" w:firstLine="567"/>
        <w:rPr>
          <w:i/>
          <w:sz w:val="18"/>
          <w:szCs w:val="24"/>
          <w:lang w:val="es-419"/>
        </w:rPr>
      </w:pPr>
      <w:r w:rsidRPr="00D40DC9">
        <w:rPr>
          <w:i/>
          <w:sz w:val="18"/>
          <w:lang w:val="es-419"/>
        </w:rPr>
        <w:t>Método 2:</w:t>
      </w:r>
      <w:r w:rsidR="007D241B" w:rsidRPr="00D40DC9">
        <w:rPr>
          <w:i/>
          <w:sz w:val="18"/>
          <w:lang w:val="es-419"/>
        </w:rPr>
        <w:t xml:space="preserve"> </w:t>
      </w:r>
      <w:r w:rsidRPr="00D40DC9">
        <w:rPr>
          <w:i/>
          <w:sz w:val="18"/>
          <w:lang w:val="es-419"/>
        </w:rPr>
        <w:t>Combinar los resultados de dos ciclos de cultivo en el caso de resultados contradictorios</w:t>
      </w:r>
    </w:p>
    <w:p w14:paraId="7F5AEA70" w14:textId="77777777" w:rsidR="009956BC" w:rsidRPr="00D40DC9" w:rsidRDefault="009956BC" w:rsidP="009956BC">
      <w:pPr>
        <w:keepNext/>
        <w:keepLines/>
        <w:ind w:left="567" w:right="567"/>
        <w:rPr>
          <w:rFonts w:eastAsia="MS Mincho"/>
          <w:color w:val="000000"/>
          <w:sz w:val="18"/>
          <w:lang w:val="es-419"/>
        </w:rPr>
      </w:pPr>
    </w:p>
    <w:p w14:paraId="5DE0BF20" w14:textId="77777777" w:rsidR="009956BC" w:rsidRPr="00D40DC9" w:rsidRDefault="009956BC" w:rsidP="009956BC">
      <w:pPr>
        <w:ind w:left="567" w:right="567"/>
        <w:rPr>
          <w:rFonts w:eastAsia="SimSun"/>
          <w:sz w:val="18"/>
          <w:lang w:val="es-419"/>
        </w:rPr>
      </w:pPr>
      <w:r w:rsidRPr="00D40DC9">
        <w:rPr>
          <w:sz w:val="18"/>
          <w:lang w:val="es-419"/>
        </w:rPr>
        <w:t>Se considera que una variedad es homogénea si cumple el estándar de homogeneidad en ambos ciclos de cultivo.</w:t>
      </w:r>
    </w:p>
    <w:p w14:paraId="121112F5" w14:textId="77777777" w:rsidR="009956BC" w:rsidRPr="00D40DC9" w:rsidRDefault="009956BC" w:rsidP="009956BC">
      <w:pPr>
        <w:ind w:left="567" w:right="567"/>
        <w:rPr>
          <w:rFonts w:eastAsia="SimSun"/>
          <w:sz w:val="18"/>
          <w:lang w:val="es-419"/>
        </w:rPr>
      </w:pPr>
    </w:p>
    <w:p w14:paraId="3410FCCC" w14:textId="77777777" w:rsidR="009956BC" w:rsidRPr="00D40DC9" w:rsidRDefault="009956BC" w:rsidP="009956BC">
      <w:pPr>
        <w:ind w:left="567" w:right="567"/>
        <w:rPr>
          <w:rFonts w:eastAsia="SimSun"/>
          <w:sz w:val="18"/>
          <w:lang w:val="es-419"/>
        </w:rPr>
      </w:pPr>
      <w:r w:rsidRPr="00D40DC9">
        <w:rPr>
          <w:sz w:val="18"/>
          <w:lang w:val="es-419"/>
        </w:rPr>
        <w:t>Se considera que una variedad no es homogénea si no cumple el estándar de homogeneidad en ambos ciclos de cultivo.</w:t>
      </w:r>
    </w:p>
    <w:p w14:paraId="0ABEF601" w14:textId="77777777" w:rsidR="009956BC" w:rsidRPr="00D40DC9" w:rsidRDefault="009956BC" w:rsidP="009956BC">
      <w:pPr>
        <w:ind w:left="567" w:right="567"/>
        <w:rPr>
          <w:rFonts w:eastAsia="SimSun"/>
          <w:sz w:val="18"/>
          <w:lang w:val="es-419"/>
        </w:rPr>
      </w:pPr>
    </w:p>
    <w:p w14:paraId="5AF03A4F" w14:textId="77777777" w:rsidR="009956BC" w:rsidRPr="00D40DC9" w:rsidRDefault="009956BC" w:rsidP="009956BC">
      <w:pPr>
        <w:ind w:left="567" w:right="567"/>
        <w:rPr>
          <w:rFonts w:eastAsia="SimSun"/>
          <w:sz w:val="18"/>
          <w:lang w:val="es-419"/>
        </w:rPr>
      </w:pPr>
      <w:r w:rsidRPr="00D40DC9">
        <w:rPr>
          <w:sz w:val="18"/>
          <w:lang w:val="es-419"/>
        </w:rPr>
        <w:t xml:space="preserve">Si al término de los dos ciclos de cultivo la variedad cumple el estándar de homogeneidad en un ciclo de </w:t>
      </w:r>
      <w:proofErr w:type="gramStart"/>
      <w:r w:rsidRPr="00D40DC9">
        <w:rPr>
          <w:sz w:val="18"/>
          <w:lang w:val="es-419"/>
        </w:rPr>
        <w:t>cultivo</w:t>
      </w:r>
      <w:proofErr w:type="gramEnd"/>
      <w:r w:rsidRPr="00D40DC9">
        <w:rPr>
          <w:sz w:val="18"/>
          <w:lang w:val="es-419"/>
        </w:rPr>
        <w:t xml:space="preserve"> pero no cumple el estándar de homogeneidad en el otro ciclo de cultivo, se considera que la variedad es homogénea si el número total de plantas fuera de tipo al término de los dos ciclos de cultivo no supera el número permitido de plantas fuera de tipo en el tamaño de muestra de los ciclos de cultivo 1 y 2 combinados.</w:t>
      </w:r>
    </w:p>
    <w:p w14:paraId="4CF9E082" w14:textId="77777777" w:rsidR="009956BC" w:rsidRPr="00D40DC9" w:rsidRDefault="009956BC" w:rsidP="009956BC">
      <w:pPr>
        <w:ind w:left="567" w:right="567"/>
        <w:rPr>
          <w:rFonts w:eastAsia="SimSun"/>
          <w:sz w:val="18"/>
          <w:lang w:val="es-419"/>
        </w:rPr>
      </w:pPr>
    </w:p>
    <w:p w14:paraId="2926C613" w14:textId="60DCAB3E" w:rsidR="009956BC" w:rsidRPr="00D40DC9" w:rsidRDefault="009956BC" w:rsidP="009956BC">
      <w:pPr>
        <w:ind w:left="567" w:right="567"/>
        <w:rPr>
          <w:rFonts w:eastAsia="SimSun"/>
          <w:sz w:val="18"/>
          <w:szCs w:val="24"/>
          <w:lang w:val="es-419"/>
        </w:rPr>
      </w:pPr>
      <w:r w:rsidRPr="00D40DC9">
        <w:rPr>
          <w:sz w:val="18"/>
          <w:lang w:val="es-419"/>
        </w:rPr>
        <w:t xml:space="preserve">Es preciso poner cuidado al examinar resultados que sean muy diferentes en cada uno de los ciclos de cultivo, por </w:t>
      </w:r>
      <w:proofErr w:type="gramStart"/>
      <w:r w:rsidRPr="00D40DC9">
        <w:rPr>
          <w:sz w:val="18"/>
          <w:lang w:val="es-419"/>
        </w:rPr>
        <w:t>ejemplo</w:t>
      </w:r>
      <w:proofErr w:type="gramEnd"/>
      <w:r w:rsidRPr="00D40DC9">
        <w:rPr>
          <w:sz w:val="18"/>
          <w:lang w:val="es-419"/>
        </w:rPr>
        <w:t xml:space="preserve"> cuando se observe una gran abundancia de plantas fuera de tipo en un ciclo de cultivo y su ausencia en otro ciclo.</w:t>
      </w:r>
      <w:r w:rsidR="007D241B" w:rsidRPr="00D40DC9">
        <w:rPr>
          <w:sz w:val="18"/>
          <w:lang w:val="es-419"/>
        </w:rPr>
        <w:t xml:space="preserve"> </w:t>
      </w:r>
      <w:r w:rsidRPr="00D40DC9">
        <w:rPr>
          <w:sz w:val="18"/>
          <w:lang w:val="es-419"/>
        </w:rPr>
        <w:t xml:space="preserve">Cuando corresponda se debe llevar a cabo una prueba estadística para verificar </w:t>
      </w:r>
      <w:r w:rsidRPr="00D40DC9">
        <w:rPr>
          <w:sz w:val="18"/>
          <w:lang w:val="es-419"/>
        </w:rPr>
        <w:lastRenderedPageBreak/>
        <w:t>la coherencia.</w:t>
      </w:r>
      <w:r w:rsidR="007D241B" w:rsidRPr="00D40DC9">
        <w:rPr>
          <w:sz w:val="18"/>
          <w:lang w:val="es-419"/>
        </w:rPr>
        <w:t xml:space="preserve"> </w:t>
      </w:r>
      <w:r w:rsidRPr="00D40DC9">
        <w:rPr>
          <w:sz w:val="18"/>
          <w:lang w:val="es-419"/>
        </w:rPr>
        <w:t>Es importante determinar si las diferencias entre ciclos en cuanto al número de plantas fuera de tipo se deben a motivos medioambientales o a las variaciones en la toma de muestras.</w:t>
      </w:r>
      <w:r w:rsidR="007D241B" w:rsidRPr="00D40DC9">
        <w:rPr>
          <w:sz w:val="18"/>
          <w:lang w:val="es-419"/>
        </w:rPr>
        <w:t xml:space="preserve"> </w:t>
      </w:r>
    </w:p>
    <w:p w14:paraId="4F89A17D" w14:textId="77777777" w:rsidR="009956BC" w:rsidRPr="00D40DC9" w:rsidRDefault="009956BC" w:rsidP="009956BC">
      <w:pPr>
        <w:ind w:left="567" w:right="567"/>
        <w:rPr>
          <w:sz w:val="18"/>
          <w:lang w:val="es-419"/>
        </w:rPr>
      </w:pPr>
    </w:p>
    <w:p w14:paraId="6E052966" w14:textId="77777777" w:rsidR="009956BC" w:rsidRPr="00D40DC9" w:rsidRDefault="009956BC" w:rsidP="009956BC">
      <w:pPr>
        <w:ind w:left="567" w:right="567"/>
        <w:rPr>
          <w:rFonts w:eastAsia="SimSun"/>
          <w:sz w:val="18"/>
          <w:szCs w:val="24"/>
          <w:u w:val="single"/>
          <w:lang w:val="es-419"/>
        </w:rPr>
      </w:pPr>
      <w:r w:rsidRPr="00D40DC9">
        <w:rPr>
          <w:sz w:val="18"/>
          <w:lang w:val="es-419"/>
        </w:rPr>
        <w:t>Además, si una variedad supera en el primer ciclo de cultivo el límite superior predefinido del número de plantas fuera de tipo, podrá rechazarse la variedad tras un único ciclo de cultivo.</w:t>
      </w:r>
    </w:p>
    <w:p w14:paraId="57122AF6" w14:textId="77777777" w:rsidR="009956BC" w:rsidRPr="00D40DC9" w:rsidRDefault="009956BC" w:rsidP="009956BC">
      <w:pPr>
        <w:ind w:left="567" w:right="567"/>
        <w:rPr>
          <w:rFonts w:eastAsia="SimSun"/>
          <w:sz w:val="18"/>
          <w:szCs w:val="24"/>
          <w:lang w:val="es-419"/>
        </w:rPr>
      </w:pPr>
    </w:p>
    <w:p w14:paraId="6F06F169" w14:textId="47D9BA23" w:rsidR="009956BC" w:rsidRPr="00D40DC9" w:rsidRDefault="009956BC" w:rsidP="009956BC">
      <w:pPr>
        <w:keepNext/>
        <w:ind w:left="567" w:right="567" w:firstLine="567"/>
        <w:rPr>
          <w:bCs/>
          <w:i/>
          <w:sz w:val="18"/>
          <w:lang w:val="es-419"/>
        </w:rPr>
      </w:pPr>
      <w:r w:rsidRPr="00D40DC9">
        <w:rPr>
          <w:i/>
          <w:sz w:val="18"/>
          <w:lang w:val="es-419"/>
        </w:rPr>
        <w:t>Método 3:</w:t>
      </w:r>
      <w:r w:rsidR="007D241B" w:rsidRPr="00D40DC9">
        <w:rPr>
          <w:i/>
          <w:sz w:val="18"/>
          <w:lang w:val="es-419"/>
        </w:rPr>
        <w:t xml:space="preserve"> </w:t>
      </w:r>
      <w:r w:rsidRPr="00D40DC9">
        <w:rPr>
          <w:i/>
          <w:sz w:val="18"/>
          <w:lang w:val="es-419"/>
        </w:rPr>
        <w:t>Combinar los resultados de dos ciclos de cultivo</w:t>
      </w:r>
    </w:p>
    <w:p w14:paraId="7868455F" w14:textId="77777777" w:rsidR="009956BC" w:rsidRPr="00D40DC9" w:rsidRDefault="009956BC" w:rsidP="009956BC">
      <w:pPr>
        <w:keepNext/>
        <w:ind w:left="567" w:right="567"/>
        <w:rPr>
          <w:sz w:val="18"/>
          <w:lang w:val="es-419"/>
        </w:rPr>
      </w:pPr>
    </w:p>
    <w:p w14:paraId="533A5402" w14:textId="77777777" w:rsidR="009956BC" w:rsidRPr="00D40DC9" w:rsidRDefault="009956BC" w:rsidP="009956BC">
      <w:pPr>
        <w:ind w:left="567" w:right="567"/>
        <w:rPr>
          <w:sz w:val="18"/>
          <w:lang w:val="es-419"/>
        </w:rPr>
      </w:pPr>
      <w:r w:rsidRPr="00D40DC9">
        <w:rPr>
          <w:sz w:val="18"/>
          <w:lang w:val="es-419"/>
        </w:rPr>
        <w:t>Se considera que una variedad es homogénea si el número total de plantas fuera de tipo al término de los dos ciclos de cultivo no supera el número permitido de plantas fuera de tipo en una muestra combinada.</w:t>
      </w:r>
    </w:p>
    <w:p w14:paraId="7FB5AC5C" w14:textId="77777777" w:rsidR="009956BC" w:rsidRPr="00D40DC9" w:rsidRDefault="009956BC" w:rsidP="009956BC">
      <w:pPr>
        <w:ind w:left="567" w:right="567"/>
        <w:rPr>
          <w:sz w:val="18"/>
          <w:lang w:val="es-419"/>
        </w:rPr>
      </w:pPr>
    </w:p>
    <w:p w14:paraId="77A24B3E" w14:textId="77777777" w:rsidR="009956BC" w:rsidRPr="00D40DC9" w:rsidRDefault="009956BC" w:rsidP="009956BC">
      <w:pPr>
        <w:ind w:left="567" w:right="567"/>
        <w:rPr>
          <w:sz w:val="18"/>
          <w:lang w:val="es-419"/>
        </w:rPr>
      </w:pPr>
      <w:r w:rsidRPr="00D40DC9">
        <w:rPr>
          <w:sz w:val="18"/>
          <w:lang w:val="es-419"/>
        </w:rPr>
        <w:t>Se considera que una variedad no es homogénea si el número total de plantas fuera de tipo al término de los dos ciclos de cultivo supera el número permitido de plantas fuera de tipo en una muestra combinada.</w:t>
      </w:r>
    </w:p>
    <w:p w14:paraId="282D7340" w14:textId="77777777" w:rsidR="009956BC" w:rsidRPr="00D40DC9" w:rsidRDefault="009956BC" w:rsidP="009956BC">
      <w:pPr>
        <w:ind w:left="567" w:right="567"/>
        <w:rPr>
          <w:sz w:val="18"/>
          <w:lang w:val="es-419"/>
        </w:rPr>
      </w:pPr>
    </w:p>
    <w:p w14:paraId="72AB1D1D" w14:textId="77777777" w:rsidR="009956BC" w:rsidRPr="00D40DC9" w:rsidRDefault="009956BC" w:rsidP="009956BC">
      <w:pPr>
        <w:spacing w:after="120"/>
        <w:ind w:left="567" w:right="567"/>
        <w:rPr>
          <w:sz w:val="18"/>
          <w:lang w:val="es-419"/>
        </w:rPr>
      </w:pPr>
      <w:r w:rsidRPr="00D40DC9">
        <w:rPr>
          <w:sz w:val="18"/>
          <w:lang w:val="es-419"/>
        </w:rPr>
        <w:t>Podrá rechazarse una variedad tras un único ciclo de cultivo, si el número de plantas fuera de tipo supera el número permitido de plantas fuera de tipo en una muestra combinada (en dos ciclos de cultivo).</w:t>
      </w:r>
    </w:p>
    <w:p w14:paraId="2988CA96" w14:textId="77777777" w:rsidR="009956BC" w:rsidRPr="00D40DC9" w:rsidRDefault="009956BC" w:rsidP="009956BC">
      <w:pPr>
        <w:keepNext/>
        <w:ind w:left="567" w:right="567"/>
        <w:rPr>
          <w:sz w:val="18"/>
          <w:lang w:val="es-419"/>
        </w:rPr>
      </w:pPr>
    </w:p>
    <w:p w14:paraId="7FD0A971" w14:textId="10C021C9" w:rsidR="009956BC" w:rsidRPr="00D40DC9" w:rsidRDefault="009956BC" w:rsidP="009956BC">
      <w:pPr>
        <w:keepNext/>
        <w:ind w:left="567" w:right="567"/>
        <w:rPr>
          <w:rFonts w:eastAsia="SimSun"/>
          <w:sz w:val="18"/>
          <w:szCs w:val="24"/>
          <w:lang w:val="es-419"/>
        </w:rPr>
      </w:pPr>
      <w:r w:rsidRPr="00D40DC9">
        <w:rPr>
          <w:sz w:val="18"/>
          <w:lang w:val="es-419"/>
        </w:rPr>
        <w:t xml:space="preserve">Es preciso poner cuidado al examinar resultados que son muy diferentes en cada uno de los ciclos de cultivo, por </w:t>
      </w:r>
      <w:proofErr w:type="gramStart"/>
      <w:r w:rsidRPr="00D40DC9">
        <w:rPr>
          <w:sz w:val="18"/>
          <w:lang w:val="es-419"/>
        </w:rPr>
        <w:t>ejemplo</w:t>
      </w:r>
      <w:proofErr w:type="gramEnd"/>
      <w:r w:rsidRPr="00D40DC9">
        <w:rPr>
          <w:sz w:val="18"/>
          <w:lang w:val="es-419"/>
        </w:rPr>
        <w:t xml:space="preserve"> cuando se observa una gran abundancia de plantas fuera de tipo en un ciclo de cultivo y su ausencia en otro ciclo. Cuando corresponda se debe llevar a cabo una prueba estadística para verificar la coherencia.</w:t>
      </w:r>
      <w:r w:rsidR="007D241B" w:rsidRPr="00D40DC9">
        <w:rPr>
          <w:sz w:val="18"/>
          <w:lang w:val="es-419"/>
        </w:rPr>
        <w:t xml:space="preserve"> </w:t>
      </w:r>
      <w:r w:rsidRPr="00D40DC9">
        <w:rPr>
          <w:sz w:val="18"/>
          <w:lang w:val="es-419"/>
        </w:rPr>
        <w:t>Es importante determinar si las diferencias entre ciclos en cuanto al número de plantas fuera de tipo se deben a motivos medioambientales o a las variaciones en la toma de muestras.</w:t>
      </w:r>
      <w:r w:rsidRPr="00D40DC9">
        <w:rPr>
          <w:sz w:val="18"/>
          <w:highlight w:val="lightGray"/>
          <w:u w:val="single"/>
          <w:lang w:val="es-419"/>
        </w:rPr>
        <w:t xml:space="preserve"> </w:t>
      </w:r>
    </w:p>
    <w:p w14:paraId="030142CD" w14:textId="77777777" w:rsidR="009956BC" w:rsidRPr="00D40DC9" w:rsidRDefault="009956BC" w:rsidP="009956BC">
      <w:pPr>
        <w:keepNext/>
        <w:keepLines/>
        <w:ind w:left="567" w:right="567"/>
        <w:jc w:val="left"/>
        <w:rPr>
          <w:szCs w:val="24"/>
          <w:lang w:val="es-419"/>
        </w:rPr>
      </w:pPr>
    </w:p>
    <w:p w14:paraId="626C5191" w14:textId="77777777" w:rsidR="009956BC" w:rsidRPr="00D40DC9" w:rsidRDefault="009956BC" w:rsidP="009956BC">
      <w:pPr>
        <w:keepNext/>
        <w:keepLines/>
        <w:ind w:left="567" w:right="567" w:firstLine="567"/>
        <w:jc w:val="left"/>
        <w:rPr>
          <w:i/>
          <w:sz w:val="18"/>
          <w:szCs w:val="24"/>
          <w:lang w:val="es-419"/>
        </w:rPr>
      </w:pPr>
      <w:r w:rsidRPr="00D40DC9">
        <w:rPr>
          <w:i/>
          <w:sz w:val="18"/>
          <w:lang w:val="es-419"/>
        </w:rPr>
        <w:t>Ejemplo:</w:t>
      </w:r>
    </w:p>
    <w:p w14:paraId="70821020" w14:textId="77777777" w:rsidR="009956BC" w:rsidRPr="00D40DC9" w:rsidRDefault="009956BC" w:rsidP="009956BC">
      <w:pPr>
        <w:keepNext/>
        <w:keepLines/>
        <w:jc w:val="left"/>
        <w:rPr>
          <w:szCs w:val="24"/>
          <w:lang w:val="es-419"/>
        </w:rPr>
      </w:pPr>
    </w:p>
    <w:tbl>
      <w:tblPr>
        <w:tblW w:w="7862" w:type="dxa"/>
        <w:tblInd w:w="1276" w:type="dxa"/>
        <w:tblLayout w:type="fixed"/>
        <w:tblLook w:val="04A0" w:firstRow="1" w:lastRow="0" w:firstColumn="1" w:lastColumn="0" w:noHBand="0" w:noVBand="1"/>
      </w:tblPr>
      <w:tblGrid>
        <w:gridCol w:w="593"/>
        <w:gridCol w:w="247"/>
        <w:gridCol w:w="791"/>
        <w:gridCol w:w="1039"/>
        <w:gridCol w:w="37"/>
        <w:gridCol w:w="1022"/>
        <w:gridCol w:w="949"/>
        <w:gridCol w:w="1559"/>
        <w:gridCol w:w="30"/>
        <w:gridCol w:w="254"/>
        <w:gridCol w:w="1341"/>
      </w:tblGrid>
      <w:tr w:rsidR="009956BC" w:rsidRPr="00D40DC9" w14:paraId="4B447727" w14:textId="77777777" w:rsidTr="00A04556">
        <w:trPr>
          <w:gridAfter w:val="1"/>
          <w:wAfter w:w="1341" w:type="dxa"/>
          <w:trHeight w:val="260"/>
        </w:trPr>
        <w:tc>
          <w:tcPr>
            <w:tcW w:w="593" w:type="dxa"/>
            <w:tcBorders>
              <w:top w:val="nil"/>
              <w:left w:val="nil"/>
              <w:bottom w:val="nil"/>
            </w:tcBorders>
            <w:shd w:val="clear" w:color="auto" w:fill="auto"/>
            <w:noWrap/>
            <w:vAlign w:val="bottom"/>
          </w:tcPr>
          <w:p w14:paraId="48B19469" w14:textId="77777777" w:rsidR="009956BC" w:rsidRPr="00D40DC9" w:rsidRDefault="009956BC" w:rsidP="009956BC">
            <w:pPr>
              <w:jc w:val="left"/>
              <w:rPr>
                <w:rFonts w:cs="Arial"/>
                <w:color w:val="000000"/>
                <w:sz w:val="18"/>
                <w:szCs w:val="18"/>
                <w:lang w:val="es-419"/>
              </w:rPr>
            </w:pPr>
          </w:p>
        </w:tc>
        <w:tc>
          <w:tcPr>
            <w:tcW w:w="5928" w:type="dxa"/>
            <w:gridSpan w:val="9"/>
            <w:tcBorders>
              <w:top w:val="nil"/>
            </w:tcBorders>
            <w:shd w:val="clear" w:color="auto" w:fill="auto"/>
            <w:vAlign w:val="bottom"/>
          </w:tcPr>
          <w:p w14:paraId="5F97527D" w14:textId="72113851" w:rsidR="009956BC" w:rsidRPr="00D40DC9" w:rsidRDefault="009956BC" w:rsidP="009956BC">
            <w:pPr>
              <w:jc w:val="left"/>
              <w:rPr>
                <w:rFonts w:cs="Arial"/>
                <w:color w:val="000000"/>
                <w:sz w:val="18"/>
                <w:szCs w:val="18"/>
                <w:lang w:val="es-419"/>
              </w:rPr>
            </w:pPr>
            <w:r w:rsidRPr="00D40DC9">
              <w:rPr>
                <w:color w:val="000000"/>
                <w:sz w:val="18"/>
                <w:lang w:val="es-419"/>
              </w:rPr>
              <w:t>Población estándar = 1%</w:t>
            </w:r>
            <w:r w:rsidR="007D241B" w:rsidRPr="00D40DC9">
              <w:rPr>
                <w:color w:val="000000"/>
                <w:sz w:val="18"/>
                <w:lang w:val="es-419"/>
              </w:rPr>
              <w:t xml:space="preserve"> </w:t>
            </w:r>
          </w:p>
        </w:tc>
      </w:tr>
      <w:tr w:rsidR="009956BC" w:rsidRPr="00D40DC9" w14:paraId="56C50888" w14:textId="77777777" w:rsidTr="00A04556">
        <w:trPr>
          <w:gridAfter w:val="1"/>
          <w:wAfter w:w="1341" w:type="dxa"/>
          <w:trHeight w:val="275"/>
        </w:trPr>
        <w:tc>
          <w:tcPr>
            <w:tcW w:w="593" w:type="dxa"/>
            <w:tcBorders>
              <w:top w:val="nil"/>
              <w:left w:val="nil"/>
              <w:bottom w:val="nil"/>
            </w:tcBorders>
            <w:shd w:val="clear" w:color="auto" w:fill="auto"/>
            <w:noWrap/>
            <w:vAlign w:val="bottom"/>
            <w:hideMark/>
          </w:tcPr>
          <w:p w14:paraId="1C9BE2AB" w14:textId="77777777" w:rsidR="009956BC" w:rsidRPr="00D40DC9" w:rsidRDefault="009956BC" w:rsidP="009956BC">
            <w:pPr>
              <w:jc w:val="left"/>
              <w:rPr>
                <w:rFonts w:cs="Arial"/>
                <w:color w:val="000000"/>
                <w:sz w:val="18"/>
                <w:szCs w:val="18"/>
                <w:lang w:val="es-419"/>
              </w:rPr>
            </w:pPr>
          </w:p>
        </w:tc>
        <w:tc>
          <w:tcPr>
            <w:tcW w:w="5928" w:type="dxa"/>
            <w:gridSpan w:val="9"/>
            <w:tcBorders>
              <w:top w:val="nil"/>
              <w:bottom w:val="single" w:sz="4" w:space="0" w:color="auto"/>
            </w:tcBorders>
            <w:shd w:val="clear" w:color="auto" w:fill="auto"/>
            <w:vAlign w:val="bottom"/>
          </w:tcPr>
          <w:p w14:paraId="2353893F" w14:textId="77777777" w:rsidR="009956BC" w:rsidRPr="00D40DC9" w:rsidRDefault="009956BC" w:rsidP="009956BC">
            <w:pPr>
              <w:jc w:val="left"/>
              <w:rPr>
                <w:rFonts w:cs="Arial"/>
                <w:color w:val="000000"/>
                <w:sz w:val="18"/>
                <w:szCs w:val="18"/>
                <w:lang w:val="es-419"/>
              </w:rPr>
            </w:pPr>
            <w:r w:rsidRPr="00D40DC9">
              <w:rPr>
                <w:color w:val="000000"/>
                <w:sz w:val="18"/>
                <w:lang w:val="es-419"/>
              </w:rPr>
              <w:t>Probabilidad de aceptación ≥ 95%</w:t>
            </w:r>
          </w:p>
        </w:tc>
      </w:tr>
      <w:tr w:rsidR="009956BC" w:rsidRPr="00D40DC9" w14:paraId="76888268" w14:textId="77777777" w:rsidTr="00A04556">
        <w:trPr>
          <w:gridBefore w:val="1"/>
          <w:gridAfter w:val="1"/>
          <w:wBefore w:w="593" w:type="dxa"/>
          <w:wAfter w:w="1341" w:type="dxa"/>
          <w:trHeight w:val="260"/>
        </w:trPr>
        <w:tc>
          <w:tcPr>
            <w:tcW w:w="5928" w:type="dxa"/>
            <w:gridSpan w:val="9"/>
            <w:tcBorders>
              <w:top w:val="single" w:sz="4" w:space="0" w:color="auto"/>
              <w:left w:val="single" w:sz="4" w:space="0" w:color="auto"/>
              <w:bottom w:val="single" w:sz="6" w:space="0" w:color="auto"/>
              <w:right w:val="single" w:sz="4" w:space="0" w:color="auto"/>
            </w:tcBorders>
            <w:shd w:val="clear" w:color="auto" w:fill="auto"/>
            <w:vAlign w:val="bottom"/>
          </w:tcPr>
          <w:p w14:paraId="5FE530A8" w14:textId="77777777" w:rsidR="009956BC" w:rsidRPr="00D40DC9" w:rsidRDefault="009956BC" w:rsidP="009956BC">
            <w:pPr>
              <w:jc w:val="left"/>
              <w:rPr>
                <w:rFonts w:cs="Arial"/>
                <w:color w:val="000000"/>
                <w:sz w:val="18"/>
                <w:szCs w:val="18"/>
                <w:lang w:val="es-419"/>
              </w:rPr>
            </w:pPr>
            <w:r w:rsidRPr="00D40DC9">
              <w:rPr>
                <w:color w:val="000000"/>
                <w:sz w:val="18"/>
                <w:lang w:val="es-419"/>
              </w:rPr>
              <w:t>Tamaño de la muestra en cada uno de los ciclos de cultivo 1 y 2 = 50</w:t>
            </w:r>
          </w:p>
        </w:tc>
      </w:tr>
      <w:tr w:rsidR="009956BC" w:rsidRPr="00D40DC9" w14:paraId="08793821" w14:textId="77777777" w:rsidTr="00A04556">
        <w:trPr>
          <w:gridBefore w:val="1"/>
          <w:gridAfter w:val="1"/>
          <w:wBefore w:w="593" w:type="dxa"/>
          <w:wAfter w:w="1341" w:type="dxa"/>
          <w:trHeight w:val="275"/>
        </w:trPr>
        <w:tc>
          <w:tcPr>
            <w:tcW w:w="5928" w:type="dxa"/>
            <w:gridSpan w:val="9"/>
            <w:tcBorders>
              <w:top w:val="single" w:sz="6" w:space="0" w:color="auto"/>
              <w:left w:val="single" w:sz="4" w:space="0" w:color="auto"/>
              <w:bottom w:val="single" w:sz="4" w:space="0" w:color="auto"/>
              <w:right w:val="single" w:sz="4" w:space="0" w:color="auto"/>
            </w:tcBorders>
            <w:shd w:val="clear" w:color="auto" w:fill="auto"/>
            <w:vAlign w:val="bottom"/>
          </w:tcPr>
          <w:p w14:paraId="6DFFC6C4" w14:textId="77777777" w:rsidR="009956BC" w:rsidRPr="00D40DC9" w:rsidRDefault="009956BC" w:rsidP="009956BC">
            <w:pPr>
              <w:jc w:val="left"/>
              <w:rPr>
                <w:rFonts w:cs="Arial"/>
                <w:color w:val="000000"/>
                <w:sz w:val="18"/>
                <w:szCs w:val="18"/>
                <w:lang w:val="es-419"/>
              </w:rPr>
            </w:pPr>
            <w:r w:rsidRPr="00D40DC9">
              <w:rPr>
                <w:color w:val="000000"/>
                <w:sz w:val="18"/>
                <w:lang w:val="es-419"/>
              </w:rPr>
              <w:t>Número máximo de plantas fuera de tipo = 2</w:t>
            </w:r>
          </w:p>
        </w:tc>
      </w:tr>
      <w:tr w:rsidR="009956BC" w:rsidRPr="00D40DC9" w14:paraId="7DB58273" w14:textId="77777777" w:rsidTr="00A04556">
        <w:trPr>
          <w:gridBefore w:val="1"/>
          <w:gridAfter w:val="1"/>
          <w:wBefore w:w="593" w:type="dxa"/>
          <w:wAfter w:w="1341" w:type="dxa"/>
          <w:trHeight w:val="275"/>
        </w:trPr>
        <w:tc>
          <w:tcPr>
            <w:tcW w:w="5928" w:type="dxa"/>
            <w:gridSpan w:val="9"/>
            <w:tcBorders>
              <w:top w:val="single" w:sz="4" w:space="0" w:color="auto"/>
              <w:left w:val="single" w:sz="4" w:space="0" w:color="auto"/>
              <w:bottom w:val="nil"/>
              <w:right w:val="single" w:sz="4" w:space="0" w:color="auto"/>
            </w:tcBorders>
            <w:shd w:val="clear" w:color="auto" w:fill="auto"/>
            <w:vAlign w:val="bottom"/>
          </w:tcPr>
          <w:p w14:paraId="2D6B0542" w14:textId="25D9FC61" w:rsidR="009956BC" w:rsidRPr="00D40DC9" w:rsidRDefault="009956BC" w:rsidP="009956BC">
            <w:pPr>
              <w:jc w:val="left"/>
              <w:rPr>
                <w:rFonts w:cs="Arial"/>
                <w:color w:val="000000"/>
                <w:sz w:val="18"/>
                <w:szCs w:val="18"/>
                <w:lang w:val="es-419"/>
              </w:rPr>
            </w:pPr>
            <w:r w:rsidRPr="00D40DC9">
              <w:rPr>
                <w:color w:val="000000"/>
                <w:sz w:val="18"/>
                <w:lang w:val="es-419"/>
              </w:rPr>
              <w:t>Tamaño de la muestra en los ciclos de cultivo 1 y 2 combinados =</w:t>
            </w:r>
            <w:r w:rsidR="00A04556" w:rsidRPr="00D40DC9">
              <w:rPr>
                <w:color w:val="000000"/>
                <w:sz w:val="18"/>
                <w:lang w:val="es-419"/>
              </w:rPr>
              <w:t> </w:t>
            </w:r>
            <w:r w:rsidRPr="00D40DC9">
              <w:rPr>
                <w:color w:val="000000"/>
                <w:sz w:val="18"/>
                <w:lang w:val="es-419"/>
              </w:rPr>
              <w:t>100</w:t>
            </w:r>
          </w:p>
        </w:tc>
      </w:tr>
      <w:tr w:rsidR="009956BC" w:rsidRPr="00D40DC9" w14:paraId="235EBC17" w14:textId="77777777" w:rsidTr="00A04556">
        <w:trPr>
          <w:gridBefore w:val="1"/>
          <w:gridAfter w:val="1"/>
          <w:wBefore w:w="593" w:type="dxa"/>
          <w:wAfter w:w="1341" w:type="dxa"/>
          <w:trHeight w:val="275"/>
        </w:trPr>
        <w:tc>
          <w:tcPr>
            <w:tcW w:w="5928" w:type="dxa"/>
            <w:gridSpan w:val="9"/>
            <w:tcBorders>
              <w:top w:val="nil"/>
              <w:left w:val="single" w:sz="4" w:space="0" w:color="auto"/>
              <w:bottom w:val="single" w:sz="4" w:space="0" w:color="auto"/>
              <w:right w:val="single" w:sz="4" w:space="0" w:color="auto"/>
            </w:tcBorders>
            <w:shd w:val="clear" w:color="auto" w:fill="auto"/>
            <w:vAlign w:val="bottom"/>
          </w:tcPr>
          <w:p w14:paraId="375A6EF0" w14:textId="77777777" w:rsidR="009956BC" w:rsidRPr="00D40DC9" w:rsidRDefault="009956BC" w:rsidP="009956BC">
            <w:pPr>
              <w:jc w:val="left"/>
              <w:rPr>
                <w:rFonts w:cs="Arial"/>
                <w:color w:val="000000"/>
                <w:sz w:val="18"/>
                <w:szCs w:val="18"/>
                <w:lang w:val="es-419"/>
              </w:rPr>
            </w:pPr>
            <w:r w:rsidRPr="00D40DC9">
              <w:rPr>
                <w:color w:val="000000"/>
                <w:sz w:val="18"/>
                <w:lang w:val="es-419"/>
              </w:rPr>
              <w:t>Número máximo de plantas fuera de tipo = 3</w:t>
            </w:r>
          </w:p>
        </w:tc>
      </w:tr>
      <w:tr w:rsidR="009956BC" w:rsidRPr="00D40DC9" w14:paraId="79B33224" w14:textId="77777777" w:rsidTr="00A04556">
        <w:trPr>
          <w:gridBefore w:val="1"/>
          <w:gridAfter w:val="2"/>
          <w:wBefore w:w="593" w:type="dxa"/>
          <w:wAfter w:w="1595" w:type="dxa"/>
          <w:trHeight w:val="244"/>
        </w:trPr>
        <w:tc>
          <w:tcPr>
            <w:tcW w:w="247" w:type="dxa"/>
            <w:tcBorders>
              <w:top w:val="nil"/>
              <w:left w:val="nil"/>
              <w:bottom w:val="single" w:sz="4" w:space="0" w:color="auto"/>
              <w:right w:val="nil"/>
            </w:tcBorders>
            <w:shd w:val="clear" w:color="auto" w:fill="auto"/>
            <w:noWrap/>
            <w:vAlign w:val="bottom"/>
            <w:hideMark/>
          </w:tcPr>
          <w:p w14:paraId="04627C1A" w14:textId="77777777" w:rsidR="009956BC" w:rsidRPr="00D40DC9" w:rsidRDefault="009956BC" w:rsidP="009956BC">
            <w:pPr>
              <w:jc w:val="left"/>
              <w:rPr>
                <w:rFonts w:cs="Arial"/>
                <w:color w:val="000000"/>
                <w:sz w:val="18"/>
                <w:szCs w:val="18"/>
                <w:lang w:val="es-419"/>
              </w:rPr>
            </w:pPr>
            <w:r w:rsidRPr="00D40DC9">
              <w:rPr>
                <w:color w:val="000000"/>
                <w:sz w:val="18"/>
                <w:lang w:val="es-419"/>
              </w:rPr>
              <w:t> </w:t>
            </w:r>
          </w:p>
        </w:tc>
        <w:tc>
          <w:tcPr>
            <w:tcW w:w="1867" w:type="dxa"/>
            <w:gridSpan w:val="3"/>
            <w:tcBorders>
              <w:top w:val="nil"/>
              <w:left w:val="nil"/>
              <w:bottom w:val="single" w:sz="4" w:space="0" w:color="auto"/>
              <w:right w:val="nil"/>
            </w:tcBorders>
            <w:shd w:val="clear" w:color="auto" w:fill="auto"/>
            <w:noWrap/>
            <w:vAlign w:val="bottom"/>
            <w:hideMark/>
          </w:tcPr>
          <w:p w14:paraId="513F9855" w14:textId="77777777" w:rsidR="009956BC" w:rsidRPr="00D40DC9" w:rsidRDefault="009956BC" w:rsidP="009956BC">
            <w:pPr>
              <w:jc w:val="left"/>
              <w:rPr>
                <w:rFonts w:cs="Arial"/>
                <w:color w:val="000000"/>
                <w:sz w:val="18"/>
                <w:szCs w:val="18"/>
                <w:lang w:val="es-419"/>
              </w:rPr>
            </w:pPr>
            <w:r w:rsidRPr="00D40DC9">
              <w:rPr>
                <w:color w:val="000000"/>
                <w:sz w:val="18"/>
                <w:lang w:val="es-419"/>
              </w:rPr>
              <w:t> </w:t>
            </w:r>
          </w:p>
        </w:tc>
        <w:tc>
          <w:tcPr>
            <w:tcW w:w="1022" w:type="dxa"/>
            <w:tcBorders>
              <w:top w:val="nil"/>
              <w:left w:val="nil"/>
              <w:bottom w:val="single" w:sz="4" w:space="0" w:color="auto"/>
              <w:right w:val="nil"/>
            </w:tcBorders>
            <w:shd w:val="clear" w:color="auto" w:fill="auto"/>
            <w:noWrap/>
            <w:vAlign w:val="bottom"/>
            <w:hideMark/>
          </w:tcPr>
          <w:p w14:paraId="0FC3D923" w14:textId="77777777" w:rsidR="009956BC" w:rsidRPr="00D40DC9" w:rsidRDefault="009956BC" w:rsidP="009956BC">
            <w:pPr>
              <w:jc w:val="left"/>
              <w:rPr>
                <w:rFonts w:cs="Arial"/>
                <w:color w:val="000000"/>
                <w:sz w:val="18"/>
                <w:szCs w:val="18"/>
                <w:lang w:val="es-419"/>
              </w:rPr>
            </w:pPr>
            <w:r w:rsidRPr="00D40DC9">
              <w:rPr>
                <w:color w:val="000000"/>
                <w:sz w:val="18"/>
                <w:lang w:val="es-419"/>
              </w:rPr>
              <w:t> </w:t>
            </w:r>
          </w:p>
        </w:tc>
        <w:tc>
          <w:tcPr>
            <w:tcW w:w="2538" w:type="dxa"/>
            <w:gridSpan w:val="3"/>
            <w:tcBorders>
              <w:top w:val="nil"/>
              <w:left w:val="nil"/>
              <w:bottom w:val="single" w:sz="4" w:space="0" w:color="auto"/>
            </w:tcBorders>
            <w:shd w:val="clear" w:color="auto" w:fill="auto"/>
            <w:noWrap/>
            <w:vAlign w:val="bottom"/>
            <w:hideMark/>
          </w:tcPr>
          <w:p w14:paraId="676DC88A" w14:textId="77777777" w:rsidR="009956BC" w:rsidRPr="00D40DC9" w:rsidRDefault="009956BC" w:rsidP="009956BC">
            <w:pPr>
              <w:jc w:val="left"/>
              <w:rPr>
                <w:rFonts w:cs="Arial"/>
                <w:color w:val="000000"/>
                <w:sz w:val="18"/>
                <w:szCs w:val="18"/>
                <w:lang w:val="es-419"/>
              </w:rPr>
            </w:pPr>
            <w:r w:rsidRPr="00D40DC9">
              <w:rPr>
                <w:color w:val="000000"/>
                <w:sz w:val="18"/>
                <w:lang w:val="es-419"/>
              </w:rPr>
              <w:t> </w:t>
            </w:r>
          </w:p>
        </w:tc>
      </w:tr>
      <w:tr w:rsidR="009956BC" w:rsidRPr="00D40DC9" w14:paraId="160A7794" w14:textId="77777777" w:rsidTr="00A04556">
        <w:trPr>
          <w:trHeight w:val="388"/>
        </w:trPr>
        <w:tc>
          <w:tcPr>
            <w:tcW w:w="593" w:type="dxa"/>
            <w:tcBorders>
              <w:top w:val="nil"/>
              <w:left w:val="nil"/>
              <w:bottom w:val="nil"/>
              <w:right w:val="single" w:sz="4" w:space="0" w:color="auto"/>
            </w:tcBorders>
            <w:shd w:val="clear" w:color="auto" w:fill="auto"/>
            <w:noWrap/>
            <w:vAlign w:val="bottom"/>
            <w:hideMark/>
          </w:tcPr>
          <w:p w14:paraId="6A979160" w14:textId="77777777" w:rsidR="009956BC" w:rsidRPr="00D40DC9" w:rsidRDefault="009956BC" w:rsidP="009956BC">
            <w:pPr>
              <w:jc w:val="left"/>
              <w:rPr>
                <w:rFonts w:cs="Arial"/>
                <w:color w:val="000000"/>
                <w:sz w:val="18"/>
                <w:szCs w:val="18"/>
                <w:lang w:val="es-419"/>
              </w:rPr>
            </w:pPr>
            <w:r w:rsidRPr="00D40DC9">
              <w:rPr>
                <w:color w:val="000000"/>
                <w:sz w:val="18"/>
                <w:lang w:val="es-419"/>
              </w:rPr>
              <w:t> </w:t>
            </w:r>
          </w:p>
        </w:tc>
        <w:tc>
          <w:tcPr>
            <w:tcW w:w="20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B10B48" w14:textId="77777777" w:rsidR="009956BC" w:rsidRPr="00D40DC9" w:rsidRDefault="009956BC" w:rsidP="009956BC">
            <w:pPr>
              <w:jc w:val="center"/>
              <w:rPr>
                <w:rFonts w:cs="Arial"/>
                <w:color w:val="000000"/>
                <w:sz w:val="18"/>
                <w:szCs w:val="18"/>
                <w:lang w:val="es-419"/>
              </w:rPr>
            </w:pPr>
            <w:r w:rsidRPr="00D40DC9">
              <w:rPr>
                <w:color w:val="000000"/>
                <w:sz w:val="18"/>
                <w:lang w:val="es-419"/>
              </w:rPr>
              <w:t>Ciclo de cultivo</w:t>
            </w:r>
          </w:p>
        </w:tc>
        <w:tc>
          <w:tcPr>
            <w:tcW w:w="519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AA937" w14:textId="77777777" w:rsidR="009956BC" w:rsidRPr="00D40DC9" w:rsidRDefault="009956BC" w:rsidP="009956BC">
            <w:pPr>
              <w:jc w:val="center"/>
              <w:rPr>
                <w:sz w:val="18"/>
                <w:szCs w:val="18"/>
                <w:lang w:val="es-419"/>
              </w:rPr>
            </w:pPr>
            <w:r w:rsidRPr="00D40DC9">
              <w:rPr>
                <w:color w:val="000000"/>
                <w:sz w:val="18"/>
                <w:lang w:val="es-419"/>
              </w:rPr>
              <w:t>Decisión</w:t>
            </w:r>
          </w:p>
        </w:tc>
      </w:tr>
      <w:tr w:rsidR="009956BC" w:rsidRPr="00D40DC9" w14:paraId="70A0906B" w14:textId="77777777" w:rsidTr="00A04556">
        <w:trPr>
          <w:trHeight w:val="241"/>
        </w:trPr>
        <w:tc>
          <w:tcPr>
            <w:tcW w:w="593" w:type="dxa"/>
            <w:tcBorders>
              <w:top w:val="nil"/>
              <w:left w:val="nil"/>
              <w:bottom w:val="single" w:sz="4" w:space="0" w:color="auto"/>
              <w:right w:val="single" w:sz="4" w:space="0" w:color="auto"/>
            </w:tcBorders>
            <w:shd w:val="clear" w:color="auto" w:fill="auto"/>
            <w:noWrap/>
            <w:vAlign w:val="bottom"/>
            <w:hideMark/>
          </w:tcPr>
          <w:p w14:paraId="2A9A1F04" w14:textId="77777777" w:rsidR="009956BC" w:rsidRPr="00D40DC9" w:rsidRDefault="009956BC" w:rsidP="009956BC">
            <w:pPr>
              <w:jc w:val="left"/>
              <w:rPr>
                <w:rFonts w:cs="Arial"/>
                <w:color w:val="000000"/>
                <w:sz w:val="18"/>
                <w:szCs w:val="18"/>
                <w:lang w:val="es-419"/>
              </w:rPr>
            </w:pPr>
            <w:r w:rsidRPr="00D40DC9">
              <w:rPr>
                <w:color w:val="000000"/>
                <w:sz w:val="18"/>
                <w:lang w:val="es-419"/>
              </w:rPr>
              <w:t> </w:t>
            </w:r>
          </w:p>
        </w:tc>
        <w:tc>
          <w:tcPr>
            <w:tcW w:w="103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A4A368" w14:textId="77777777" w:rsidR="009956BC" w:rsidRPr="00D40DC9" w:rsidRDefault="009956BC" w:rsidP="009956BC">
            <w:pPr>
              <w:spacing w:after="100" w:afterAutospacing="1"/>
              <w:jc w:val="center"/>
              <w:rPr>
                <w:rFonts w:cs="Arial"/>
                <w:color w:val="000000"/>
                <w:sz w:val="18"/>
                <w:szCs w:val="18"/>
                <w:lang w:val="es-419"/>
              </w:rPr>
            </w:pPr>
            <w:r w:rsidRPr="00D40DC9">
              <w:rPr>
                <w:color w:val="000000"/>
                <w:sz w:val="18"/>
                <w:lang w:val="es-419"/>
              </w:rPr>
              <w:t>Primero</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481DCD82" w14:textId="77777777" w:rsidR="009956BC" w:rsidRPr="00D40DC9" w:rsidRDefault="009956BC" w:rsidP="009956BC">
            <w:pPr>
              <w:jc w:val="center"/>
              <w:rPr>
                <w:rFonts w:cs="Arial"/>
                <w:color w:val="000000"/>
                <w:sz w:val="18"/>
                <w:szCs w:val="18"/>
                <w:lang w:val="es-419"/>
              </w:rPr>
            </w:pPr>
            <w:r w:rsidRPr="00D40DC9">
              <w:rPr>
                <w:color w:val="000000"/>
                <w:sz w:val="18"/>
                <w:lang w:val="es-419"/>
              </w:rPr>
              <w:t>Segundo</w:t>
            </w:r>
          </w:p>
        </w:tc>
        <w:tc>
          <w:tcPr>
            <w:tcW w:w="20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61D077" w14:textId="77777777" w:rsidR="009956BC" w:rsidRPr="00D40DC9" w:rsidRDefault="009956BC" w:rsidP="009956BC">
            <w:pPr>
              <w:jc w:val="center"/>
              <w:rPr>
                <w:rFonts w:cs="Arial"/>
                <w:color w:val="000000"/>
                <w:sz w:val="18"/>
                <w:szCs w:val="18"/>
                <w:lang w:val="es-419"/>
              </w:rPr>
            </w:pPr>
            <w:r w:rsidRPr="00D40DC9">
              <w:rPr>
                <w:color w:val="000000"/>
                <w:sz w:val="18"/>
                <w:lang w:val="es-419"/>
              </w:rPr>
              <w:t>Método 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5872FB5" w14:textId="77777777" w:rsidR="009956BC" w:rsidRPr="00D40DC9" w:rsidRDefault="009956BC" w:rsidP="009956BC">
            <w:pPr>
              <w:jc w:val="center"/>
              <w:rPr>
                <w:rFonts w:cs="Arial"/>
                <w:color w:val="000000"/>
                <w:sz w:val="18"/>
                <w:szCs w:val="18"/>
                <w:lang w:val="es-419"/>
              </w:rPr>
            </w:pPr>
            <w:r w:rsidRPr="00D40DC9">
              <w:rPr>
                <w:color w:val="000000"/>
                <w:sz w:val="18"/>
                <w:lang w:val="es-419"/>
              </w:rPr>
              <w:t>Método 2</w:t>
            </w:r>
          </w:p>
        </w:tc>
        <w:tc>
          <w:tcPr>
            <w:tcW w:w="1625" w:type="dxa"/>
            <w:gridSpan w:val="3"/>
            <w:tcBorders>
              <w:top w:val="single" w:sz="4" w:space="0" w:color="auto"/>
              <w:bottom w:val="single" w:sz="4" w:space="0" w:color="auto"/>
              <w:right w:val="single" w:sz="4" w:space="0" w:color="auto"/>
            </w:tcBorders>
            <w:shd w:val="clear" w:color="auto" w:fill="auto"/>
          </w:tcPr>
          <w:p w14:paraId="3E3E21B9" w14:textId="77777777" w:rsidR="009956BC" w:rsidRPr="00D40DC9" w:rsidRDefault="009956BC" w:rsidP="009956BC">
            <w:pPr>
              <w:jc w:val="center"/>
              <w:rPr>
                <w:sz w:val="18"/>
                <w:szCs w:val="18"/>
                <w:lang w:val="es-419"/>
              </w:rPr>
            </w:pPr>
            <w:r w:rsidRPr="00D40DC9">
              <w:rPr>
                <w:sz w:val="18"/>
                <w:lang w:val="es-419"/>
              </w:rPr>
              <w:t>Método 3</w:t>
            </w:r>
          </w:p>
        </w:tc>
      </w:tr>
      <w:tr w:rsidR="009956BC" w:rsidRPr="00D40DC9" w14:paraId="554455FC" w14:textId="77777777" w:rsidTr="00A04556">
        <w:trPr>
          <w:trHeight w:val="245"/>
        </w:trPr>
        <w:tc>
          <w:tcPr>
            <w:tcW w:w="593" w:type="dxa"/>
            <w:vMerge w:val="restart"/>
            <w:tcBorders>
              <w:top w:val="nil"/>
              <w:left w:val="single" w:sz="4" w:space="0" w:color="auto"/>
              <w:right w:val="single" w:sz="4" w:space="0" w:color="auto"/>
            </w:tcBorders>
            <w:shd w:val="clear" w:color="auto" w:fill="auto"/>
            <w:textDirection w:val="btLr"/>
            <w:vAlign w:val="center"/>
          </w:tcPr>
          <w:p w14:paraId="5AD14D62" w14:textId="77777777" w:rsidR="009956BC" w:rsidRPr="00D40DC9" w:rsidRDefault="009956BC" w:rsidP="009956BC">
            <w:pPr>
              <w:jc w:val="center"/>
              <w:rPr>
                <w:rFonts w:cs="Arial"/>
                <w:color w:val="000000"/>
                <w:sz w:val="18"/>
                <w:szCs w:val="18"/>
                <w:lang w:val="es-419"/>
              </w:rPr>
            </w:pPr>
            <w:r w:rsidRPr="00D40DC9">
              <w:rPr>
                <w:color w:val="000000"/>
                <w:sz w:val="18"/>
                <w:lang w:val="es-419"/>
              </w:rPr>
              <w:t>Número de plantas  fuera de tipo</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9293D3" w14:textId="77777777" w:rsidR="009956BC" w:rsidRPr="00D40DC9" w:rsidRDefault="009956BC" w:rsidP="009956BC">
            <w:pPr>
              <w:jc w:val="center"/>
              <w:rPr>
                <w:rFonts w:cs="Arial"/>
                <w:color w:val="000000"/>
                <w:sz w:val="18"/>
                <w:szCs w:val="18"/>
                <w:lang w:val="es-419"/>
              </w:rPr>
            </w:pPr>
            <w:r w:rsidRPr="00D40DC9">
              <w:rPr>
                <w:color w:val="000000"/>
                <w:sz w:val="18"/>
                <w:lang w:val="es-419"/>
              </w:rPr>
              <w:t>1</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DDCB8" w14:textId="77777777" w:rsidR="009956BC" w:rsidRPr="00D40DC9" w:rsidRDefault="009956BC" w:rsidP="009956BC">
            <w:pPr>
              <w:jc w:val="center"/>
              <w:rPr>
                <w:rFonts w:cs="Arial"/>
                <w:color w:val="000000"/>
                <w:sz w:val="18"/>
                <w:szCs w:val="18"/>
                <w:lang w:val="es-419"/>
              </w:rPr>
            </w:pPr>
            <w:r w:rsidRPr="00D40DC9">
              <w:rPr>
                <w:color w:val="000000"/>
                <w:sz w:val="18"/>
                <w:lang w:val="es-419"/>
              </w:rPr>
              <w:t>1</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4495B3A" w14:textId="77777777" w:rsidR="009956BC" w:rsidRPr="00D40DC9" w:rsidRDefault="009956BC" w:rsidP="009956BC">
            <w:pPr>
              <w:jc w:val="center"/>
              <w:rPr>
                <w:rFonts w:cs="Arial"/>
                <w:color w:val="000000"/>
                <w:sz w:val="18"/>
                <w:szCs w:val="18"/>
                <w:lang w:val="es-419"/>
              </w:rPr>
            </w:pPr>
            <w:r w:rsidRPr="00D40DC9">
              <w:rPr>
                <w:color w:val="000000"/>
                <w:sz w:val="18"/>
                <w:lang w:val="es-419"/>
              </w:rPr>
              <w:t>homogénea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3DBED9" w14:textId="77777777" w:rsidR="009956BC" w:rsidRPr="00D40DC9" w:rsidRDefault="009956BC" w:rsidP="009956BC">
            <w:pPr>
              <w:jc w:val="center"/>
              <w:rPr>
                <w:rFonts w:cs="Arial"/>
                <w:color w:val="000000"/>
                <w:sz w:val="18"/>
                <w:szCs w:val="18"/>
                <w:lang w:val="es-419"/>
              </w:rPr>
            </w:pPr>
            <w:r w:rsidRPr="00D40DC9">
              <w:rPr>
                <w:color w:val="000000"/>
                <w:sz w:val="18"/>
                <w:lang w:val="es-419"/>
              </w:rPr>
              <w:t>homogénea</w:t>
            </w:r>
          </w:p>
        </w:tc>
        <w:tc>
          <w:tcPr>
            <w:tcW w:w="1625" w:type="dxa"/>
            <w:gridSpan w:val="3"/>
            <w:tcBorders>
              <w:top w:val="single" w:sz="4" w:space="0" w:color="auto"/>
              <w:left w:val="single" w:sz="4" w:space="0" w:color="auto"/>
              <w:bottom w:val="single" w:sz="4" w:space="0" w:color="auto"/>
              <w:right w:val="single" w:sz="4" w:space="0" w:color="auto"/>
            </w:tcBorders>
            <w:shd w:val="clear" w:color="auto" w:fill="auto"/>
          </w:tcPr>
          <w:p w14:paraId="74CF718E" w14:textId="77777777" w:rsidR="009956BC" w:rsidRPr="00D40DC9" w:rsidRDefault="009956BC" w:rsidP="009956BC">
            <w:pPr>
              <w:jc w:val="center"/>
              <w:rPr>
                <w:sz w:val="18"/>
                <w:szCs w:val="18"/>
                <w:lang w:val="es-419"/>
              </w:rPr>
            </w:pPr>
            <w:r w:rsidRPr="00D40DC9">
              <w:rPr>
                <w:color w:val="000000"/>
                <w:sz w:val="18"/>
                <w:lang w:val="es-419"/>
              </w:rPr>
              <w:t>homogénea</w:t>
            </w:r>
          </w:p>
        </w:tc>
      </w:tr>
      <w:tr w:rsidR="009956BC" w:rsidRPr="00D40DC9" w14:paraId="59C5070D" w14:textId="77777777" w:rsidTr="00A04556">
        <w:trPr>
          <w:trHeight w:val="245"/>
        </w:trPr>
        <w:tc>
          <w:tcPr>
            <w:tcW w:w="593" w:type="dxa"/>
            <w:vMerge/>
            <w:tcBorders>
              <w:left w:val="single" w:sz="4" w:space="0" w:color="auto"/>
              <w:right w:val="single" w:sz="4" w:space="0" w:color="auto"/>
            </w:tcBorders>
            <w:shd w:val="clear" w:color="auto" w:fill="auto"/>
            <w:textDirection w:val="btLr"/>
            <w:vAlign w:val="center"/>
            <w:hideMark/>
          </w:tcPr>
          <w:p w14:paraId="39A39910" w14:textId="77777777" w:rsidR="009956BC" w:rsidRPr="00D40DC9" w:rsidRDefault="009956BC" w:rsidP="009956BC">
            <w:pPr>
              <w:jc w:val="center"/>
              <w:rPr>
                <w:rFonts w:cs="Arial"/>
                <w:color w:val="000000"/>
                <w:sz w:val="18"/>
                <w:szCs w:val="18"/>
                <w:lang w:val="es-419"/>
              </w:rPr>
            </w:pP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3BF99" w14:textId="77777777" w:rsidR="009956BC" w:rsidRPr="00D40DC9" w:rsidRDefault="009956BC" w:rsidP="009956BC">
            <w:pPr>
              <w:jc w:val="center"/>
              <w:rPr>
                <w:rFonts w:cs="Arial"/>
                <w:color w:val="000000"/>
                <w:sz w:val="18"/>
                <w:szCs w:val="18"/>
                <w:lang w:val="es-419"/>
              </w:rPr>
            </w:pPr>
            <w:r w:rsidRPr="00D40DC9">
              <w:rPr>
                <w:color w:val="000000"/>
                <w:sz w:val="18"/>
                <w:lang w:val="es-419"/>
              </w:rPr>
              <w:t>2</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A20AE" w14:textId="77777777" w:rsidR="009956BC" w:rsidRPr="00D40DC9" w:rsidRDefault="009956BC" w:rsidP="009956BC">
            <w:pPr>
              <w:jc w:val="center"/>
              <w:rPr>
                <w:rFonts w:cs="Arial"/>
                <w:color w:val="000000"/>
                <w:sz w:val="18"/>
                <w:szCs w:val="18"/>
                <w:lang w:val="es-419"/>
              </w:rPr>
            </w:pPr>
            <w:r w:rsidRPr="00D40DC9">
              <w:rPr>
                <w:color w:val="000000"/>
                <w:sz w:val="18"/>
                <w:lang w:val="es-419"/>
              </w:rPr>
              <w:t>2</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493B9" w14:textId="77777777" w:rsidR="009956BC" w:rsidRPr="00D40DC9" w:rsidRDefault="009956BC" w:rsidP="009956BC">
            <w:pPr>
              <w:jc w:val="center"/>
              <w:rPr>
                <w:rFonts w:cs="Arial"/>
                <w:color w:val="000000"/>
                <w:sz w:val="18"/>
                <w:szCs w:val="18"/>
                <w:lang w:val="es-419"/>
              </w:rPr>
            </w:pPr>
            <w:r w:rsidRPr="00D40DC9">
              <w:rPr>
                <w:color w:val="000000"/>
                <w:sz w:val="18"/>
                <w:lang w:val="es-419"/>
              </w:rPr>
              <w:t>homogénea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3D1E2" w14:textId="77777777" w:rsidR="009956BC" w:rsidRPr="00D40DC9" w:rsidRDefault="009956BC" w:rsidP="009956BC">
            <w:pPr>
              <w:jc w:val="center"/>
              <w:rPr>
                <w:rFonts w:cs="Arial"/>
                <w:color w:val="000000"/>
                <w:sz w:val="18"/>
                <w:szCs w:val="18"/>
                <w:lang w:val="es-419"/>
              </w:rPr>
            </w:pPr>
            <w:r w:rsidRPr="00D40DC9">
              <w:rPr>
                <w:color w:val="000000"/>
                <w:sz w:val="18"/>
                <w:lang w:val="es-419"/>
              </w:rPr>
              <w:t>homogénea</w:t>
            </w:r>
          </w:p>
        </w:tc>
        <w:tc>
          <w:tcPr>
            <w:tcW w:w="1625" w:type="dxa"/>
            <w:gridSpan w:val="3"/>
            <w:tcBorders>
              <w:top w:val="single" w:sz="4" w:space="0" w:color="auto"/>
              <w:left w:val="single" w:sz="4" w:space="0" w:color="auto"/>
              <w:bottom w:val="single" w:sz="4" w:space="0" w:color="auto"/>
              <w:right w:val="single" w:sz="4" w:space="0" w:color="auto"/>
            </w:tcBorders>
            <w:shd w:val="clear" w:color="auto" w:fill="auto"/>
          </w:tcPr>
          <w:p w14:paraId="0307B55B" w14:textId="77777777" w:rsidR="009956BC" w:rsidRPr="00D40DC9" w:rsidRDefault="009956BC" w:rsidP="009956BC">
            <w:pPr>
              <w:jc w:val="center"/>
              <w:rPr>
                <w:sz w:val="18"/>
                <w:szCs w:val="18"/>
                <w:lang w:val="es-419"/>
              </w:rPr>
            </w:pPr>
            <w:r w:rsidRPr="00D40DC9">
              <w:rPr>
                <w:sz w:val="18"/>
                <w:lang w:val="es-419"/>
              </w:rPr>
              <w:t>no homogénea</w:t>
            </w:r>
          </w:p>
        </w:tc>
      </w:tr>
      <w:tr w:rsidR="009956BC" w:rsidRPr="00D40DC9" w14:paraId="100803D8" w14:textId="77777777" w:rsidTr="00A04556">
        <w:trPr>
          <w:trHeight w:val="279"/>
        </w:trPr>
        <w:tc>
          <w:tcPr>
            <w:tcW w:w="593" w:type="dxa"/>
            <w:vMerge/>
            <w:tcBorders>
              <w:left w:val="single" w:sz="4" w:space="0" w:color="auto"/>
              <w:right w:val="single" w:sz="4" w:space="0" w:color="auto"/>
            </w:tcBorders>
            <w:vAlign w:val="center"/>
            <w:hideMark/>
          </w:tcPr>
          <w:p w14:paraId="76AC50E4" w14:textId="77777777" w:rsidR="009956BC" w:rsidRPr="00D40DC9" w:rsidRDefault="009956BC" w:rsidP="009956BC">
            <w:pPr>
              <w:jc w:val="left"/>
              <w:rPr>
                <w:rFonts w:cs="Arial"/>
                <w:color w:val="000000"/>
                <w:sz w:val="18"/>
                <w:szCs w:val="18"/>
                <w:lang w:val="es-419"/>
              </w:rPr>
            </w:pP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A8437F" w14:textId="77777777" w:rsidR="009956BC" w:rsidRPr="00D40DC9" w:rsidRDefault="009956BC" w:rsidP="009956BC">
            <w:pPr>
              <w:jc w:val="center"/>
              <w:rPr>
                <w:rFonts w:cs="Arial"/>
                <w:color w:val="000000"/>
                <w:sz w:val="18"/>
                <w:szCs w:val="18"/>
                <w:lang w:val="es-419"/>
              </w:rPr>
            </w:pPr>
            <w:r w:rsidRPr="00D40DC9">
              <w:rPr>
                <w:color w:val="000000"/>
                <w:sz w:val="18"/>
                <w:lang w:val="es-419"/>
              </w:rPr>
              <w:t>0</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113244F8" w14:textId="77777777" w:rsidR="009956BC" w:rsidRPr="00D40DC9" w:rsidRDefault="009956BC" w:rsidP="009956BC">
            <w:pPr>
              <w:jc w:val="center"/>
              <w:rPr>
                <w:rFonts w:cs="Arial"/>
                <w:color w:val="000000"/>
                <w:sz w:val="18"/>
                <w:szCs w:val="18"/>
                <w:lang w:val="es-419"/>
              </w:rPr>
            </w:pPr>
            <w:r w:rsidRPr="00D40DC9">
              <w:rPr>
                <w:color w:val="000000"/>
                <w:sz w:val="18"/>
                <w:lang w:val="es-419"/>
              </w:rPr>
              <w:t>3*</w:t>
            </w:r>
          </w:p>
        </w:tc>
        <w:tc>
          <w:tcPr>
            <w:tcW w:w="2008" w:type="dxa"/>
            <w:gridSpan w:val="3"/>
            <w:tcBorders>
              <w:top w:val="single" w:sz="4" w:space="0" w:color="auto"/>
              <w:left w:val="nil"/>
              <w:bottom w:val="single" w:sz="4" w:space="0" w:color="auto"/>
              <w:right w:val="single" w:sz="4" w:space="0" w:color="auto"/>
            </w:tcBorders>
            <w:shd w:val="clear" w:color="auto" w:fill="auto"/>
            <w:vAlign w:val="center"/>
            <w:hideMark/>
          </w:tcPr>
          <w:p w14:paraId="508C8BCD" w14:textId="77777777" w:rsidR="009956BC" w:rsidRPr="00D40DC9" w:rsidRDefault="009956BC" w:rsidP="009956BC">
            <w:pPr>
              <w:rPr>
                <w:rFonts w:cs="Arial"/>
                <w:color w:val="000000"/>
                <w:sz w:val="18"/>
                <w:szCs w:val="18"/>
                <w:lang w:val="es-419"/>
              </w:rPr>
            </w:pPr>
            <w:r w:rsidRPr="00D40DC9">
              <w:rPr>
                <w:color w:val="000000"/>
                <w:sz w:val="18"/>
                <w:lang w:val="es-419"/>
              </w:rPr>
              <w:t>tercer ciclo de cultivo*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DC09AB" w14:textId="77777777" w:rsidR="009956BC" w:rsidRPr="00D40DC9" w:rsidRDefault="009956BC" w:rsidP="009956BC">
            <w:pPr>
              <w:jc w:val="center"/>
              <w:rPr>
                <w:rFonts w:cs="Arial"/>
                <w:color w:val="000000"/>
                <w:sz w:val="18"/>
                <w:szCs w:val="18"/>
                <w:lang w:val="es-419"/>
              </w:rPr>
            </w:pPr>
            <w:r w:rsidRPr="00D40DC9">
              <w:rPr>
                <w:color w:val="000000"/>
                <w:sz w:val="18"/>
                <w:lang w:val="es-419"/>
              </w:rPr>
              <w:t>homogénea*</w:t>
            </w:r>
          </w:p>
        </w:tc>
        <w:tc>
          <w:tcPr>
            <w:tcW w:w="1625" w:type="dxa"/>
            <w:gridSpan w:val="3"/>
            <w:tcBorders>
              <w:top w:val="single" w:sz="4" w:space="0" w:color="auto"/>
              <w:bottom w:val="single" w:sz="4" w:space="0" w:color="auto"/>
              <w:right w:val="single" w:sz="4" w:space="0" w:color="auto"/>
            </w:tcBorders>
            <w:shd w:val="clear" w:color="auto" w:fill="auto"/>
          </w:tcPr>
          <w:p w14:paraId="266BC8ED" w14:textId="77777777" w:rsidR="009956BC" w:rsidRPr="00D40DC9" w:rsidRDefault="009956BC" w:rsidP="009956BC">
            <w:pPr>
              <w:jc w:val="center"/>
              <w:rPr>
                <w:sz w:val="18"/>
                <w:szCs w:val="18"/>
                <w:lang w:val="es-419"/>
              </w:rPr>
            </w:pPr>
            <w:r w:rsidRPr="00D40DC9">
              <w:rPr>
                <w:sz w:val="18"/>
                <w:lang w:val="es-419"/>
              </w:rPr>
              <w:t>homogénea*</w:t>
            </w:r>
          </w:p>
        </w:tc>
      </w:tr>
      <w:tr w:rsidR="009956BC" w:rsidRPr="00D40DC9" w14:paraId="56BC8FFD" w14:textId="77777777" w:rsidTr="00A04556">
        <w:trPr>
          <w:trHeight w:val="253"/>
        </w:trPr>
        <w:tc>
          <w:tcPr>
            <w:tcW w:w="593" w:type="dxa"/>
            <w:vMerge/>
            <w:tcBorders>
              <w:left w:val="single" w:sz="4" w:space="0" w:color="auto"/>
              <w:right w:val="single" w:sz="4" w:space="0" w:color="auto"/>
            </w:tcBorders>
            <w:vAlign w:val="center"/>
            <w:hideMark/>
          </w:tcPr>
          <w:p w14:paraId="1E881D7C" w14:textId="77777777" w:rsidR="009956BC" w:rsidRPr="00D40DC9" w:rsidRDefault="009956BC" w:rsidP="009956BC">
            <w:pPr>
              <w:jc w:val="left"/>
              <w:rPr>
                <w:rFonts w:cs="Arial"/>
                <w:color w:val="000000"/>
                <w:sz w:val="18"/>
                <w:szCs w:val="18"/>
                <w:lang w:val="es-419"/>
              </w:rPr>
            </w:pP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DFD15F" w14:textId="77777777" w:rsidR="009956BC" w:rsidRPr="00D40DC9" w:rsidRDefault="009956BC" w:rsidP="009956BC">
            <w:pPr>
              <w:jc w:val="center"/>
              <w:rPr>
                <w:rFonts w:cs="Arial"/>
                <w:color w:val="000000"/>
                <w:sz w:val="18"/>
                <w:szCs w:val="18"/>
                <w:lang w:val="es-419"/>
              </w:rPr>
            </w:pPr>
            <w:r w:rsidRPr="00D40DC9">
              <w:rPr>
                <w:color w:val="000000"/>
                <w:sz w:val="18"/>
                <w:lang w:val="es-419"/>
              </w:rPr>
              <w:t>1</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0139C" w14:textId="77777777" w:rsidR="009956BC" w:rsidRPr="00D40DC9" w:rsidRDefault="009956BC" w:rsidP="009956BC">
            <w:pPr>
              <w:jc w:val="center"/>
              <w:rPr>
                <w:rFonts w:cs="Arial"/>
                <w:color w:val="000000"/>
                <w:sz w:val="18"/>
                <w:szCs w:val="18"/>
                <w:lang w:val="es-419"/>
              </w:rPr>
            </w:pPr>
            <w:r w:rsidRPr="00D40DC9">
              <w:rPr>
                <w:color w:val="000000"/>
                <w:sz w:val="18"/>
                <w:lang w:val="es-419"/>
              </w:rPr>
              <w:t>3*</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D294D" w14:textId="77777777" w:rsidR="009956BC" w:rsidRPr="00D40DC9" w:rsidRDefault="009956BC" w:rsidP="009956BC">
            <w:pPr>
              <w:rPr>
                <w:rFonts w:cs="Arial"/>
                <w:color w:val="000000"/>
                <w:sz w:val="18"/>
                <w:szCs w:val="18"/>
                <w:lang w:val="es-419"/>
              </w:rPr>
            </w:pPr>
            <w:r w:rsidRPr="00D40DC9">
              <w:rPr>
                <w:color w:val="000000"/>
                <w:sz w:val="18"/>
                <w:lang w:val="es-419"/>
              </w:rPr>
              <w:t>tercer ciclo de cultivo*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62D0" w14:textId="77777777" w:rsidR="009956BC" w:rsidRPr="00D40DC9" w:rsidRDefault="009956BC" w:rsidP="009956BC">
            <w:pPr>
              <w:jc w:val="center"/>
              <w:rPr>
                <w:rFonts w:cs="Arial"/>
                <w:color w:val="000000"/>
                <w:sz w:val="18"/>
                <w:szCs w:val="18"/>
                <w:lang w:val="es-419"/>
              </w:rPr>
            </w:pPr>
            <w:r w:rsidRPr="00D40DC9">
              <w:rPr>
                <w:color w:val="000000"/>
                <w:sz w:val="18"/>
                <w:lang w:val="es-419"/>
              </w:rPr>
              <w:t>no homogénea*</w:t>
            </w:r>
          </w:p>
        </w:tc>
        <w:tc>
          <w:tcPr>
            <w:tcW w:w="1625" w:type="dxa"/>
            <w:gridSpan w:val="3"/>
            <w:tcBorders>
              <w:top w:val="single" w:sz="4" w:space="0" w:color="auto"/>
              <w:left w:val="single" w:sz="4" w:space="0" w:color="auto"/>
              <w:bottom w:val="single" w:sz="4" w:space="0" w:color="auto"/>
              <w:right w:val="single" w:sz="4" w:space="0" w:color="auto"/>
            </w:tcBorders>
            <w:shd w:val="clear" w:color="auto" w:fill="auto"/>
          </w:tcPr>
          <w:p w14:paraId="20D99883" w14:textId="77777777" w:rsidR="009956BC" w:rsidRPr="00D40DC9" w:rsidRDefault="009956BC" w:rsidP="009956BC">
            <w:pPr>
              <w:jc w:val="center"/>
              <w:rPr>
                <w:sz w:val="18"/>
                <w:szCs w:val="18"/>
                <w:lang w:val="es-419"/>
              </w:rPr>
            </w:pPr>
            <w:r w:rsidRPr="00D40DC9">
              <w:rPr>
                <w:sz w:val="18"/>
                <w:lang w:val="es-419"/>
              </w:rPr>
              <w:t>no homogénea*</w:t>
            </w:r>
          </w:p>
        </w:tc>
      </w:tr>
      <w:tr w:rsidR="009956BC" w:rsidRPr="00D40DC9" w14:paraId="57D356CD" w14:textId="77777777" w:rsidTr="00A04556">
        <w:trPr>
          <w:trHeight w:val="272"/>
        </w:trPr>
        <w:tc>
          <w:tcPr>
            <w:tcW w:w="593" w:type="dxa"/>
            <w:vMerge/>
            <w:tcBorders>
              <w:left w:val="single" w:sz="4" w:space="0" w:color="auto"/>
              <w:right w:val="single" w:sz="4" w:space="0" w:color="auto"/>
            </w:tcBorders>
            <w:vAlign w:val="center"/>
            <w:hideMark/>
          </w:tcPr>
          <w:p w14:paraId="1AECB1CE" w14:textId="77777777" w:rsidR="009956BC" w:rsidRPr="00D40DC9" w:rsidRDefault="009956BC" w:rsidP="009956BC">
            <w:pPr>
              <w:jc w:val="left"/>
              <w:rPr>
                <w:rFonts w:cs="Arial"/>
                <w:color w:val="000000"/>
                <w:sz w:val="18"/>
                <w:szCs w:val="18"/>
                <w:lang w:val="es-419"/>
              </w:rPr>
            </w:pP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FDF6" w14:textId="77777777" w:rsidR="009956BC" w:rsidRPr="00D40DC9" w:rsidRDefault="009956BC" w:rsidP="009956BC">
            <w:pPr>
              <w:jc w:val="center"/>
              <w:rPr>
                <w:rFonts w:cs="Arial"/>
                <w:color w:val="000000"/>
                <w:sz w:val="18"/>
                <w:szCs w:val="18"/>
                <w:lang w:val="es-419"/>
              </w:rPr>
            </w:pPr>
            <w:r w:rsidRPr="00D40DC9">
              <w:rPr>
                <w:color w:val="000000"/>
                <w:sz w:val="18"/>
                <w:lang w:val="es-419"/>
              </w:rPr>
              <w:t>1</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67B47CD7" w14:textId="77777777" w:rsidR="009956BC" w:rsidRPr="00D40DC9" w:rsidRDefault="009956BC" w:rsidP="009956BC">
            <w:pPr>
              <w:ind w:left="49"/>
              <w:jc w:val="center"/>
              <w:rPr>
                <w:rFonts w:cs="Arial"/>
                <w:color w:val="000000"/>
                <w:sz w:val="18"/>
                <w:szCs w:val="18"/>
                <w:lang w:val="es-419"/>
              </w:rPr>
            </w:pPr>
            <w:r w:rsidRPr="00D40DC9">
              <w:rPr>
                <w:color w:val="000000"/>
                <w:sz w:val="18"/>
                <w:lang w:val="es-419"/>
              </w:rPr>
              <w:t>4*</w:t>
            </w:r>
          </w:p>
        </w:tc>
        <w:tc>
          <w:tcPr>
            <w:tcW w:w="2008" w:type="dxa"/>
            <w:gridSpan w:val="3"/>
            <w:tcBorders>
              <w:top w:val="single" w:sz="4" w:space="0" w:color="auto"/>
              <w:left w:val="nil"/>
              <w:bottom w:val="single" w:sz="4" w:space="0" w:color="auto"/>
              <w:right w:val="single" w:sz="4" w:space="0" w:color="auto"/>
            </w:tcBorders>
            <w:shd w:val="clear" w:color="auto" w:fill="auto"/>
            <w:vAlign w:val="center"/>
            <w:hideMark/>
          </w:tcPr>
          <w:p w14:paraId="12261FF8" w14:textId="77777777" w:rsidR="009956BC" w:rsidRPr="00D40DC9" w:rsidRDefault="009956BC" w:rsidP="009956BC">
            <w:pPr>
              <w:rPr>
                <w:rFonts w:cs="Arial"/>
                <w:color w:val="000000"/>
                <w:sz w:val="18"/>
                <w:szCs w:val="18"/>
                <w:lang w:val="es-419"/>
              </w:rPr>
            </w:pPr>
            <w:r w:rsidRPr="00D40DC9">
              <w:rPr>
                <w:color w:val="000000"/>
                <w:sz w:val="18"/>
                <w:lang w:val="es-419"/>
              </w:rPr>
              <w:t>tercer ciclo de cultivo*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A53B18" w14:textId="77777777" w:rsidR="009956BC" w:rsidRPr="00D40DC9" w:rsidRDefault="009956BC" w:rsidP="009956BC">
            <w:pPr>
              <w:jc w:val="center"/>
              <w:rPr>
                <w:rFonts w:cs="Arial"/>
                <w:color w:val="000000"/>
                <w:sz w:val="18"/>
                <w:szCs w:val="18"/>
                <w:lang w:val="es-419"/>
              </w:rPr>
            </w:pPr>
            <w:r w:rsidRPr="00D40DC9">
              <w:rPr>
                <w:color w:val="000000"/>
                <w:sz w:val="18"/>
                <w:lang w:val="es-419"/>
              </w:rPr>
              <w:t>no homogénea*</w:t>
            </w:r>
          </w:p>
        </w:tc>
        <w:tc>
          <w:tcPr>
            <w:tcW w:w="1625" w:type="dxa"/>
            <w:gridSpan w:val="3"/>
            <w:tcBorders>
              <w:top w:val="single" w:sz="4" w:space="0" w:color="auto"/>
              <w:bottom w:val="single" w:sz="4" w:space="0" w:color="auto"/>
              <w:right w:val="single" w:sz="4" w:space="0" w:color="auto"/>
            </w:tcBorders>
            <w:shd w:val="clear" w:color="auto" w:fill="auto"/>
          </w:tcPr>
          <w:p w14:paraId="6CD8E4ED" w14:textId="77777777" w:rsidR="009956BC" w:rsidRPr="00D40DC9" w:rsidRDefault="009956BC" w:rsidP="009956BC">
            <w:pPr>
              <w:jc w:val="center"/>
              <w:rPr>
                <w:sz w:val="18"/>
                <w:szCs w:val="18"/>
                <w:lang w:val="es-419"/>
              </w:rPr>
            </w:pPr>
            <w:r w:rsidRPr="00D40DC9">
              <w:rPr>
                <w:sz w:val="18"/>
                <w:lang w:val="es-419"/>
              </w:rPr>
              <w:t>no homogénea*</w:t>
            </w:r>
          </w:p>
        </w:tc>
      </w:tr>
      <w:tr w:rsidR="009956BC" w:rsidRPr="00D40DC9" w14:paraId="5FE16C6A" w14:textId="77777777" w:rsidTr="00A04556">
        <w:trPr>
          <w:trHeight w:val="271"/>
        </w:trPr>
        <w:tc>
          <w:tcPr>
            <w:tcW w:w="593" w:type="dxa"/>
            <w:vMerge/>
            <w:tcBorders>
              <w:left w:val="single" w:sz="4" w:space="0" w:color="auto"/>
              <w:bottom w:val="single" w:sz="4" w:space="0" w:color="auto"/>
              <w:right w:val="single" w:sz="4" w:space="0" w:color="auto"/>
            </w:tcBorders>
            <w:shd w:val="clear" w:color="auto" w:fill="auto"/>
            <w:noWrap/>
            <w:vAlign w:val="bottom"/>
            <w:hideMark/>
          </w:tcPr>
          <w:p w14:paraId="61B5D64E" w14:textId="77777777" w:rsidR="009956BC" w:rsidRPr="00D40DC9" w:rsidRDefault="009956BC" w:rsidP="009956BC">
            <w:pPr>
              <w:jc w:val="left"/>
              <w:rPr>
                <w:rFonts w:cs="Arial"/>
                <w:color w:val="000000"/>
                <w:sz w:val="18"/>
                <w:szCs w:val="18"/>
                <w:lang w:val="es-419"/>
              </w:rPr>
            </w:pP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B5464" w14:textId="77777777" w:rsidR="009956BC" w:rsidRPr="00D40DC9" w:rsidRDefault="009956BC" w:rsidP="009956BC">
            <w:pPr>
              <w:ind w:left="49"/>
              <w:jc w:val="center"/>
              <w:rPr>
                <w:rFonts w:cs="Arial"/>
                <w:color w:val="000000"/>
                <w:sz w:val="18"/>
                <w:szCs w:val="18"/>
                <w:lang w:val="es-419"/>
              </w:rPr>
            </w:pPr>
            <w:r w:rsidRPr="00D40DC9">
              <w:rPr>
                <w:color w:val="000000"/>
                <w:sz w:val="18"/>
                <w:lang w:val="es-419"/>
              </w:rPr>
              <w:t>4**</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142F1" w14:textId="77777777" w:rsidR="009956BC" w:rsidRPr="00D40DC9" w:rsidRDefault="009956BC" w:rsidP="009956BC">
            <w:pPr>
              <w:ind w:right="-123"/>
              <w:jc w:val="center"/>
              <w:rPr>
                <w:rFonts w:cs="Arial"/>
                <w:color w:val="000000"/>
                <w:sz w:val="18"/>
                <w:szCs w:val="18"/>
                <w:lang w:val="es-419"/>
              </w:rPr>
            </w:pPr>
            <w:r w:rsidRPr="00D40DC9">
              <w:rPr>
                <w:color w:val="000000"/>
                <w:sz w:val="18"/>
                <w:lang w:val="es-419"/>
              </w:rPr>
              <w:t>1*</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1DD62" w14:textId="77777777" w:rsidR="009956BC" w:rsidRPr="00D40DC9" w:rsidRDefault="009956BC" w:rsidP="009956BC">
            <w:pPr>
              <w:ind w:right="-122"/>
              <w:rPr>
                <w:rFonts w:cs="Arial"/>
                <w:color w:val="000000"/>
                <w:sz w:val="18"/>
                <w:szCs w:val="18"/>
                <w:lang w:val="es-419"/>
              </w:rPr>
            </w:pPr>
            <w:r w:rsidRPr="00D40DC9">
              <w:rPr>
                <w:color w:val="000000"/>
                <w:sz w:val="18"/>
                <w:lang w:val="es-419"/>
              </w:rPr>
              <w:t>tercer ciclo de cultivo*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6DD87" w14:textId="77777777" w:rsidR="009956BC" w:rsidRPr="00D40DC9" w:rsidRDefault="009956BC" w:rsidP="009956BC">
            <w:pPr>
              <w:jc w:val="center"/>
              <w:rPr>
                <w:rFonts w:cs="Arial"/>
                <w:color w:val="000000"/>
                <w:sz w:val="18"/>
                <w:szCs w:val="18"/>
                <w:lang w:val="es-419"/>
              </w:rPr>
            </w:pPr>
            <w:r w:rsidRPr="00D40DC9">
              <w:rPr>
                <w:color w:val="000000"/>
                <w:sz w:val="18"/>
                <w:lang w:val="es-419"/>
              </w:rPr>
              <w:t>no homogénea*</w:t>
            </w:r>
          </w:p>
        </w:tc>
        <w:tc>
          <w:tcPr>
            <w:tcW w:w="1625" w:type="dxa"/>
            <w:gridSpan w:val="3"/>
            <w:tcBorders>
              <w:top w:val="single" w:sz="4" w:space="0" w:color="auto"/>
              <w:bottom w:val="single" w:sz="4" w:space="0" w:color="auto"/>
              <w:right w:val="single" w:sz="4" w:space="0" w:color="auto"/>
            </w:tcBorders>
            <w:shd w:val="clear" w:color="auto" w:fill="auto"/>
          </w:tcPr>
          <w:p w14:paraId="5DFD7795" w14:textId="77777777" w:rsidR="009956BC" w:rsidRPr="00D40DC9" w:rsidRDefault="009956BC" w:rsidP="009956BC">
            <w:pPr>
              <w:jc w:val="center"/>
              <w:rPr>
                <w:sz w:val="18"/>
                <w:szCs w:val="18"/>
                <w:lang w:val="es-419"/>
              </w:rPr>
            </w:pPr>
            <w:r w:rsidRPr="00D40DC9">
              <w:rPr>
                <w:sz w:val="18"/>
                <w:lang w:val="es-419"/>
              </w:rPr>
              <w:t>no homogénea*</w:t>
            </w:r>
          </w:p>
        </w:tc>
      </w:tr>
    </w:tbl>
    <w:p w14:paraId="6608FDD1" w14:textId="77777777" w:rsidR="009956BC" w:rsidRPr="00D40DC9" w:rsidRDefault="009956BC" w:rsidP="009956BC">
      <w:pPr>
        <w:spacing w:after="240"/>
        <w:rPr>
          <w:b/>
          <w:caps/>
          <w:sz w:val="12"/>
          <w:szCs w:val="24"/>
          <w:lang w:val="es-419"/>
        </w:rPr>
      </w:pPr>
    </w:p>
    <w:p w14:paraId="01FE1691" w14:textId="7EEE0EE7" w:rsidR="009956BC" w:rsidRPr="00D40DC9" w:rsidRDefault="009956BC" w:rsidP="009956BC">
      <w:pPr>
        <w:keepNext/>
        <w:keepLines/>
        <w:ind w:left="567" w:right="567"/>
        <w:rPr>
          <w:sz w:val="14"/>
          <w:u w:val="single"/>
          <w:lang w:val="es-419"/>
        </w:rPr>
      </w:pPr>
      <w:r w:rsidRPr="00D40DC9">
        <w:rPr>
          <w:sz w:val="16"/>
          <w:lang w:val="es-419"/>
        </w:rPr>
        <w:t xml:space="preserve">* Es preciso poner cuidado al examinar resultados que sean muy diferentes en cada uno de los ciclos de cultivo, por </w:t>
      </w:r>
      <w:proofErr w:type="gramStart"/>
      <w:r w:rsidRPr="00D40DC9">
        <w:rPr>
          <w:sz w:val="16"/>
          <w:lang w:val="es-419"/>
        </w:rPr>
        <w:t>ejemplo</w:t>
      </w:r>
      <w:proofErr w:type="gramEnd"/>
      <w:r w:rsidRPr="00D40DC9">
        <w:rPr>
          <w:sz w:val="16"/>
          <w:lang w:val="es-419"/>
        </w:rPr>
        <w:t xml:space="preserve"> cuando se observe una gran abundancia de plantas fuera de tipo en un ciclo de cultivo y su ausencia en otro ciclo.</w:t>
      </w:r>
      <w:r w:rsidR="007D241B" w:rsidRPr="00D40DC9">
        <w:rPr>
          <w:sz w:val="16"/>
          <w:lang w:val="es-419"/>
        </w:rPr>
        <w:t xml:space="preserve"> </w:t>
      </w:r>
      <w:r w:rsidRPr="00D40DC9">
        <w:rPr>
          <w:sz w:val="16"/>
          <w:lang w:val="es-419"/>
        </w:rPr>
        <w:t>Cuando corresponda se debe llevar a cabo una prueba estadística para verificar la coherencia.</w:t>
      </w:r>
      <w:r w:rsidR="007D241B" w:rsidRPr="00D40DC9">
        <w:rPr>
          <w:sz w:val="16"/>
          <w:lang w:val="es-419"/>
        </w:rPr>
        <w:t xml:space="preserve"> </w:t>
      </w:r>
      <w:r w:rsidRPr="00D40DC9">
        <w:rPr>
          <w:sz w:val="16"/>
          <w:lang w:val="es-419"/>
        </w:rPr>
        <w:t>Es importante determinar si las diferencias entre ciclos en cuanto al número de plantas fuera de tipo se deben a motivos medioambientales o a las variaciones en la toma de muestras.</w:t>
      </w:r>
    </w:p>
    <w:p w14:paraId="0BB471C6" w14:textId="77777777" w:rsidR="009956BC" w:rsidRPr="00D40DC9" w:rsidRDefault="009956BC" w:rsidP="009956BC">
      <w:pPr>
        <w:keepNext/>
        <w:keepLines/>
        <w:ind w:left="567" w:right="567"/>
        <w:rPr>
          <w:sz w:val="16"/>
          <w:lang w:val="es-419"/>
        </w:rPr>
      </w:pPr>
    </w:p>
    <w:p w14:paraId="247D7C25" w14:textId="6BF62251" w:rsidR="009956BC" w:rsidRPr="00D40DC9" w:rsidRDefault="009956BC" w:rsidP="009956BC">
      <w:pPr>
        <w:ind w:left="567" w:right="567"/>
        <w:jc w:val="left"/>
        <w:rPr>
          <w:sz w:val="18"/>
          <w:lang w:val="es-419"/>
        </w:rPr>
      </w:pPr>
      <w:r w:rsidRPr="00D40DC9">
        <w:rPr>
          <w:sz w:val="16"/>
          <w:lang w:val="es-419"/>
        </w:rPr>
        <w:t>** Si una variedad supera en el primer ciclo de cultivo el límite superior predefinido del número de plantas fuera de tipo, podrá rechazarse tras un único ciclo de cultivo.</w:t>
      </w:r>
    </w:p>
    <w:p w14:paraId="7D105F49" w14:textId="77777777" w:rsidR="009956BC" w:rsidRPr="00D40DC9" w:rsidRDefault="009956BC" w:rsidP="009956BC">
      <w:pPr>
        <w:ind w:left="567" w:right="567"/>
        <w:rPr>
          <w:sz w:val="18"/>
          <w:lang w:val="es-419"/>
        </w:rPr>
      </w:pPr>
    </w:p>
    <w:p w14:paraId="78246BE4" w14:textId="77777777" w:rsidR="009956BC" w:rsidRPr="00D40DC9" w:rsidRDefault="009956BC" w:rsidP="009956BC">
      <w:pPr>
        <w:ind w:left="567" w:right="567"/>
        <w:rPr>
          <w:sz w:val="18"/>
          <w:lang w:val="es-419"/>
        </w:rPr>
      </w:pPr>
    </w:p>
    <w:p w14:paraId="284BEF82" w14:textId="77777777" w:rsidR="009956BC" w:rsidRPr="00D40DC9" w:rsidRDefault="009956BC" w:rsidP="009956BC">
      <w:pPr>
        <w:ind w:right="567" w:firstLine="567"/>
        <w:rPr>
          <w:sz w:val="18"/>
          <w:u w:val="single"/>
          <w:lang w:val="es-419"/>
        </w:rPr>
      </w:pPr>
      <w:r w:rsidRPr="00D40DC9">
        <w:rPr>
          <w:sz w:val="18"/>
          <w:u w:val="single"/>
          <w:lang w:val="es-419"/>
        </w:rPr>
        <w:t xml:space="preserve">Nueva sección 4.8: Evaluación de la homogeneidad sobre la base de las plantas fuera de tipo mediante la observación de </w:t>
      </w:r>
      <w:proofErr w:type="spellStart"/>
      <w:r w:rsidRPr="00D40DC9">
        <w:rPr>
          <w:sz w:val="18"/>
          <w:u w:val="single"/>
          <w:lang w:val="es-419"/>
        </w:rPr>
        <w:t>submuestras</w:t>
      </w:r>
      <w:proofErr w:type="spellEnd"/>
      <w:r w:rsidRPr="00D40DC9">
        <w:rPr>
          <w:sz w:val="18"/>
          <w:u w:val="single"/>
          <w:lang w:val="es-419"/>
        </w:rPr>
        <w:t xml:space="preserve"> en un único examen o ensayo </w:t>
      </w:r>
    </w:p>
    <w:p w14:paraId="04301470" w14:textId="77777777" w:rsidR="009956BC" w:rsidRPr="00D40DC9" w:rsidRDefault="009956BC" w:rsidP="009956BC">
      <w:pPr>
        <w:ind w:left="567" w:right="567"/>
        <w:rPr>
          <w:sz w:val="18"/>
          <w:lang w:val="es-419"/>
        </w:rPr>
      </w:pPr>
    </w:p>
    <w:p w14:paraId="438CC7BB" w14:textId="672245AA" w:rsidR="009956BC" w:rsidRPr="00D40DC9" w:rsidRDefault="009956BC" w:rsidP="009956BC">
      <w:pPr>
        <w:ind w:left="567" w:right="567" w:firstLine="567"/>
        <w:rPr>
          <w:i/>
          <w:sz w:val="18"/>
          <w:lang w:val="es-419"/>
        </w:rPr>
      </w:pPr>
      <w:r w:rsidRPr="00D40DC9">
        <w:rPr>
          <w:i/>
          <w:sz w:val="18"/>
          <w:lang w:val="es-419"/>
        </w:rPr>
        <w:t>Método:</w:t>
      </w:r>
      <w:r w:rsidR="007D241B" w:rsidRPr="00D40DC9">
        <w:rPr>
          <w:i/>
          <w:sz w:val="18"/>
          <w:lang w:val="es-419"/>
        </w:rPr>
        <w:t xml:space="preserve"> </w:t>
      </w:r>
      <w:r w:rsidRPr="00D40DC9">
        <w:rPr>
          <w:i/>
          <w:sz w:val="18"/>
          <w:lang w:val="es-419"/>
        </w:rPr>
        <w:t xml:space="preserve">Utilización de una </w:t>
      </w:r>
      <w:proofErr w:type="spellStart"/>
      <w:r w:rsidRPr="00D40DC9">
        <w:rPr>
          <w:i/>
          <w:sz w:val="18"/>
          <w:lang w:val="es-419"/>
        </w:rPr>
        <w:t>submuestra</w:t>
      </w:r>
      <w:proofErr w:type="spellEnd"/>
      <w:r w:rsidRPr="00D40DC9">
        <w:rPr>
          <w:i/>
          <w:sz w:val="18"/>
          <w:lang w:val="es-419"/>
        </w:rPr>
        <w:t xml:space="preserve"> como primera etapa de la evaluación</w:t>
      </w:r>
    </w:p>
    <w:p w14:paraId="0AD72FDF" w14:textId="77777777" w:rsidR="009956BC" w:rsidRPr="00D40DC9" w:rsidRDefault="009956BC" w:rsidP="009956BC">
      <w:pPr>
        <w:ind w:left="567" w:right="567"/>
        <w:rPr>
          <w:b/>
          <w:sz w:val="18"/>
          <w:lang w:val="es-419"/>
        </w:rPr>
      </w:pPr>
    </w:p>
    <w:p w14:paraId="7C5436CE" w14:textId="77777777" w:rsidR="009956BC" w:rsidRPr="00D40DC9" w:rsidRDefault="009956BC" w:rsidP="009956BC">
      <w:pPr>
        <w:ind w:left="567" w:right="567"/>
        <w:rPr>
          <w:sz w:val="18"/>
          <w:lang w:val="es-419"/>
        </w:rPr>
      </w:pPr>
      <w:r w:rsidRPr="00D40DC9">
        <w:rPr>
          <w:sz w:val="18"/>
          <w:lang w:val="es-419"/>
        </w:rPr>
        <w:t xml:space="preserve">Una variedad se considera homogénea si el número de plantas fuera de tipo en la </w:t>
      </w:r>
      <w:proofErr w:type="spellStart"/>
      <w:r w:rsidRPr="00D40DC9">
        <w:rPr>
          <w:sz w:val="18"/>
          <w:lang w:val="es-419"/>
        </w:rPr>
        <w:t>submuestra</w:t>
      </w:r>
      <w:proofErr w:type="spellEnd"/>
      <w:r w:rsidRPr="00D40DC9">
        <w:rPr>
          <w:sz w:val="18"/>
          <w:lang w:val="es-419"/>
        </w:rPr>
        <w:t xml:space="preserve"> no supera un límite inferior predefinido.</w:t>
      </w:r>
    </w:p>
    <w:p w14:paraId="45C770E6" w14:textId="77777777" w:rsidR="009956BC" w:rsidRPr="00D40DC9" w:rsidRDefault="009956BC" w:rsidP="009956BC">
      <w:pPr>
        <w:ind w:left="567" w:right="567"/>
        <w:rPr>
          <w:sz w:val="18"/>
          <w:lang w:val="es-419"/>
        </w:rPr>
      </w:pPr>
    </w:p>
    <w:p w14:paraId="0F430F55" w14:textId="77777777" w:rsidR="009956BC" w:rsidRPr="00D40DC9" w:rsidRDefault="009956BC" w:rsidP="009956BC">
      <w:pPr>
        <w:ind w:left="567" w:right="567"/>
        <w:rPr>
          <w:sz w:val="18"/>
          <w:lang w:val="es-419"/>
        </w:rPr>
      </w:pPr>
      <w:r w:rsidRPr="00D40DC9">
        <w:rPr>
          <w:sz w:val="18"/>
          <w:lang w:val="es-419"/>
        </w:rPr>
        <w:t xml:space="preserve">Una variedad se considera no homogénea si el número de plantas fuera de tipo en la </w:t>
      </w:r>
      <w:proofErr w:type="spellStart"/>
      <w:r w:rsidRPr="00D40DC9">
        <w:rPr>
          <w:sz w:val="18"/>
          <w:lang w:val="es-419"/>
        </w:rPr>
        <w:t>submuestra</w:t>
      </w:r>
      <w:proofErr w:type="spellEnd"/>
      <w:r w:rsidRPr="00D40DC9">
        <w:rPr>
          <w:sz w:val="18"/>
          <w:lang w:val="es-419"/>
        </w:rPr>
        <w:t xml:space="preserve"> supera un límite superior predefinido.</w:t>
      </w:r>
    </w:p>
    <w:p w14:paraId="1AAFF950" w14:textId="77777777" w:rsidR="009956BC" w:rsidRPr="00D40DC9" w:rsidRDefault="009956BC" w:rsidP="009956BC">
      <w:pPr>
        <w:ind w:left="567" w:right="567"/>
        <w:rPr>
          <w:sz w:val="18"/>
          <w:lang w:val="es-419"/>
        </w:rPr>
      </w:pPr>
    </w:p>
    <w:p w14:paraId="6BFC25D6" w14:textId="77777777" w:rsidR="009956BC" w:rsidRPr="00D40DC9" w:rsidRDefault="009956BC" w:rsidP="009956BC">
      <w:pPr>
        <w:ind w:left="567" w:right="567"/>
        <w:rPr>
          <w:sz w:val="18"/>
          <w:lang w:val="es-419"/>
        </w:rPr>
      </w:pPr>
      <w:r w:rsidRPr="00D40DC9">
        <w:rPr>
          <w:sz w:val="18"/>
          <w:lang w:val="es-419"/>
        </w:rPr>
        <w:t xml:space="preserve">Si el número de plantas fuera de tipo está entre el límite inferior y el límite superior predefinidos, se evalúa toda la muestra. Los límites inferior y superior deben fijarse teniendo en cuenta errores de tipo I y de tipo II similares en la </w:t>
      </w:r>
      <w:proofErr w:type="spellStart"/>
      <w:r w:rsidRPr="00D40DC9">
        <w:rPr>
          <w:sz w:val="18"/>
          <w:lang w:val="es-419"/>
        </w:rPr>
        <w:t>submuestra</w:t>
      </w:r>
      <w:proofErr w:type="spellEnd"/>
      <w:r w:rsidRPr="00D40DC9">
        <w:rPr>
          <w:sz w:val="18"/>
          <w:lang w:val="es-419"/>
        </w:rPr>
        <w:t xml:space="preserve"> y en toda la muestra.</w:t>
      </w:r>
    </w:p>
    <w:p w14:paraId="4344704A" w14:textId="77777777" w:rsidR="009956BC" w:rsidRPr="00D40DC9" w:rsidRDefault="009956BC" w:rsidP="009956BC">
      <w:pPr>
        <w:ind w:left="567" w:right="567"/>
        <w:rPr>
          <w:sz w:val="18"/>
          <w:lang w:val="es-419"/>
        </w:rPr>
      </w:pPr>
    </w:p>
    <w:p w14:paraId="33948FF0" w14:textId="77777777" w:rsidR="009956BC" w:rsidRPr="00D40DC9" w:rsidRDefault="009956BC" w:rsidP="009956BC">
      <w:pPr>
        <w:ind w:left="567" w:right="567" w:firstLine="567"/>
        <w:rPr>
          <w:i/>
          <w:sz w:val="18"/>
          <w:szCs w:val="24"/>
          <w:lang w:val="es-419"/>
        </w:rPr>
      </w:pPr>
      <w:r w:rsidRPr="00D40DC9">
        <w:rPr>
          <w:i/>
          <w:sz w:val="18"/>
          <w:lang w:val="es-419"/>
        </w:rPr>
        <w:t>Ejemplo:</w:t>
      </w:r>
    </w:p>
    <w:p w14:paraId="6562C7D9" w14:textId="77777777" w:rsidR="009956BC" w:rsidRPr="00D40DC9" w:rsidRDefault="009956BC" w:rsidP="009956BC">
      <w:pPr>
        <w:ind w:left="567" w:right="567"/>
        <w:rPr>
          <w:sz w:val="18"/>
          <w:szCs w:val="24"/>
          <w:lang w:val="es-419"/>
        </w:rPr>
      </w:pPr>
    </w:p>
    <w:p w14:paraId="1999AB9F" w14:textId="77777777" w:rsidR="009956BC" w:rsidRPr="00D40DC9" w:rsidRDefault="009956BC" w:rsidP="009956BC">
      <w:pPr>
        <w:autoSpaceDE w:val="0"/>
        <w:autoSpaceDN w:val="0"/>
        <w:adjustRightInd w:val="0"/>
        <w:ind w:left="567" w:right="567"/>
        <w:rPr>
          <w:color w:val="000000"/>
          <w:sz w:val="18"/>
          <w:szCs w:val="24"/>
          <w:lang w:val="es-419"/>
        </w:rPr>
      </w:pPr>
      <w:r w:rsidRPr="00D40DC9">
        <w:rPr>
          <w:color w:val="000000"/>
          <w:sz w:val="18"/>
          <w:lang w:val="es-419"/>
        </w:rPr>
        <w:t>En el caso de una muestra de 100 plantas, el número aceptable de plantas fuera de tipo es 3 (aplicando una población estándar del 1% y una probabilidad de aceptación del 95% como mínimo).</w:t>
      </w:r>
    </w:p>
    <w:p w14:paraId="3759B9CB" w14:textId="77777777" w:rsidR="009956BC" w:rsidRPr="00D40DC9" w:rsidRDefault="009956BC" w:rsidP="009956BC">
      <w:pPr>
        <w:autoSpaceDE w:val="0"/>
        <w:autoSpaceDN w:val="0"/>
        <w:adjustRightInd w:val="0"/>
        <w:ind w:left="567" w:right="567"/>
        <w:rPr>
          <w:color w:val="000000"/>
          <w:sz w:val="18"/>
          <w:szCs w:val="24"/>
          <w:lang w:val="es-419"/>
        </w:rPr>
      </w:pPr>
    </w:p>
    <w:p w14:paraId="08398215" w14:textId="77777777" w:rsidR="009956BC" w:rsidRPr="00D40DC9" w:rsidRDefault="009956BC" w:rsidP="009956BC">
      <w:pPr>
        <w:autoSpaceDE w:val="0"/>
        <w:autoSpaceDN w:val="0"/>
        <w:adjustRightInd w:val="0"/>
        <w:ind w:left="567" w:right="567"/>
        <w:rPr>
          <w:color w:val="000000"/>
          <w:sz w:val="18"/>
          <w:szCs w:val="24"/>
          <w:lang w:val="es-419"/>
        </w:rPr>
      </w:pPr>
      <w:r w:rsidRPr="00D40DC9">
        <w:rPr>
          <w:color w:val="000000"/>
          <w:sz w:val="18"/>
          <w:lang w:val="es-419"/>
        </w:rPr>
        <w:t xml:space="preserve">En una </w:t>
      </w:r>
      <w:proofErr w:type="spellStart"/>
      <w:r w:rsidRPr="00D40DC9">
        <w:rPr>
          <w:color w:val="000000"/>
          <w:sz w:val="18"/>
          <w:lang w:val="es-419"/>
        </w:rPr>
        <w:t>submuestra</w:t>
      </w:r>
      <w:proofErr w:type="spellEnd"/>
      <w:r w:rsidRPr="00D40DC9">
        <w:rPr>
          <w:color w:val="000000"/>
          <w:sz w:val="18"/>
          <w:lang w:val="es-419"/>
        </w:rPr>
        <w:t xml:space="preserve"> de 20 plantas utilizada en el contexto de la antedicha muestra de 100 plantas:</w:t>
      </w:r>
    </w:p>
    <w:p w14:paraId="2140113C" w14:textId="77777777" w:rsidR="009956BC" w:rsidRPr="00D40DC9" w:rsidRDefault="009956BC" w:rsidP="009956BC">
      <w:pPr>
        <w:autoSpaceDE w:val="0"/>
        <w:autoSpaceDN w:val="0"/>
        <w:adjustRightInd w:val="0"/>
        <w:ind w:left="567" w:right="567"/>
        <w:rPr>
          <w:color w:val="000000"/>
          <w:sz w:val="18"/>
          <w:szCs w:val="24"/>
          <w:lang w:val="es-419"/>
        </w:rPr>
      </w:pPr>
    </w:p>
    <w:p w14:paraId="31E1E7B7" w14:textId="77777777" w:rsidR="009956BC" w:rsidRPr="00D40DC9" w:rsidRDefault="009956BC" w:rsidP="009956BC">
      <w:pPr>
        <w:ind w:left="567" w:right="567"/>
        <w:rPr>
          <w:sz w:val="18"/>
          <w:lang w:val="es-419"/>
        </w:rPr>
      </w:pPr>
      <w:r w:rsidRPr="00D40DC9">
        <w:rPr>
          <w:sz w:val="18"/>
          <w:lang w:val="es-419"/>
        </w:rPr>
        <w:t xml:space="preserve">Se considera que una variedad es homogénea si no se observan plantas fuera de tipo en la </w:t>
      </w:r>
      <w:proofErr w:type="spellStart"/>
      <w:r w:rsidRPr="00D40DC9">
        <w:rPr>
          <w:sz w:val="18"/>
          <w:lang w:val="es-419"/>
        </w:rPr>
        <w:t>submuestra</w:t>
      </w:r>
      <w:proofErr w:type="spellEnd"/>
      <w:r w:rsidRPr="00D40DC9">
        <w:rPr>
          <w:sz w:val="18"/>
          <w:lang w:val="es-419"/>
        </w:rPr>
        <w:t>.</w:t>
      </w:r>
    </w:p>
    <w:p w14:paraId="428324CE" w14:textId="77777777" w:rsidR="009956BC" w:rsidRPr="00D40DC9" w:rsidRDefault="009956BC" w:rsidP="009956BC">
      <w:pPr>
        <w:ind w:left="567" w:right="567"/>
        <w:rPr>
          <w:sz w:val="18"/>
          <w:lang w:val="es-419"/>
        </w:rPr>
      </w:pPr>
    </w:p>
    <w:p w14:paraId="3C27DE0F" w14:textId="77777777" w:rsidR="009956BC" w:rsidRPr="00D40DC9" w:rsidRDefault="009956BC" w:rsidP="009956BC">
      <w:pPr>
        <w:ind w:left="567" w:right="567"/>
        <w:rPr>
          <w:sz w:val="18"/>
          <w:lang w:val="es-419"/>
        </w:rPr>
      </w:pPr>
      <w:r w:rsidRPr="00D40DC9">
        <w:rPr>
          <w:sz w:val="18"/>
          <w:lang w:val="es-419"/>
        </w:rPr>
        <w:t xml:space="preserve">Se considera que una variedad no es homogénea si el número de plantas fuera de tipo en la </w:t>
      </w:r>
      <w:proofErr w:type="spellStart"/>
      <w:r w:rsidRPr="00D40DC9">
        <w:rPr>
          <w:sz w:val="18"/>
          <w:lang w:val="es-419"/>
        </w:rPr>
        <w:t>submuestra</w:t>
      </w:r>
      <w:proofErr w:type="spellEnd"/>
      <w:r w:rsidRPr="00D40DC9">
        <w:rPr>
          <w:sz w:val="18"/>
          <w:lang w:val="es-419"/>
        </w:rPr>
        <w:t xml:space="preserve"> es mayor de 3.</w:t>
      </w:r>
    </w:p>
    <w:p w14:paraId="607EBC84" w14:textId="77777777" w:rsidR="009956BC" w:rsidRPr="00D40DC9" w:rsidRDefault="009956BC" w:rsidP="009956BC">
      <w:pPr>
        <w:ind w:left="567" w:right="567"/>
        <w:rPr>
          <w:sz w:val="18"/>
          <w:lang w:val="es-419"/>
        </w:rPr>
      </w:pPr>
    </w:p>
    <w:p w14:paraId="7912F056" w14:textId="77777777" w:rsidR="009956BC" w:rsidRPr="00D40DC9" w:rsidRDefault="009956BC" w:rsidP="009956BC">
      <w:pPr>
        <w:ind w:left="567" w:right="567"/>
        <w:rPr>
          <w:sz w:val="18"/>
          <w:lang w:val="es-419"/>
        </w:rPr>
      </w:pPr>
      <w:r w:rsidRPr="00D40DC9">
        <w:rPr>
          <w:sz w:val="18"/>
          <w:lang w:val="es-419"/>
        </w:rPr>
        <w:t>Si el número de plantas fuera de tipo está entre 1 y 3, se evalúa toda la muestra de 100 plantas.</w:t>
      </w:r>
    </w:p>
    <w:p w14:paraId="669B1205" w14:textId="77777777" w:rsidR="009956BC" w:rsidRPr="00D40DC9" w:rsidRDefault="009956BC" w:rsidP="009956BC">
      <w:pPr>
        <w:ind w:left="567" w:right="567"/>
        <w:rPr>
          <w:sz w:val="18"/>
          <w:lang w:val="es-419"/>
        </w:rPr>
      </w:pPr>
    </w:p>
    <w:p w14:paraId="660F308B" w14:textId="77777777" w:rsidR="009956BC" w:rsidRPr="00D40DC9" w:rsidRDefault="009956BC" w:rsidP="009956BC">
      <w:pPr>
        <w:ind w:left="567" w:right="567"/>
        <w:rPr>
          <w:sz w:val="18"/>
          <w:lang w:val="es-419"/>
        </w:rPr>
      </w:pPr>
      <w:r w:rsidRPr="00D40DC9">
        <w:rPr>
          <w:sz w:val="18"/>
          <w:lang w:val="es-419"/>
        </w:rPr>
        <w:t>Si el número de plantas fuera de tipo de la muestra de 100 plantas es mayor que 3, se considera que la variedad no es homogénea.</w:t>
      </w:r>
    </w:p>
    <w:p w14:paraId="6FC61F75" w14:textId="77777777" w:rsidR="009956BC" w:rsidRPr="00D40DC9" w:rsidRDefault="009956BC" w:rsidP="009956BC">
      <w:pPr>
        <w:rPr>
          <w:lang w:val="es-419"/>
        </w:rPr>
      </w:pPr>
    </w:p>
    <w:p w14:paraId="1EB1B8FA" w14:textId="77777777" w:rsidR="009956BC" w:rsidRPr="00D40DC9" w:rsidRDefault="009956BC" w:rsidP="009956BC">
      <w:pPr>
        <w:rPr>
          <w:lang w:val="es-419"/>
        </w:rPr>
      </w:pPr>
    </w:p>
    <w:p w14:paraId="231210D6" w14:textId="77777777" w:rsidR="009956BC" w:rsidRPr="00D40DC9" w:rsidRDefault="009956BC" w:rsidP="009956BC">
      <w:pPr>
        <w:rPr>
          <w:lang w:val="es-419"/>
        </w:rPr>
      </w:pPr>
    </w:p>
    <w:p w14:paraId="071C9632" w14:textId="77777777" w:rsidR="009956BC" w:rsidRPr="00D40DC9" w:rsidRDefault="009956BC" w:rsidP="009956BC">
      <w:pPr>
        <w:jc w:val="right"/>
        <w:rPr>
          <w:lang w:val="es-419"/>
        </w:rPr>
      </w:pPr>
      <w:r w:rsidRPr="00D40DC9">
        <w:rPr>
          <w:lang w:val="es-419"/>
        </w:rPr>
        <w:t>[Sigue el Anexo IV]</w:t>
      </w:r>
    </w:p>
    <w:p w14:paraId="6EBAB555" w14:textId="77777777" w:rsidR="009956BC" w:rsidRPr="00D40DC9" w:rsidRDefault="009956BC" w:rsidP="009956BC">
      <w:pPr>
        <w:rPr>
          <w:lang w:val="es-419"/>
        </w:rPr>
      </w:pPr>
    </w:p>
    <w:p w14:paraId="0BCB6E6D" w14:textId="77777777" w:rsidR="009956BC" w:rsidRPr="00D40DC9" w:rsidRDefault="009956BC" w:rsidP="009956BC">
      <w:pPr>
        <w:rPr>
          <w:lang w:val="es-419"/>
        </w:rPr>
        <w:sectPr w:rsidR="009956BC" w:rsidRPr="00D40DC9" w:rsidSect="001270B2">
          <w:headerReference w:type="default" r:id="rId20"/>
          <w:headerReference w:type="first" r:id="rId21"/>
          <w:pgSz w:w="11907" w:h="16840" w:code="9"/>
          <w:pgMar w:top="510" w:right="1134" w:bottom="709" w:left="1134" w:header="510" w:footer="680" w:gutter="0"/>
          <w:pgNumType w:start="1"/>
          <w:cols w:space="720"/>
          <w:titlePg/>
        </w:sectPr>
      </w:pPr>
    </w:p>
    <w:p w14:paraId="1657F87C" w14:textId="77777777" w:rsidR="009956BC" w:rsidRPr="00D40DC9" w:rsidRDefault="009956BC" w:rsidP="009956BC">
      <w:pPr>
        <w:jc w:val="center"/>
        <w:rPr>
          <w:lang w:val="es-419"/>
        </w:rPr>
      </w:pPr>
      <w:r w:rsidRPr="00D40DC9">
        <w:rPr>
          <w:lang w:val="es-419"/>
        </w:rPr>
        <w:lastRenderedPageBreak/>
        <w:t>ASUNTOS SUJETOS A LA APROBACIÓN POR EL CONSEJO EN 2019: DOCUMENTO TGP/14</w:t>
      </w:r>
    </w:p>
    <w:p w14:paraId="47E458F4" w14:textId="77777777" w:rsidR="009956BC" w:rsidRPr="00D40DC9" w:rsidRDefault="009956BC" w:rsidP="009956BC">
      <w:pPr>
        <w:rPr>
          <w:lang w:val="es-419"/>
        </w:rPr>
      </w:pPr>
    </w:p>
    <w:p w14:paraId="1E35736A" w14:textId="6A31BAA8" w:rsidR="009956BC" w:rsidRPr="00D40DC9" w:rsidRDefault="009956BC" w:rsidP="009956BC">
      <w:pPr>
        <w:rPr>
          <w:lang w:val="es-419"/>
        </w:rPr>
      </w:pPr>
      <w:r w:rsidRPr="00D40DC9">
        <w:rPr>
          <w:lang w:val="es-419"/>
        </w:rPr>
        <w:t>El Comité Técnico convino en que las revisiones siguientes del documento TGP/14 “Glosario de términos utilizados en los documentos de la UPOV” se sometan a la aprobación del Consejo en su quincuagésima</w:t>
      </w:r>
      <w:r w:rsidR="00491A90" w:rsidRPr="00D40DC9">
        <w:rPr>
          <w:lang w:val="es-419"/>
        </w:rPr>
        <w:t> </w:t>
      </w:r>
      <w:r w:rsidRPr="00D40DC9">
        <w:rPr>
          <w:lang w:val="es-419"/>
        </w:rPr>
        <w:t>tercera sesión ordinaria, que se celebrará en Ginebra el 1 de noviembre de 2019, a reserva de la aprobación del CAJ, en su septuagésima sexta sesión, que se celebrará en Ginebra el 30 de octubre de 2019.</w:t>
      </w:r>
    </w:p>
    <w:p w14:paraId="03997D22" w14:textId="77777777" w:rsidR="009956BC" w:rsidRPr="00D40DC9" w:rsidRDefault="009956BC" w:rsidP="009956BC">
      <w:pPr>
        <w:rPr>
          <w:lang w:val="es-419"/>
        </w:rPr>
      </w:pPr>
    </w:p>
    <w:p w14:paraId="326229BD" w14:textId="77777777" w:rsidR="009956BC" w:rsidRPr="00D40DC9" w:rsidRDefault="009956BC" w:rsidP="009956BC">
      <w:pPr>
        <w:rPr>
          <w:u w:val="single"/>
          <w:lang w:val="es-419"/>
        </w:rPr>
      </w:pPr>
      <w:r w:rsidRPr="00D40DC9">
        <w:rPr>
          <w:u w:val="single"/>
          <w:lang w:val="es-419"/>
        </w:rPr>
        <w:t>i)</w:t>
      </w:r>
      <w:r w:rsidRPr="00D40DC9">
        <w:rPr>
          <w:u w:val="single"/>
          <w:lang w:val="es-419"/>
        </w:rPr>
        <w:tab/>
        <w:t>Ilustraciones para los caracteres relacionados con la forma y con una relación</w:t>
      </w:r>
    </w:p>
    <w:p w14:paraId="7AE80DD3" w14:textId="77777777" w:rsidR="009956BC" w:rsidRPr="00D40DC9" w:rsidRDefault="009956BC" w:rsidP="009956BC">
      <w:pPr>
        <w:rPr>
          <w:snapToGrid w:val="0"/>
          <w:lang w:val="es-419"/>
        </w:rPr>
      </w:pPr>
    </w:p>
    <w:p w14:paraId="33675383" w14:textId="77777777" w:rsidR="009956BC" w:rsidRPr="00D40DC9" w:rsidRDefault="009956BC" w:rsidP="009956B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 xml:space="preserve">En su quincuagésima tercera sesión, celebrada en Ginebra del 3 al 5 de abril de 2017, el TC convino en revisar el documento TGP/14: sección 2: subsección 2: “Formas y estructuras”, para modificar el cuadro de la posición de la parte más ancha y la relación longitud/anchura presentado en la variante 2, ejemplo 5, y eliminar el texto “relación” e indicar “anchura relativa” en una columna diferente de la escala de “ancha a estrecha”, para que el texto sea el siguiente (véase el párrafo 141 del documento TC/53/31 “Informe”) (se indican las eliminaciones mediante </w:t>
      </w:r>
      <w:r w:rsidRPr="00D40DC9">
        <w:rPr>
          <w:strike/>
          <w:highlight w:val="lightGray"/>
          <w:lang w:val="es-419"/>
        </w:rPr>
        <w:t>sombreado y tachado</w:t>
      </w:r>
      <w:r w:rsidRPr="00D40DC9">
        <w:rPr>
          <w:lang w:val="es-419"/>
        </w:rPr>
        <w:t xml:space="preserve"> y los añadidos mediante </w:t>
      </w:r>
      <w:r w:rsidRPr="00D40DC9">
        <w:rPr>
          <w:highlight w:val="lightGray"/>
          <w:u w:val="single"/>
          <w:lang w:val="es-419"/>
        </w:rPr>
        <w:t>sombreado y subrayado</w:t>
      </w:r>
      <w:r w:rsidRPr="00D40DC9">
        <w:rPr>
          <w:lang w:val="es-419"/>
        </w:rPr>
        <w:t>):</w:t>
      </w:r>
    </w:p>
    <w:p w14:paraId="1DFB85CF" w14:textId="77777777" w:rsidR="009956BC" w:rsidRPr="00D40DC9" w:rsidRDefault="009956BC" w:rsidP="009956BC">
      <w:pPr>
        <w:keepNext/>
        <w:keepLines/>
        <w:rPr>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9956BC" w:rsidRPr="00D40DC9" w14:paraId="49DCCDB2" w14:textId="77777777" w:rsidTr="001270B2">
        <w:trPr>
          <w:gridBefore w:val="1"/>
          <w:gridAfter w:val="1"/>
          <w:wBefore w:w="379" w:type="dxa"/>
          <w:wAfter w:w="14" w:type="dxa"/>
          <w:cantSplit/>
          <w:jc w:val="center"/>
        </w:trPr>
        <w:tc>
          <w:tcPr>
            <w:tcW w:w="422" w:type="dxa"/>
            <w:tcBorders>
              <w:top w:val="nil"/>
              <w:left w:val="nil"/>
              <w:bottom w:val="nil"/>
              <w:right w:val="nil"/>
            </w:tcBorders>
          </w:tcPr>
          <w:p w14:paraId="55491909" w14:textId="77777777" w:rsidR="009956BC" w:rsidRPr="00D40DC9" w:rsidRDefault="009956BC" w:rsidP="009956BC">
            <w:pPr>
              <w:keepNext/>
              <w:keepLines/>
              <w:jc w:val="center"/>
              <w:rPr>
                <w:sz w:val="18"/>
                <w:lang w:val="es-419"/>
              </w:rPr>
            </w:pPr>
          </w:p>
        </w:tc>
        <w:tc>
          <w:tcPr>
            <w:tcW w:w="283" w:type="dxa"/>
            <w:gridSpan w:val="2"/>
            <w:tcBorders>
              <w:top w:val="nil"/>
              <w:left w:val="nil"/>
              <w:bottom w:val="nil"/>
              <w:right w:val="nil"/>
            </w:tcBorders>
          </w:tcPr>
          <w:p w14:paraId="70524901" w14:textId="77777777" w:rsidR="009956BC" w:rsidRPr="00D40DC9" w:rsidRDefault="009956BC" w:rsidP="009956BC">
            <w:pPr>
              <w:keepNext/>
              <w:keepLines/>
              <w:jc w:val="center"/>
              <w:rPr>
                <w:sz w:val="18"/>
                <w:lang w:val="es-419"/>
              </w:rPr>
            </w:pPr>
          </w:p>
        </w:tc>
        <w:tc>
          <w:tcPr>
            <w:tcW w:w="8357" w:type="dxa"/>
            <w:gridSpan w:val="9"/>
            <w:tcBorders>
              <w:left w:val="single" w:sz="4" w:space="0" w:color="auto"/>
              <w:bottom w:val="nil"/>
            </w:tcBorders>
          </w:tcPr>
          <w:p w14:paraId="1FC7AA4B" w14:textId="77777777" w:rsidR="009956BC" w:rsidRPr="00D40DC9" w:rsidRDefault="009956BC" w:rsidP="009956BC">
            <w:pPr>
              <w:keepNext/>
              <w:keepLines/>
              <w:jc w:val="center"/>
              <w:rPr>
                <w:sz w:val="18"/>
                <w:lang w:val="es-419"/>
              </w:rPr>
            </w:pPr>
            <w:r w:rsidRPr="00D40DC9">
              <w:rPr>
                <w:lang w:val="es-419"/>
              </w:rPr>
              <w:tab/>
            </w:r>
            <w:r w:rsidRPr="00D40DC9">
              <w:rPr>
                <w:noProof/>
                <w:sz w:val="18"/>
                <w:lang w:val="es-419"/>
              </w:rPr>
              <w:sym w:font="Wingdings" w:char="F0DF"/>
            </w:r>
            <w:r w:rsidRPr="00D40DC9">
              <w:rPr>
                <w:lang w:val="es-419"/>
              </w:rPr>
              <w:tab/>
            </w:r>
            <w:r w:rsidRPr="00D40DC9">
              <w:rPr>
                <w:lang w:val="es-419"/>
              </w:rPr>
              <w:tab/>
              <w:t>parte más ancha</w:t>
            </w:r>
            <w:r w:rsidRPr="00D40DC9">
              <w:rPr>
                <w:lang w:val="es-419"/>
              </w:rPr>
              <w:tab/>
            </w:r>
            <w:r w:rsidRPr="00D40DC9">
              <w:rPr>
                <w:lang w:val="es-419"/>
              </w:rPr>
              <w:tab/>
            </w:r>
            <w:r w:rsidRPr="00D40DC9">
              <w:rPr>
                <w:noProof/>
                <w:sz w:val="18"/>
                <w:lang w:val="es-419"/>
              </w:rPr>
              <w:sym w:font="Wingdings" w:char="F0E0"/>
            </w:r>
            <w:r w:rsidRPr="00D40DC9">
              <w:rPr>
                <w:noProof/>
                <w:sz w:val="18"/>
                <w:lang w:val="es-419"/>
              </w:rPr>
              <w:t xml:space="preserve"> </w:t>
            </w:r>
            <w:r w:rsidRPr="00D40DC9">
              <w:rPr>
                <w:lang w:val="es-419"/>
              </w:rPr>
              <w:tab/>
            </w:r>
          </w:p>
        </w:tc>
      </w:tr>
      <w:tr w:rsidR="009956BC" w:rsidRPr="00D40DC9" w14:paraId="0EE203EB" w14:textId="77777777" w:rsidTr="001270B2">
        <w:trPr>
          <w:gridBefore w:val="1"/>
          <w:gridAfter w:val="1"/>
          <w:wBefore w:w="379" w:type="dxa"/>
          <w:wAfter w:w="14" w:type="dxa"/>
          <w:cantSplit/>
          <w:jc w:val="center"/>
        </w:trPr>
        <w:tc>
          <w:tcPr>
            <w:tcW w:w="422" w:type="dxa"/>
            <w:tcBorders>
              <w:top w:val="nil"/>
              <w:left w:val="nil"/>
              <w:bottom w:val="nil"/>
              <w:right w:val="nil"/>
            </w:tcBorders>
          </w:tcPr>
          <w:p w14:paraId="36CC0653" w14:textId="77777777" w:rsidR="009956BC" w:rsidRPr="00D40DC9" w:rsidRDefault="009956BC" w:rsidP="009956BC">
            <w:pPr>
              <w:jc w:val="center"/>
              <w:rPr>
                <w:sz w:val="18"/>
                <w:lang w:val="es-419"/>
              </w:rPr>
            </w:pPr>
          </w:p>
        </w:tc>
        <w:tc>
          <w:tcPr>
            <w:tcW w:w="283" w:type="dxa"/>
            <w:gridSpan w:val="2"/>
            <w:tcBorders>
              <w:top w:val="nil"/>
              <w:left w:val="nil"/>
              <w:bottom w:val="nil"/>
              <w:right w:val="nil"/>
            </w:tcBorders>
          </w:tcPr>
          <w:p w14:paraId="4C1B5DC4" w14:textId="77777777" w:rsidR="009956BC" w:rsidRPr="00D40DC9" w:rsidRDefault="009956BC" w:rsidP="009956BC">
            <w:pPr>
              <w:jc w:val="center"/>
              <w:rPr>
                <w:sz w:val="18"/>
                <w:lang w:val="es-419"/>
              </w:rPr>
            </w:pPr>
          </w:p>
        </w:tc>
        <w:tc>
          <w:tcPr>
            <w:tcW w:w="2835" w:type="dxa"/>
            <w:gridSpan w:val="4"/>
            <w:tcBorders>
              <w:top w:val="single" w:sz="4" w:space="0" w:color="auto"/>
              <w:left w:val="single" w:sz="4" w:space="0" w:color="auto"/>
              <w:bottom w:val="single" w:sz="4" w:space="0" w:color="auto"/>
              <w:right w:val="single" w:sz="4" w:space="0" w:color="auto"/>
            </w:tcBorders>
          </w:tcPr>
          <w:p w14:paraId="50E90A35" w14:textId="77777777" w:rsidR="009956BC" w:rsidRPr="00D40DC9" w:rsidRDefault="009956BC" w:rsidP="009956BC">
            <w:pPr>
              <w:jc w:val="center"/>
              <w:rPr>
                <w:sz w:val="18"/>
                <w:lang w:val="es-419"/>
              </w:rPr>
            </w:pPr>
            <w:r w:rsidRPr="00D40DC9">
              <w:rPr>
                <w:noProof/>
                <w:sz w:val="18"/>
                <w:lang w:val="es-419"/>
              </w:rPr>
              <w:t>(por debajo de la mitad)</w:t>
            </w:r>
          </w:p>
        </w:tc>
        <w:tc>
          <w:tcPr>
            <w:tcW w:w="1418" w:type="dxa"/>
            <w:gridSpan w:val="2"/>
            <w:tcBorders>
              <w:top w:val="single" w:sz="4" w:space="0" w:color="auto"/>
              <w:left w:val="single" w:sz="4" w:space="0" w:color="auto"/>
              <w:bottom w:val="single" w:sz="4" w:space="0" w:color="auto"/>
              <w:right w:val="single" w:sz="4" w:space="0" w:color="auto"/>
            </w:tcBorders>
          </w:tcPr>
          <w:p w14:paraId="17398393" w14:textId="77777777" w:rsidR="009956BC" w:rsidRPr="00D40DC9" w:rsidRDefault="009956BC" w:rsidP="009956BC">
            <w:pPr>
              <w:jc w:val="center"/>
              <w:rPr>
                <w:sz w:val="18"/>
                <w:lang w:val="es-419"/>
              </w:rPr>
            </w:pPr>
            <w:r w:rsidRPr="00D40DC9">
              <w:rPr>
                <w:sz w:val="18"/>
                <w:lang w:val="es-419"/>
              </w:rPr>
              <w:t>en la mitad</w:t>
            </w:r>
          </w:p>
        </w:tc>
        <w:tc>
          <w:tcPr>
            <w:tcW w:w="4104" w:type="dxa"/>
            <w:gridSpan w:val="3"/>
            <w:tcBorders>
              <w:top w:val="single" w:sz="4" w:space="0" w:color="auto"/>
              <w:left w:val="single" w:sz="4" w:space="0" w:color="auto"/>
              <w:bottom w:val="single" w:sz="4" w:space="0" w:color="auto"/>
              <w:right w:val="single" w:sz="4" w:space="0" w:color="auto"/>
            </w:tcBorders>
          </w:tcPr>
          <w:p w14:paraId="14795C99" w14:textId="77777777" w:rsidR="009956BC" w:rsidRPr="00D40DC9" w:rsidRDefault="009956BC" w:rsidP="009956BC">
            <w:pPr>
              <w:jc w:val="center"/>
              <w:rPr>
                <w:sz w:val="18"/>
                <w:lang w:val="es-419"/>
              </w:rPr>
            </w:pPr>
            <w:r w:rsidRPr="00D40DC9">
              <w:rPr>
                <w:noProof/>
                <w:sz w:val="18"/>
                <w:lang w:val="es-419"/>
              </w:rPr>
              <w:t>(por encima de la mitad)</w:t>
            </w:r>
          </w:p>
        </w:tc>
      </w:tr>
      <w:tr w:rsidR="009956BC" w:rsidRPr="00D40DC9" w14:paraId="45652B13" w14:textId="77777777" w:rsidTr="001270B2">
        <w:trPr>
          <w:gridBefore w:val="1"/>
          <w:wBefore w:w="379" w:type="dxa"/>
          <w:trHeight w:val="163"/>
          <w:jc w:val="center"/>
        </w:trPr>
        <w:tc>
          <w:tcPr>
            <w:tcW w:w="429" w:type="dxa"/>
            <w:gridSpan w:val="2"/>
            <w:tcBorders>
              <w:top w:val="nil"/>
              <w:left w:val="nil"/>
              <w:bottom w:val="nil"/>
              <w:right w:val="nil"/>
            </w:tcBorders>
          </w:tcPr>
          <w:p w14:paraId="0FBD19E7" w14:textId="77777777" w:rsidR="009956BC" w:rsidRPr="00D40DC9" w:rsidRDefault="009956BC" w:rsidP="009956BC">
            <w:pPr>
              <w:jc w:val="center"/>
              <w:rPr>
                <w:sz w:val="18"/>
                <w:lang w:val="es-419"/>
              </w:rPr>
            </w:pPr>
          </w:p>
        </w:tc>
        <w:tc>
          <w:tcPr>
            <w:tcW w:w="283" w:type="dxa"/>
            <w:gridSpan w:val="2"/>
            <w:tcBorders>
              <w:top w:val="nil"/>
              <w:left w:val="nil"/>
              <w:bottom w:val="nil"/>
              <w:right w:val="nil"/>
            </w:tcBorders>
          </w:tcPr>
          <w:p w14:paraId="649769FD" w14:textId="77777777" w:rsidR="009956BC" w:rsidRPr="00D40DC9" w:rsidRDefault="009956BC" w:rsidP="009956BC">
            <w:pPr>
              <w:jc w:val="center"/>
              <w:rPr>
                <w:sz w:val="18"/>
                <w:lang w:val="es-419"/>
              </w:rPr>
            </w:pPr>
          </w:p>
        </w:tc>
        <w:tc>
          <w:tcPr>
            <w:tcW w:w="1420" w:type="dxa"/>
            <w:tcBorders>
              <w:top w:val="nil"/>
              <w:left w:val="nil"/>
              <w:bottom w:val="nil"/>
              <w:right w:val="nil"/>
            </w:tcBorders>
          </w:tcPr>
          <w:p w14:paraId="1FC9FC28" w14:textId="77777777" w:rsidR="009956BC" w:rsidRPr="00D40DC9" w:rsidRDefault="009956BC" w:rsidP="009956BC">
            <w:pPr>
              <w:jc w:val="center"/>
              <w:rPr>
                <w:sz w:val="18"/>
                <w:lang w:val="es-419"/>
              </w:rPr>
            </w:pPr>
          </w:p>
        </w:tc>
        <w:tc>
          <w:tcPr>
            <w:tcW w:w="1389" w:type="dxa"/>
            <w:tcBorders>
              <w:top w:val="nil"/>
              <w:left w:val="nil"/>
              <w:bottom w:val="nil"/>
              <w:right w:val="nil"/>
            </w:tcBorders>
          </w:tcPr>
          <w:p w14:paraId="22DB5DEE" w14:textId="77777777" w:rsidR="009956BC" w:rsidRPr="00D40DC9" w:rsidRDefault="009956BC" w:rsidP="009956BC">
            <w:pPr>
              <w:jc w:val="center"/>
              <w:rPr>
                <w:sz w:val="18"/>
                <w:lang w:val="es-419"/>
              </w:rPr>
            </w:pPr>
          </w:p>
        </w:tc>
        <w:tc>
          <w:tcPr>
            <w:tcW w:w="1389" w:type="dxa"/>
            <w:gridSpan w:val="2"/>
            <w:tcBorders>
              <w:top w:val="nil"/>
              <w:left w:val="nil"/>
              <w:bottom w:val="nil"/>
              <w:right w:val="nil"/>
            </w:tcBorders>
          </w:tcPr>
          <w:p w14:paraId="54AF2D4E" w14:textId="77777777" w:rsidR="009956BC" w:rsidRPr="00D40DC9" w:rsidRDefault="009956BC" w:rsidP="009956BC">
            <w:pPr>
              <w:jc w:val="center"/>
              <w:rPr>
                <w:sz w:val="18"/>
                <w:lang w:val="es-419"/>
              </w:rPr>
            </w:pPr>
          </w:p>
        </w:tc>
        <w:tc>
          <w:tcPr>
            <w:tcW w:w="1388" w:type="dxa"/>
            <w:gridSpan w:val="2"/>
            <w:tcBorders>
              <w:top w:val="nil"/>
              <w:left w:val="nil"/>
              <w:bottom w:val="nil"/>
              <w:right w:val="nil"/>
            </w:tcBorders>
          </w:tcPr>
          <w:p w14:paraId="5F69EBDD" w14:textId="77777777" w:rsidR="009956BC" w:rsidRPr="00D40DC9" w:rsidRDefault="009956BC" w:rsidP="009956BC">
            <w:pPr>
              <w:jc w:val="center"/>
              <w:rPr>
                <w:sz w:val="18"/>
                <w:lang w:val="es-419"/>
              </w:rPr>
            </w:pPr>
          </w:p>
        </w:tc>
        <w:tc>
          <w:tcPr>
            <w:tcW w:w="1389" w:type="dxa"/>
            <w:tcBorders>
              <w:top w:val="nil"/>
              <w:left w:val="nil"/>
              <w:bottom w:val="nil"/>
              <w:right w:val="nil"/>
            </w:tcBorders>
          </w:tcPr>
          <w:p w14:paraId="7D8A7804" w14:textId="77777777" w:rsidR="009956BC" w:rsidRPr="00D40DC9" w:rsidRDefault="009956BC" w:rsidP="009956BC">
            <w:pPr>
              <w:jc w:val="center"/>
              <w:rPr>
                <w:sz w:val="18"/>
                <w:lang w:val="es-419"/>
              </w:rPr>
            </w:pPr>
          </w:p>
        </w:tc>
        <w:tc>
          <w:tcPr>
            <w:tcW w:w="1389" w:type="dxa"/>
            <w:gridSpan w:val="2"/>
            <w:tcBorders>
              <w:top w:val="nil"/>
              <w:left w:val="nil"/>
              <w:bottom w:val="nil"/>
              <w:right w:val="nil"/>
            </w:tcBorders>
          </w:tcPr>
          <w:p w14:paraId="442B1F86" w14:textId="77777777" w:rsidR="009956BC" w:rsidRPr="00D40DC9" w:rsidRDefault="009956BC" w:rsidP="009956BC">
            <w:pPr>
              <w:jc w:val="center"/>
              <w:rPr>
                <w:sz w:val="18"/>
                <w:lang w:val="es-419"/>
              </w:rPr>
            </w:pPr>
          </w:p>
        </w:tc>
      </w:tr>
      <w:tr w:rsidR="009956BC" w:rsidRPr="00D40DC9" w14:paraId="4665FDA6" w14:textId="77777777" w:rsidTr="001270B2">
        <w:trPr>
          <w:cantSplit/>
          <w:jc w:val="center"/>
        </w:trPr>
        <w:tc>
          <w:tcPr>
            <w:tcW w:w="379" w:type="dxa"/>
            <w:vMerge w:val="restart"/>
            <w:shd w:val="clear" w:color="auto" w:fill="auto"/>
            <w:textDirection w:val="btLr"/>
          </w:tcPr>
          <w:p w14:paraId="5532581C" w14:textId="77777777" w:rsidR="009956BC" w:rsidRPr="00D40DC9" w:rsidRDefault="009956BC" w:rsidP="009956BC">
            <w:pPr>
              <w:ind w:left="113" w:right="113"/>
              <w:jc w:val="center"/>
              <w:rPr>
                <w:noProof/>
                <w:sz w:val="18"/>
                <w:u w:val="single"/>
                <w:lang w:val="es-419"/>
              </w:rPr>
            </w:pPr>
            <w:r w:rsidRPr="00D40DC9">
              <w:rPr>
                <w:noProof/>
                <w:sz w:val="18"/>
                <w:highlight w:val="lightGray"/>
                <w:u w:val="single"/>
                <w:lang w:val="es-419"/>
              </w:rPr>
              <w:sym w:font="Wingdings" w:char="F0DF"/>
            </w:r>
            <w:r w:rsidRPr="00D40DC9">
              <w:rPr>
                <w:noProof/>
                <w:sz w:val="18"/>
                <w:highlight w:val="lightGray"/>
                <w:u w:val="single"/>
                <w:lang w:val="es-419"/>
              </w:rPr>
              <w:t xml:space="preserve">                  anchura relativa                 </w:t>
            </w:r>
            <w:r w:rsidRPr="00D40DC9">
              <w:rPr>
                <w:noProof/>
                <w:sz w:val="18"/>
                <w:highlight w:val="lightGray"/>
                <w:u w:val="single"/>
                <w:lang w:val="es-419"/>
              </w:rPr>
              <w:sym w:font="Wingdings" w:char="F0E0"/>
            </w:r>
          </w:p>
        </w:tc>
        <w:tc>
          <w:tcPr>
            <w:tcW w:w="429" w:type="dxa"/>
            <w:gridSpan w:val="2"/>
            <w:vMerge w:val="restart"/>
            <w:tcBorders>
              <w:top w:val="single" w:sz="4" w:space="0" w:color="auto"/>
              <w:right w:val="single" w:sz="4" w:space="0" w:color="auto"/>
            </w:tcBorders>
            <w:textDirection w:val="btLr"/>
          </w:tcPr>
          <w:p w14:paraId="076B0CB5" w14:textId="77777777" w:rsidR="009956BC" w:rsidRPr="00D40DC9" w:rsidRDefault="009956BC" w:rsidP="009956BC">
            <w:pPr>
              <w:ind w:left="113" w:right="113"/>
              <w:jc w:val="center"/>
              <w:rPr>
                <w:sz w:val="18"/>
                <w:lang w:val="es-419"/>
              </w:rPr>
            </w:pPr>
            <w:r w:rsidRPr="00D40DC9">
              <w:rPr>
                <w:lang w:val="es-419"/>
              </w:rPr>
              <w:t xml:space="preserve">ancha </w:t>
            </w:r>
            <w:r w:rsidRPr="00D40DC9">
              <w:rPr>
                <w:strike/>
                <w:noProof/>
                <w:sz w:val="18"/>
                <w:highlight w:val="lightGray"/>
                <w:lang w:val="es-419"/>
              </w:rPr>
              <w:t>(</w:t>
            </w:r>
            <w:r w:rsidRPr="00D40DC9">
              <w:rPr>
                <w:i/>
                <w:strike/>
                <w:sz w:val="18"/>
                <w:highlight w:val="lightGray"/>
                <w:lang w:val="es-419"/>
              </w:rPr>
              <w:t>baja)</w:t>
            </w:r>
            <w:r w:rsidRPr="00D40DC9">
              <w:rPr>
                <w:noProof/>
                <w:sz w:val="18"/>
                <w:lang w:val="es-419"/>
              </w:rPr>
              <w:sym w:font="Wingdings" w:char="F0DF"/>
            </w:r>
            <w:r w:rsidRPr="00D40DC9">
              <w:rPr>
                <w:lang w:val="es-419"/>
              </w:rPr>
              <w:tab/>
            </w:r>
            <w:r w:rsidRPr="00D40DC9">
              <w:rPr>
                <w:strike/>
                <w:sz w:val="18"/>
                <w:highlight w:val="lightGray"/>
                <w:lang w:val="es-419"/>
              </w:rPr>
              <w:t>anchura</w:t>
            </w:r>
            <w:r w:rsidRPr="00D40DC9">
              <w:rPr>
                <w:strike/>
                <w:sz w:val="18"/>
                <w:lang w:val="es-419"/>
              </w:rPr>
              <w:t xml:space="preserve"> </w:t>
            </w:r>
            <w:r w:rsidRPr="00D40DC9">
              <w:rPr>
                <w:strike/>
                <w:sz w:val="18"/>
                <w:highlight w:val="lightGray"/>
                <w:lang w:val="es-419"/>
              </w:rPr>
              <w:t>(</w:t>
            </w:r>
            <w:r w:rsidRPr="00D40DC9">
              <w:rPr>
                <w:strike/>
                <w:color w:val="000000"/>
                <w:sz w:val="18"/>
                <w:highlight w:val="lightGray"/>
                <w:lang w:val="es-419"/>
              </w:rPr>
              <w:t>relación longitud/anchura)</w:t>
            </w:r>
            <w:r w:rsidRPr="00D40DC9">
              <w:rPr>
                <w:lang w:val="es-419"/>
              </w:rPr>
              <w:tab/>
            </w:r>
            <w:r w:rsidRPr="00D40DC9">
              <w:rPr>
                <w:noProof/>
                <w:sz w:val="18"/>
                <w:lang w:val="es-419"/>
              </w:rPr>
              <w:sym w:font="Wingdings" w:char="F0E0"/>
            </w:r>
            <w:r w:rsidRPr="00D40DC9">
              <w:rPr>
                <w:lang w:val="es-419"/>
              </w:rPr>
              <w:t xml:space="preserve"> estrecha </w:t>
            </w:r>
            <w:r w:rsidRPr="00D40DC9">
              <w:rPr>
                <w:strike/>
                <w:noProof/>
                <w:sz w:val="18"/>
                <w:highlight w:val="lightGray"/>
                <w:lang w:val="es-419"/>
              </w:rPr>
              <w:t>(</w:t>
            </w:r>
            <w:r w:rsidRPr="00D40DC9">
              <w:rPr>
                <w:i/>
                <w:strike/>
                <w:sz w:val="18"/>
                <w:highlight w:val="lightGray"/>
                <w:lang w:val="es-419"/>
              </w:rPr>
              <w:t>alta</w:t>
            </w:r>
            <w:r w:rsidRPr="00D40DC9">
              <w:rPr>
                <w:strike/>
                <w:noProof/>
                <w:sz w:val="18"/>
                <w:highlight w:val="lightGray"/>
                <w:lang w:val="es-419"/>
              </w:rPr>
              <w:t>)</w:t>
            </w:r>
          </w:p>
        </w:tc>
        <w:tc>
          <w:tcPr>
            <w:tcW w:w="283" w:type="dxa"/>
            <w:gridSpan w:val="2"/>
            <w:tcBorders>
              <w:top w:val="nil"/>
              <w:left w:val="nil"/>
              <w:bottom w:val="nil"/>
              <w:right w:val="nil"/>
            </w:tcBorders>
          </w:tcPr>
          <w:p w14:paraId="30D329C3" w14:textId="77777777" w:rsidR="009956BC" w:rsidRPr="00D40DC9" w:rsidRDefault="009956BC" w:rsidP="009956BC">
            <w:pPr>
              <w:jc w:val="center"/>
              <w:rPr>
                <w:sz w:val="18"/>
                <w:lang w:val="es-419"/>
              </w:rPr>
            </w:pPr>
          </w:p>
        </w:tc>
        <w:tc>
          <w:tcPr>
            <w:tcW w:w="1420" w:type="dxa"/>
            <w:tcBorders>
              <w:left w:val="single" w:sz="4" w:space="0" w:color="auto"/>
            </w:tcBorders>
          </w:tcPr>
          <w:p w14:paraId="2FF5E58C" w14:textId="77777777" w:rsidR="009956BC" w:rsidRPr="00D40DC9" w:rsidRDefault="009956BC" w:rsidP="009956BC">
            <w:pPr>
              <w:jc w:val="center"/>
              <w:rPr>
                <w:sz w:val="18"/>
                <w:lang w:val="es-419"/>
              </w:rPr>
            </w:pPr>
          </w:p>
        </w:tc>
        <w:tc>
          <w:tcPr>
            <w:tcW w:w="1389" w:type="dxa"/>
          </w:tcPr>
          <w:p w14:paraId="0773FF2F" w14:textId="77777777" w:rsidR="009956BC" w:rsidRPr="00D40DC9" w:rsidRDefault="009956BC" w:rsidP="009956BC">
            <w:pPr>
              <w:jc w:val="center"/>
              <w:rPr>
                <w:sz w:val="18"/>
                <w:lang w:val="es-419"/>
              </w:rPr>
            </w:pPr>
          </w:p>
        </w:tc>
        <w:tc>
          <w:tcPr>
            <w:tcW w:w="1389" w:type="dxa"/>
            <w:gridSpan w:val="2"/>
          </w:tcPr>
          <w:p w14:paraId="081160F4" w14:textId="77777777" w:rsidR="009956BC" w:rsidRPr="00D40DC9" w:rsidRDefault="009956BC" w:rsidP="009956BC">
            <w:pPr>
              <w:jc w:val="center"/>
              <w:rPr>
                <w:sz w:val="18"/>
                <w:lang w:val="es-419"/>
              </w:rPr>
            </w:pPr>
            <w:r w:rsidRPr="00D40DC9">
              <w:rPr>
                <w:noProof/>
                <w:sz w:val="18"/>
                <w:lang w:val="en-US" w:eastAsia="en-US" w:bidi="ar-SA"/>
              </w:rPr>
              <w:drawing>
                <wp:inline distT="0" distB="0" distL="0" distR="0" wp14:anchorId="1668143B" wp14:editId="31DCCC5D">
                  <wp:extent cx="1714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14:paraId="1DC130EE" w14:textId="77777777" w:rsidR="009956BC" w:rsidRPr="00D40DC9" w:rsidRDefault="009956BC" w:rsidP="009956BC">
            <w:pPr>
              <w:jc w:val="center"/>
              <w:rPr>
                <w:sz w:val="18"/>
                <w:lang w:val="es-419"/>
              </w:rPr>
            </w:pPr>
            <w:r w:rsidRPr="00D40DC9">
              <w:rPr>
                <w:sz w:val="18"/>
                <w:lang w:val="es-419"/>
              </w:rPr>
              <w:t xml:space="preserve">6 </w:t>
            </w:r>
          </w:p>
          <w:p w14:paraId="177EEE75" w14:textId="77777777" w:rsidR="009956BC" w:rsidRPr="00D40DC9" w:rsidRDefault="009956BC" w:rsidP="009956BC">
            <w:pPr>
              <w:jc w:val="center"/>
              <w:rPr>
                <w:sz w:val="18"/>
                <w:lang w:val="es-419"/>
              </w:rPr>
            </w:pPr>
            <w:r w:rsidRPr="00D40DC9">
              <w:rPr>
                <w:sz w:val="18"/>
                <w:lang w:val="es-419"/>
              </w:rPr>
              <w:t>lineal</w:t>
            </w:r>
          </w:p>
        </w:tc>
        <w:tc>
          <w:tcPr>
            <w:tcW w:w="1388" w:type="dxa"/>
            <w:gridSpan w:val="2"/>
          </w:tcPr>
          <w:p w14:paraId="7B8EC9BB" w14:textId="77777777" w:rsidR="009956BC" w:rsidRPr="00D40DC9" w:rsidRDefault="009956BC" w:rsidP="009956BC">
            <w:pPr>
              <w:jc w:val="center"/>
              <w:rPr>
                <w:sz w:val="18"/>
                <w:lang w:val="es-419"/>
              </w:rPr>
            </w:pPr>
          </w:p>
        </w:tc>
        <w:tc>
          <w:tcPr>
            <w:tcW w:w="1389" w:type="dxa"/>
          </w:tcPr>
          <w:p w14:paraId="2FDDF2DC" w14:textId="77777777" w:rsidR="009956BC" w:rsidRPr="00D40DC9" w:rsidRDefault="009956BC" w:rsidP="009956BC">
            <w:pPr>
              <w:jc w:val="center"/>
              <w:rPr>
                <w:sz w:val="18"/>
                <w:lang w:val="es-419"/>
              </w:rPr>
            </w:pPr>
          </w:p>
        </w:tc>
        <w:tc>
          <w:tcPr>
            <w:tcW w:w="1389" w:type="dxa"/>
            <w:gridSpan w:val="2"/>
          </w:tcPr>
          <w:p w14:paraId="70BAB95C" w14:textId="77777777" w:rsidR="009956BC" w:rsidRPr="00D40DC9" w:rsidRDefault="009956BC" w:rsidP="009956BC">
            <w:pPr>
              <w:jc w:val="center"/>
              <w:rPr>
                <w:sz w:val="18"/>
                <w:lang w:val="es-419"/>
              </w:rPr>
            </w:pPr>
          </w:p>
        </w:tc>
      </w:tr>
      <w:tr w:rsidR="009956BC" w:rsidRPr="00D40DC9" w14:paraId="39B273C2" w14:textId="77777777" w:rsidTr="001270B2">
        <w:trPr>
          <w:cantSplit/>
          <w:jc w:val="center"/>
        </w:trPr>
        <w:tc>
          <w:tcPr>
            <w:tcW w:w="379" w:type="dxa"/>
            <w:vMerge/>
            <w:shd w:val="clear" w:color="auto" w:fill="auto"/>
          </w:tcPr>
          <w:p w14:paraId="51C0B3A1" w14:textId="77777777" w:rsidR="009956BC" w:rsidRPr="00D40DC9" w:rsidRDefault="009956BC" w:rsidP="009956BC">
            <w:pPr>
              <w:jc w:val="center"/>
              <w:rPr>
                <w:sz w:val="18"/>
                <w:lang w:val="es-419"/>
              </w:rPr>
            </w:pPr>
          </w:p>
        </w:tc>
        <w:tc>
          <w:tcPr>
            <w:tcW w:w="429" w:type="dxa"/>
            <w:gridSpan w:val="2"/>
            <w:vMerge/>
            <w:tcBorders>
              <w:right w:val="single" w:sz="4" w:space="0" w:color="auto"/>
            </w:tcBorders>
          </w:tcPr>
          <w:p w14:paraId="68B7F7A9" w14:textId="77777777" w:rsidR="009956BC" w:rsidRPr="00D40DC9" w:rsidRDefault="009956BC" w:rsidP="009956BC">
            <w:pPr>
              <w:jc w:val="center"/>
              <w:rPr>
                <w:sz w:val="18"/>
                <w:lang w:val="es-419"/>
              </w:rPr>
            </w:pPr>
          </w:p>
        </w:tc>
        <w:tc>
          <w:tcPr>
            <w:tcW w:w="283" w:type="dxa"/>
            <w:gridSpan w:val="2"/>
            <w:tcBorders>
              <w:top w:val="nil"/>
              <w:left w:val="nil"/>
              <w:bottom w:val="nil"/>
              <w:right w:val="nil"/>
            </w:tcBorders>
          </w:tcPr>
          <w:p w14:paraId="74A4F5DE" w14:textId="77777777" w:rsidR="009956BC" w:rsidRPr="00D40DC9" w:rsidRDefault="009956BC" w:rsidP="009956BC">
            <w:pPr>
              <w:jc w:val="center"/>
              <w:rPr>
                <w:sz w:val="18"/>
                <w:lang w:val="es-419"/>
              </w:rPr>
            </w:pPr>
          </w:p>
        </w:tc>
        <w:tc>
          <w:tcPr>
            <w:tcW w:w="1420" w:type="dxa"/>
            <w:tcBorders>
              <w:left w:val="single" w:sz="4" w:space="0" w:color="auto"/>
            </w:tcBorders>
          </w:tcPr>
          <w:p w14:paraId="77793FEE" w14:textId="77777777" w:rsidR="009956BC" w:rsidRPr="00D40DC9" w:rsidRDefault="009956BC" w:rsidP="009956BC">
            <w:pPr>
              <w:jc w:val="center"/>
              <w:rPr>
                <w:sz w:val="18"/>
                <w:lang w:val="es-419"/>
              </w:rPr>
            </w:pPr>
          </w:p>
        </w:tc>
        <w:tc>
          <w:tcPr>
            <w:tcW w:w="1389" w:type="dxa"/>
          </w:tcPr>
          <w:p w14:paraId="01967817" w14:textId="77777777" w:rsidR="009956BC" w:rsidRPr="00D40DC9" w:rsidRDefault="009956BC" w:rsidP="009956BC">
            <w:pPr>
              <w:jc w:val="center"/>
              <w:rPr>
                <w:sz w:val="18"/>
                <w:lang w:val="es-419"/>
              </w:rPr>
            </w:pPr>
          </w:p>
        </w:tc>
        <w:tc>
          <w:tcPr>
            <w:tcW w:w="1389" w:type="dxa"/>
            <w:gridSpan w:val="2"/>
          </w:tcPr>
          <w:p w14:paraId="0489A9C1" w14:textId="77777777" w:rsidR="009956BC" w:rsidRPr="00D40DC9" w:rsidRDefault="009956BC" w:rsidP="009956BC">
            <w:pPr>
              <w:jc w:val="center"/>
              <w:rPr>
                <w:sz w:val="18"/>
                <w:lang w:val="es-419"/>
              </w:rPr>
            </w:pPr>
            <w:r w:rsidRPr="00D40DC9">
              <w:rPr>
                <w:noProof/>
                <w:sz w:val="18"/>
                <w:lang w:val="en-US" w:eastAsia="en-US" w:bidi="ar-SA"/>
              </w:rPr>
              <w:drawing>
                <wp:inline distT="0" distB="0" distL="0" distR="0" wp14:anchorId="7E98D6B6" wp14:editId="4871F688">
                  <wp:extent cx="37147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14:paraId="304208B6" w14:textId="77777777" w:rsidR="009956BC" w:rsidRPr="00D40DC9" w:rsidRDefault="009956BC" w:rsidP="009956BC">
            <w:pPr>
              <w:jc w:val="center"/>
              <w:rPr>
                <w:sz w:val="18"/>
                <w:lang w:val="es-419"/>
              </w:rPr>
            </w:pPr>
            <w:r w:rsidRPr="00D40DC9">
              <w:rPr>
                <w:sz w:val="18"/>
                <w:lang w:val="es-419"/>
              </w:rPr>
              <w:t>5</w:t>
            </w:r>
          </w:p>
          <w:p w14:paraId="70550AE9" w14:textId="77777777" w:rsidR="009956BC" w:rsidRPr="00D40DC9" w:rsidRDefault="009956BC" w:rsidP="009956BC">
            <w:pPr>
              <w:jc w:val="center"/>
              <w:rPr>
                <w:sz w:val="18"/>
                <w:lang w:val="es-419"/>
              </w:rPr>
            </w:pPr>
            <w:r w:rsidRPr="00D40DC9">
              <w:rPr>
                <w:sz w:val="18"/>
                <w:lang w:val="es-419"/>
              </w:rPr>
              <w:t>oblonga</w:t>
            </w:r>
          </w:p>
        </w:tc>
        <w:tc>
          <w:tcPr>
            <w:tcW w:w="1388" w:type="dxa"/>
            <w:gridSpan w:val="2"/>
          </w:tcPr>
          <w:p w14:paraId="09907091" w14:textId="77777777" w:rsidR="009956BC" w:rsidRPr="00D40DC9" w:rsidRDefault="009956BC" w:rsidP="009956BC">
            <w:pPr>
              <w:jc w:val="center"/>
              <w:rPr>
                <w:sz w:val="18"/>
                <w:lang w:val="es-419"/>
              </w:rPr>
            </w:pPr>
            <w:r w:rsidRPr="00D40DC9">
              <w:rPr>
                <w:noProof/>
                <w:sz w:val="18"/>
                <w:lang w:val="en-US" w:eastAsia="en-US" w:bidi="ar-SA"/>
              </w:rPr>
              <w:drawing>
                <wp:inline distT="0" distB="0" distL="0" distR="0" wp14:anchorId="570BA755" wp14:editId="751F3F3E">
                  <wp:extent cx="266700" cy="1085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14:paraId="053B135E" w14:textId="77777777" w:rsidR="009956BC" w:rsidRPr="00D40DC9" w:rsidRDefault="009956BC" w:rsidP="009956BC">
            <w:pPr>
              <w:jc w:val="center"/>
              <w:rPr>
                <w:sz w:val="18"/>
                <w:lang w:val="es-419"/>
              </w:rPr>
            </w:pPr>
            <w:r w:rsidRPr="00D40DC9">
              <w:rPr>
                <w:sz w:val="18"/>
                <w:lang w:val="es-419"/>
              </w:rPr>
              <w:t>8</w:t>
            </w:r>
          </w:p>
          <w:p w14:paraId="4662A276" w14:textId="77777777" w:rsidR="009956BC" w:rsidRPr="00D40DC9" w:rsidRDefault="009956BC" w:rsidP="009956BC">
            <w:pPr>
              <w:jc w:val="center"/>
              <w:rPr>
                <w:sz w:val="18"/>
                <w:lang w:val="es-419"/>
              </w:rPr>
            </w:pPr>
            <w:proofErr w:type="spellStart"/>
            <w:r w:rsidRPr="00D40DC9">
              <w:rPr>
                <w:sz w:val="18"/>
                <w:lang w:val="es-419"/>
              </w:rPr>
              <w:t>oblanceolada</w:t>
            </w:r>
            <w:proofErr w:type="spellEnd"/>
          </w:p>
        </w:tc>
        <w:tc>
          <w:tcPr>
            <w:tcW w:w="1389" w:type="dxa"/>
          </w:tcPr>
          <w:p w14:paraId="50FF743D" w14:textId="77777777" w:rsidR="009956BC" w:rsidRPr="00D40DC9" w:rsidRDefault="009956BC" w:rsidP="009956BC">
            <w:pPr>
              <w:jc w:val="center"/>
              <w:rPr>
                <w:sz w:val="18"/>
                <w:lang w:val="es-419"/>
              </w:rPr>
            </w:pPr>
            <w:r w:rsidRPr="00D40DC9">
              <w:rPr>
                <w:noProof/>
                <w:sz w:val="18"/>
                <w:lang w:val="en-US" w:eastAsia="en-US" w:bidi="ar-SA"/>
              </w:rPr>
              <w:drawing>
                <wp:inline distT="0" distB="0" distL="0" distR="0" wp14:anchorId="4ACA25C8" wp14:editId="48185807">
                  <wp:extent cx="3048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14:paraId="731B2D29" w14:textId="77777777" w:rsidR="009956BC" w:rsidRPr="00D40DC9" w:rsidRDefault="009956BC" w:rsidP="009956BC">
            <w:pPr>
              <w:jc w:val="center"/>
              <w:rPr>
                <w:sz w:val="18"/>
                <w:lang w:val="es-419"/>
              </w:rPr>
            </w:pPr>
            <w:r w:rsidRPr="00D40DC9">
              <w:rPr>
                <w:sz w:val="18"/>
                <w:lang w:val="es-419"/>
              </w:rPr>
              <w:t>9</w:t>
            </w:r>
          </w:p>
          <w:p w14:paraId="74A07866" w14:textId="77777777" w:rsidR="009956BC" w:rsidRPr="00D40DC9" w:rsidRDefault="009956BC" w:rsidP="009956BC">
            <w:pPr>
              <w:jc w:val="center"/>
              <w:rPr>
                <w:sz w:val="18"/>
                <w:lang w:val="es-419"/>
              </w:rPr>
            </w:pPr>
            <w:r w:rsidRPr="00D40DC9">
              <w:rPr>
                <w:sz w:val="18"/>
                <w:lang w:val="es-419"/>
              </w:rPr>
              <w:t>espatulada</w:t>
            </w:r>
          </w:p>
        </w:tc>
        <w:tc>
          <w:tcPr>
            <w:tcW w:w="1389" w:type="dxa"/>
            <w:gridSpan w:val="2"/>
          </w:tcPr>
          <w:p w14:paraId="4B37E0A8" w14:textId="77777777" w:rsidR="009956BC" w:rsidRPr="00D40DC9" w:rsidRDefault="009956BC" w:rsidP="009956BC">
            <w:pPr>
              <w:jc w:val="center"/>
              <w:rPr>
                <w:sz w:val="18"/>
                <w:lang w:val="es-419"/>
              </w:rPr>
            </w:pPr>
          </w:p>
        </w:tc>
      </w:tr>
      <w:tr w:rsidR="009956BC" w:rsidRPr="00D40DC9" w14:paraId="5855F1EB" w14:textId="77777777" w:rsidTr="001270B2">
        <w:trPr>
          <w:cantSplit/>
          <w:jc w:val="center"/>
        </w:trPr>
        <w:tc>
          <w:tcPr>
            <w:tcW w:w="379" w:type="dxa"/>
            <w:vMerge/>
            <w:shd w:val="clear" w:color="auto" w:fill="auto"/>
          </w:tcPr>
          <w:p w14:paraId="0E0FB471" w14:textId="77777777" w:rsidR="009956BC" w:rsidRPr="00D40DC9" w:rsidRDefault="009956BC" w:rsidP="009956BC">
            <w:pPr>
              <w:jc w:val="center"/>
              <w:rPr>
                <w:sz w:val="18"/>
                <w:lang w:val="es-419"/>
              </w:rPr>
            </w:pPr>
          </w:p>
        </w:tc>
        <w:tc>
          <w:tcPr>
            <w:tcW w:w="429" w:type="dxa"/>
            <w:gridSpan w:val="2"/>
            <w:vMerge/>
            <w:tcBorders>
              <w:right w:val="single" w:sz="4" w:space="0" w:color="auto"/>
            </w:tcBorders>
          </w:tcPr>
          <w:p w14:paraId="0B8A1A29" w14:textId="77777777" w:rsidR="009956BC" w:rsidRPr="00D40DC9" w:rsidRDefault="009956BC" w:rsidP="009956BC">
            <w:pPr>
              <w:jc w:val="center"/>
              <w:rPr>
                <w:sz w:val="18"/>
                <w:lang w:val="es-419"/>
              </w:rPr>
            </w:pPr>
          </w:p>
        </w:tc>
        <w:tc>
          <w:tcPr>
            <w:tcW w:w="283" w:type="dxa"/>
            <w:gridSpan w:val="2"/>
            <w:tcBorders>
              <w:top w:val="nil"/>
              <w:left w:val="nil"/>
              <w:bottom w:val="nil"/>
              <w:right w:val="nil"/>
            </w:tcBorders>
          </w:tcPr>
          <w:p w14:paraId="4C1A58D5" w14:textId="77777777" w:rsidR="009956BC" w:rsidRPr="00D40DC9" w:rsidRDefault="009956BC" w:rsidP="009956BC">
            <w:pPr>
              <w:jc w:val="center"/>
              <w:rPr>
                <w:sz w:val="18"/>
                <w:lang w:val="es-419"/>
              </w:rPr>
            </w:pPr>
          </w:p>
        </w:tc>
        <w:tc>
          <w:tcPr>
            <w:tcW w:w="1420" w:type="dxa"/>
            <w:tcBorders>
              <w:left w:val="single" w:sz="4" w:space="0" w:color="auto"/>
            </w:tcBorders>
          </w:tcPr>
          <w:p w14:paraId="29CEB73A" w14:textId="77777777" w:rsidR="009956BC" w:rsidRPr="00D40DC9" w:rsidRDefault="009956BC" w:rsidP="009956BC">
            <w:pPr>
              <w:jc w:val="center"/>
              <w:rPr>
                <w:sz w:val="18"/>
                <w:lang w:val="es-419"/>
              </w:rPr>
            </w:pPr>
            <w:r w:rsidRPr="00D40DC9">
              <w:rPr>
                <w:noProof/>
                <w:sz w:val="18"/>
                <w:lang w:val="en-US" w:eastAsia="en-US" w:bidi="ar-SA"/>
              </w:rPr>
              <w:drawing>
                <wp:inline distT="0" distB="0" distL="0" distR="0" wp14:anchorId="68F5CD5F" wp14:editId="38D4A4A2">
                  <wp:extent cx="5810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14:paraId="7A57E95C" w14:textId="77777777" w:rsidR="009956BC" w:rsidRPr="00D40DC9" w:rsidRDefault="009956BC" w:rsidP="009956BC">
            <w:pPr>
              <w:jc w:val="center"/>
              <w:rPr>
                <w:sz w:val="18"/>
                <w:lang w:val="es-419"/>
              </w:rPr>
            </w:pPr>
            <w:r w:rsidRPr="00D40DC9">
              <w:rPr>
                <w:sz w:val="18"/>
                <w:lang w:val="es-419"/>
              </w:rPr>
              <w:t xml:space="preserve">1 </w:t>
            </w:r>
          </w:p>
          <w:p w14:paraId="19A05E98" w14:textId="77777777" w:rsidR="009956BC" w:rsidRPr="00D40DC9" w:rsidRDefault="009956BC" w:rsidP="009956BC">
            <w:pPr>
              <w:jc w:val="center"/>
              <w:rPr>
                <w:sz w:val="18"/>
                <w:lang w:val="es-419"/>
              </w:rPr>
            </w:pPr>
            <w:r w:rsidRPr="00D40DC9">
              <w:rPr>
                <w:sz w:val="18"/>
                <w:lang w:val="es-419"/>
              </w:rPr>
              <w:t>triangular</w:t>
            </w:r>
          </w:p>
        </w:tc>
        <w:tc>
          <w:tcPr>
            <w:tcW w:w="1389" w:type="dxa"/>
          </w:tcPr>
          <w:p w14:paraId="38599D8C" w14:textId="77777777" w:rsidR="009956BC" w:rsidRPr="00D40DC9" w:rsidRDefault="009956BC" w:rsidP="009956BC">
            <w:pPr>
              <w:jc w:val="center"/>
              <w:rPr>
                <w:sz w:val="18"/>
                <w:lang w:val="es-419"/>
              </w:rPr>
            </w:pPr>
            <w:r w:rsidRPr="00D40DC9">
              <w:rPr>
                <w:noProof/>
                <w:sz w:val="18"/>
                <w:lang w:val="en-US" w:eastAsia="en-US" w:bidi="ar-SA"/>
              </w:rPr>
              <w:drawing>
                <wp:inline distT="0" distB="0" distL="0" distR="0" wp14:anchorId="50BC9CA3" wp14:editId="6ED2057C">
                  <wp:extent cx="504825" cy="1085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14:paraId="60FDE3C4" w14:textId="77777777" w:rsidR="009956BC" w:rsidRPr="00D40DC9" w:rsidRDefault="009956BC" w:rsidP="009956BC">
            <w:pPr>
              <w:jc w:val="center"/>
              <w:rPr>
                <w:sz w:val="18"/>
                <w:lang w:val="es-419"/>
              </w:rPr>
            </w:pPr>
            <w:r w:rsidRPr="00D40DC9">
              <w:rPr>
                <w:sz w:val="18"/>
                <w:lang w:val="es-419"/>
              </w:rPr>
              <w:t>2</w:t>
            </w:r>
          </w:p>
          <w:p w14:paraId="0717C33A" w14:textId="77777777" w:rsidR="009956BC" w:rsidRPr="00D40DC9" w:rsidRDefault="009956BC" w:rsidP="009956BC">
            <w:pPr>
              <w:jc w:val="center"/>
              <w:rPr>
                <w:sz w:val="18"/>
                <w:lang w:val="es-419"/>
              </w:rPr>
            </w:pPr>
            <w:r w:rsidRPr="00D40DC9">
              <w:rPr>
                <w:sz w:val="18"/>
                <w:lang w:val="es-419"/>
              </w:rPr>
              <w:t>oval</w:t>
            </w:r>
          </w:p>
        </w:tc>
        <w:tc>
          <w:tcPr>
            <w:tcW w:w="1389" w:type="dxa"/>
            <w:gridSpan w:val="2"/>
          </w:tcPr>
          <w:p w14:paraId="35A94690" w14:textId="77777777" w:rsidR="009956BC" w:rsidRPr="00D40DC9" w:rsidRDefault="009956BC" w:rsidP="009956BC">
            <w:pPr>
              <w:jc w:val="center"/>
              <w:rPr>
                <w:sz w:val="18"/>
                <w:lang w:val="es-419"/>
              </w:rPr>
            </w:pPr>
            <w:r w:rsidRPr="00D40DC9">
              <w:rPr>
                <w:noProof/>
                <w:sz w:val="18"/>
                <w:lang w:val="en-US" w:eastAsia="en-US" w:bidi="ar-SA"/>
              </w:rPr>
              <w:drawing>
                <wp:inline distT="0" distB="0" distL="0" distR="0" wp14:anchorId="0A2951F2" wp14:editId="6E3979F7">
                  <wp:extent cx="4572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14:paraId="3A04C885" w14:textId="77777777" w:rsidR="009956BC" w:rsidRPr="00D40DC9" w:rsidRDefault="009956BC" w:rsidP="009956BC">
            <w:pPr>
              <w:jc w:val="center"/>
              <w:rPr>
                <w:sz w:val="18"/>
                <w:lang w:val="es-419"/>
              </w:rPr>
            </w:pPr>
            <w:r w:rsidRPr="00D40DC9">
              <w:rPr>
                <w:sz w:val="18"/>
                <w:lang w:val="es-419"/>
              </w:rPr>
              <w:t>4</w:t>
            </w:r>
          </w:p>
          <w:p w14:paraId="648D77B9" w14:textId="77777777" w:rsidR="009956BC" w:rsidRPr="00D40DC9" w:rsidRDefault="009956BC" w:rsidP="009956BC">
            <w:pPr>
              <w:jc w:val="center"/>
              <w:rPr>
                <w:sz w:val="18"/>
                <w:lang w:val="es-419"/>
              </w:rPr>
            </w:pPr>
            <w:r w:rsidRPr="00D40DC9">
              <w:rPr>
                <w:sz w:val="18"/>
                <w:lang w:val="es-419"/>
              </w:rPr>
              <w:t>elíptica</w:t>
            </w:r>
          </w:p>
        </w:tc>
        <w:tc>
          <w:tcPr>
            <w:tcW w:w="1388" w:type="dxa"/>
            <w:gridSpan w:val="2"/>
          </w:tcPr>
          <w:p w14:paraId="2236D325" w14:textId="77777777" w:rsidR="009956BC" w:rsidRPr="00D40DC9" w:rsidRDefault="009956BC" w:rsidP="009956BC">
            <w:pPr>
              <w:jc w:val="center"/>
              <w:rPr>
                <w:sz w:val="18"/>
                <w:lang w:val="es-419"/>
              </w:rPr>
            </w:pPr>
            <w:r w:rsidRPr="00D40DC9">
              <w:rPr>
                <w:noProof/>
                <w:sz w:val="18"/>
                <w:lang w:val="en-US" w:eastAsia="en-US" w:bidi="ar-SA"/>
              </w:rPr>
              <w:drawing>
                <wp:inline distT="0" distB="0" distL="0" distR="0" wp14:anchorId="2E08FCC1" wp14:editId="29D5540D">
                  <wp:extent cx="533400"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14:paraId="2C4EEB3D" w14:textId="77777777" w:rsidR="009956BC" w:rsidRPr="00D40DC9" w:rsidRDefault="009956BC" w:rsidP="009956BC">
            <w:pPr>
              <w:jc w:val="center"/>
              <w:rPr>
                <w:sz w:val="18"/>
                <w:lang w:val="es-419"/>
              </w:rPr>
            </w:pPr>
            <w:r w:rsidRPr="00D40DC9">
              <w:rPr>
                <w:sz w:val="18"/>
                <w:lang w:val="es-419"/>
              </w:rPr>
              <w:t>7</w:t>
            </w:r>
          </w:p>
          <w:p w14:paraId="6AA350DC" w14:textId="77777777" w:rsidR="009956BC" w:rsidRPr="00D40DC9" w:rsidRDefault="009956BC" w:rsidP="009956BC">
            <w:pPr>
              <w:jc w:val="center"/>
              <w:rPr>
                <w:sz w:val="18"/>
                <w:lang w:val="es-419"/>
              </w:rPr>
            </w:pPr>
            <w:proofErr w:type="spellStart"/>
            <w:r w:rsidRPr="00D40DC9">
              <w:rPr>
                <w:sz w:val="18"/>
                <w:lang w:val="es-419"/>
              </w:rPr>
              <w:t>oboval</w:t>
            </w:r>
            <w:proofErr w:type="spellEnd"/>
          </w:p>
        </w:tc>
        <w:tc>
          <w:tcPr>
            <w:tcW w:w="1389" w:type="dxa"/>
          </w:tcPr>
          <w:p w14:paraId="1661EFA0" w14:textId="77777777" w:rsidR="009956BC" w:rsidRPr="00D40DC9" w:rsidRDefault="009956BC" w:rsidP="009956BC">
            <w:pPr>
              <w:jc w:val="center"/>
              <w:rPr>
                <w:sz w:val="18"/>
                <w:lang w:val="es-419"/>
              </w:rPr>
            </w:pPr>
          </w:p>
        </w:tc>
        <w:tc>
          <w:tcPr>
            <w:tcW w:w="1389" w:type="dxa"/>
            <w:gridSpan w:val="2"/>
          </w:tcPr>
          <w:p w14:paraId="46328F96" w14:textId="77777777" w:rsidR="009956BC" w:rsidRPr="00D40DC9" w:rsidRDefault="009956BC" w:rsidP="009956BC">
            <w:pPr>
              <w:jc w:val="center"/>
              <w:rPr>
                <w:sz w:val="18"/>
                <w:lang w:val="es-419"/>
              </w:rPr>
            </w:pPr>
            <w:r w:rsidRPr="00D40DC9">
              <w:rPr>
                <w:noProof/>
                <w:sz w:val="18"/>
                <w:lang w:val="en-US" w:eastAsia="en-US" w:bidi="ar-SA"/>
              </w:rPr>
              <w:drawing>
                <wp:inline distT="0" distB="0" distL="0" distR="0" wp14:anchorId="78064BB0" wp14:editId="24929E64">
                  <wp:extent cx="52387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14:paraId="1CBB4BC1" w14:textId="77777777" w:rsidR="009956BC" w:rsidRPr="00D40DC9" w:rsidRDefault="009956BC" w:rsidP="009956BC">
            <w:pPr>
              <w:jc w:val="center"/>
              <w:rPr>
                <w:sz w:val="18"/>
                <w:lang w:val="es-419"/>
              </w:rPr>
            </w:pPr>
            <w:r w:rsidRPr="00D40DC9">
              <w:rPr>
                <w:sz w:val="18"/>
                <w:lang w:val="es-419"/>
              </w:rPr>
              <w:t xml:space="preserve">10 </w:t>
            </w:r>
            <w:proofErr w:type="spellStart"/>
            <w:r w:rsidRPr="00D40DC9">
              <w:rPr>
                <w:sz w:val="18"/>
                <w:lang w:val="es-419"/>
              </w:rPr>
              <w:t>obtriangular</w:t>
            </w:r>
            <w:proofErr w:type="spellEnd"/>
          </w:p>
        </w:tc>
      </w:tr>
      <w:tr w:rsidR="009956BC" w:rsidRPr="00D40DC9" w14:paraId="6592A37C" w14:textId="77777777" w:rsidTr="001270B2">
        <w:trPr>
          <w:cantSplit/>
          <w:trHeight w:val="2035"/>
          <w:jc w:val="center"/>
        </w:trPr>
        <w:tc>
          <w:tcPr>
            <w:tcW w:w="379" w:type="dxa"/>
            <w:vMerge/>
            <w:shd w:val="clear" w:color="auto" w:fill="auto"/>
          </w:tcPr>
          <w:p w14:paraId="742EB729" w14:textId="77777777" w:rsidR="009956BC" w:rsidRPr="00D40DC9" w:rsidRDefault="009956BC" w:rsidP="009956BC">
            <w:pPr>
              <w:jc w:val="center"/>
              <w:rPr>
                <w:sz w:val="18"/>
                <w:lang w:val="es-419"/>
              </w:rPr>
            </w:pPr>
          </w:p>
        </w:tc>
        <w:tc>
          <w:tcPr>
            <w:tcW w:w="429" w:type="dxa"/>
            <w:gridSpan w:val="2"/>
            <w:vMerge/>
            <w:tcBorders>
              <w:right w:val="single" w:sz="4" w:space="0" w:color="auto"/>
            </w:tcBorders>
          </w:tcPr>
          <w:p w14:paraId="3F358439" w14:textId="77777777" w:rsidR="009956BC" w:rsidRPr="00D40DC9" w:rsidRDefault="009956BC" w:rsidP="009956BC">
            <w:pPr>
              <w:jc w:val="center"/>
              <w:rPr>
                <w:sz w:val="18"/>
                <w:lang w:val="es-419"/>
              </w:rPr>
            </w:pPr>
          </w:p>
        </w:tc>
        <w:tc>
          <w:tcPr>
            <w:tcW w:w="283" w:type="dxa"/>
            <w:gridSpan w:val="2"/>
            <w:tcBorders>
              <w:top w:val="nil"/>
              <w:left w:val="nil"/>
              <w:bottom w:val="nil"/>
              <w:right w:val="nil"/>
            </w:tcBorders>
          </w:tcPr>
          <w:p w14:paraId="031E60F1" w14:textId="77777777" w:rsidR="009956BC" w:rsidRPr="00D40DC9" w:rsidRDefault="009956BC" w:rsidP="009956BC">
            <w:pPr>
              <w:jc w:val="center"/>
              <w:rPr>
                <w:sz w:val="18"/>
                <w:lang w:val="es-419"/>
              </w:rPr>
            </w:pPr>
          </w:p>
        </w:tc>
        <w:tc>
          <w:tcPr>
            <w:tcW w:w="1420" w:type="dxa"/>
            <w:tcBorders>
              <w:left w:val="single" w:sz="4" w:space="0" w:color="auto"/>
            </w:tcBorders>
          </w:tcPr>
          <w:p w14:paraId="3F79B60C" w14:textId="77777777" w:rsidR="009956BC" w:rsidRPr="00D40DC9" w:rsidRDefault="009956BC" w:rsidP="009956BC">
            <w:pPr>
              <w:jc w:val="center"/>
              <w:rPr>
                <w:sz w:val="18"/>
                <w:lang w:val="es-419"/>
              </w:rPr>
            </w:pPr>
          </w:p>
        </w:tc>
        <w:tc>
          <w:tcPr>
            <w:tcW w:w="1389" w:type="dxa"/>
          </w:tcPr>
          <w:p w14:paraId="3B49C28E" w14:textId="77777777" w:rsidR="009956BC" w:rsidRPr="00D40DC9" w:rsidRDefault="009956BC" w:rsidP="009956BC">
            <w:pPr>
              <w:jc w:val="center"/>
              <w:rPr>
                <w:sz w:val="18"/>
                <w:lang w:val="es-419"/>
              </w:rPr>
            </w:pPr>
          </w:p>
        </w:tc>
        <w:tc>
          <w:tcPr>
            <w:tcW w:w="1389" w:type="dxa"/>
            <w:gridSpan w:val="2"/>
          </w:tcPr>
          <w:p w14:paraId="17B9840D" w14:textId="77777777" w:rsidR="009956BC" w:rsidRPr="00D40DC9" w:rsidRDefault="009956BC" w:rsidP="009956BC">
            <w:pPr>
              <w:jc w:val="center"/>
              <w:rPr>
                <w:sz w:val="18"/>
                <w:lang w:val="es-419"/>
              </w:rPr>
            </w:pPr>
            <w:r w:rsidRPr="00D40DC9">
              <w:rPr>
                <w:noProof/>
                <w:sz w:val="18"/>
                <w:lang w:val="en-US" w:eastAsia="en-US" w:bidi="ar-SA"/>
              </w:rPr>
              <w:drawing>
                <wp:inline distT="0" distB="0" distL="0" distR="0" wp14:anchorId="27D33B1F" wp14:editId="6D8FD11A">
                  <wp:extent cx="60007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14:paraId="430B9E9F" w14:textId="77777777" w:rsidR="009956BC" w:rsidRPr="00D40DC9" w:rsidRDefault="009956BC" w:rsidP="009956BC">
            <w:pPr>
              <w:jc w:val="center"/>
              <w:rPr>
                <w:sz w:val="18"/>
                <w:lang w:val="es-419"/>
              </w:rPr>
            </w:pPr>
            <w:r w:rsidRPr="00D40DC9">
              <w:rPr>
                <w:sz w:val="18"/>
                <w:lang w:val="es-419"/>
              </w:rPr>
              <w:t>3</w:t>
            </w:r>
          </w:p>
          <w:p w14:paraId="2FD10092" w14:textId="77777777" w:rsidR="009956BC" w:rsidRPr="00D40DC9" w:rsidRDefault="009956BC" w:rsidP="009956BC">
            <w:pPr>
              <w:jc w:val="center"/>
              <w:rPr>
                <w:sz w:val="18"/>
                <w:lang w:val="es-419"/>
              </w:rPr>
            </w:pPr>
            <w:r w:rsidRPr="00D40DC9">
              <w:rPr>
                <w:sz w:val="18"/>
                <w:lang w:val="es-419"/>
              </w:rPr>
              <w:t>circular</w:t>
            </w:r>
          </w:p>
        </w:tc>
        <w:tc>
          <w:tcPr>
            <w:tcW w:w="1388" w:type="dxa"/>
            <w:gridSpan w:val="2"/>
          </w:tcPr>
          <w:p w14:paraId="000FAD78" w14:textId="77777777" w:rsidR="009956BC" w:rsidRPr="00D40DC9" w:rsidRDefault="009956BC" w:rsidP="009956BC">
            <w:pPr>
              <w:jc w:val="center"/>
              <w:rPr>
                <w:sz w:val="18"/>
                <w:lang w:val="es-419"/>
              </w:rPr>
            </w:pPr>
          </w:p>
        </w:tc>
        <w:tc>
          <w:tcPr>
            <w:tcW w:w="1389" w:type="dxa"/>
          </w:tcPr>
          <w:p w14:paraId="747E928E" w14:textId="77777777" w:rsidR="009956BC" w:rsidRPr="00D40DC9" w:rsidRDefault="009956BC" w:rsidP="009956BC">
            <w:pPr>
              <w:jc w:val="center"/>
              <w:rPr>
                <w:sz w:val="18"/>
                <w:lang w:val="es-419"/>
              </w:rPr>
            </w:pPr>
          </w:p>
        </w:tc>
        <w:tc>
          <w:tcPr>
            <w:tcW w:w="1389" w:type="dxa"/>
            <w:gridSpan w:val="2"/>
          </w:tcPr>
          <w:p w14:paraId="36C95A1C" w14:textId="77777777" w:rsidR="009956BC" w:rsidRPr="00D40DC9" w:rsidRDefault="009956BC" w:rsidP="009956BC">
            <w:pPr>
              <w:jc w:val="center"/>
              <w:rPr>
                <w:sz w:val="18"/>
                <w:lang w:val="es-419"/>
              </w:rPr>
            </w:pPr>
          </w:p>
        </w:tc>
      </w:tr>
    </w:tbl>
    <w:p w14:paraId="4596B88B" w14:textId="77777777" w:rsidR="009956BC" w:rsidRPr="00D40DC9" w:rsidRDefault="009956BC" w:rsidP="009956BC">
      <w:pPr>
        <w:rPr>
          <w:lang w:val="es-419"/>
        </w:rPr>
      </w:pPr>
    </w:p>
    <w:p w14:paraId="423286EF" w14:textId="77777777" w:rsidR="009956BC" w:rsidRPr="00D40DC9" w:rsidRDefault="009956BC" w:rsidP="009956BC">
      <w:pPr>
        <w:rPr>
          <w:lang w:val="es-419"/>
        </w:rPr>
      </w:pPr>
    </w:p>
    <w:p w14:paraId="276F61E2" w14:textId="77777777" w:rsidR="009956BC" w:rsidRPr="00D40DC9" w:rsidRDefault="009956BC" w:rsidP="009956BC">
      <w:pPr>
        <w:jc w:val="left"/>
        <w:rPr>
          <w:lang w:val="es-419"/>
        </w:rPr>
      </w:pPr>
      <w:r w:rsidRPr="00D40DC9">
        <w:rPr>
          <w:lang w:val="es-419"/>
        </w:rPr>
        <w:br w:type="page"/>
      </w:r>
    </w:p>
    <w:p w14:paraId="770AD385" w14:textId="77777777" w:rsidR="009956BC" w:rsidRPr="00D40DC9" w:rsidRDefault="009956BC" w:rsidP="009956BC">
      <w:pPr>
        <w:rPr>
          <w:rFonts w:eastAsia="MS Mincho"/>
          <w:u w:val="single"/>
          <w:lang w:val="es-419"/>
        </w:rPr>
      </w:pPr>
      <w:r w:rsidRPr="00D40DC9">
        <w:rPr>
          <w:u w:val="single"/>
          <w:lang w:val="es-419"/>
        </w:rPr>
        <w:lastRenderedPageBreak/>
        <w:t>ii)</w:t>
      </w:r>
      <w:r w:rsidRPr="00D40DC9">
        <w:rPr>
          <w:u w:val="single"/>
          <w:lang w:val="es-419"/>
        </w:rPr>
        <w:tab/>
        <w:t>Factores que se han de tener en cuenta al crear grupos de color</w:t>
      </w:r>
    </w:p>
    <w:p w14:paraId="75618CE6" w14:textId="77777777" w:rsidR="009956BC" w:rsidRPr="00D40DC9" w:rsidRDefault="009956BC" w:rsidP="009956BC">
      <w:pPr>
        <w:rPr>
          <w:lang w:val="es-419"/>
        </w:rPr>
      </w:pPr>
    </w:p>
    <w:p w14:paraId="3A674FDD" w14:textId="77777777" w:rsidR="009956BC" w:rsidRPr="00D40DC9" w:rsidRDefault="009956BC" w:rsidP="009956B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En su quincuagésima cuarta sesión, el TC examinó el documento TC/54/22 “Nombres de los colores de la carta de colores RHS” (véase el párrafo 244 del documento TC/54/31 “Informe”)</w:t>
      </w:r>
    </w:p>
    <w:p w14:paraId="286F91F3" w14:textId="77777777" w:rsidR="009956BC" w:rsidRPr="00D40DC9" w:rsidRDefault="009956BC" w:rsidP="009956BC">
      <w:pPr>
        <w:rPr>
          <w:lang w:val="es-419"/>
        </w:rPr>
      </w:pPr>
    </w:p>
    <w:p w14:paraId="5B3EE7C0" w14:textId="77777777" w:rsidR="009956BC" w:rsidRPr="00D40DC9" w:rsidRDefault="009956BC" w:rsidP="009956BC">
      <w:pPr>
        <w:rPr>
          <w:lang w:val="es-419"/>
        </w:rPr>
      </w:pPr>
      <w:r w:rsidRPr="00D40DC9">
        <w:rPr>
          <w:lang w:val="es-419"/>
        </w:rPr>
        <w:fldChar w:fldCharType="begin"/>
      </w:r>
      <w:r w:rsidRPr="00D40DC9">
        <w:rPr>
          <w:lang w:val="es-419"/>
        </w:rPr>
        <w:instrText xml:space="preserve"> AUTONUM  </w:instrText>
      </w:r>
      <w:r w:rsidRPr="00D40DC9">
        <w:rPr>
          <w:lang w:val="es-419"/>
        </w:rPr>
        <w:fldChar w:fldCharType="end"/>
      </w:r>
      <w:r w:rsidRPr="00D40DC9">
        <w:rPr>
          <w:lang w:val="es-419"/>
        </w:rPr>
        <w:tab/>
        <w:t>El TC acordó proponer que se revise el documento TGP/14 para incluir la siguiente orientación sobre los factores que se han de tener en cuenta al crear grupos de color a efectos de agrupar variedades y organizar el ensayo de cultivo:</w:t>
      </w:r>
    </w:p>
    <w:p w14:paraId="174D8DBD" w14:textId="77777777" w:rsidR="009956BC" w:rsidRPr="00D40DC9" w:rsidRDefault="009956BC" w:rsidP="009956BC">
      <w:pPr>
        <w:rPr>
          <w:rFonts w:eastAsiaTheme="minorEastAsia" w:cs="Arial"/>
          <w:lang w:val="es-419"/>
        </w:rPr>
      </w:pPr>
    </w:p>
    <w:p w14:paraId="15434F19" w14:textId="0536F39C" w:rsidR="009956BC" w:rsidRPr="00D40DC9" w:rsidRDefault="00794CEC" w:rsidP="009956BC">
      <w:pPr>
        <w:ind w:left="567" w:right="567"/>
        <w:rPr>
          <w:rFonts w:eastAsiaTheme="minorEastAsia" w:cs="Arial"/>
          <w:sz w:val="18"/>
          <w:szCs w:val="18"/>
          <w:lang w:val="es-419"/>
        </w:rPr>
      </w:pPr>
      <w:r w:rsidRPr="00D40DC9">
        <w:rPr>
          <w:rFonts w:eastAsiaTheme="minorEastAsia"/>
          <w:sz w:val="18"/>
          <w:lang w:val="es-419"/>
        </w:rPr>
        <w:t>S</w:t>
      </w:r>
      <w:r w:rsidR="009956BC" w:rsidRPr="00D40DC9">
        <w:rPr>
          <w:rFonts w:eastAsiaTheme="minorEastAsia"/>
          <w:sz w:val="18"/>
          <w:lang w:val="es-419"/>
        </w:rPr>
        <w:t>ubsección 3: color: nueva sección: “Factores que se han de tener en cuenta al crear grupos de color</w:t>
      </w:r>
    </w:p>
    <w:p w14:paraId="523E37D7" w14:textId="77777777" w:rsidR="009956BC" w:rsidRPr="00D40DC9" w:rsidRDefault="009956BC" w:rsidP="009956BC">
      <w:pPr>
        <w:ind w:left="567" w:right="567"/>
        <w:rPr>
          <w:rFonts w:eastAsiaTheme="minorEastAsia" w:cs="Arial"/>
          <w:sz w:val="18"/>
          <w:lang w:val="es-419"/>
        </w:rPr>
      </w:pPr>
    </w:p>
    <w:p w14:paraId="37F11111" w14:textId="77777777" w:rsidR="009956BC" w:rsidRPr="00D40DC9" w:rsidRDefault="009956BC" w:rsidP="009956BC">
      <w:pPr>
        <w:ind w:left="567" w:right="567"/>
        <w:rPr>
          <w:rFonts w:eastAsiaTheme="minorEastAsia" w:cs="Arial"/>
          <w:sz w:val="18"/>
          <w:lang w:val="es-419"/>
        </w:rPr>
      </w:pPr>
      <w:r w:rsidRPr="00D40DC9">
        <w:rPr>
          <w:rFonts w:eastAsiaTheme="minorEastAsia"/>
          <w:sz w:val="18"/>
          <w:lang w:val="es-419"/>
        </w:rPr>
        <w:t>Cuando se utiliza el color de una parte de una planta para el agrupamiento de variedades, es necesario que la diferencia entre los colores sea clara y amplia. No obstante, los grupos de color se emplean en el cuestionario técnico incluso en el caso de que el solicitante no disponga de una carta de colores RHS. Por tanto, los grupos han de ser lo suficientemente pequeños como para que el solicitante pueda proporcionar un nivel de expresión adecuado para el carácter.</w:t>
      </w:r>
    </w:p>
    <w:p w14:paraId="36288A79" w14:textId="77777777" w:rsidR="009956BC" w:rsidRPr="00D40DC9" w:rsidRDefault="009956BC" w:rsidP="009956BC">
      <w:pPr>
        <w:ind w:left="567" w:right="567"/>
        <w:rPr>
          <w:rFonts w:eastAsiaTheme="minorEastAsia" w:cs="Arial"/>
          <w:sz w:val="18"/>
          <w:lang w:val="es-419"/>
        </w:rPr>
      </w:pPr>
    </w:p>
    <w:p w14:paraId="4C5520DE" w14:textId="77777777" w:rsidR="009956BC" w:rsidRPr="00D40DC9" w:rsidRDefault="009956BC" w:rsidP="009956BC">
      <w:pPr>
        <w:ind w:left="567" w:right="567"/>
        <w:rPr>
          <w:rFonts w:eastAsiaTheme="minorEastAsia" w:cs="Arial"/>
          <w:sz w:val="18"/>
          <w:lang w:val="es-419"/>
        </w:rPr>
      </w:pPr>
      <w:r w:rsidRPr="00D40DC9">
        <w:rPr>
          <w:rFonts w:eastAsiaTheme="minorEastAsia"/>
          <w:sz w:val="18"/>
          <w:lang w:val="es-419"/>
        </w:rPr>
        <w:t>Al crear grupos de color a efectos del agrupamiento, se han de tener en cuenta los factores siguientes:</w:t>
      </w:r>
    </w:p>
    <w:p w14:paraId="78DAC77A" w14:textId="77777777" w:rsidR="009956BC" w:rsidRPr="00D40DC9" w:rsidRDefault="009956BC" w:rsidP="009956BC">
      <w:pPr>
        <w:ind w:left="567" w:right="567"/>
        <w:rPr>
          <w:rFonts w:eastAsiaTheme="minorEastAsia" w:cs="Arial"/>
          <w:sz w:val="10"/>
          <w:lang w:val="es-419"/>
        </w:rPr>
      </w:pPr>
    </w:p>
    <w:p w14:paraId="7C23838F" w14:textId="77777777" w:rsidR="009956BC" w:rsidRPr="00D40DC9" w:rsidRDefault="009956BC" w:rsidP="00794CEC">
      <w:pPr>
        <w:ind w:left="1134" w:right="567"/>
        <w:contextualSpacing/>
        <w:rPr>
          <w:rFonts w:eastAsiaTheme="minorEastAsia" w:cs="Arial"/>
          <w:sz w:val="18"/>
          <w:lang w:val="es-419"/>
        </w:rPr>
      </w:pPr>
      <w:r w:rsidRPr="00D40DC9">
        <w:rPr>
          <w:rFonts w:eastAsiaTheme="minorEastAsia"/>
          <w:sz w:val="18"/>
          <w:lang w:val="es-419"/>
        </w:rPr>
        <w:t>a)</w:t>
      </w:r>
      <w:r w:rsidRPr="00D40DC9">
        <w:rPr>
          <w:lang w:val="es-419"/>
        </w:rPr>
        <w:tab/>
      </w:r>
      <w:r w:rsidRPr="00D40DC9">
        <w:rPr>
          <w:rFonts w:eastAsiaTheme="minorEastAsia"/>
          <w:sz w:val="18"/>
          <w:lang w:val="es-419"/>
        </w:rPr>
        <w:t>la gama de variación del color de la parte de la planta dentro de la especie</w:t>
      </w:r>
    </w:p>
    <w:p w14:paraId="797B090B" w14:textId="77777777" w:rsidR="009956BC" w:rsidRPr="00D40DC9" w:rsidRDefault="009956BC" w:rsidP="00794CEC">
      <w:pPr>
        <w:ind w:left="1134" w:right="567"/>
        <w:contextualSpacing/>
        <w:rPr>
          <w:rFonts w:eastAsiaTheme="minorEastAsia" w:cs="Arial"/>
          <w:sz w:val="18"/>
          <w:lang w:val="es-419"/>
        </w:rPr>
      </w:pPr>
      <w:r w:rsidRPr="00D40DC9">
        <w:rPr>
          <w:rFonts w:eastAsiaTheme="minorEastAsia"/>
          <w:sz w:val="18"/>
          <w:lang w:val="es-419"/>
        </w:rPr>
        <w:t>b)</w:t>
      </w:r>
      <w:r w:rsidRPr="00D40DC9">
        <w:rPr>
          <w:lang w:val="es-419"/>
        </w:rPr>
        <w:tab/>
      </w:r>
      <w:r w:rsidRPr="00D40DC9">
        <w:rPr>
          <w:rFonts w:eastAsiaTheme="minorEastAsia"/>
          <w:sz w:val="18"/>
          <w:lang w:val="es-419"/>
        </w:rPr>
        <w:t>la diferencia entre los colores para que las variedades se consideren claramente distinguibles</w:t>
      </w:r>
    </w:p>
    <w:p w14:paraId="0016F432" w14:textId="77777777" w:rsidR="009956BC" w:rsidRPr="00D40DC9" w:rsidRDefault="009956BC" w:rsidP="00794CEC">
      <w:pPr>
        <w:ind w:left="1134" w:right="567"/>
        <w:contextualSpacing/>
        <w:rPr>
          <w:rFonts w:eastAsiaTheme="minorEastAsia" w:cs="Arial"/>
          <w:sz w:val="18"/>
          <w:lang w:val="es-419"/>
        </w:rPr>
      </w:pPr>
      <w:r w:rsidRPr="00D40DC9">
        <w:rPr>
          <w:rFonts w:eastAsiaTheme="minorEastAsia"/>
          <w:sz w:val="18"/>
          <w:lang w:val="es-419"/>
        </w:rPr>
        <w:t>c)</w:t>
      </w:r>
      <w:r w:rsidRPr="00D40DC9">
        <w:rPr>
          <w:lang w:val="es-419"/>
        </w:rPr>
        <w:tab/>
      </w:r>
      <w:r w:rsidRPr="00D40DC9">
        <w:rPr>
          <w:rFonts w:eastAsiaTheme="minorEastAsia"/>
          <w:sz w:val="18"/>
          <w:lang w:val="es-419"/>
        </w:rPr>
        <w:t>la posible influencia del medio ambiente en el color de la parte de la planta.</w:t>
      </w:r>
    </w:p>
    <w:p w14:paraId="0BA2C5C2" w14:textId="77777777" w:rsidR="009956BC" w:rsidRPr="00D40DC9" w:rsidRDefault="009956BC" w:rsidP="009956BC">
      <w:pPr>
        <w:rPr>
          <w:rFonts w:eastAsiaTheme="minorEastAsia"/>
          <w:lang w:val="es-419"/>
        </w:rPr>
      </w:pPr>
    </w:p>
    <w:p w14:paraId="7E8961AA" w14:textId="77777777" w:rsidR="009956BC" w:rsidRPr="00D40DC9" w:rsidRDefault="009956BC" w:rsidP="009956BC">
      <w:pPr>
        <w:ind w:left="567" w:right="567"/>
        <w:rPr>
          <w:rFonts w:eastAsiaTheme="minorEastAsia" w:cs="Arial"/>
          <w:sz w:val="18"/>
          <w:lang w:val="es-419"/>
        </w:rPr>
      </w:pPr>
      <w:r w:rsidRPr="00D40DC9">
        <w:rPr>
          <w:rFonts w:eastAsiaTheme="minorEastAsia"/>
          <w:sz w:val="18"/>
          <w:lang w:val="es-419"/>
        </w:rPr>
        <w:t>Según la especie de que se trate y la parte de la planta que se observe, los grupos de color para el agrupamiento pueden variar. En el cuadro siguiente se ofrecen ejemplos de grupos de color en los caracteres de agrupamiento de diferentes directrices de examen.</w:t>
      </w:r>
    </w:p>
    <w:p w14:paraId="7774BB79" w14:textId="77777777" w:rsidR="009956BC" w:rsidRPr="00D40DC9" w:rsidRDefault="009956BC" w:rsidP="009956BC">
      <w:pPr>
        <w:tabs>
          <w:tab w:val="left" w:pos="8556"/>
        </w:tabs>
        <w:rPr>
          <w:rFonts w:eastAsiaTheme="minorEastAsia" w:cs="Arial"/>
          <w:sz w:val="18"/>
          <w:lang w:val="es-419"/>
        </w:rPr>
      </w:pPr>
    </w:p>
    <w:tbl>
      <w:tblPr>
        <w:tblW w:w="8738" w:type="dxa"/>
        <w:jc w:val="center"/>
        <w:tblLayout w:type="fixed"/>
        <w:tblCellMar>
          <w:top w:w="57" w:type="dxa"/>
          <w:left w:w="57" w:type="dxa"/>
          <w:bottom w:w="28" w:type="dxa"/>
          <w:right w:w="57" w:type="dxa"/>
        </w:tblCellMar>
        <w:tblLook w:val="04A0" w:firstRow="1" w:lastRow="0" w:firstColumn="1" w:lastColumn="0" w:noHBand="0" w:noVBand="1"/>
      </w:tblPr>
      <w:tblGrid>
        <w:gridCol w:w="1508"/>
        <w:gridCol w:w="1786"/>
        <w:gridCol w:w="2002"/>
        <w:gridCol w:w="1741"/>
        <w:gridCol w:w="1701"/>
      </w:tblGrid>
      <w:tr w:rsidR="009956BC" w:rsidRPr="00D40DC9" w14:paraId="7DA4CC07" w14:textId="77777777" w:rsidTr="001270B2">
        <w:trPr>
          <w:cantSplit/>
          <w:trHeight w:val="397"/>
          <w:jc w:val="center"/>
        </w:trPr>
        <w:tc>
          <w:tcPr>
            <w:tcW w:w="1508" w:type="dxa"/>
            <w:tcBorders>
              <w:top w:val="single" w:sz="4" w:space="0" w:color="auto"/>
              <w:left w:val="nil"/>
              <w:bottom w:val="single" w:sz="4" w:space="0" w:color="auto"/>
              <w:right w:val="single" w:sz="4" w:space="0" w:color="auto"/>
            </w:tcBorders>
          </w:tcPr>
          <w:p w14:paraId="5448FD61" w14:textId="77777777" w:rsidR="009956BC" w:rsidRPr="00D40DC9" w:rsidRDefault="009956BC" w:rsidP="00794CEC">
            <w:pPr>
              <w:keepNext/>
              <w:jc w:val="left"/>
              <w:rPr>
                <w:sz w:val="16"/>
                <w:lang w:val="es-419"/>
              </w:rPr>
            </w:pPr>
            <w:r w:rsidRPr="00D40DC9">
              <w:rPr>
                <w:sz w:val="16"/>
                <w:lang w:val="es-419"/>
              </w:rPr>
              <w:t>Directrices de examen</w:t>
            </w:r>
          </w:p>
        </w:tc>
        <w:tc>
          <w:tcPr>
            <w:tcW w:w="1786" w:type="dxa"/>
            <w:tcBorders>
              <w:top w:val="single" w:sz="4" w:space="0" w:color="auto"/>
              <w:left w:val="single" w:sz="4" w:space="0" w:color="auto"/>
              <w:bottom w:val="single" w:sz="4" w:space="0" w:color="auto"/>
              <w:right w:val="single" w:sz="4" w:space="0" w:color="auto"/>
            </w:tcBorders>
            <w:hideMark/>
          </w:tcPr>
          <w:p w14:paraId="0F2D45C9" w14:textId="77777777" w:rsidR="009956BC" w:rsidRPr="00D40DC9" w:rsidRDefault="009956BC" w:rsidP="009956BC">
            <w:pPr>
              <w:keepNext/>
              <w:rPr>
                <w:sz w:val="16"/>
                <w:lang w:val="es-419"/>
              </w:rPr>
            </w:pPr>
            <w:proofErr w:type="spellStart"/>
            <w:r w:rsidRPr="00D40DC9">
              <w:rPr>
                <w:i/>
                <w:sz w:val="16"/>
                <w:lang w:val="es-419"/>
              </w:rPr>
              <w:t>Campanula</w:t>
            </w:r>
            <w:proofErr w:type="spellEnd"/>
            <w:r w:rsidRPr="00D40DC9">
              <w:rPr>
                <w:sz w:val="16"/>
                <w:lang w:val="es-419"/>
              </w:rPr>
              <w:br/>
              <w:t>(TG/305/1)</w:t>
            </w:r>
          </w:p>
        </w:tc>
        <w:tc>
          <w:tcPr>
            <w:tcW w:w="2002" w:type="dxa"/>
            <w:tcBorders>
              <w:top w:val="single" w:sz="4" w:space="0" w:color="auto"/>
              <w:left w:val="single" w:sz="4" w:space="0" w:color="auto"/>
              <w:bottom w:val="single" w:sz="4" w:space="0" w:color="auto"/>
              <w:right w:val="single" w:sz="4" w:space="0" w:color="auto"/>
            </w:tcBorders>
            <w:hideMark/>
          </w:tcPr>
          <w:p w14:paraId="56DAF7CD" w14:textId="77777777" w:rsidR="009956BC" w:rsidRPr="00D40DC9" w:rsidRDefault="009956BC" w:rsidP="009956BC">
            <w:pPr>
              <w:keepNext/>
              <w:rPr>
                <w:sz w:val="16"/>
                <w:lang w:val="es-419"/>
              </w:rPr>
            </w:pPr>
            <w:proofErr w:type="spellStart"/>
            <w:r w:rsidRPr="00D40DC9">
              <w:rPr>
                <w:i/>
                <w:sz w:val="16"/>
                <w:lang w:val="es-419"/>
              </w:rPr>
              <w:t>Hosta</w:t>
            </w:r>
            <w:proofErr w:type="spellEnd"/>
            <w:r w:rsidRPr="00D40DC9">
              <w:rPr>
                <w:sz w:val="16"/>
                <w:lang w:val="es-419"/>
              </w:rPr>
              <w:br/>
              <w:t>(TG/299/1)</w:t>
            </w:r>
          </w:p>
        </w:tc>
        <w:tc>
          <w:tcPr>
            <w:tcW w:w="1741" w:type="dxa"/>
            <w:tcBorders>
              <w:top w:val="single" w:sz="4" w:space="0" w:color="auto"/>
              <w:left w:val="single" w:sz="4" w:space="0" w:color="auto"/>
              <w:bottom w:val="single" w:sz="4" w:space="0" w:color="auto"/>
              <w:right w:val="single" w:sz="4" w:space="0" w:color="auto"/>
            </w:tcBorders>
            <w:hideMark/>
          </w:tcPr>
          <w:p w14:paraId="29614DC3" w14:textId="77777777" w:rsidR="009956BC" w:rsidRPr="00D40DC9" w:rsidRDefault="009956BC" w:rsidP="009956BC">
            <w:pPr>
              <w:keepNext/>
              <w:rPr>
                <w:sz w:val="16"/>
                <w:lang w:val="es-419"/>
              </w:rPr>
            </w:pPr>
            <w:proofErr w:type="spellStart"/>
            <w:r w:rsidRPr="00D40DC9">
              <w:rPr>
                <w:i/>
                <w:sz w:val="16"/>
                <w:lang w:val="es-419"/>
              </w:rPr>
              <w:t>Cordyline</w:t>
            </w:r>
            <w:proofErr w:type="spellEnd"/>
            <w:r w:rsidRPr="00D40DC9">
              <w:rPr>
                <w:sz w:val="16"/>
                <w:lang w:val="es-419"/>
              </w:rPr>
              <w:br/>
              <w:t>(TG/317/1)</w:t>
            </w:r>
          </w:p>
        </w:tc>
        <w:tc>
          <w:tcPr>
            <w:tcW w:w="1701" w:type="dxa"/>
            <w:tcBorders>
              <w:top w:val="single" w:sz="4" w:space="0" w:color="auto"/>
              <w:left w:val="single" w:sz="4" w:space="0" w:color="auto"/>
              <w:bottom w:val="single" w:sz="4" w:space="0" w:color="auto"/>
            </w:tcBorders>
            <w:hideMark/>
          </w:tcPr>
          <w:p w14:paraId="14F106F6" w14:textId="77777777" w:rsidR="009956BC" w:rsidRPr="00D40DC9" w:rsidRDefault="009956BC" w:rsidP="009956BC">
            <w:pPr>
              <w:keepNext/>
              <w:rPr>
                <w:sz w:val="16"/>
                <w:lang w:val="es-419"/>
              </w:rPr>
            </w:pPr>
            <w:proofErr w:type="spellStart"/>
            <w:r w:rsidRPr="00D40DC9">
              <w:rPr>
                <w:i/>
                <w:sz w:val="16"/>
                <w:lang w:val="es-419"/>
              </w:rPr>
              <w:t>Osteospermum</w:t>
            </w:r>
            <w:proofErr w:type="spellEnd"/>
            <w:r w:rsidRPr="00D40DC9">
              <w:rPr>
                <w:sz w:val="16"/>
                <w:lang w:val="es-419"/>
              </w:rPr>
              <w:br/>
              <w:t>(TG/175/5)</w:t>
            </w:r>
          </w:p>
        </w:tc>
      </w:tr>
      <w:tr w:rsidR="009956BC" w:rsidRPr="00D40DC9" w14:paraId="3DB6F543" w14:textId="77777777" w:rsidTr="001270B2">
        <w:trPr>
          <w:cantSplit/>
          <w:jc w:val="center"/>
        </w:trPr>
        <w:tc>
          <w:tcPr>
            <w:tcW w:w="1508" w:type="dxa"/>
            <w:tcBorders>
              <w:top w:val="nil"/>
              <w:left w:val="nil"/>
              <w:bottom w:val="single" w:sz="4" w:space="0" w:color="auto"/>
              <w:right w:val="single" w:sz="4" w:space="0" w:color="auto"/>
            </w:tcBorders>
          </w:tcPr>
          <w:p w14:paraId="36341F61" w14:textId="77777777" w:rsidR="009956BC" w:rsidRPr="00D40DC9" w:rsidRDefault="009956BC" w:rsidP="00794CEC">
            <w:pPr>
              <w:keepNext/>
              <w:jc w:val="left"/>
              <w:rPr>
                <w:sz w:val="16"/>
                <w:lang w:val="es-419"/>
              </w:rPr>
            </w:pPr>
            <w:r w:rsidRPr="00D40DC9">
              <w:rPr>
                <w:sz w:val="16"/>
                <w:lang w:val="es-419"/>
              </w:rPr>
              <w:t>Carácter</w:t>
            </w:r>
          </w:p>
        </w:tc>
        <w:tc>
          <w:tcPr>
            <w:tcW w:w="1786" w:type="dxa"/>
            <w:tcBorders>
              <w:top w:val="nil"/>
              <w:left w:val="single" w:sz="4" w:space="0" w:color="auto"/>
              <w:bottom w:val="single" w:sz="4" w:space="0" w:color="auto"/>
              <w:right w:val="single" w:sz="4" w:space="0" w:color="auto"/>
            </w:tcBorders>
            <w:hideMark/>
          </w:tcPr>
          <w:p w14:paraId="08A4A961" w14:textId="77777777" w:rsidR="009956BC" w:rsidRPr="00D40DC9" w:rsidRDefault="009956BC" w:rsidP="009956BC">
            <w:pPr>
              <w:keepNext/>
              <w:jc w:val="left"/>
              <w:rPr>
                <w:sz w:val="16"/>
                <w:lang w:val="es-419"/>
              </w:rPr>
            </w:pPr>
            <w:r w:rsidRPr="00D40DC9">
              <w:rPr>
                <w:sz w:val="16"/>
                <w:lang w:val="es-419"/>
              </w:rPr>
              <w:t>Corola: color principal de la cara interna</w:t>
            </w:r>
          </w:p>
        </w:tc>
        <w:tc>
          <w:tcPr>
            <w:tcW w:w="2002" w:type="dxa"/>
            <w:tcBorders>
              <w:top w:val="nil"/>
              <w:left w:val="single" w:sz="4" w:space="0" w:color="auto"/>
              <w:bottom w:val="single" w:sz="4" w:space="0" w:color="auto"/>
              <w:right w:val="single" w:sz="4" w:space="0" w:color="auto"/>
            </w:tcBorders>
            <w:hideMark/>
          </w:tcPr>
          <w:p w14:paraId="30029940" w14:textId="77777777" w:rsidR="009956BC" w:rsidRPr="00D40DC9" w:rsidRDefault="009956BC" w:rsidP="009956BC">
            <w:pPr>
              <w:keepNext/>
              <w:jc w:val="left"/>
              <w:rPr>
                <w:sz w:val="16"/>
                <w:lang w:val="es-419"/>
              </w:rPr>
            </w:pPr>
            <w:r w:rsidRPr="00D40DC9">
              <w:rPr>
                <w:sz w:val="16"/>
                <w:lang w:val="es-419"/>
              </w:rPr>
              <w:t>Limbo: color que ocupa la superficie más grande</w:t>
            </w:r>
          </w:p>
        </w:tc>
        <w:tc>
          <w:tcPr>
            <w:tcW w:w="1741" w:type="dxa"/>
            <w:tcBorders>
              <w:top w:val="nil"/>
              <w:left w:val="single" w:sz="4" w:space="0" w:color="auto"/>
              <w:bottom w:val="single" w:sz="4" w:space="0" w:color="auto"/>
              <w:right w:val="single" w:sz="4" w:space="0" w:color="auto"/>
            </w:tcBorders>
            <w:hideMark/>
          </w:tcPr>
          <w:p w14:paraId="6EBDE9C3" w14:textId="77777777" w:rsidR="009956BC" w:rsidRPr="00D40DC9" w:rsidRDefault="009956BC" w:rsidP="009956BC">
            <w:pPr>
              <w:keepNext/>
              <w:jc w:val="left"/>
              <w:rPr>
                <w:sz w:val="16"/>
                <w:lang w:val="es-419"/>
              </w:rPr>
            </w:pPr>
            <w:r w:rsidRPr="00D40DC9">
              <w:rPr>
                <w:sz w:val="16"/>
                <w:lang w:val="es-419"/>
              </w:rPr>
              <w:t>Hoja: color secundario</w:t>
            </w:r>
          </w:p>
        </w:tc>
        <w:tc>
          <w:tcPr>
            <w:tcW w:w="1701" w:type="dxa"/>
            <w:tcBorders>
              <w:top w:val="nil"/>
              <w:left w:val="single" w:sz="4" w:space="0" w:color="auto"/>
              <w:bottom w:val="single" w:sz="4" w:space="0" w:color="auto"/>
            </w:tcBorders>
            <w:hideMark/>
          </w:tcPr>
          <w:p w14:paraId="06BDE2EB" w14:textId="77777777" w:rsidR="009956BC" w:rsidRPr="00D40DC9" w:rsidRDefault="009956BC" w:rsidP="009956BC">
            <w:pPr>
              <w:keepNext/>
              <w:jc w:val="left"/>
              <w:rPr>
                <w:sz w:val="16"/>
                <w:lang w:val="es-419"/>
              </w:rPr>
            </w:pPr>
            <w:r w:rsidRPr="00D40DC9">
              <w:rPr>
                <w:sz w:val="16"/>
                <w:lang w:val="es-419"/>
              </w:rPr>
              <w:t>Flor ligulada: color principal de la parte central</w:t>
            </w:r>
          </w:p>
        </w:tc>
      </w:tr>
      <w:tr w:rsidR="009956BC" w:rsidRPr="00D40DC9" w14:paraId="15360A47" w14:textId="77777777" w:rsidTr="001270B2">
        <w:trPr>
          <w:cantSplit/>
          <w:jc w:val="center"/>
        </w:trPr>
        <w:tc>
          <w:tcPr>
            <w:tcW w:w="1508" w:type="dxa"/>
            <w:vMerge w:val="restart"/>
            <w:tcBorders>
              <w:top w:val="nil"/>
              <w:left w:val="nil"/>
              <w:right w:val="single" w:sz="4" w:space="0" w:color="auto"/>
            </w:tcBorders>
            <w:hideMark/>
          </w:tcPr>
          <w:p w14:paraId="2EEBE568" w14:textId="77777777" w:rsidR="009956BC" w:rsidRPr="00D40DC9" w:rsidRDefault="009956BC" w:rsidP="00794CEC">
            <w:pPr>
              <w:keepNext/>
              <w:jc w:val="left"/>
              <w:rPr>
                <w:sz w:val="16"/>
                <w:lang w:val="es-419"/>
              </w:rPr>
            </w:pPr>
            <w:r w:rsidRPr="00D40DC9">
              <w:rPr>
                <w:sz w:val="16"/>
                <w:lang w:val="es-419"/>
              </w:rPr>
              <w:t>Grupos de color</w:t>
            </w:r>
          </w:p>
          <w:p w14:paraId="2ACC86FF" w14:textId="77777777" w:rsidR="009956BC" w:rsidRPr="00D40DC9" w:rsidRDefault="009956BC" w:rsidP="00794CEC">
            <w:pPr>
              <w:keepNext/>
              <w:jc w:val="left"/>
              <w:rPr>
                <w:sz w:val="16"/>
                <w:lang w:val="es-419"/>
              </w:rPr>
            </w:pPr>
            <w:r w:rsidRPr="00D40DC9">
              <w:rPr>
                <w:sz w:val="16"/>
                <w:lang w:val="es-419"/>
              </w:rPr>
              <w:t>para el agrupamiento</w:t>
            </w:r>
          </w:p>
        </w:tc>
        <w:tc>
          <w:tcPr>
            <w:tcW w:w="1786" w:type="dxa"/>
            <w:tcBorders>
              <w:top w:val="nil"/>
              <w:left w:val="single" w:sz="4" w:space="0" w:color="auto"/>
              <w:bottom w:val="nil"/>
              <w:right w:val="single" w:sz="4" w:space="0" w:color="auto"/>
            </w:tcBorders>
            <w:hideMark/>
          </w:tcPr>
          <w:p w14:paraId="0363B1AB" w14:textId="77777777" w:rsidR="009956BC" w:rsidRPr="00D40DC9" w:rsidRDefault="009956BC" w:rsidP="009956BC">
            <w:pPr>
              <w:keepNext/>
              <w:rPr>
                <w:sz w:val="16"/>
                <w:lang w:val="es-419"/>
              </w:rPr>
            </w:pPr>
            <w:r w:rsidRPr="00D40DC9">
              <w:rPr>
                <w:sz w:val="16"/>
                <w:lang w:val="es-419"/>
              </w:rPr>
              <w:t>blanco</w:t>
            </w:r>
          </w:p>
        </w:tc>
        <w:tc>
          <w:tcPr>
            <w:tcW w:w="2002" w:type="dxa"/>
            <w:tcBorders>
              <w:top w:val="nil"/>
              <w:left w:val="single" w:sz="4" w:space="0" w:color="auto"/>
              <w:bottom w:val="nil"/>
              <w:right w:val="single" w:sz="4" w:space="0" w:color="auto"/>
            </w:tcBorders>
            <w:hideMark/>
          </w:tcPr>
          <w:p w14:paraId="22A3961C" w14:textId="77777777" w:rsidR="009956BC" w:rsidRPr="00D40DC9" w:rsidRDefault="009956BC" w:rsidP="009956BC">
            <w:pPr>
              <w:keepNext/>
              <w:rPr>
                <w:sz w:val="16"/>
                <w:lang w:val="es-419"/>
              </w:rPr>
            </w:pPr>
            <w:r w:rsidRPr="00D40DC9">
              <w:rPr>
                <w:sz w:val="16"/>
                <w:lang w:val="es-419"/>
              </w:rPr>
              <w:t>blanco</w:t>
            </w:r>
          </w:p>
        </w:tc>
        <w:tc>
          <w:tcPr>
            <w:tcW w:w="1741" w:type="dxa"/>
            <w:tcBorders>
              <w:top w:val="nil"/>
              <w:left w:val="single" w:sz="4" w:space="0" w:color="auto"/>
              <w:bottom w:val="nil"/>
              <w:right w:val="single" w:sz="4" w:space="0" w:color="auto"/>
            </w:tcBorders>
            <w:hideMark/>
          </w:tcPr>
          <w:p w14:paraId="78C2715B" w14:textId="77777777" w:rsidR="009956BC" w:rsidRPr="00D40DC9" w:rsidRDefault="009956BC" w:rsidP="009956BC">
            <w:pPr>
              <w:keepNext/>
              <w:rPr>
                <w:sz w:val="16"/>
                <w:lang w:val="es-419"/>
              </w:rPr>
            </w:pPr>
            <w:r w:rsidRPr="00D40DC9">
              <w:rPr>
                <w:sz w:val="16"/>
                <w:lang w:val="es-419"/>
              </w:rPr>
              <w:t>blanco</w:t>
            </w:r>
          </w:p>
        </w:tc>
        <w:tc>
          <w:tcPr>
            <w:tcW w:w="1701" w:type="dxa"/>
            <w:tcBorders>
              <w:top w:val="nil"/>
              <w:left w:val="single" w:sz="4" w:space="0" w:color="auto"/>
              <w:bottom w:val="nil"/>
            </w:tcBorders>
            <w:hideMark/>
          </w:tcPr>
          <w:p w14:paraId="5683B14F" w14:textId="77777777" w:rsidR="009956BC" w:rsidRPr="00D40DC9" w:rsidRDefault="009956BC" w:rsidP="009956BC">
            <w:pPr>
              <w:keepNext/>
              <w:rPr>
                <w:sz w:val="16"/>
                <w:lang w:val="es-419"/>
              </w:rPr>
            </w:pPr>
            <w:r w:rsidRPr="00D40DC9">
              <w:rPr>
                <w:sz w:val="16"/>
                <w:lang w:val="es-419"/>
              </w:rPr>
              <w:t>blanco</w:t>
            </w:r>
          </w:p>
        </w:tc>
      </w:tr>
      <w:tr w:rsidR="009956BC" w:rsidRPr="00D40DC9" w14:paraId="651F58E9" w14:textId="77777777" w:rsidTr="001270B2">
        <w:trPr>
          <w:cantSplit/>
          <w:jc w:val="center"/>
        </w:trPr>
        <w:tc>
          <w:tcPr>
            <w:tcW w:w="1508" w:type="dxa"/>
            <w:vMerge/>
            <w:tcBorders>
              <w:left w:val="nil"/>
              <w:bottom w:val="nil"/>
              <w:right w:val="single" w:sz="4" w:space="0" w:color="auto"/>
            </w:tcBorders>
            <w:hideMark/>
          </w:tcPr>
          <w:p w14:paraId="553512D1" w14:textId="77777777" w:rsidR="009956BC" w:rsidRPr="00D40DC9" w:rsidRDefault="009956BC" w:rsidP="00794CEC">
            <w:pPr>
              <w:keepNext/>
              <w:jc w:val="left"/>
              <w:rPr>
                <w:sz w:val="16"/>
                <w:lang w:val="es-419"/>
              </w:rPr>
            </w:pPr>
          </w:p>
        </w:tc>
        <w:tc>
          <w:tcPr>
            <w:tcW w:w="1786" w:type="dxa"/>
            <w:tcBorders>
              <w:top w:val="nil"/>
              <w:left w:val="single" w:sz="4" w:space="0" w:color="auto"/>
              <w:bottom w:val="nil"/>
              <w:right w:val="single" w:sz="4" w:space="0" w:color="auto"/>
            </w:tcBorders>
            <w:hideMark/>
          </w:tcPr>
          <w:p w14:paraId="701FD1A3" w14:textId="77777777" w:rsidR="009956BC" w:rsidRPr="00D40DC9" w:rsidRDefault="009956BC" w:rsidP="009956BC">
            <w:pPr>
              <w:keepNext/>
              <w:rPr>
                <w:sz w:val="16"/>
                <w:lang w:val="es-419"/>
              </w:rPr>
            </w:pPr>
            <w:r w:rsidRPr="00D40DC9">
              <w:rPr>
                <w:sz w:val="16"/>
                <w:lang w:val="es-419"/>
              </w:rPr>
              <w:t>rosa</w:t>
            </w:r>
          </w:p>
        </w:tc>
        <w:tc>
          <w:tcPr>
            <w:tcW w:w="2002" w:type="dxa"/>
            <w:tcBorders>
              <w:top w:val="nil"/>
              <w:left w:val="single" w:sz="4" w:space="0" w:color="auto"/>
              <w:bottom w:val="nil"/>
              <w:right w:val="single" w:sz="4" w:space="0" w:color="auto"/>
            </w:tcBorders>
            <w:hideMark/>
          </w:tcPr>
          <w:p w14:paraId="0FBA41C5" w14:textId="77777777" w:rsidR="009956BC" w:rsidRPr="00D40DC9" w:rsidRDefault="009956BC" w:rsidP="009956BC">
            <w:pPr>
              <w:keepNext/>
              <w:rPr>
                <w:sz w:val="16"/>
                <w:lang w:val="es-419"/>
              </w:rPr>
            </w:pPr>
            <w:r w:rsidRPr="00D40DC9">
              <w:rPr>
                <w:sz w:val="16"/>
                <w:lang w:val="es-419"/>
              </w:rPr>
              <w:t>amarillo claro</w:t>
            </w:r>
          </w:p>
        </w:tc>
        <w:tc>
          <w:tcPr>
            <w:tcW w:w="1741" w:type="dxa"/>
            <w:tcBorders>
              <w:top w:val="nil"/>
              <w:left w:val="single" w:sz="4" w:space="0" w:color="auto"/>
              <w:bottom w:val="nil"/>
              <w:right w:val="single" w:sz="4" w:space="0" w:color="auto"/>
            </w:tcBorders>
            <w:hideMark/>
          </w:tcPr>
          <w:p w14:paraId="7779D73D" w14:textId="77777777" w:rsidR="009956BC" w:rsidRPr="00D40DC9" w:rsidRDefault="009956BC" w:rsidP="009956BC">
            <w:pPr>
              <w:keepNext/>
              <w:rPr>
                <w:sz w:val="16"/>
                <w:lang w:val="es-419"/>
              </w:rPr>
            </w:pPr>
            <w:r w:rsidRPr="00D40DC9">
              <w:rPr>
                <w:sz w:val="16"/>
                <w:lang w:val="es-419"/>
              </w:rPr>
              <w:t>amarillo</w:t>
            </w:r>
          </w:p>
        </w:tc>
        <w:tc>
          <w:tcPr>
            <w:tcW w:w="1701" w:type="dxa"/>
            <w:tcBorders>
              <w:top w:val="nil"/>
              <w:left w:val="single" w:sz="4" w:space="0" w:color="auto"/>
              <w:bottom w:val="nil"/>
            </w:tcBorders>
            <w:hideMark/>
          </w:tcPr>
          <w:p w14:paraId="1843339A" w14:textId="77777777" w:rsidR="009956BC" w:rsidRPr="00D40DC9" w:rsidRDefault="009956BC" w:rsidP="009956BC">
            <w:pPr>
              <w:keepNext/>
              <w:rPr>
                <w:sz w:val="16"/>
                <w:lang w:val="es-419"/>
              </w:rPr>
            </w:pPr>
            <w:r w:rsidRPr="00D40DC9">
              <w:rPr>
                <w:sz w:val="16"/>
                <w:lang w:val="es-419"/>
              </w:rPr>
              <w:t>amarillo</w:t>
            </w:r>
          </w:p>
        </w:tc>
      </w:tr>
      <w:tr w:rsidR="009956BC" w:rsidRPr="00D40DC9" w14:paraId="1C5AD69F" w14:textId="77777777" w:rsidTr="001270B2">
        <w:trPr>
          <w:cantSplit/>
          <w:jc w:val="center"/>
        </w:trPr>
        <w:tc>
          <w:tcPr>
            <w:tcW w:w="1508" w:type="dxa"/>
            <w:tcBorders>
              <w:top w:val="nil"/>
              <w:left w:val="nil"/>
              <w:bottom w:val="nil"/>
              <w:right w:val="single" w:sz="4" w:space="0" w:color="auto"/>
            </w:tcBorders>
          </w:tcPr>
          <w:p w14:paraId="7EA2C4CC" w14:textId="77777777" w:rsidR="009956BC" w:rsidRPr="00D40DC9" w:rsidRDefault="009956BC" w:rsidP="00794CEC">
            <w:pPr>
              <w:keepNext/>
              <w:jc w:val="left"/>
              <w:rPr>
                <w:sz w:val="16"/>
                <w:lang w:val="es-419"/>
              </w:rPr>
            </w:pPr>
          </w:p>
        </w:tc>
        <w:tc>
          <w:tcPr>
            <w:tcW w:w="1786" w:type="dxa"/>
            <w:tcBorders>
              <w:top w:val="nil"/>
              <w:left w:val="single" w:sz="4" w:space="0" w:color="auto"/>
              <w:bottom w:val="nil"/>
              <w:right w:val="single" w:sz="4" w:space="0" w:color="auto"/>
            </w:tcBorders>
            <w:hideMark/>
          </w:tcPr>
          <w:p w14:paraId="4564C45D" w14:textId="77777777" w:rsidR="009956BC" w:rsidRPr="00D40DC9" w:rsidRDefault="009956BC" w:rsidP="009956BC">
            <w:pPr>
              <w:keepNext/>
              <w:rPr>
                <w:sz w:val="16"/>
                <w:lang w:val="es-419"/>
              </w:rPr>
            </w:pPr>
            <w:r w:rsidRPr="00D40DC9">
              <w:rPr>
                <w:sz w:val="16"/>
                <w:lang w:val="es-419"/>
              </w:rPr>
              <w:t>púrpura rojizo</w:t>
            </w:r>
          </w:p>
        </w:tc>
        <w:tc>
          <w:tcPr>
            <w:tcW w:w="2002" w:type="dxa"/>
            <w:tcBorders>
              <w:top w:val="nil"/>
              <w:left w:val="single" w:sz="4" w:space="0" w:color="auto"/>
              <w:bottom w:val="nil"/>
              <w:right w:val="single" w:sz="4" w:space="0" w:color="auto"/>
            </w:tcBorders>
            <w:hideMark/>
          </w:tcPr>
          <w:p w14:paraId="45CE002C" w14:textId="77777777" w:rsidR="009956BC" w:rsidRPr="00D40DC9" w:rsidRDefault="009956BC" w:rsidP="009956BC">
            <w:pPr>
              <w:keepNext/>
              <w:rPr>
                <w:sz w:val="16"/>
                <w:lang w:val="es-419"/>
              </w:rPr>
            </w:pPr>
            <w:r w:rsidRPr="00D40DC9">
              <w:rPr>
                <w:sz w:val="16"/>
                <w:lang w:val="es-419"/>
              </w:rPr>
              <w:t>amarillo medio</w:t>
            </w:r>
          </w:p>
        </w:tc>
        <w:tc>
          <w:tcPr>
            <w:tcW w:w="1741" w:type="dxa"/>
            <w:tcBorders>
              <w:top w:val="nil"/>
              <w:left w:val="single" w:sz="4" w:space="0" w:color="auto"/>
              <w:bottom w:val="nil"/>
              <w:right w:val="single" w:sz="4" w:space="0" w:color="auto"/>
            </w:tcBorders>
            <w:hideMark/>
          </w:tcPr>
          <w:p w14:paraId="0AE97067" w14:textId="77777777" w:rsidR="009956BC" w:rsidRPr="00D40DC9" w:rsidRDefault="009956BC" w:rsidP="009956BC">
            <w:pPr>
              <w:keepNext/>
              <w:rPr>
                <w:sz w:val="16"/>
                <w:lang w:val="es-419"/>
              </w:rPr>
            </w:pPr>
            <w:r w:rsidRPr="00D40DC9">
              <w:rPr>
                <w:sz w:val="16"/>
                <w:lang w:val="es-419"/>
              </w:rPr>
              <w:t>verde</w:t>
            </w:r>
          </w:p>
        </w:tc>
        <w:tc>
          <w:tcPr>
            <w:tcW w:w="1701" w:type="dxa"/>
            <w:tcBorders>
              <w:top w:val="nil"/>
              <w:left w:val="single" w:sz="4" w:space="0" w:color="auto"/>
              <w:bottom w:val="nil"/>
            </w:tcBorders>
            <w:hideMark/>
          </w:tcPr>
          <w:p w14:paraId="3889DFC8" w14:textId="77777777" w:rsidR="009956BC" w:rsidRPr="00D40DC9" w:rsidRDefault="009956BC" w:rsidP="009956BC">
            <w:pPr>
              <w:keepNext/>
              <w:rPr>
                <w:sz w:val="16"/>
                <w:lang w:val="es-419"/>
              </w:rPr>
            </w:pPr>
            <w:r w:rsidRPr="00D40DC9">
              <w:rPr>
                <w:sz w:val="16"/>
                <w:lang w:val="es-419"/>
              </w:rPr>
              <w:t>naranja</w:t>
            </w:r>
          </w:p>
        </w:tc>
      </w:tr>
      <w:tr w:rsidR="009956BC" w:rsidRPr="00D40DC9" w14:paraId="136113B6" w14:textId="77777777" w:rsidTr="001270B2">
        <w:trPr>
          <w:cantSplit/>
          <w:jc w:val="center"/>
        </w:trPr>
        <w:tc>
          <w:tcPr>
            <w:tcW w:w="1508" w:type="dxa"/>
            <w:tcBorders>
              <w:top w:val="nil"/>
              <w:left w:val="nil"/>
              <w:bottom w:val="nil"/>
              <w:right w:val="single" w:sz="4" w:space="0" w:color="auto"/>
            </w:tcBorders>
          </w:tcPr>
          <w:p w14:paraId="63E858DE" w14:textId="77777777" w:rsidR="009956BC" w:rsidRPr="00D40DC9" w:rsidRDefault="009956BC" w:rsidP="00794CEC">
            <w:pPr>
              <w:keepNext/>
              <w:jc w:val="left"/>
              <w:rPr>
                <w:sz w:val="16"/>
                <w:lang w:val="es-419"/>
              </w:rPr>
            </w:pPr>
          </w:p>
        </w:tc>
        <w:tc>
          <w:tcPr>
            <w:tcW w:w="1786" w:type="dxa"/>
            <w:tcBorders>
              <w:top w:val="nil"/>
              <w:left w:val="single" w:sz="4" w:space="0" w:color="auto"/>
              <w:bottom w:val="nil"/>
              <w:right w:val="single" w:sz="4" w:space="0" w:color="auto"/>
            </w:tcBorders>
            <w:hideMark/>
          </w:tcPr>
          <w:p w14:paraId="63A624F2" w14:textId="77777777" w:rsidR="009956BC" w:rsidRPr="00D40DC9" w:rsidRDefault="009956BC" w:rsidP="009956BC">
            <w:pPr>
              <w:keepNext/>
              <w:rPr>
                <w:sz w:val="16"/>
                <w:lang w:val="es-419"/>
              </w:rPr>
            </w:pPr>
            <w:r w:rsidRPr="00D40DC9">
              <w:rPr>
                <w:sz w:val="16"/>
                <w:lang w:val="es-419"/>
              </w:rPr>
              <w:t>púrpura</w:t>
            </w:r>
          </w:p>
        </w:tc>
        <w:tc>
          <w:tcPr>
            <w:tcW w:w="2002" w:type="dxa"/>
            <w:tcBorders>
              <w:top w:val="nil"/>
              <w:left w:val="single" w:sz="4" w:space="0" w:color="auto"/>
              <w:bottom w:val="nil"/>
              <w:right w:val="single" w:sz="4" w:space="0" w:color="auto"/>
            </w:tcBorders>
            <w:hideMark/>
          </w:tcPr>
          <w:p w14:paraId="77E4521E" w14:textId="77777777" w:rsidR="009956BC" w:rsidRPr="00D40DC9" w:rsidRDefault="009956BC" w:rsidP="009956BC">
            <w:pPr>
              <w:keepNext/>
              <w:rPr>
                <w:sz w:val="16"/>
                <w:lang w:val="es-419"/>
              </w:rPr>
            </w:pPr>
            <w:r w:rsidRPr="00D40DC9">
              <w:rPr>
                <w:sz w:val="16"/>
                <w:lang w:val="es-419"/>
              </w:rPr>
              <w:t>amarillo oscuro</w:t>
            </w:r>
          </w:p>
        </w:tc>
        <w:tc>
          <w:tcPr>
            <w:tcW w:w="1741" w:type="dxa"/>
            <w:tcBorders>
              <w:top w:val="nil"/>
              <w:left w:val="single" w:sz="4" w:space="0" w:color="auto"/>
              <w:bottom w:val="nil"/>
              <w:right w:val="single" w:sz="4" w:space="0" w:color="auto"/>
            </w:tcBorders>
            <w:hideMark/>
          </w:tcPr>
          <w:p w14:paraId="0D2F52EB" w14:textId="77777777" w:rsidR="009956BC" w:rsidRPr="00D40DC9" w:rsidRDefault="009956BC" w:rsidP="009956BC">
            <w:pPr>
              <w:keepNext/>
              <w:rPr>
                <w:sz w:val="16"/>
                <w:lang w:val="es-419"/>
              </w:rPr>
            </w:pPr>
            <w:r w:rsidRPr="00D40DC9">
              <w:rPr>
                <w:sz w:val="16"/>
                <w:lang w:val="es-419"/>
              </w:rPr>
              <w:t>rojo</w:t>
            </w:r>
          </w:p>
        </w:tc>
        <w:tc>
          <w:tcPr>
            <w:tcW w:w="1701" w:type="dxa"/>
            <w:tcBorders>
              <w:top w:val="nil"/>
              <w:left w:val="single" w:sz="4" w:space="0" w:color="auto"/>
              <w:bottom w:val="nil"/>
            </w:tcBorders>
            <w:hideMark/>
          </w:tcPr>
          <w:p w14:paraId="6B8CCB53" w14:textId="77777777" w:rsidR="009956BC" w:rsidRPr="00D40DC9" w:rsidRDefault="009956BC" w:rsidP="009956BC">
            <w:pPr>
              <w:keepNext/>
              <w:rPr>
                <w:sz w:val="16"/>
                <w:lang w:val="es-419"/>
              </w:rPr>
            </w:pPr>
            <w:r w:rsidRPr="00D40DC9">
              <w:rPr>
                <w:sz w:val="16"/>
                <w:lang w:val="es-419"/>
              </w:rPr>
              <w:t>rosa</w:t>
            </w:r>
          </w:p>
        </w:tc>
      </w:tr>
      <w:tr w:rsidR="009956BC" w:rsidRPr="00D40DC9" w14:paraId="3B3B8ED7" w14:textId="77777777" w:rsidTr="001270B2">
        <w:trPr>
          <w:cantSplit/>
          <w:jc w:val="center"/>
        </w:trPr>
        <w:tc>
          <w:tcPr>
            <w:tcW w:w="1508" w:type="dxa"/>
            <w:tcBorders>
              <w:top w:val="nil"/>
              <w:left w:val="nil"/>
              <w:bottom w:val="nil"/>
              <w:right w:val="single" w:sz="4" w:space="0" w:color="auto"/>
            </w:tcBorders>
          </w:tcPr>
          <w:p w14:paraId="0E3DD79B" w14:textId="77777777" w:rsidR="009956BC" w:rsidRPr="00D40DC9" w:rsidRDefault="009956BC" w:rsidP="00794CEC">
            <w:pPr>
              <w:keepNext/>
              <w:jc w:val="left"/>
              <w:rPr>
                <w:sz w:val="16"/>
                <w:lang w:val="es-419"/>
              </w:rPr>
            </w:pPr>
          </w:p>
        </w:tc>
        <w:tc>
          <w:tcPr>
            <w:tcW w:w="1786" w:type="dxa"/>
            <w:tcBorders>
              <w:top w:val="nil"/>
              <w:left w:val="single" w:sz="4" w:space="0" w:color="auto"/>
              <w:bottom w:val="nil"/>
              <w:right w:val="single" w:sz="4" w:space="0" w:color="auto"/>
            </w:tcBorders>
            <w:hideMark/>
          </w:tcPr>
          <w:p w14:paraId="75850868" w14:textId="77777777" w:rsidR="009956BC" w:rsidRPr="00D40DC9" w:rsidRDefault="009956BC" w:rsidP="009956BC">
            <w:pPr>
              <w:keepNext/>
              <w:rPr>
                <w:sz w:val="16"/>
                <w:lang w:val="es-419"/>
              </w:rPr>
            </w:pPr>
            <w:r w:rsidRPr="00D40DC9">
              <w:rPr>
                <w:sz w:val="16"/>
                <w:lang w:val="es-419"/>
              </w:rPr>
              <w:t>azul</w:t>
            </w:r>
          </w:p>
        </w:tc>
        <w:tc>
          <w:tcPr>
            <w:tcW w:w="2002" w:type="dxa"/>
            <w:tcBorders>
              <w:top w:val="nil"/>
              <w:left w:val="single" w:sz="4" w:space="0" w:color="auto"/>
              <w:bottom w:val="nil"/>
              <w:right w:val="single" w:sz="4" w:space="0" w:color="auto"/>
            </w:tcBorders>
            <w:hideMark/>
          </w:tcPr>
          <w:p w14:paraId="0BA07957" w14:textId="77777777" w:rsidR="009956BC" w:rsidRPr="00D40DC9" w:rsidRDefault="009956BC" w:rsidP="009956BC">
            <w:pPr>
              <w:keepNext/>
              <w:rPr>
                <w:sz w:val="16"/>
                <w:lang w:val="es-419"/>
              </w:rPr>
            </w:pPr>
            <w:r w:rsidRPr="00D40DC9">
              <w:rPr>
                <w:sz w:val="16"/>
                <w:lang w:val="es-419"/>
              </w:rPr>
              <w:t>verde claro</w:t>
            </w:r>
          </w:p>
        </w:tc>
        <w:tc>
          <w:tcPr>
            <w:tcW w:w="1741" w:type="dxa"/>
            <w:tcBorders>
              <w:top w:val="nil"/>
              <w:left w:val="single" w:sz="4" w:space="0" w:color="auto"/>
              <w:bottom w:val="nil"/>
              <w:right w:val="single" w:sz="4" w:space="0" w:color="auto"/>
            </w:tcBorders>
            <w:hideMark/>
          </w:tcPr>
          <w:p w14:paraId="265BC650" w14:textId="77777777" w:rsidR="009956BC" w:rsidRPr="00D40DC9" w:rsidRDefault="009956BC" w:rsidP="009956BC">
            <w:pPr>
              <w:keepNext/>
              <w:rPr>
                <w:sz w:val="16"/>
                <w:lang w:val="es-419"/>
              </w:rPr>
            </w:pPr>
            <w:r w:rsidRPr="00D40DC9">
              <w:rPr>
                <w:sz w:val="16"/>
                <w:lang w:val="es-419"/>
              </w:rPr>
              <w:t>púrpura</w:t>
            </w:r>
          </w:p>
        </w:tc>
        <w:tc>
          <w:tcPr>
            <w:tcW w:w="1701" w:type="dxa"/>
            <w:tcBorders>
              <w:top w:val="nil"/>
              <w:left w:val="single" w:sz="4" w:space="0" w:color="auto"/>
              <w:bottom w:val="nil"/>
            </w:tcBorders>
            <w:hideMark/>
          </w:tcPr>
          <w:p w14:paraId="29D3BE62" w14:textId="77777777" w:rsidR="009956BC" w:rsidRPr="00D40DC9" w:rsidRDefault="009956BC" w:rsidP="009956BC">
            <w:pPr>
              <w:keepNext/>
              <w:rPr>
                <w:sz w:val="16"/>
                <w:lang w:val="es-419"/>
              </w:rPr>
            </w:pPr>
            <w:r w:rsidRPr="00D40DC9">
              <w:rPr>
                <w:sz w:val="16"/>
                <w:lang w:val="es-419"/>
              </w:rPr>
              <w:t>rojo</w:t>
            </w:r>
          </w:p>
        </w:tc>
      </w:tr>
      <w:tr w:rsidR="009956BC" w:rsidRPr="00D40DC9" w14:paraId="158B2953" w14:textId="77777777" w:rsidTr="001270B2">
        <w:trPr>
          <w:cantSplit/>
          <w:jc w:val="center"/>
        </w:trPr>
        <w:tc>
          <w:tcPr>
            <w:tcW w:w="1508" w:type="dxa"/>
            <w:tcBorders>
              <w:top w:val="nil"/>
              <w:left w:val="nil"/>
              <w:bottom w:val="nil"/>
              <w:right w:val="single" w:sz="4" w:space="0" w:color="auto"/>
            </w:tcBorders>
          </w:tcPr>
          <w:p w14:paraId="76E3B4C1" w14:textId="77777777" w:rsidR="009956BC" w:rsidRPr="00D40DC9" w:rsidRDefault="009956BC" w:rsidP="00794CEC">
            <w:pPr>
              <w:keepNext/>
              <w:jc w:val="left"/>
              <w:rPr>
                <w:sz w:val="16"/>
                <w:lang w:val="es-419"/>
              </w:rPr>
            </w:pPr>
          </w:p>
        </w:tc>
        <w:tc>
          <w:tcPr>
            <w:tcW w:w="1786" w:type="dxa"/>
            <w:tcBorders>
              <w:top w:val="nil"/>
              <w:left w:val="single" w:sz="4" w:space="0" w:color="auto"/>
              <w:bottom w:val="nil"/>
              <w:right w:val="single" w:sz="4" w:space="0" w:color="auto"/>
            </w:tcBorders>
          </w:tcPr>
          <w:p w14:paraId="189A4A79" w14:textId="77777777" w:rsidR="009956BC" w:rsidRPr="00D40DC9" w:rsidRDefault="009956BC" w:rsidP="009956BC">
            <w:pPr>
              <w:keepNext/>
              <w:rPr>
                <w:sz w:val="16"/>
                <w:lang w:val="es-419"/>
              </w:rPr>
            </w:pPr>
          </w:p>
        </w:tc>
        <w:tc>
          <w:tcPr>
            <w:tcW w:w="2002" w:type="dxa"/>
            <w:tcBorders>
              <w:top w:val="nil"/>
              <w:left w:val="single" w:sz="4" w:space="0" w:color="auto"/>
              <w:bottom w:val="nil"/>
              <w:right w:val="single" w:sz="4" w:space="0" w:color="auto"/>
            </w:tcBorders>
            <w:hideMark/>
          </w:tcPr>
          <w:p w14:paraId="7227CF42" w14:textId="77777777" w:rsidR="009956BC" w:rsidRPr="00D40DC9" w:rsidRDefault="009956BC" w:rsidP="009956BC">
            <w:pPr>
              <w:keepNext/>
              <w:rPr>
                <w:sz w:val="16"/>
                <w:lang w:val="es-419"/>
              </w:rPr>
            </w:pPr>
            <w:r w:rsidRPr="00D40DC9">
              <w:rPr>
                <w:sz w:val="16"/>
                <w:lang w:val="es-419"/>
              </w:rPr>
              <w:t>verde medio</w:t>
            </w:r>
          </w:p>
        </w:tc>
        <w:tc>
          <w:tcPr>
            <w:tcW w:w="1741" w:type="dxa"/>
            <w:tcBorders>
              <w:top w:val="nil"/>
              <w:left w:val="single" w:sz="4" w:space="0" w:color="auto"/>
              <w:bottom w:val="nil"/>
              <w:right w:val="single" w:sz="4" w:space="0" w:color="auto"/>
            </w:tcBorders>
            <w:hideMark/>
          </w:tcPr>
          <w:p w14:paraId="7C4705DE" w14:textId="77777777" w:rsidR="009956BC" w:rsidRPr="00D40DC9" w:rsidRDefault="009956BC" w:rsidP="009956BC">
            <w:pPr>
              <w:keepNext/>
              <w:rPr>
                <w:sz w:val="16"/>
                <w:lang w:val="es-419"/>
              </w:rPr>
            </w:pPr>
            <w:r w:rsidRPr="00D40DC9">
              <w:rPr>
                <w:sz w:val="16"/>
                <w:lang w:val="es-419"/>
              </w:rPr>
              <w:t>marrón</w:t>
            </w:r>
          </w:p>
        </w:tc>
        <w:tc>
          <w:tcPr>
            <w:tcW w:w="1701" w:type="dxa"/>
            <w:tcBorders>
              <w:top w:val="nil"/>
              <w:left w:val="single" w:sz="4" w:space="0" w:color="auto"/>
              <w:bottom w:val="nil"/>
            </w:tcBorders>
            <w:hideMark/>
          </w:tcPr>
          <w:p w14:paraId="4BB90F42" w14:textId="77777777" w:rsidR="009956BC" w:rsidRPr="00D40DC9" w:rsidRDefault="009956BC" w:rsidP="009956BC">
            <w:pPr>
              <w:keepNext/>
              <w:rPr>
                <w:sz w:val="16"/>
                <w:lang w:val="es-419"/>
              </w:rPr>
            </w:pPr>
            <w:r w:rsidRPr="00D40DC9">
              <w:rPr>
                <w:sz w:val="16"/>
                <w:lang w:val="es-419"/>
              </w:rPr>
              <w:t>púrpura</w:t>
            </w:r>
          </w:p>
        </w:tc>
      </w:tr>
      <w:tr w:rsidR="009956BC" w:rsidRPr="00D40DC9" w14:paraId="328E8D36" w14:textId="77777777" w:rsidTr="001270B2">
        <w:trPr>
          <w:cantSplit/>
          <w:jc w:val="center"/>
        </w:trPr>
        <w:tc>
          <w:tcPr>
            <w:tcW w:w="1508" w:type="dxa"/>
            <w:tcBorders>
              <w:top w:val="nil"/>
              <w:left w:val="nil"/>
              <w:bottom w:val="nil"/>
              <w:right w:val="single" w:sz="4" w:space="0" w:color="auto"/>
            </w:tcBorders>
          </w:tcPr>
          <w:p w14:paraId="16BD2088" w14:textId="77777777" w:rsidR="009956BC" w:rsidRPr="00D40DC9" w:rsidRDefault="009956BC" w:rsidP="00794CEC">
            <w:pPr>
              <w:keepNext/>
              <w:jc w:val="left"/>
              <w:rPr>
                <w:sz w:val="16"/>
                <w:lang w:val="es-419"/>
              </w:rPr>
            </w:pPr>
          </w:p>
        </w:tc>
        <w:tc>
          <w:tcPr>
            <w:tcW w:w="1786" w:type="dxa"/>
            <w:tcBorders>
              <w:top w:val="nil"/>
              <w:left w:val="single" w:sz="4" w:space="0" w:color="auto"/>
              <w:bottom w:val="nil"/>
              <w:right w:val="single" w:sz="4" w:space="0" w:color="auto"/>
            </w:tcBorders>
          </w:tcPr>
          <w:p w14:paraId="7095D0E7" w14:textId="77777777" w:rsidR="009956BC" w:rsidRPr="00D40DC9" w:rsidRDefault="009956BC" w:rsidP="009956BC">
            <w:pPr>
              <w:keepNext/>
              <w:rPr>
                <w:sz w:val="16"/>
                <w:lang w:val="es-419"/>
              </w:rPr>
            </w:pPr>
          </w:p>
        </w:tc>
        <w:tc>
          <w:tcPr>
            <w:tcW w:w="2002" w:type="dxa"/>
            <w:tcBorders>
              <w:top w:val="nil"/>
              <w:left w:val="single" w:sz="4" w:space="0" w:color="auto"/>
              <w:bottom w:val="nil"/>
              <w:right w:val="single" w:sz="4" w:space="0" w:color="auto"/>
            </w:tcBorders>
            <w:hideMark/>
          </w:tcPr>
          <w:p w14:paraId="3E7C2368" w14:textId="77777777" w:rsidR="009956BC" w:rsidRPr="00D40DC9" w:rsidRDefault="009956BC" w:rsidP="009956BC">
            <w:pPr>
              <w:keepNext/>
              <w:rPr>
                <w:sz w:val="16"/>
                <w:lang w:val="es-419"/>
              </w:rPr>
            </w:pPr>
            <w:r w:rsidRPr="00D40DC9">
              <w:rPr>
                <w:sz w:val="16"/>
                <w:lang w:val="es-419"/>
              </w:rPr>
              <w:t>verde oscuro</w:t>
            </w:r>
          </w:p>
        </w:tc>
        <w:tc>
          <w:tcPr>
            <w:tcW w:w="1741" w:type="dxa"/>
            <w:tcBorders>
              <w:top w:val="nil"/>
              <w:left w:val="single" w:sz="4" w:space="0" w:color="auto"/>
              <w:bottom w:val="nil"/>
              <w:right w:val="single" w:sz="4" w:space="0" w:color="auto"/>
            </w:tcBorders>
            <w:hideMark/>
          </w:tcPr>
          <w:p w14:paraId="3B671F6E" w14:textId="77777777" w:rsidR="009956BC" w:rsidRPr="00D40DC9" w:rsidRDefault="009956BC" w:rsidP="009956BC">
            <w:pPr>
              <w:keepNext/>
              <w:rPr>
                <w:sz w:val="16"/>
                <w:lang w:val="es-419"/>
              </w:rPr>
            </w:pPr>
            <w:r w:rsidRPr="00D40DC9">
              <w:rPr>
                <w:sz w:val="16"/>
                <w:lang w:val="es-419"/>
              </w:rPr>
              <w:t>negruzco</w:t>
            </w:r>
          </w:p>
        </w:tc>
        <w:tc>
          <w:tcPr>
            <w:tcW w:w="1701" w:type="dxa"/>
            <w:tcBorders>
              <w:top w:val="nil"/>
              <w:left w:val="single" w:sz="4" w:space="0" w:color="auto"/>
              <w:bottom w:val="nil"/>
            </w:tcBorders>
            <w:hideMark/>
          </w:tcPr>
          <w:p w14:paraId="7E2D7FD8" w14:textId="77777777" w:rsidR="009956BC" w:rsidRPr="00D40DC9" w:rsidRDefault="009956BC" w:rsidP="009956BC">
            <w:pPr>
              <w:keepNext/>
              <w:rPr>
                <w:sz w:val="16"/>
                <w:lang w:val="es-419"/>
              </w:rPr>
            </w:pPr>
            <w:r w:rsidRPr="00D40DC9">
              <w:rPr>
                <w:sz w:val="16"/>
                <w:lang w:val="es-419"/>
              </w:rPr>
              <w:t>violeta</w:t>
            </w:r>
          </w:p>
        </w:tc>
      </w:tr>
      <w:tr w:rsidR="009956BC" w:rsidRPr="00D40DC9" w14:paraId="265763BD" w14:textId="77777777" w:rsidTr="001270B2">
        <w:trPr>
          <w:cantSplit/>
          <w:jc w:val="center"/>
        </w:trPr>
        <w:tc>
          <w:tcPr>
            <w:tcW w:w="1508" w:type="dxa"/>
            <w:tcBorders>
              <w:top w:val="nil"/>
              <w:left w:val="nil"/>
              <w:bottom w:val="nil"/>
              <w:right w:val="single" w:sz="4" w:space="0" w:color="auto"/>
            </w:tcBorders>
          </w:tcPr>
          <w:p w14:paraId="21CC2151" w14:textId="77777777" w:rsidR="009956BC" w:rsidRPr="00D40DC9" w:rsidRDefault="009956BC" w:rsidP="00794CEC">
            <w:pPr>
              <w:jc w:val="left"/>
              <w:rPr>
                <w:sz w:val="16"/>
                <w:lang w:val="es-419"/>
              </w:rPr>
            </w:pPr>
          </w:p>
        </w:tc>
        <w:tc>
          <w:tcPr>
            <w:tcW w:w="1786" w:type="dxa"/>
            <w:tcBorders>
              <w:top w:val="nil"/>
              <w:left w:val="single" w:sz="4" w:space="0" w:color="auto"/>
              <w:bottom w:val="nil"/>
              <w:right w:val="single" w:sz="4" w:space="0" w:color="auto"/>
            </w:tcBorders>
          </w:tcPr>
          <w:p w14:paraId="2F26EBF4" w14:textId="77777777" w:rsidR="009956BC" w:rsidRPr="00D40DC9" w:rsidRDefault="009956BC" w:rsidP="009956BC">
            <w:pPr>
              <w:rPr>
                <w:sz w:val="16"/>
                <w:lang w:val="es-419"/>
              </w:rPr>
            </w:pPr>
          </w:p>
        </w:tc>
        <w:tc>
          <w:tcPr>
            <w:tcW w:w="2002" w:type="dxa"/>
            <w:tcBorders>
              <w:top w:val="nil"/>
              <w:left w:val="single" w:sz="4" w:space="0" w:color="auto"/>
              <w:bottom w:val="nil"/>
              <w:right w:val="single" w:sz="4" w:space="0" w:color="auto"/>
            </w:tcBorders>
            <w:hideMark/>
          </w:tcPr>
          <w:p w14:paraId="0336CD15" w14:textId="77777777" w:rsidR="009956BC" w:rsidRPr="00D40DC9" w:rsidRDefault="009956BC" w:rsidP="009956BC">
            <w:pPr>
              <w:rPr>
                <w:sz w:val="16"/>
                <w:lang w:val="es-419"/>
              </w:rPr>
            </w:pPr>
            <w:r w:rsidRPr="00D40DC9">
              <w:rPr>
                <w:sz w:val="16"/>
                <w:lang w:val="es-419"/>
              </w:rPr>
              <w:t>verde azulado</w:t>
            </w:r>
          </w:p>
        </w:tc>
        <w:tc>
          <w:tcPr>
            <w:tcW w:w="1741" w:type="dxa"/>
            <w:tcBorders>
              <w:top w:val="nil"/>
              <w:left w:val="single" w:sz="4" w:space="0" w:color="auto"/>
              <w:bottom w:val="nil"/>
              <w:right w:val="single" w:sz="4" w:space="0" w:color="auto"/>
            </w:tcBorders>
          </w:tcPr>
          <w:p w14:paraId="68663F25" w14:textId="77777777" w:rsidR="009956BC" w:rsidRPr="00D40DC9" w:rsidRDefault="009956BC" w:rsidP="009956BC">
            <w:pPr>
              <w:rPr>
                <w:sz w:val="16"/>
                <w:lang w:val="es-419"/>
              </w:rPr>
            </w:pPr>
          </w:p>
        </w:tc>
        <w:tc>
          <w:tcPr>
            <w:tcW w:w="1701" w:type="dxa"/>
            <w:tcBorders>
              <w:top w:val="nil"/>
              <w:left w:val="single" w:sz="4" w:space="0" w:color="auto"/>
              <w:bottom w:val="nil"/>
            </w:tcBorders>
          </w:tcPr>
          <w:p w14:paraId="35916834" w14:textId="77777777" w:rsidR="009956BC" w:rsidRPr="00D40DC9" w:rsidRDefault="009956BC" w:rsidP="009956BC">
            <w:pPr>
              <w:rPr>
                <w:sz w:val="16"/>
                <w:lang w:val="es-419"/>
              </w:rPr>
            </w:pPr>
          </w:p>
        </w:tc>
      </w:tr>
    </w:tbl>
    <w:p w14:paraId="019A2321" w14:textId="77777777" w:rsidR="009956BC" w:rsidRPr="00D40DC9" w:rsidRDefault="009956BC" w:rsidP="009956BC">
      <w:pPr>
        <w:rPr>
          <w:rFonts w:eastAsiaTheme="minorEastAsia" w:cs="Arial"/>
          <w:sz w:val="18"/>
          <w:lang w:val="es-419"/>
        </w:rPr>
      </w:pPr>
    </w:p>
    <w:p w14:paraId="114257D2" w14:textId="6F6DF760" w:rsidR="009956BC" w:rsidRPr="00D40DC9" w:rsidRDefault="009956BC" w:rsidP="009956BC">
      <w:pPr>
        <w:keepLines/>
        <w:ind w:left="567" w:right="567"/>
        <w:rPr>
          <w:rFonts w:eastAsiaTheme="minorEastAsia" w:cs="Arial"/>
          <w:sz w:val="18"/>
          <w:lang w:val="es-419"/>
        </w:rPr>
      </w:pPr>
      <w:r w:rsidRPr="00D40DC9">
        <w:rPr>
          <w:rFonts w:eastAsiaTheme="minorEastAsia"/>
          <w:sz w:val="18"/>
          <w:lang w:val="es-419"/>
        </w:rPr>
        <w:t>Cabe subrayar que, cuando se emplea información que no procede de la misma fuente (el mismo lugar, el mismo observador), los grupos no siempre son claramente distintos entre sí y no siempre se pueden utilizar para excluir variedades del ensayo.</w:t>
      </w:r>
      <w:r w:rsidR="007D241B" w:rsidRPr="00D40DC9">
        <w:rPr>
          <w:rFonts w:eastAsiaTheme="minorEastAsia"/>
          <w:sz w:val="18"/>
          <w:lang w:val="es-419"/>
        </w:rPr>
        <w:t xml:space="preserve"> </w:t>
      </w:r>
      <w:r w:rsidRPr="00D40DC9">
        <w:rPr>
          <w:rFonts w:eastAsiaTheme="minorEastAsia"/>
          <w:sz w:val="18"/>
          <w:lang w:val="es-419"/>
        </w:rPr>
        <w:t xml:space="preserve">Por ejemplo, respecto del carácter “Hoja: color secundario” de </w:t>
      </w:r>
      <w:proofErr w:type="spellStart"/>
      <w:r w:rsidRPr="00D40DC9">
        <w:rPr>
          <w:rFonts w:eastAsiaTheme="minorEastAsia"/>
          <w:i/>
          <w:sz w:val="18"/>
          <w:lang w:val="es-419"/>
        </w:rPr>
        <w:t>Cordyline</w:t>
      </w:r>
      <w:proofErr w:type="spellEnd"/>
      <w:r w:rsidRPr="00D40DC9">
        <w:rPr>
          <w:rFonts w:eastAsiaTheme="minorEastAsia"/>
          <w:sz w:val="18"/>
          <w:lang w:val="es-419"/>
        </w:rPr>
        <w:t>, es posible que no se pueda distinguir claramente entre “marrón” y “negruzco” en fotografías de Internet o de un catálogo de plantas.”</w:t>
      </w:r>
    </w:p>
    <w:p w14:paraId="392FDAEC" w14:textId="77777777" w:rsidR="009956BC" w:rsidRPr="00D40DC9" w:rsidRDefault="009956BC" w:rsidP="009956BC">
      <w:pPr>
        <w:jc w:val="left"/>
        <w:rPr>
          <w:lang w:val="es-419"/>
        </w:rPr>
      </w:pPr>
    </w:p>
    <w:p w14:paraId="7BEE6796" w14:textId="77777777" w:rsidR="009956BC" w:rsidRPr="00D40DC9" w:rsidRDefault="009956BC" w:rsidP="009956BC">
      <w:pPr>
        <w:jc w:val="left"/>
        <w:rPr>
          <w:lang w:val="es-419"/>
        </w:rPr>
      </w:pPr>
    </w:p>
    <w:p w14:paraId="0408D18B" w14:textId="77777777" w:rsidR="009956BC" w:rsidRPr="00D40DC9" w:rsidRDefault="009956BC" w:rsidP="009956BC">
      <w:pPr>
        <w:jc w:val="left"/>
        <w:rPr>
          <w:lang w:val="es-419"/>
        </w:rPr>
      </w:pPr>
    </w:p>
    <w:p w14:paraId="615B7246" w14:textId="77777777" w:rsidR="009956BC" w:rsidRPr="00D40DC9" w:rsidRDefault="009956BC" w:rsidP="009956BC">
      <w:pPr>
        <w:jc w:val="right"/>
        <w:rPr>
          <w:lang w:val="es-419"/>
        </w:rPr>
      </w:pPr>
      <w:r w:rsidRPr="00D40DC9">
        <w:rPr>
          <w:lang w:val="es-419"/>
        </w:rPr>
        <w:t>[Sigue el Anexo V]</w:t>
      </w:r>
    </w:p>
    <w:p w14:paraId="0C3BCACA" w14:textId="77777777" w:rsidR="009956BC" w:rsidRPr="00D40DC9" w:rsidRDefault="009956BC" w:rsidP="009956BC">
      <w:pPr>
        <w:jc w:val="left"/>
        <w:rPr>
          <w:lang w:val="es-419"/>
        </w:rPr>
      </w:pPr>
    </w:p>
    <w:p w14:paraId="6CDF5550" w14:textId="77777777" w:rsidR="009956BC" w:rsidRPr="00D40DC9" w:rsidRDefault="009956BC" w:rsidP="009956BC">
      <w:pPr>
        <w:jc w:val="left"/>
        <w:rPr>
          <w:lang w:val="es-419"/>
        </w:rPr>
        <w:sectPr w:rsidR="009956BC" w:rsidRPr="00D40DC9" w:rsidSect="001270B2">
          <w:headerReference w:type="default" r:id="rId32"/>
          <w:headerReference w:type="first" r:id="rId33"/>
          <w:pgSz w:w="11907" w:h="16840" w:code="9"/>
          <w:pgMar w:top="510" w:right="1134" w:bottom="709" w:left="1134" w:header="510" w:footer="680" w:gutter="0"/>
          <w:pgNumType w:start="1"/>
          <w:cols w:space="720"/>
          <w:titlePg/>
        </w:sectPr>
      </w:pPr>
    </w:p>
    <w:p w14:paraId="4ED8C52A" w14:textId="77777777" w:rsidR="009956BC" w:rsidRPr="00D40DC9" w:rsidRDefault="009956BC" w:rsidP="009956BC">
      <w:pPr>
        <w:jc w:val="center"/>
        <w:rPr>
          <w:lang w:val="es-419"/>
        </w:rPr>
      </w:pPr>
      <w:r w:rsidRPr="00D40DC9">
        <w:rPr>
          <w:lang w:val="es-419"/>
        </w:rPr>
        <w:lastRenderedPageBreak/>
        <w:t>ASUNTOS SUJETOS A LA APROBACIÓN POR EL CONSEJO EN 2019: DOCUMENTO TGP/15</w:t>
      </w:r>
    </w:p>
    <w:p w14:paraId="6D10B3B2" w14:textId="77777777" w:rsidR="009956BC" w:rsidRPr="00D40DC9" w:rsidRDefault="009956BC" w:rsidP="009956BC">
      <w:pPr>
        <w:rPr>
          <w:lang w:val="es-419"/>
        </w:rPr>
      </w:pPr>
    </w:p>
    <w:p w14:paraId="34CAB2E5" w14:textId="77777777" w:rsidR="009956BC" w:rsidRPr="00D40DC9" w:rsidRDefault="009956BC" w:rsidP="009956BC">
      <w:pPr>
        <w:rPr>
          <w:lang w:val="es-419"/>
        </w:rPr>
      </w:pPr>
      <w:r w:rsidRPr="00D40DC9">
        <w:rPr>
          <w:lang w:val="es-419"/>
        </w:rPr>
        <w:t>1.</w:t>
      </w:r>
      <w:r w:rsidRPr="00D40DC9">
        <w:rPr>
          <w:lang w:val="es-419"/>
        </w:rPr>
        <w:tab/>
        <w:t xml:space="preserve">El Comité Técnico convino en que las revisiones siguientes del documento TGP/15 </w:t>
      </w:r>
      <w:r w:rsidRPr="00D40DC9">
        <w:rPr>
          <w:caps/>
          <w:lang w:val="es-419"/>
        </w:rPr>
        <w:t>“</w:t>
      </w:r>
      <w:r w:rsidRPr="00D40DC9">
        <w:rPr>
          <w:lang w:val="es-419"/>
        </w:rPr>
        <w:t>Orientación sobre el uso de marcadores bioquímicos y moleculares en el examen de la distinción, la homogeneidad y la estabilidad (DHE)” se sometan a la aprobación del Consejo en su quincuagésima tercera sesión ordinaria, que se celebrará en Ginebra el 1 de noviembre de 2019, a reserva de la aprobación del CAJ, en su septuagésima sexta sesión, que se celebrará en Ginebra el 30 de octubre de 2019.</w:t>
      </w:r>
    </w:p>
    <w:p w14:paraId="5F3DBF26" w14:textId="77777777" w:rsidR="009956BC" w:rsidRPr="00D40DC9" w:rsidRDefault="009956BC" w:rsidP="009956BC">
      <w:pPr>
        <w:ind w:left="567" w:hanging="567"/>
        <w:rPr>
          <w:rFonts w:cs="Arial"/>
          <w:lang w:val="es-419"/>
        </w:rPr>
      </w:pPr>
    </w:p>
    <w:p w14:paraId="5EDB0B57" w14:textId="77777777" w:rsidR="009956BC" w:rsidRPr="00D40DC9" w:rsidRDefault="009956BC" w:rsidP="009956BC">
      <w:pPr>
        <w:ind w:left="567" w:hanging="567"/>
        <w:rPr>
          <w:rFonts w:cs="Arial"/>
          <w:lang w:val="es-419"/>
        </w:rPr>
      </w:pPr>
    </w:p>
    <w:p w14:paraId="144EF016" w14:textId="77777777" w:rsidR="009956BC" w:rsidRPr="00D40DC9" w:rsidRDefault="009956BC" w:rsidP="009956BC">
      <w:pPr>
        <w:ind w:left="567" w:hanging="567"/>
        <w:rPr>
          <w:rFonts w:cs="Arial"/>
          <w:u w:val="single"/>
          <w:lang w:val="es-419"/>
        </w:rPr>
      </w:pPr>
      <w:r w:rsidRPr="00D40DC9">
        <w:rPr>
          <w:u w:val="single"/>
          <w:lang w:val="es-419"/>
        </w:rPr>
        <w:t>Fiabilidad del vínculo entre el gen y la expresión del carácter</w:t>
      </w:r>
    </w:p>
    <w:p w14:paraId="335D298D" w14:textId="77777777" w:rsidR="009956BC" w:rsidRPr="00D40DC9" w:rsidRDefault="009956BC" w:rsidP="009956BC">
      <w:pPr>
        <w:ind w:left="567" w:hanging="567"/>
        <w:rPr>
          <w:rFonts w:cs="Arial"/>
          <w:lang w:val="es-419"/>
        </w:rPr>
      </w:pPr>
    </w:p>
    <w:p w14:paraId="180FCA7C" w14:textId="77777777" w:rsidR="009956BC" w:rsidRPr="00D40DC9" w:rsidRDefault="009956BC" w:rsidP="009956BC">
      <w:pPr>
        <w:rPr>
          <w:lang w:val="es-419"/>
        </w:rPr>
      </w:pPr>
      <w:r w:rsidRPr="00D40DC9">
        <w:rPr>
          <w:lang w:val="es-419"/>
        </w:rPr>
        <w:t>2.</w:t>
      </w:r>
      <w:r w:rsidRPr="00D40DC9">
        <w:rPr>
          <w:lang w:val="es-419"/>
        </w:rPr>
        <w:tab/>
        <w:t>En su quincuagésima cuarta sesión, el TC convino en que el texto siguiente del documento UPOV/INF/18/1 se debe introducir en el documento TGP/15, para aclarar que es responsabilidad de la autoridad determinar la fiabilidad del vínculo entre el gen y la expresión del carácter (véanse los párrafos 272 y 273 del documento TC/54/31 “Informe”):</w:t>
      </w:r>
    </w:p>
    <w:p w14:paraId="30D7BCBB" w14:textId="77777777" w:rsidR="009956BC" w:rsidRPr="00D40DC9" w:rsidRDefault="009956BC" w:rsidP="009956BC">
      <w:pPr>
        <w:rPr>
          <w:rFonts w:cs="Arial"/>
          <w:lang w:val="es-419"/>
        </w:rPr>
      </w:pPr>
    </w:p>
    <w:p w14:paraId="5F7028EC" w14:textId="77777777" w:rsidR="009956BC" w:rsidRPr="00D40DC9" w:rsidRDefault="009956BC" w:rsidP="009956BC">
      <w:pPr>
        <w:autoSpaceDE w:val="0"/>
        <w:autoSpaceDN w:val="0"/>
        <w:adjustRightInd w:val="0"/>
        <w:ind w:left="567" w:right="567"/>
        <w:rPr>
          <w:sz w:val="18"/>
          <w:lang w:val="es-419"/>
        </w:rPr>
      </w:pPr>
      <w:r w:rsidRPr="00D40DC9">
        <w:rPr>
          <w:sz w:val="18"/>
          <w:lang w:val="es-419"/>
        </w:rPr>
        <w:t>“3.1.4</w:t>
      </w:r>
      <w:r w:rsidRPr="00D40DC9">
        <w:rPr>
          <w:lang w:val="es-419"/>
        </w:rPr>
        <w:tab/>
      </w:r>
      <w:r w:rsidRPr="00D40DC9">
        <w:rPr>
          <w:sz w:val="18"/>
          <w:lang w:val="es-419"/>
        </w:rPr>
        <w:t xml:space="preserve">Al examinar el modelo y el ejemplo que figuran en el Anexo 1 del presente documento, el TC subrayó la importancia del cumplimiento de las premisas. A este respecto, aclaró que incumbe a la autoridad competente determinar si se han cumplido las premisas (véase el párrafo 152 del documento TC/45/16 “Informe”).” </w:t>
      </w:r>
    </w:p>
    <w:p w14:paraId="6CDEE183" w14:textId="77777777" w:rsidR="009956BC" w:rsidRPr="00D40DC9" w:rsidRDefault="009956BC" w:rsidP="009956BC">
      <w:pPr>
        <w:ind w:left="567" w:hanging="567"/>
        <w:rPr>
          <w:rFonts w:cs="Arial"/>
          <w:lang w:val="es-419"/>
        </w:rPr>
      </w:pPr>
    </w:p>
    <w:p w14:paraId="3D7E617D" w14:textId="77777777" w:rsidR="009956BC" w:rsidRPr="00D40DC9" w:rsidRDefault="009956BC" w:rsidP="009956BC">
      <w:pPr>
        <w:rPr>
          <w:lang w:val="es-419"/>
        </w:rPr>
      </w:pPr>
      <w:r w:rsidRPr="00D40DC9">
        <w:rPr>
          <w:lang w:val="es-419"/>
        </w:rPr>
        <w:t>3.</w:t>
      </w:r>
      <w:r w:rsidRPr="00D40DC9">
        <w:rPr>
          <w:lang w:val="es-419"/>
        </w:rPr>
        <w:tab/>
        <w:t>El TC examinó la propuesta del BMT y convino en incluir en el documento TGP/15 una explicación de que incumbe al correspondiente TWP y al TC determinar si se cumple el criterio de fiabilidad del vínculo entre el gen y la expresión del carácter para añadir un método en las directrices de examen.</w:t>
      </w:r>
    </w:p>
    <w:p w14:paraId="346EDED7" w14:textId="77777777" w:rsidR="009956BC" w:rsidRPr="00D40DC9" w:rsidRDefault="009956BC" w:rsidP="009956BC">
      <w:pPr>
        <w:jc w:val="left"/>
        <w:rPr>
          <w:lang w:val="es-419"/>
        </w:rPr>
      </w:pPr>
    </w:p>
    <w:p w14:paraId="1C679D33" w14:textId="77777777" w:rsidR="009956BC" w:rsidRPr="00D40DC9" w:rsidRDefault="009956BC" w:rsidP="009956BC">
      <w:pPr>
        <w:jc w:val="left"/>
        <w:rPr>
          <w:lang w:val="es-419"/>
        </w:rPr>
      </w:pPr>
    </w:p>
    <w:p w14:paraId="4E065EC1" w14:textId="77777777" w:rsidR="009956BC" w:rsidRPr="00D40DC9" w:rsidRDefault="009956BC" w:rsidP="009956BC">
      <w:pPr>
        <w:rPr>
          <w:u w:val="single"/>
          <w:lang w:val="es-419"/>
        </w:rPr>
      </w:pPr>
      <w:r w:rsidRPr="00D40DC9">
        <w:rPr>
          <w:u w:val="single"/>
          <w:lang w:val="es-419"/>
        </w:rPr>
        <w:t>Nuevo modelo: “Selección genética de variedades similares para el primer ciclo de cultivo”</w:t>
      </w:r>
    </w:p>
    <w:p w14:paraId="656DF8EA" w14:textId="77777777" w:rsidR="009956BC" w:rsidRPr="00D40DC9" w:rsidRDefault="009956BC" w:rsidP="009956BC">
      <w:pPr>
        <w:rPr>
          <w:lang w:val="es-419"/>
        </w:rPr>
      </w:pPr>
    </w:p>
    <w:p w14:paraId="46F30AF0" w14:textId="77777777" w:rsidR="009956BC" w:rsidRPr="00D40DC9" w:rsidRDefault="009956BC" w:rsidP="009956BC">
      <w:pPr>
        <w:rPr>
          <w:lang w:val="es-419"/>
        </w:rPr>
      </w:pPr>
      <w:r w:rsidRPr="00D40DC9">
        <w:rPr>
          <w:lang w:val="es-419"/>
        </w:rPr>
        <w:t>4.</w:t>
      </w:r>
      <w:r w:rsidRPr="00D40DC9">
        <w:rPr>
          <w:lang w:val="es-419"/>
        </w:rPr>
        <w:tab/>
        <w:t>En su quincuagésima cuarta sesión, el TC convino en la inclusión de un nuevo modelo en el documento TGP/15, concretamente (véanse los párrafos 290 y 291 del documento TC/54/31 “Informe”):</w:t>
      </w:r>
    </w:p>
    <w:p w14:paraId="74F78289" w14:textId="77777777" w:rsidR="009956BC" w:rsidRPr="00D40DC9" w:rsidRDefault="009956BC" w:rsidP="009956BC">
      <w:pPr>
        <w:rPr>
          <w:lang w:val="es-419"/>
        </w:rPr>
      </w:pPr>
    </w:p>
    <w:p w14:paraId="5657AA71" w14:textId="77777777" w:rsidR="009956BC" w:rsidRPr="00D40DC9" w:rsidRDefault="009956BC" w:rsidP="009956BC">
      <w:pPr>
        <w:rPr>
          <w:lang w:val="es-419"/>
        </w:rPr>
      </w:pPr>
    </w:p>
    <w:p w14:paraId="7C32A7CF" w14:textId="77777777" w:rsidR="009956BC" w:rsidRPr="00D40DC9" w:rsidRDefault="009956BC" w:rsidP="009956BC">
      <w:pPr>
        <w:rPr>
          <w:i/>
          <w:lang w:val="es-419"/>
        </w:rPr>
      </w:pPr>
      <w:r w:rsidRPr="00D40DC9">
        <w:rPr>
          <w:i/>
          <w:lang w:val="es-419"/>
        </w:rPr>
        <w:t>Nueva sección 2.3 “Selección genética de variedades similares para el primer ciclo de cultivo”</w:t>
      </w:r>
    </w:p>
    <w:p w14:paraId="3E5CAC95" w14:textId="77777777" w:rsidR="009956BC" w:rsidRPr="00D40DC9" w:rsidRDefault="009956BC" w:rsidP="009956BC">
      <w:pPr>
        <w:rPr>
          <w:lang w:val="es-419"/>
        </w:rPr>
      </w:pPr>
    </w:p>
    <w:p w14:paraId="045597B0" w14:textId="77777777" w:rsidR="009956BC" w:rsidRPr="00D40DC9" w:rsidRDefault="009956BC" w:rsidP="009956BC">
      <w:pPr>
        <w:rPr>
          <w:lang w:val="es-419"/>
        </w:rPr>
      </w:pPr>
      <w:r w:rsidRPr="00D40DC9">
        <w:rPr>
          <w:lang w:val="es-419"/>
        </w:rPr>
        <w:t>2.3</w:t>
      </w:r>
      <w:r w:rsidRPr="00D40DC9">
        <w:rPr>
          <w:lang w:val="es-419"/>
        </w:rPr>
        <w:tab/>
        <w:t>Selección genética de variedades similares para el primer ciclo de cultivo (véase el Anexo III)</w:t>
      </w:r>
    </w:p>
    <w:p w14:paraId="62A90052" w14:textId="77777777" w:rsidR="009956BC" w:rsidRPr="00D40DC9" w:rsidRDefault="009956BC" w:rsidP="009956BC">
      <w:pPr>
        <w:rPr>
          <w:lang w:val="es-419"/>
        </w:rPr>
      </w:pPr>
    </w:p>
    <w:p w14:paraId="087E2B46" w14:textId="77777777" w:rsidR="009956BC" w:rsidRPr="00D40DC9" w:rsidRDefault="009956BC" w:rsidP="009956BC">
      <w:pPr>
        <w:rPr>
          <w:lang w:val="es-419"/>
        </w:rPr>
      </w:pPr>
      <w:r w:rsidRPr="00D40DC9">
        <w:rPr>
          <w:lang w:val="es-419"/>
        </w:rPr>
        <w:t xml:space="preserve">2.3.1 </w:t>
      </w:r>
      <w:r w:rsidRPr="00D40DC9">
        <w:rPr>
          <w:lang w:val="es-419"/>
        </w:rPr>
        <w:tab/>
        <w:t>Este método incluye una fase de comprobación de la similitud genética antes del primer ciclo de cultivo.</w:t>
      </w:r>
    </w:p>
    <w:p w14:paraId="6B4EDBF7" w14:textId="77777777" w:rsidR="009956BC" w:rsidRPr="00D40DC9" w:rsidRDefault="009956BC" w:rsidP="009956BC">
      <w:pPr>
        <w:rPr>
          <w:lang w:val="es-419"/>
        </w:rPr>
      </w:pPr>
    </w:p>
    <w:p w14:paraId="4B599422" w14:textId="77777777" w:rsidR="009956BC" w:rsidRPr="00D40DC9" w:rsidRDefault="009956BC" w:rsidP="009956BC">
      <w:pPr>
        <w:rPr>
          <w:lang w:val="es-419"/>
        </w:rPr>
      </w:pPr>
      <w:r w:rsidRPr="00D40DC9">
        <w:rPr>
          <w:lang w:val="es-419"/>
        </w:rPr>
        <w:t>2.3.2</w:t>
      </w:r>
      <w:r w:rsidRPr="00D40DC9">
        <w:rPr>
          <w:lang w:val="es-419"/>
        </w:rPr>
        <w:tab/>
        <w:t>En aquellos casos en que la duración mínima de los ensayos es normalmente de dos ciclos de cultivo, se seleccionan de la colección de variedades las que son genéticamente similares a fin de compararlas con las variedades candidatas en el primer ciclo de cultivo. En la fase siguiente, se utiliza la información suministrada por el solicitante en el cuestionario técnico para comprobar si alguna variedad genéticamente similar presenta diferencias en los caracteres DHE y, por tanto, no es necesario compararla en el ensayo de cultivo.</w:t>
      </w:r>
    </w:p>
    <w:p w14:paraId="4694AA80" w14:textId="77777777" w:rsidR="009956BC" w:rsidRPr="00D40DC9" w:rsidRDefault="009956BC" w:rsidP="009956BC">
      <w:pPr>
        <w:rPr>
          <w:lang w:val="es-419"/>
        </w:rPr>
      </w:pPr>
      <w:r w:rsidRPr="00D40DC9">
        <w:rPr>
          <w:lang w:val="es-419"/>
        </w:rPr>
        <w:t xml:space="preserve"> </w:t>
      </w:r>
    </w:p>
    <w:p w14:paraId="505DDBA6" w14:textId="77777777" w:rsidR="009956BC" w:rsidRPr="00D40DC9" w:rsidRDefault="009956BC" w:rsidP="009956BC">
      <w:pPr>
        <w:rPr>
          <w:lang w:val="es-419"/>
        </w:rPr>
      </w:pPr>
      <w:r w:rsidRPr="00D40DC9">
        <w:rPr>
          <w:lang w:val="es-419"/>
        </w:rPr>
        <w:t>2.3.3</w:t>
      </w:r>
      <w:r w:rsidRPr="00D40DC9">
        <w:rPr>
          <w:lang w:val="es-419"/>
        </w:rPr>
        <w:tab/>
        <w:t xml:space="preserve">Sobre la base de la descripción de los caracteres DHE de la variedad elaborada en el primer ciclo de cultivo, se realiza otra búsqueda en la colección para encontrar variedades similares que no se hayan comparado en ese primer ciclo y deban compararse con la variedad candidata en el segundo ciclo. </w:t>
      </w:r>
    </w:p>
    <w:p w14:paraId="3BC03F67" w14:textId="77777777" w:rsidR="009956BC" w:rsidRPr="00D40DC9" w:rsidRDefault="009956BC" w:rsidP="009956BC">
      <w:pPr>
        <w:rPr>
          <w:lang w:val="es-419"/>
        </w:rPr>
      </w:pPr>
    </w:p>
    <w:p w14:paraId="594D32ED" w14:textId="77777777" w:rsidR="009956BC" w:rsidRPr="00D40DC9" w:rsidRDefault="009956BC" w:rsidP="009956BC">
      <w:pPr>
        <w:rPr>
          <w:lang w:val="es-419"/>
        </w:rPr>
      </w:pPr>
      <w:r w:rsidRPr="00D40DC9">
        <w:rPr>
          <w:lang w:val="es-419"/>
        </w:rPr>
        <w:t>2.3.4</w:t>
      </w:r>
      <w:r w:rsidRPr="00D40DC9">
        <w:rPr>
          <w:lang w:val="es-419"/>
        </w:rPr>
        <w:tab/>
        <w:t>En el Anexo III del presente documento “Selección genética de variedades similares para el primer ciclo de cultivo” se ofrece un ejemplo de la selección genética de variedades similares para el primer ciclo de cultivo.</w:t>
      </w:r>
    </w:p>
    <w:p w14:paraId="01A78624" w14:textId="77777777" w:rsidR="009956BC" w:rsidRPr="00D40DC9" w:rsidRDefault="009956BC" w:rsidP="009956BC">
      <w:pPr>
        <w:rPr>
          <w:lang w:val="es-419"/>
        </w:rPr>
      </w:pPr>
    </w:p>
    <w:p w14:paraId="12D1D6F7" w14:textId="77777777" w:rsidR="009956BC" w:rsidRPr="00D40DC9" w:rsidRDefault="009956BC" w:rsidP="009956BC">
      <w:pPr>
        <w:rPr>
          <w:i/>
          <w:lang w:val="es-419"/>
        </w:rPr>
      </w:pPr>
      <w:r w:rsidRPr="00D40DC9">
        <w:rPr>
          <w:i/>
          <w:lang w:val="es-419"/>
        </w:rPr>
        <w:t>Anexo III “Modelo: Selección genética de variedades similares para el primer ciclo de cultivo”</w:t>
      </w:r>
    </w:p>
    <w:p w14:paraId="17308AF0" w14:textId="77777777" w:rsidR="009956BC" w:rsidRPr="00D40DC9" w:rsidRDefault="009956BC" w:rsidP="009956BC">
      <w:pPr>
        <w:jc w:val="center"/>
        <w:rPr>
          <w:snapToGrid w:val="0"/>
          <w:color w:val="000000"/>
          <w:lang w:val="es-419"/>
        </w:rPr>
      </w:pPr>
    </w:p>
    <w:p w14:paraId="3C4EE9EC" w14:textId="7619C877" w:rsidR="009956BC" w:rsidRPr="00D40DC9" w:rsidRDefault="009956BC" w:rsidP="009956BC">
      <w:pPr>
        <w:jc w:val="left"/>
        <w:rPr>
          <w:i/>
          <w:lang w:val="es-419"/>
        </w:rPr>
      </w:pPr>
      <w:r w:rsidRPr="00D40DC9">
        <w:rPr>
          <w:lang w:val="es-419"/>
        </w:rPr>
        <w:t>Ejemplo:</w:t>
      </w:r>
      <w:r w:rsidR="007D241B" w:rsidRPr="00D40DC9">
        <w:rPr>
          <w:lang w:val="es-419"/>
        </w:rPr>
        <w:t xml:space="preserve"> </w:t>
      </w:r>
      <w:r w:rsidRPr="00D40DC9">
        <w:rPr>
          <w:lang w:val="es-419"/>
        </w:rPr>
        <w:t>la judía común (preparado por un experto de los Países Bajos)</w:t>
      </w:r>
    </w:p>
    <w:p w14:paraId="3A70E4EE" w14:textId="77777777" w:rsidR="009956BC" w:rsidRPr="00D40DC9" w:rsidRDefault="009956BC" w:rsidP="009956BC">
      <w:pPr>
        <w:jc w:val="center"/>
        <w:rPr>
          <w:rFonts w:cs="Arial"/>
          <w:i/>
          <w:lang w:val="es-419"/>
        </w:rPr>
      </w:pPr>
    </w:p>
    <w:p w14:paraId="180B46B2" w14:textId="77777777" w:rsidR="009956BC" w:rsidRPr="00D40DC9" w:rsidRDefault="009956BC" w:rsidP="009956BC">
      <w:pPr>
        <w:rPr>
          <w:lang w:val="es-419"/>
        </w:rPr>
      </w:pPr>
      <w:r w:rsidRPr="00D40DC9">
        <w:rPr>
          <w:lang w:val="es-419"/>
        </w:rPr>
        <w:t>1.</w:t>
      </w:r>
      <w:r w:rsidRPr="00D40DC9">
        <w:rPr>
          <w:lang w:val="es-419"/>
        </w:rPr>
        <w:tab/>
        <w:t>Introducción</w:t>
      </w:r>
    </w:p>
    <w:p w14:paraId="03A3D20A" w14:textId="77777777" w:rsidR="009956BC" w:rsidRPr="00D40DC9" w:rsidRDefault="009956BC" w:rsidP="009956BC">
      <w:pPr>
        <w:rPr>
          <w:lang w:val="es-419"/>
        </w:rPr>
      </w:pPr>
    </w:p>
    <w:p w14:paraId="3EBD8607" w14:textId="0495747C" w:rsidR="009956BC" w:rsidRPr="00D40DC9" w:rsidRDefault="009956BC" w:rsidP="009956BC">
      <w:pPr>
        <w:rPr>
          <w:lang w:val="es-419"/>
        </w:rPr>
      </w:pPr>
      <w:r w:rsidRPr="00D40DC9">
        <w:rPr>
          <w:lang w:val="es-419"/>
        </w:rPr>
        <w:t xml:space="preserve">1.1 </w:t>
      </w:r>
      <w:r w:rsidRPr="00D40DC9">
        <w:rPr>
          <w:lang w:val="es-419"/>
        </w:rPr>
        <w:tab/>
        <w:t>Este método incluye una fase de comprobación de la similitud genética antes del primer ciclo de cultivo.</w:t>
      </w:r>
      <w:r w:rsidR="007D241B" w:rsidRPr="00D40DC9">
        <w:rPr>
          <w:lang w:val="es-419"/>
        </w:rPr>
        <w:t xml:space="preserve"> </w:t>
      </w:r>
    </w:p>
    <w:p w14:paraId="07CB7D75" w14:textId="77777777" w:rsidR="009956BC" w:rsidRPr="00D40DC9" w:rsidRDefault="009956BC" w:rsidP="009956BC">
      <w:pPr>
        <w:rPr>
          <w:lang w:val="es-419"/>
        </w:rPr>
      </w:pPr>
    </w:p>
    <w:p w14:paraId="2498ACD9" w14:textId="170D3823" w:rsidR="009956BC" w:rsidRPr="00D40DC9" w:rsidRDefault="009956BC" w:rsidP="009956BC">
      <w:pPr>
        <w:rPr>
          <w:lang w:val="es-419"/>
        </w:rPr>
      </w:pPr>
      <w:r w:rsidRPr="00D40DC9">
        <w:rPr>
          <w:lang w:val="es-419"/>
        </w:rPr>
        <w:t>1.2</w:t>
      </w:r>
      <w:r w:rsidRPr="00D40DC9">
        <w:rPr>
          <w:lang w:val="es-419"/>
        </w:rPr>
        <w:tab/>
        <w:t xml:space="preserve">En aquellos casos en que la duración mínima de los ensayos es normalmente de dos ciclos de cultivo, se seleccionan de la colección de variedades las que son genéticamente similares a fin de compararlas con las variedades candidatas en el primer ciclo de cultivo. En la fase siguiente, se utiliza la información suministrada por el solicitante en el cuestionario técnico para comprobar si alguna variedad genéticamente </w:t>
      </w:r>
      <w:r w:rsidRPr="00D40DC9">
        <w:rPr>
          <w:lang w:val="es-419"/>
        </w:rPr>
        <w:lastRenderedPageBreak/>
        <w:t>similar presenta diferencias en los caracteres DHE y, por tanto, no es necesario compararla en el ensayo de cultivo.</w:t>
      </w:r>
      <w:r w:rsidR="007D241B" w:rsidRPr="00D40DC9">
        <w:rPr>
          <w:lang w:val="es-419"/>
        </w:rPr>
        <w:t xml:space="preserve"> </w:t>
      </w:r>
    </w:p>
    <w:p w14:paraId="102BD548" w14:textId="77777777" w:rsidR="009956BC" w:rsidRPr="00D40DC9" w:rsidRDefault="009956BC" w:rsidP="009956BC">
      <w:pPr>
        <w:rPr>
          <w:lang w:val="es-419"/>
        </w:rPr>
      </w:pPr>
    </w:p>
    <w:p w14:paraId="7CA1D377" w14:textId="77777777" w:rsidR="009956BC" w:rsidRPr="00D40DC9" w:rsidRDefault="009956BC" w:rsidP="009956BC">
      <w:pPr>
        <w:rPr>
          <w:lang w:val="es-419"/>
        </w:rPr>
      </w:pPr>
      <w:r w:rsidRPr="00D40DC9">
        <w:rPr>
          <w:lang w:val="es-419"/>
        </w:rPr>
        <w:t>1.3</w:t>
      </w:r>
      <w:r w:rsidRPr="00D40DC9">
        <w:rPr>
          <w:lang w:val="es-419"/>
        </w:rPr>
        <w:tab/>
        <w:t xml:space="preserve">Sobre la base de la descripción de los caracteres DHE de la variedad elaborada en el primer ciclo de cultivo, se realiza otra búsqueda en la colección para encontrar variedades similares que no se hayan comparado en ese primer ciclo y deban compararse con la variedad candidata en el segundo ciclo. </w:t>
      </w:r>
    </w:p>
    <w:p w14:paraId="673A71CA" w14:textId="77777777" w:rsidR="009956BC" w:rsidRPr="00D40DC9" w:rsidRDefault="009956BC" w:rsidP="009956BC">
      <w:pPr>
        <w:rPr>
          <w:lang w:val="es-419"/>
        </w:rPr>
      </w:pPr>
    </w:p>
    <w:p w14:paraId="482C526F" w14:textId="77777777" w:rsidR="009956BC" w:rsidRPr="00D40DC9" w:rsidRDefault="009956BC" w:rsidP="009956BC">
      <w:pPr>
        <w:rPr>
          <w:lang w:val="es-419"/>
        </w:rPr>
      </w:pPr>
      <w:r w:rsidRPr="00D40DC9">
        <w:rPr>
          <w:lang w:val="es-419"/>
        </w:rPr>
        <w:t>2.</w:t>
      </w:r>
      <w:r w:rsidRPr="00D40DC9">
        <w:rPr>
          <w:lang w:val="es-419"/>
        </w:rPr>
        <w:tab/>
        <w:t>Procedimiento</w:t>
      </w:r>
    </w:p>
    <w:p w14:paraId="6763566C" w14:textId="77777777" w:rsidR="009956BC" w:rsidRPr="00D40DC9" w:rsidRDefault="009956BC" w:rsidP="009956BC">
      <w:pPr>
        <w:keepNext/>
        <w:outlineLvl w:val="2"/>
        <w:rPr>
          <w:rFonts w:eastAsia="MS Mincho"/>
          <w:i/>
          <w:lang w:val="es-419"/>
        </w:rPr>
      </w:pPr>
      <w:r w:rsidRPr="00D40DC9">
        <w:rPr>
          <w:i/>
          <w:lang w:val="es-419"/>
        </w:rPr>
        <w:t xml:space="preserve"> </w:t>
      </w:r>
    </w:p>
    <w:p w14:paraId="68F74EDD" w14:textId="77777777" w:rsidR="009956BC" w:rsidRPr="00D40DC9" w:rsidRDefault="009956BC" w:rsidP="009956BC">
      <w:pPr>
        <w:rPr>
          <w:i/>
          <w:lang w:val="es-419"/>
        </w:rPr>
      </w:pPr>
      <w:r w:rsidRPr="00D40DC9">
        <w:rPr>
          <w:i/>
          <w:lang w:val="es-419"/>
        </w:rPr>
        <w:t>Determinación de la similitud genética</w:t>
      </w:r>
    </w:p>
    <w:p w14:paraId="7299681F" w14:textId="77777777" w:rsidR="009956BC" w:rsidRPr="00D40DC9" w:rsidRDefault="009956BC" w:rsidP="009956BC">
      <w:pPr>
        <w:rPr>
          <w:lang w:val="es-419"/>
        </w:rPr>
      </w:pPr>
    </w:p>
    <w:p w14:paraId="023C666D" w14:textId="77777777" w:rsidR="009956BC" w:rsidRPr="00D40DC9" w:rsidRDefault="009956BC" w:rsidP="009956BC">
      <w:pPr>
        <w:rPr>
          <w:lang w:val="es-419"/>
        </w:rPr>
      </w:pPr>
      <w:r w:rsidRPr="00D40DC9">
        <w:rPr>
          <w:lang w:val="es-419"/>
        </w:rPr>
        <w:t>2.1</w:t>
      </w:r>
      <w:r w:rsidRPr="00D40DC9">
        <w:rPr>
          <w:lang w:val="es-419"/>
        </w:rPr>
        <w:tab/>
        <w:t>En cuanto se recibe el material vegetal, se obtiene el perfil de ADN de la variedad candidata.</w:t>
      </w:r>
    </w:p>
    <w:p w14:paraId="62320C22" w14:textId="77777777" w:rsidR="009956BC" w:rsidRPr="00D40DC9" w:rsidRDefault="009956BC" w:rsidP="009956BC">
      <w:pPr>
        <w:rPr>
          <w:lang w:val="es-419"/>
        </w:rPr>
      </w:pPr>
    </w:p>
    <w:p w14:paraId="35085876" w14:textId="77777777" w:rsidR="009956BC" w:rsidRPr="00D40DC9" w:rsidRDefault="009956BC" w:rsidP="009956BC">
      <w:pPr>
        <w:rPr>
          <w:lang w:val="es-419"/>
        </w:rPr>
      </w:pPr>
      <w:r w:rsidRPr="00D40DC9">
        <w:rPr>
          <w:lang w:val="es-419"/>
        </w:rPr>
        <w:t>2.2</w:t>
      </w:r>
      <w:r w:rsidRPr="00D40DC9">
        <w:rPr>
          <w:lang w:val="es-419"/>
        </w:rPr>
        <w:tab/>
        <w:t xml:space="preserve">El perfil de ADN se compara con los perfiles de todas las variedades que figuran en la colección de variedades y se seleccionan las que presentan similitud genética. </w:t>
      </w:r>
    </w:p>
    <w:p w14:paraId="1C3664C3" w14:textId="77777777" w:rsidR="009956BC" w:rsidRPr="00D40DC9" w:rsidRDefault="009956BC" w:rsidP="009956BC">
      <w:pPr>
        <w:rPr>
          <w:lang w:val="es-419"/>
        </w:rPr>
      </w:pPr>
    </w:p>
    <w:p w14:paraId="6DC441A9" w14:textId="77777777" w:rsidR="009956BC" w:rsidRPr="00D40DC9" w:rsidRDefault="009956BC" w:rsidP="009956BC">
      <w:pPr>
        <w:rPr>
          <w:i/>
          <w:lang w:val="es-419"/>
        </w:rPr>
      </w:pPr>
      <w:r w:rsidRPr="00D40DC9">
        <w:rPr>
          <w:i/>
          <w:lang w:val="es-419"/>
        </w:rPr>
        <w:t>Información del cuestionario técnico</w:t>
      </w:r>
    </w:p>
    <w:p w14:paraId="1D17F2C6" w14:textId="77777777" w:rsidR="009956BC" w:rsidRPr="00D40DC9" w:rsidRDefault="009956BC" w:rsidP="009956BC">
      <w:pPr>
        <w:rPr>
          <w:lang w:val="es-419"/>
        </w:rPr>
      </w:pPr>
    </w:p>
    <w:p w14:paraId="3AC94B81" w14:textId="5202A896" w:rsidR="009956BC" w:rsidRPr="00D40DC9" w:rsidRDefault="009956BC" w:rsidP="009956BC">
      <w:pPr>
        <w:rPr>
          <w:lang w:val="es-419"/>
        </w:rPr>
      </w:pPr>
      <w:r w:rsidRPr="00D40DC9">
        <w:rPr>
          <w:lang w:val="es-419"/>
        </w:rPr>
        <w:t>2.3</w:t>
      </w:r>
      <w:r w:rsidRPr="00D40DC9">
        <w:rPr>
          <w:lang w:val="es-419"/>
        </w:rPr>
        <w:tab/>
        <w:t>A continuación, se utiliza la información suministrada por el solicitante en el cuestionario técnico para comprobar si alguna variedad genéticamente similar presenta claras diferencias respecto de los caracteres</w:t>
      </w:r>
      <w:r w:rsidR="0020772A" w:rsidRPr="00D40DC9">
        <w:rPr>
          <w:lang w:val="es-419"/>
        </w:rPr>
        <w:t> </w:t>
      </w:r>
      <w:r w:rsidRPr="00D40DC9">
        <w:rPr>
          <w:lang w:val="es-419"/>
        </w:rPr>
        <w:t>DHE, en cuyo caso no será necesario compararla con las variedades candidatas en el ensayo de cultivo.</w:t>
      </w:r>
      <w:r w:rsidR="007D241B" w:rsidRPr="00D40DC9">
        <w:rPr>
          <w:lang w:val="es-419"/>
        </w:rPr>
        <w:t xml:space="preserve"> </w:t>
      </w:r>
    </w:p>
    <w:p w14:paraId="576268D5" w14:textId="77777777" w:rsidR="009956BC" w:rsidRPr="00D40DC9" w:rsidRDefault="009956BC" w:rsidP="009956BC">
      <w:pPr>
        <w:rPr>
          <w:lang w:val="es-419"/>
        </w:rPr>
      </w:pPr>
    </w:p>
    <w:p w14:paraId="755C8C77" w14:textId="77777777" w:rsidR="009956BC" w:rsidRPr="00D40DC9" w:rsidRDefault="009956BC" w:rsidP="009956BC">
      <w:pPr>
        <w:rPr>
          <w:i/>
          <w:lang w:val="es-419"/>
        </w:rPr>
      </w:pPr>
      <w:r w:rsidRPr="00D40DC9">
        <w:rPr>
          <w:i/>
          <w:lang w:val="es-419"/>
        </w:rPr>
        <w:t>Ensayo de campo</w:t>
      </w:r>
    </w:p>
    <w:p w14:paraId="7A85B04E" w14:textId="77777777" w:rsidR="009956BC" w:rsidRPr="00D40DC9" w:rsidRDefault="009956BC" w:rsidP="009956BC">
      <w:pPr>
        <w:rPr>
          <w:lang w:val="es-419"/>
        </w:rPr>
      </w:pPr>
    </w:p>
    <w:p w14:paraId="75C9A2EF" w14:textId="77777777" w:rsidR="009956BC" w:rsidRPr="00D40DC9" w:rsidRDefault="009956BC" w:rsidP="009956BC">
      <w:pPr>
        <w:ind w:firstLine="567"/>
        <w:rPr>
          <w:u w:val="single"/>
          <w:lang w:val="es-419"/>
        </w:rPr>
      </w:pPr>
      <w:r w:rsidRPr="00D40DC9">
        <w:rPr>
          <w:u w:val="single"/>
          <w:lang w:val="es-419"/>
        </w:rPr>
        <w:t>Primer ciclo de cultivo</w:t>
      </w:r>
    </w:p>
    <w:p w14:paraId="537C9BBE" w14:textId="77777777" w:rsidR="009956BC" w:rsidRPr="00D40DC9" w:rsidRDefault="009956BC" w:rsidP="009956BC">
      <w:pPr>
        <w:rPr>
          <w:lang w:val="es-419"/>
        </w:rPr>
      </w:pPr>
    </w:p>
    <w:p w14:paraId="6E6F97AB" w14:textId="6F38998B" w:rsidR="009956BC" w:rsidRPr="00D40DC9" w:rsidRDefault="009956BC" w:rsidP="009956BC">
      <w:pPr>
        <w:rPr>
          <w:lang w:val="es-419"/>
        </w:rPr>
      </w:pPr>
      <w:r w:rsidRPr="00D40DC9">
        <w:rPr>
          <w:lang w:val="es-419"/>
        </w:rPr>
        <w:t>2.4</w:t>
      </w:r>
      <w:r w:rsidRPr="00D40DC9">
        <w:rPr>
          <w:lang w:val="es-419"/>
        </w:rPr>
        <w:tab/>
        <w:t>Las variedades candidatas y las genéticamente similares seleccionadas mediante el procedimiento descrito se cultivan en un mismo ensayo de campo. Se elabora una completa descripción de los caracteres</w:t>
      </w:r>
      <w:r w:rsidR="0020772A" w:rsidRPr="00D40DC9">
        <w:rPr>
          <w:lang w:val="es-419"/>
        </w:rPr>
        <w:t> </w:t>
      </w:r>
      <w:r w:rsidRPr="00D40DC9">
        <w:rPr>
          <w:lang w:val="es-419"/>
        </w:rPr>
        <w:t xml:space="preserve">DHE de la variedad candidata y se compara con las descripciones de todas las variedades de la colección por medio de una base de datos que contiene descripciones elaboradas en el mismo lugar en años anteriores. </w:t>
      </w:r>
    </w:p>
    <w:p w14:paraId="4A1A7E8C" w14:textId="77777777" w:rsidR="009956BC" w:rsidRPr="00D40DC9" w:rsidRDefault="009956BC" w:rsidP="009956BC">
      <w:pPr>
        <w:rPr>
          <w:lang w:val="es-419"/>
        </w:rPr>
      </w:pPr>
    </w:p>
    <w:p w14:paraId="75758B69" w14:textId="77777777" w:rsidR="009956BC" w:rsidRPr="00D40DC9" w:rsidRDefault="009956BC" w:rsidP="009956BC">
      <w:pPr>
        <w:rPr>
          <w:lang w:val="es-419"/>
        </w:rPr>
      </w:pPr>
      <w:r w:rsidRPr="00D40DC9">
        <w:rPr>
          <w:lang w:val="es-419"/>
        </w:rPr>
        <w:t>2.5</w:t>
      </w:r>
      <w:r w:rsidRPr="00D40DC9">
        <w:rPr>
          <w:lang w:val="es-419"/>
        </w:rPr>
        <w:tab/>
        <w:t xml:space="preserve">Resultados posibles: </w:t>
      </w:r>
    </w:p>
    <w:p w14:paraId="39723115" w14:textId="77777777" w:rsidR="009956BC" w:rsidRPr="00D40DC9" w:rsidRDefault="009956BC" w:rsidP="009956BC">
      <w:pPr>
        <w:rPr>
          <w:lang w:val="es-419"/>
        </w:rPr>
      </w:pPr>
    </w:p>
    <w:p w14:paraId="6CD1C8DE" w14:textId="77777777" w:rsidR="009956BC" w:rsidRPr="00D40DC9" w:rsidRDefault="009956BC" w:rsidP="009956BC">
      <w:pPr>
        <w:rPr>
          <w:lang w:val="es-419"/>
        </w:rPr>
      </w:pPr>
      <w:r w:rsidRPr="00D40DC9">
        <w:rPr>
          <w:lang w:val="es-419"/>
        </w:rPr>
        <w:t xml:space="preserve">Si la variedad candidata no es distinta de las variedades genéticamente similares en lo que respecta a los caracteres DHE, se continuará con el ensayo en otro ciclo de cultivo. </w:t>
      </w:r>
    </w:p>
    <w:p w14:paraId="4713EF79" w14:textId="77777777" w:rsidR="009956BC" w:rsidRPr="00D40DC9" w:rsidRDefault="009956BC" w:rsidP="009956BC">
      <w:pPr>
        <w:rPr>
          <w:lang w:val="es-419"/>
        </w:rPr>
      </w:pPr>
    </w:p>
    <w:p w14:paraId="62D6D47D" w14:textId="77777777" w:rsidR="009956BC" w:rsidRPr="00D40DC9" w:rsidRDefault="009956BC" w:rsidP="009956BC">
      <w:pPr>
        <w:rPr>
          <w:lang w:val="es-419"/>
        </w:rPr>
      </w:pPr>
      <w:r w:rsidRPr="00D40DC9">
        <w:rPr>
          <w:lang w:val="es-419"/>
        </w:rPr>
        <w:t xml:space="preserve">En cualquier caso, la descripción de la variedad candidata elaborada en el primer ciclo de cultivo se compara con las descripciones de las variedades de la colección por medio de una base de datos que contiene descripciones elaboradas en el mismo lugar. </w:t>
      </w:r>
    </w:p>
    <w:p w14:paraId="66A2AFF3" w14:textId="77777777" w:rsidR="009956BC" w:rsidRPr="00D40DC9" w:rsidRDefault="009956BC" w:rsidP="009956BC">
      <w:pPr>
        <w:rPr>
          <w:lang w:val="es-419"/>
        </w:rPr>
      </w:pPr>
    </w:p>
    <w:p w14:paraId="0A44F6BD" w14:textId="3B0A7AEB" w:rsidR="009956BC" w:rsidRPr="00D40DC9" w:rsidRDefault="009956BC" w:rsidP="009956BC">
      <w:pPr>
        <w:rPr>
          <w:lang w:val="es-419"/>
        </w:rPr>
      </w:pPr>
      <w:r w:rsidRPr="00D40DC9">
        <w:rPr>
          <w:lang w:val="es-419"/>
        </w:rPr>
        <w:tab/>
      </w:r>
      <w:r w:rsidRPr="00D40DC9">
        <w:rPr>
          <w:lang w:val="es-419"/>
        </w:rPr>
        <w:tab/>
        <w:t>a)</w:t>
      </w:r>
      <w:r w:rsidR="0020772A" w:rsidRPr="00D40DC9">
        <w:rPr>
          <w:lang w:val="es-419"/>
        </w:rPr>
        <w:tab/>
      </w:r>
      <w:r w:rsidRPr="00D40DC9">
        <w:rPr>
          <w:lang w:val="es-419"/>
        </w:rPr>
        <w:t>Si, al final del primer ciclo de cultivo, se determina que la variedad candidata es distinta de todas las variedades cultivadas en ese primer ciclo y de todas las demás variedades de la colección y que reúne los requisitos de homogeneidad y estabilidad, puede concluirse el examen DHE cuando termine el primer ciclo de cultivo.</w:t>
      </w:r>
    </w:p>
    <w:p w14:paraId="12BA74FF" w14:textId="77777777" w:rsidR="009956BC" w:rsidRPr="00D40DC9" w:rsidRDefault="009956BC" w:rsidP="009956BC">
      <w:pPr>
        <w:rPr>
          <w:lang w:val="es-419"/>
        </w:rPr>
      </w:pPr>
    </w:p>
    <w:p w14:paraId="1627274B" w14:textId="1F0F72D6" w:rsidR="009956BC" w:rsidRPr="00D40DC9" w:rsidRDefault="009956BC" w:rsidP="009956BC">
      <w:pPr>
        <w:rPr>
          <w:lang w:val="es-419"/>
        </w:rPr>
      </w:pPr>
      <w:r w:rsidRPr="00D40DC9">
        <w:rPr>
          <w:lang w:val="es-419"/>
        </w:rPr>
        <w:tab/>
      </w:r>
      <w:r w:rsidRPr="00D40DC9">
        <w:rPr>
          <w:lang w:val="es-419"/>
        </w:rPr>
        <w:tab/>
        <w:t>b)</w:t>
      </w:r>
      <w:r w:rsidR="0020772A" w:rsidRPr="00D40DC9">
        <w:rPr>
          <w:lang w:val="es-419"/>
        </w:rPr>
        <w:tab/>
      </w:r>
      <w:r w:rsidRPr="00D40DC9">
        <w:rPr>
          <w:lang w:val="es-419"/>
        </w:rPr>
        <w:t xml:space="preserve">En todos los demás casos, deberá llevarse a cabo un segundo ciclo de cultivo. </w:t>
      </w:r>
    </w:p>
    <w:p w14:paraId="771B14C0" w14:textId="77777777" w:rsidR="009956BC" w:rsidRPr="00D40DC9" w:rsidRDefault="009956BC" w:rsidP="009956BC">
      <w:pPr>
        <w:rPr>
          <w:lang w:val="es-419"/>
        </w:rPr>
      </w:pPr>
    </w:p>
    <w:p w14:paraId="64F805E7" w14:textId="77777777" w:rsidR="009956BC" w:rsidRPr="00D40DC9" w:rsidRDefault="009956BC" w:rsidP="009956BC">
      <w:pPr>
        <w:ind w:firstLine="567"/>
        <w:rPr>
          <w:u w:val="single"/>
          <w:lang w:val="es-419"/>
        </w:rPr>
      </w:pPr>
      <w:r w:rsidRPr="00D40DC9">
        <w:rPr>
          <w:u w:val="single"/>
          <w:lang w:val="es-419"/>
        </w:rPr>
        <w:t>Segundo ciclo de cultivo</w:t>
      </w:r>
    </w:p>
    <w:p w14:paraId="1A076E60" w14:textId="77777777" w:rsidR="009956BC" w:rsidRPr="00D40DC9" w:rsidRDefault="009956BC" w:rsidP="009956BC">
      <w:pPr>
        <w:rPr>
          <w:lang w:val="es-419"/>
        </w:rPr>
      </w:pPr>
    </w:p>
    <w:p w14:paraId="2A220B3A" w14:textId="77777777" w:rsidR="009956BC" w:rsidRPr="00D40DC9" w:rsidRDefault="009956BC" w:rsidP="009956BC">
      <w:pPr>
        <w:rPr>
          <w:lang w:val="es-419"/>
        </w:rPr>
      </w:pPr>
      <w:r w:rsidRPr="00D40DC9">
        <w:rPr>
          <w:lang w:val="es-419"/>
        </w:rPr>
        <w:t>2.6</w:t>
      </w:r>
      <w:r w:rsidRPr="00D40DC9">
        <w:rPr>
          <w:lang w:val="es-419"/>
        </w:rPr>
        <w:tab/>
        <w:t xml:space="preserve">En el segundo ciclo, se cultiva la variedad candidata junto con todas aquellas variedades de la colección respecto de las cuales se ha determinado que no es distinta al final del primer ciclo de cultivo. </w:t>
      </w:r>
    </w:p>
    <w:p w14:paraId="77158C4E" w14:textId="77777777" w:rsidR="009956BC" w:rsidRPr="00D40DC9" w:rsidRDefault="009956BC" w:rsidP="009956BC">
      <w:pPr>
        <w:rPr>
          <w:lang w:val="es-419"/>
        </w:rPr>
      </w:pPr>
    </w:p>
    <w:p w14:paraId="10B47D2E" w14:textId="435BCADF" w:rsidR="009956BC" w:rsidRPr="00D40DC9" w:rsidRDefault="009956BC" w:rsidP="009956BC">
      <w:pPr>
        <w:rPr>
          <w:lang w:val="es-419"/>
        </w:rPr>
      </w:pPr>
      <w:r w:rsidRPr="00D40DC9">
        <w:rPr>
          <w:lang w:val="es-419"/>
        </w:rPr>
        <w:t>2.7</w:t>
      </w:r>
      <w:r w:rsidRPr="00D40DC9">
        <w:rPr>
          <w:lang w:val="es-419"/>
        </w:rPr>
        <w:tab/>
        <w:t>Al término del segundo ciclo de cultivo se efectúa una evaluación de la distinción, la homogeneidad y la estabilidad.</w:t>
      </w:r>
      <w:r w:rsidR="007D241B" w:rsidRPr="00D40DC9">
        <w:rPr>
          <w:lang w:val="es-419"/>
        </w:rPr>
        <w:t xml:space="preserve"> </w:t>
      </w:r>
      <w:r w:rsidRPr="00D40DC9">
        <w:rPr>
          <w:lang w:val="es-419"/>
        </w:rPr>
        <w:t>Si no es posible adoptar entonces una decisión acerca de la distinción, la homogeneidad y la estabilidad, puede llevarse a cabo un nuevo ciclo de cultivo.</w:t>
      </w:r>
    </w:p>
    <w:p w14:paraId="77331677" w14:textId="77777777" w:rsidR="009956BC" w:rsidRPr="00D40DC9" w:rsidRDefault="009956BC" w:rsidP="009956BC">
      <w:pPr>
        <w:rPr>
          <w:lang w:val="es-419"/>
        </w:rPr>
      </w:pPr>
    </w:p>
    <w:p w14:paraId="7DF1BB61" w14:textId="77777777" w:rsidR="009956BC" w:rsidRPr="00D40DC9" w:rsidRDefault="009956BC" w:rsidP="009956BC">
      <w:pPr>
        <w:rPr>
          <w:lang w:val="es-419"/>
        </w:rPr>
      </w:pPr>
    </w:p>
    <w:p w14:paraId="3DAE64A9" w14:textId="77777777" w:rsidR="009956BC" w:rsidRPr="00D40DC9" w:rsidRDefault="009956BC" w:rsidP="009956BC">
      <w:pPr>
        <w:rPr>
          <w:lang w:val="es-419"/>
        </w:rPr>
      </w:pPr>
    </w:p>
    <w:p w14:paraId="66587AF0" w14:textId="77777777" w:rsidR="009956BC" w:rsidRPr="00D40DC9" w:rsidRDefault="009956BC" w:rsidP="009956BC">
      <w:pPr>
        <w:jc w:val="right"/>
        <w:rPr>
          <w:lang w:val="es-419"/>
        </w:rPr>
      </w:pPr>
      <w:r w:rsidRPr="00D40DC9">
        <w:rPr>
          <w:lang w:val="es-419"/>
        </w:rPr>
        <w:t>[Sigue el Anexo VI]</w:t>
      </w:r>
    </w:p>
    <w:p w14:paraId="6B713754" w14:textId="77777777" w:rsidR="009956BC" w:rsidRPr="00D40DC9" w:rsidRDefault="009956BC" w:rsidP="009956BC">
      <w:pPr>
        <w:jc w:val="right"/>
        <w:rPr>
          <w:lang w:val="es-419"/>
        </w:rPr>
      </w:pPr>
    </w:p>
    <w:p w14:paraId="7164922A" w14:textId="77777777" w:rsidR="009956BC" w:rsidRPr="00D40DC9" w:rsidRDefault="009956BC" w:rsidP="009956BC">
      <w:pPr>
        <w:jc w:val="right"/>
        <w:rPr>
          <w:lang w:val="es-419"/>
        </w:rPr>
        <w:sectPr w:rsidR="009956BC" w:rsidRPr="00D40DC9" w:rsidSect="001270B2">
          <w:headerReference w:type="default" r:id="rId34"/>
          <w:headerReference w:type="first" r:id="rId35"/>
          <w:pgSz w:w="11907" w:h="16840" w:code="9"/>
          <w:pgMar w:top="510" w:right="1134" w:bottom="709" w:left="1134" w:header="510" w:footer="680" w:gutter="0"/>
          <w:pgNumType w:start="1"/>
          <w:cols w:space="720"/>
          <w:titlePg/>
        </w:sectPr>
      </w:pPr>
    </w:p>
    <w:p w14:paraId="3A4850D1" w14:textId="16F4F961" w:rsidR="00050E16" w:rsidRPr="00D40DC9" w:rsidRDefault="007F3A02" w:rsidP="005C2C74">
      <w:pPr>
        <w:ind w:left="-284"/>
        <w:jc w:val="left"/>
        <w:rPr>
          <w:lang w:val="es-419"/>
        </w:rPr>
      </w:pPr>
      <w:bookmarkStart w:id="88" w:name="_GoBack"/>
      <w:r w:rsidRPr="00D40DC9">
        <w:rPr>
          <w:noProof/>
          <w:lang w:val="en-US" w:eastAsia="en-US" w:bidi="ar-SA"/>
        </w:rPr>
        <w:lastRenderedPageBreak/>
        <w:drawing>
          <wp:inline distT="0" distB="0" distL="0" distR="0" wp14:anchorId="361D6D8C" wp14:editId="3687E8A6">
            <wp:extent cx="8900160" cy="61207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900160" cy="6120765"/>
                    </a:xfrm>
                    <a:prstGeom prst="rect">
                      <a:avLst/>
                    </a:prstGeom>
                    <a:noFill/>
                    <a:ln>
                      <a:noFill/>
                    </a:ln>
                  </pic:spPr>
                </pic:pic>
              </a:graphicData>
            </a:graphic>
          </wp:inline>
        </w:drawing>
      </w:r>
      <w:bookmarkEnd w:id="88"/>
    </w:p>
    <w:sectPr w:rsidR="00050E16" w:rsidRPr="00D40DC9" w:rsidSect="00AD16F9">
      <w:headerReference w:type="default" r:id="rId37"/>
      <w:headerReference w:type="first" r:id="rId38"/>
      <w:footerReference w:type="first" r:id="rId39"/>
      <w:pgSz w:w="16840" w:h="11907" w:orient="landscape" w:code="9"/>
      <w:pgMar w:top="1134" w:right="510" w:bottom="567"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60899" w14:textId="77777777" w:rsidR="00D559F7" w:rsidRDefault="00D559F7" w:rsidP="006655D3">
      <w:r>
        <w:separator/>
      </w:r>
    </w:p>
    <w:p w14:paraId="27C4C8F9" w14:textId="77777777" w:rsidR="00D559F7" w:rsidRDefault="00D559F7" w:rsidP="006655D3"/>
    <w:p w14:paraId="435EC7CE" w14:textId="77777777" w:rsidR="00D559F7" w:rsidRDefault="00D559F7" w:rsidP="006655D3"/>
  </w:endnote>
  <w:endnote w:type="continuationSeparator" w:id="0">
    <w:p w14:paraId="50BBDDDA" w14:textId="77777777" w:rsidR="00D559F7" w:rsidRDefault="00D559F7" w:rsidP="006655D3">
      <w:r>
        <w:separator/>
      </w:r>
    </w:p>
    <w:p w14:paraId="523ADAB2" w14:textId="77777777" w:rsidR="00D559F7" w:rsidRPr="00294751" w:rsidRDefault="00D559F7" w:rsidP="005C2C74">
      <w:pPr>
        <w:pStyle w:val="Footer"/>
        <w:rPr>
          <w:lang w:val="fr-FR"/>
        </w:rPr>
      </w:pPr>
      <w:r w:rsidRPr="00294751">
        <w:rPr>
          <w:lang w:val="fr-FR"/>
        </w:rPr>
        <w:t>[Suite de la note de la page précédente]</w:t>
      </w:r>
    </w:p>
    <w:p w14:paraId="36E4CB16" w14:textId="77777777" w:rsidR="00D559F7" w:rsidRPr="00294751" w:rsidRDefault="00D559F7" w:rsidP="006655D3">
      <w:pPr>
        <w:rPr>
          <w:lang w:val="fr-FR"/>
        </w:rPr>
      </w:pPr>
    </w:p>
    <w:p w14:paraId="024FDE77" w14:textId="77777777" w:rsidR="00D559F7" w:rsidRPr="00294751" w:rsidRDefault="00D559F7" w:rsidP="006655D3">
      <w:pPr>
        <w:rPr>
          <w:lang w:val="fr-FR"/>
        </w:rPr>
      </w:pPr>
    </w:p>
  </w:endnote>
  <w:endnote w:type="continuationNotice" w:id="1">
    <w:p w14:paraId="690A5068" w14:textId="77777777" w:rsidR="00D559F7" w:rsidRPr="00294751" w:rsidRDefault="00D559F7" w:rsidP="006655D3">
      <w:pPr>
        <w:rPr>
          <w:lang w:val="fr-FR"/>
        </w:rPr>
      </w:pPr>
      <w:r w:rsidRPr="00294751">
        <w:rPr>
          <w:lang w:val="fr-FR"/>
        </w:rPr>
        <w:t>[Suite de la note page suivante]</w:t>
      </w:r>
    </w:p>
    <w:p w14:paraId="4BBB9187" w14:textId="77777777" w:rsidR="00D559F7" w:rsidRPr="00294751" w:rsidRDefault="00D559F7" w:rsidP="006655D3">
      <w:pPr>
        <w:rPr>
          <w:lang w:val="fr-FR"/>
        </w:rPr>
      </w:pPr>
    </w:p>
    <w:p w14:paraId="75CAC986" w14:textId="77777777" w:rsidR="00D559F7" w:rsidRPr="00294751" w:rsidRDefault="00D559F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E749B" w14:textId="77777777" w:rsidR="007F3A02" w:rsidRPr="00DE7D82" w:rsidRDefault="007F3A02" w:rsidP="005C2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4314" w14:textId="77777777" w:rsidR="007F3A02" w:rsidRDefault="007F3A02" w:rsidP="005C2C74">
    <w:pPr>
      <w:pStyle w:val="Footer"/>
      <w:rPr>
        <w:sz w:val="20"/>
      </w:rPr>
    </w:pPr>
  </w:p>
  <w:p w14:paraId="14824935" w14:textId="77777777" w:rsidR="007F3A02" w:rsidRPr="005C2C74" w:rsidRDefault="007F3A02" w:rsidP="005C2C74">
    <w:pPr>
      <w:pStyle w:val="Footer"/>
      <w:rPr>
        <w:sz w:val="20"/>
      </w:rPr>
    </w:pPr>
    <w:r>
      <w:rPr>
        <w:sz w:val="20"/>
      </w:rPr>
      <w:t>[Final del Anexo VI y del documento]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72F33" w14:textId="77777777" w:rsidR="00D559F7" w:rsidRDefault="00D559F7" w:rsidP="006655D3">
      <w:r>
        <w:separator/>
      </w:r>
    </w:p>
  </w:footnote>
  <w:footnote w:type="continuationSeparator" w:id="0">
    <w:p w14:paraId="62D2C36F" w14:textId="77777777" w:rsidR="00D559F7" w:rsidRDefault="00D559F7" w:rsidP="006655D3">
      <w:r>
        <w:separator/>
      </w:r>
    </w:p>
  </w:footnote>
  <w:footnote w:type="continuationNotice" w:id="1">
    <w:p w14:paraId="045E1B87" w14:textId="77777777" w:rsidR="00D559F7" w:rsidRPr="00AB530F" w:rsidRDefault="00D559F7" w:rsidP="005C2C7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1CE9" w14:textId="77777777" w:rsidR="007F3A02" w:rsidRPr="002E1B40" w:rsidRDefault="007F3A02" w:rsidP="001270B2">
    <w:pPr>
      <w:jc w:val="center"/>
    </w:pPr>
    <w:r>
      <w:t>TC/55/4</w:t>
    </w:r>
  </w:p>
  <w:p w14:paraId="1E92D73C" w14:textId="6E3547DD" w:rsidR="007F3A02" w:rsidRPr="002E1B40" w:rsidRDefault="007F3A02" w:rsidP="001270B2">
    <w:pPr>
      <w:jc w:val="center"/>
    </w:pPr>
    <w:r>
      <w:t xml:space="preserve">página </w:t>
    </w:r>
    <w:r w:rsidRPr="00C5280D">
      <w:fldChar w:fldCharType="begin"/>
    </w:r>
    <w:r w:rsidRPr="002E1B40">
      <w:instrText xml:space="preserve"> PAGE </w:instrText>
    </w:r>
    <w:r w:rsidRPr="00C5280D">
      <w:fldChar w:fldCharType="separate"/>
    </w:r>
    <w:r w:rsidR="00187A68">
      <w:rPr>
        <w:noProof/>
      </w:rPr>
      <w:t>11</w:t>
    </w:r>
    <w:r w:rsidRPr="00C5280D">
      <w:fldChar w:fldCharType="end"/>
    </w:r>
  </w:p>
  <w:p w14:paraId="0257E24E" w14:textId="77777777" w:rsidR="007F3A02" w:rsidRPr="002E1B40" w:rsidRDefault="007F3A02"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6771B" w14:textId="77777777" w:rsidR="007F3A02" w:rsidRPr="002E1B40" w:rsidRDefault="007F3A02" w:rsidP="009956BC">
    <w:pPr>
      <w:jc w:val="center"/>
    </w:pPr>
    <w:r>
      <w:t>TC/55/4</w:t>
    </w:r>
  </w:p>
  <w:p w14:paraId="66F40200" w14:textId="77777777" w:rsidR="007F3A02" w:rsidRDefault="007F3A02" w:rsidP="001270B2">
    <w:pPr>
      <w:jc w:val="center"/>
    </w:pPr>
  </w:p>
  <w:p w14:paraId="39FDA6DF" w14:textId="77777777" w:rsidR="007F3A02" w:rsidRDefault="007F3A02" w:rsidP="001270B2">
    <w:pPr>
      <w:jc w:val="center"/>
    </w:pPr>
    <w:r>
      <w:t xml:space="preserve">ANEXO V </w:t>
    </w:r>
  </w:p>
  <w:p w14:paraId="52F78FED" w14:textId="77777777" w:rsidR="007F3A02" w:rsidRPr="004A75CB" w:rsidRDefault="007F3A02" w:rsidP="001270B2">
    <w:pP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AA4D" w14:textId="77777777" w:rsidR="007F3A02" w:rsidRPr="00C5280D" w:rsidRDefault="007F3A02" w:rsidP="00EB048E">
    <w:pPr>
      <w:pStyle w:val="Header"/>
      <w:rPr>
        <w:rStyle w:val="PageNumber"/>
      </w:rPr>
    </w:pPr>
    <w:r>
      <w:rPr>
        <w:rStyle w:val="PageNumber"/>
      </w:rPr>
      <w:t>TC/55/4</w:t>
    </w:r>
  </w:p>
  <w:p w14:paraId="20CB321A" w14:textId="77777777" w:rsidR="007F3A02" w:rsidRPr="00C5280D" w:rsidRDefault="007F3A02"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14:paraId="2E4DD907" w14:textId="77777777" w:rsidR="007F3A02" w:rsidRPr="00C5280D" w:rsidRDefault="007F3A02" w:rsidP="006655D3"/>
  <w:p w14:paraId="7B8BA340" w14:textId="77777777" w:rsidR="007F3A02" w:rsidRDefault="007F3A02"/>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ED608" w14:textId="77777777" w:rsidR="007F3A02" w:rsidRPr="00193975" w:rsidRDefault="007F3A02" w:rsidP="009956BC">
    <w:pPr>
      <w:jc w:val="center"/>
    </w:pPr>
    <w:r>
      <w:t>TC/55/4</w:t>
    </w:r>
  </w:p>
  <w:p w14:paraId="4E159339" w14:textId="77777777" w:rsidR="007F3A02" w:rsidRDefault="007F3A02" w:rsidP="001270B2">
    <w:pPr>
      <w:jc w:val="center"/>
    </w:pPr>
  </w:p>
  <w:p w14:paraId="2CBDD2E4" w14:textId="6B2FDF39" w:rsidR="007F3A02" w:rsidRDefault="007F3A02" w:rsidP="001270B2">
    <w:pPr>
      <w:jc w:val="center"/>
    </w:pPr>
    <w:r>
      <w:t xml:space="preserve">ANEXO VI. </w:t>
    </w:r>
    <w:r w:rsidR="00187A68">
      <w:t xml:space="preserve">- </w:t>
    </w:r>
    <w:r>
      <w:t xml:space="preserve">PROGRAMA PARA LA ELABORACIÓN DE LOS DOCUMENTOS TGP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B39B1" w14:textId="77777777" w:rsidR="007F3A02" w:rsidRPr="002E1B40" w:rsidRDefault="007F3A02" w:rsidP="009956BC">
    <w:pPr>
      <w:jc w:val="center"/>
    </w:pPr>
    <w:r>
      <w:t>TC/55/4</w:t>
    </w:r>
  </w:p>
  <w:p w14:paraId="68D11B93" w14:textId="0E5E3D83" w:rsidR="007F3A02" w:rsidRPr="00C5280D" w:rsidRDefault="007F3A02"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87A68">
      <w:rPr>
        <w:rStyle w:val="PageNumber"/>
        <w:noProof/>
      </w:rPr>
      <w:t>3</w:t>
    </w:r>
    <w:r w:rsidRPr="00C5280D">
      <w:rPr>
        <w:rStyle w:val="PageNumber"/>
      </w:rPr>
      <w:fldChar w:fldCharType="end"/>
    </w:r>
  </w:p>
  <w:p w14:paraId="391BD329" w14:textId="77777777" w:rsidR="007F3A02" w:rsidRPr="00C5280D" w:rsidRDefault="007F3A02"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0D23" w14:textId="77777777" w:rsidR="007F3A02" w:rsidRPr="002E1B40" w:rsidRDefault="007F3A02" w:rsidP="009956BC">
    <w:pPr>
      <w:jc w:val="center"/>
    </w:pPr>
    <w:r>
      <w:t>TC/55/4</w:t>
    </w:r>
  </w:p>
  <w:p w14:paraId="51FBDAB2" w14:textId="77777777" w:rsidR="007F3A02" w:rsidRDefault="007F3A02" w:rsidP="001270B2">
    <w:pPr>
      <w:jc w:val="center"/>
    </w:pPr>
  </w:p>
  <w:p w14:paraId="4601B68E" w14:textId="77777777" w:rsidR="007F3A02" w:rsidRDefault="007F3A02" w:rsidP="001270B2">
    <w:pPr>
      <w:jc w:val="center"/>
    </w:pPr>
    <w:r>
      <w:t xml:space="preserve">ANEXO I </w:t>
    </w:r>
  </w:p>
  <w:p w14:paraId="4AC541E6" w14:textId="77777777" w:rsidR="007F3A02" w:rsidRPr="004A75CB" w:rsidRDefault="007F3A02" w:rsidP="001270B2">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78D9" w14:textId="77777777" w:rsidR="007F3A02" w:rsidRPr="002E1B40" w:rsidRDefault="007F3A02" w:rsidP="009956BC">
    <w:pPr>
      <w:jc w:val="center"/>
    </w:pPr>
    <w:r>
      <w:t>TC/55/4</w:t>
    </w:r>
  </w:p>
  <w:p w14:paraId="3541F76C" w14:textId="77777777" w:rsidR="007F3A02" w:rsidRDefault="007F3A02" w:rsidP="001270B2">
    <w:pPr>
      <w:jc w:val="center"/>
    </w:pPr>
  </w:p>
  <w:p w14:paraId="3EBDB4DD" w14:textId="77777777" w:rsidR="007F3A02" w:rsidRDefault="007F3A02" w:rsidP="001270B2">
    <w:pPr>
      <w:jc w:val="center"/>
    </w:pPr>
    <w:r>
      <w:t xml:space="preserve">ANEXO II </w:t>
    </w:r>
  </w:p>
  <w:p w14:paraId="0ED058D5" w14:textId="77777777" w:rsidR="007F3A02" w:rsidRPr="004A75CB" w:rsidRDefault="007F3A02" w:rsidP="001270B2">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64ED0" w14:textId="77777777" w:rsidR="007F3A02" w:rsidRPr="002E1B40" w:rsidRDefault="007F3A02" w:rsidP="009956BC">
    <w:pPr>
      <w:jc w:val="center"/>
    </w:pPr>
    <w:r>
      <w:t>TC/55/4</w:t>
    </w:r>
  </w:p>
  <w:p w14:paraId="457A3F4E" w14:textId="5FC29DB0" w:rsidR="007F3A02" w:rsidRPr="00436698" w:rsidRDefault="007F3A02" w:rsidP="00EB048E">
    <w:pPr>
      <w:pStyle w:val="Header"/>
    </w:pPr>
    <w:r>
      <w:t xml:space="preserve">Anexo III, página </w:t>
    </w:r>
    <w:r w:rsidRPr="00C5280D">
      <w:rPr>
        <w:rStyle w:val="PageNumber"/>
      </w:rPr>
      <w:fldChar w:fldCharType="begin"/>
    </w:r>
    <w:r w:rsidRPr="00436698">
      <w:rPr>
        <w:rStyle w:val="PageNumber"/>
      </w:rPr>
      <w:instrText xml:space="preserve"> PAGE </w:instrText>
    </w:r>
    <w:r w:rsidRPr="00C5280D">
      <w:rPr>
        <w:rStyle w:val="PageNumber"/>
      </w:rPr>
      <w:fldChar w:fldCharType="separate"/>
    </w:r>
    <w:r w:rsidR="00187A68">
      <w:rPr>
        <w:rStyle w:val="PageNumber"/>
        <w:noProof/>
      </w:rPr>
      <w:t>3</w:t>
    </w:r>
    <w:r w:rsidRPr="00C5280D">
      <w:rPr>
        <w:rStyle w:val="PageNumber"/>
      </w:rPr>
      <w:fldChar w:fldCharType="end"/>
    </w:r>
  </w:p>
  <w:p w14:paraId="7DDB6095" w14:textId="77777777" w:rsidR="007F3A02" w:rsidRPr="00436698" w:rsidRDefault="007F3A02"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00BA" w14:textId="77777777" w:rsidR="007F3A02" w:rsidRPr="002E1B40" w:rsidRDefault="007F3A02" w:rsidP="009956BC">
    <w:pPr>
      <w:jc w:val="center"/>
    </w:pPr>
    <w:r>
      <w:t>TC/55/4</w:t>
    </w:r>
  </w:p>
  <w:p w14:paraId="26C9A328" w14:textId="77777777" w:rsidR="007F3A02" w:rsidRDefault="007F3A02" w:rsidP="001270B2">
    <w:pPr>
      <w:jc w:val="center"/>
    </w:pPr>
  </w:p>
  <w:p w14:paraId="2085093A" w14:textId="77777777" w:rsidR="007F3A02" w:rsidRDefault="007F3A02" w:rsidP="001270B2">
    <w:pPr>
      <w:jc w:val="center"/>
    </w:pPr>
    <w:r>
      <w:t xml:space="preserve">ANEXO III </w:t>
    </w:r>
  </w:p>
  <w:p w14:paraId="2ABFCBCA" w14:textId="77777777" w:rsidR="007F3A02" w:rsidRPr="004A75CB" w:rsidRDefault="007F3A02" w:rsidP="001270B2">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0FD3" w14:textId="77777777" w:rsidR="007F3A02" w:rsidRPr="002E1B40" w:rsidRDefault="007F3A02" w:rsidP="009956BC">
    <w:pPr>
      <w:jc w:val="center"/>
    </w:pPr>
    <w:r>
      <w:t>TC/55/4</w:t>
    </w:r>
  </w:p>
  <w:p w14:paraId="1A001800" w14:textId="58BF3CB6" w:rsidR="007F3A02" w:rsidRPr="00436698" w:rsidRDefault="007F3A02" w:rsidP="00EB048E">
    <w:pPr>
      <w:pStyle w:val="Header"/>
    </w:pPr>
    <w:r>
      <w:t xml:space="preserve">Anexo IV, página </w:t>
    </w:r>
    <w:r w:rsidRPr="00C5280D">
      <w:rPr>
        <w:rStyle w:val="PageNumber"/>
      </w:rPr>
      <w:fldChar w:fldCharType="begin"/>
    </w:r>
    <w:r w:rsidRPr="00436698">
      <w:rPr>
        <w:rStyle w:val="PageNumber"/>
      </w:rPr>
      <w:instrText xml:space="preserve"> PAGE </w:instrText>
    </w:r>
    <w:r w:rsidRPr="00C5280D">
      <w:rPr>
        <w:rStyle w:val="PageNumber"/>
      </w:rPr>
      <w:fldChar w:fldCharType="separate"/>
    </w:r>
    <w:r w:rsidR="00187A68">
      <w:rPr>
        <w:rStyle w:val="PageNumber"/>
        <w:noProof/>
      </w:rPr>
      <w:t>2</w:t>
    </w:r>
    <w:r w:rsidRPr="00C5280D">
      <w:rPr>
        <w:rStyle w:val="PageNumber"/>
      </w:rPr>
      <w:fldChar w:fldCharType="end"/>
    </w:r>
  </w:p>
  <w:p w14:paraId="10A585B4" w14:textId="77777777" w:rsidR="007F3A02" w:rsidRPr="00436698" w:rsidRDefault="007F3A02"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9C765" w14:textId="77777777" w:rsidR="007F3A02" w:rsidRPr="002E1B40" w:rsidRDefault="007F3A02" w:rsidP="009956BC">
    <w:pPr>
      <w:jc w:val="center"/>
    </w:pPr>
    <w:r>
      <w:t>TC/55/4</w:t>
    </w:r>
  </w:p>
  <w:p w14:paraId="35434BF4" w14:textId="77777777" w:rsidR="007F3A02" w:rsidRDefault="007F3A02" w:rsidP="001270B2">
    <w:pPr>
      <w:jc w:val="center"/>
    </w:pPr>
  </w:p>
  <w:p w14:paraId="71C59672" w14:textId="77777777" w:rsidR="007F3A02" w:rsidRDefault="007F3A02" w:rsidP="001270B2">
    <w:pPr>
      <w:jc w:val="center"/>
    </w:pPr>
    <w:r>
      <w:t xml:space="preserve">ANEXO IV </w:t>
    </w:r>
  </w:p>
  <w:p w14:paraId="44298634" w14:textId="77777777" w:rsidR="007F3A02" w:rsidRPr="004A75CB" w:rsidRDefault="007F3A02" w:rsidP="001270B2">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0F80" w14:textId="77777777" w:rsidR="007F3A02" w:rsidRPr="002E1B40" w:rsidRDefault="007F3A02" w:rsidP="009956BC">
    <w:pPr>
      <w:jc w:val="center"/>
    </w:pPr>
    <w:r>
      <w:t>TC/55/4</w:t>
    </w:r>
  </w:p>
  <w:p w14:paraId="6B2E7963" w14:textId="3C10AB34" w:rsidR="007F3A02" w:rsidRPr="00436698" w:rsidRDefault="007F3A02" w:rsidP="00EB048E">
    <w:pPr>
      <w:pStyle w:val="Header"/>
    </w:pPr>
    <w:r>
      <w:t xml:space="preserve">Anexo V, página </w:t>
    </w:r>
    <w:r w:rsidRPr="00C5280D">
      <w:rPr>
        <w:rStyle w:val="PageNumber"/>
      </w:rPr>
      <w:fldChar w:fldCharType="begin"/>
    </w:r>
    <w:r w:rsidRPr="00436698">
      <w:rPr>
        <w:rStyle w:val="PageNumber"/>
      </w:rPr>
      <w:instrText xml:space="preserve"> PAGE </w:instrText>
    </w:r>
    <w:r w:rsidRPr="00C5280D">
      <w:rPr>
        <w:rStyle w:val="PageNumber"/>
      </w:rPr>
      <w:fldChar w:fldCharType="separate"/>
    </w:r>
    <w:r w:rsidR="00187A68">
      <w:rPr>
        <w:rStyle w:val="PageNumber"/>
        <w:noProof/>
      </w:rPr>
      <w:t>2</w:t>
    </w:r>
    <w:r w:rsidRPr="00C5280D">
      <w:rPr>
        <w:rStyle w:val="PageNumber"/>
      </w:rPr>
      <w:fldChar w:fldCharType="end"/>
    </w:r>
  </w:p>
  <w:p w14:paraId="70F3CDA3" w14:textId="77777777" w:rsidR="007F3A02" w:rsidRPr="00436698" w:rsidRDefault="007F3A02"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60C"/>
    <w:multiLevelType w:val="hybridMultilevel"/>
    <w:tmpl w:val="FB582102"/>
    <w:lvl w:ilvl="0" w:tplc="D65050B0">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0AB024FD"/>
    <w:multiLevelType w:val="hybridMultilevel"/>
    <w:tmpl w:val="68C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66DB3"/>
    <w:multiLevelType w:val="hybridMultilevel"/>
    <w:tmpl w:val="82BE466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E0B4C7E"/>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306C5"/>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15:restartNumberingAfterBreak="0">
    <w:nsid w:val="4508156C"/>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B5934"/>
    <w:multiLevelType w:val="hybridMultilevel"/>
    <w:tmpl w:val="2388A26E"/>
    <w:lvl w:ilvl="0" w:tplc="A674507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2"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F287E"/>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A5454"/>
    <w:multiLevelType w:val="hybridMultilevel"/>
    <w:tmpl w:val="9334C074"/>
    <w:lvl w:ilvl="0" w:tplc="9F3E7D0C">
      <w:start w:val="1"/>
      <w:numFmt w:val="lowerLetter"/>
      <w:lvlText w:val="(%1)"/>
      <w:lvlJc w:val="left"/>
      <w:pPr>
        <w:ind w:left="1140" w:hanging="570"/>
      </w:pPr>
      <w:rPr>
        <w:rFonts w:cs="Aria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D7D76"/>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78006996"/>
    <w:multiLevelType w:val="hybridMultilevel"/>
    <w:tmpl w:val="C36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15"/>
  </w:num>
  <w:num w:numId="5">
    <w:abstractNumId w:val="6"/>
  </w:num>
  <w:num w:numId="6">
    <w:abstractNumId w:val="5"/>
  </w:num>
  <w:num w:numId="7">
    <w:abstractNumId w:val="10"/>
  </w:num>
  <w:num w:numId="8">
    <w:abstractNumId w:val="3"/>
  </w:num>
  <w:num w:numId="9">
    <w:abstractNumId w:val="4"/>
  </w:num>
  <w:num w:numId="10">
    <w:abstractNumId w:val="11"/>
  </w:num>
  <w:num w:numId="11">
    <w:abstractNumId w:val="9"/>
  </w:num>
  <w:num w:numId="12">
    <w:abstractNumId w:val="16"/>
  </w:num>
  <w:num w:numId="13">
    <w:abstractNumId w:val="14"/>
  </w:num>
  <w:num w:numId="14">
    <w:abstractNumId w:val="8"/>
  </w:num>
  <w:num w:numId="15">
    <w:abstractNumId w:val="13"/>
  </w:num>
  <w:num w:numId="16">
    <w:abstractNumId w:val="17"/>
  </w:num>
  <w:num w:numId="17">
    <w:abstractNumId w:val="1"/>
  </w:num>
  <w:num w:numId="1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16165"/>
    <w:rsid w:val="00020BA0"/>
    <w:rsid w:val="00024AB8"/>
    <w:rsid w:val="00025904"/>
    <w:rsid w:val="00030854"/>
    <w:rsid w:val="000317FB"/>
    <w:rsid w:val="00036028"/>
    <w:rsid w:val="0004024C"/>
    <w:rsid w:val="00044642"/>
    <w:rsid w:val="000446B9"/>
    <w:rsid w:val="00047E21"/>
    <w:rsid w:val="00050E16"/>
    <w:rsid w:val="00085505"/>
    <w:rsid w:val="00087258"/>
    <w:rsid w:val="000C1143"/>
    <w:rsid w:val="000C4E25"/>
    <w:rsid w:val="000C7021"/>
    <w:rsid w:val="000D24AE"/>
    <w:rsid w:val="000D6BBC"/>
    <w:rsid w:val="000D7780"/>
    <w:rsid w:val="000E636A"/>
    <w:rsid w:val="000F1025"/>
    <w:rsid w:val="000F1B8F"/>
    <w:rsid w:val="000F2F11"/>
    <w:rsid w:val="000F3A66"/>
    <w:rsid w:val="00105929"/>
    <w:rsid w:val="001101C2"/>
    <w:rsid w:val="00110C36"/>
    <w:rsid w:val="001131D5"/>
    <w:rsid w:val="001270B2"/>
    <w:rsid w:val="00134CDD"/>
    <w:rsid w:val="00136EE6"/>
    <w:rsid w:val="00141DB8"/>
    <w:rsid w:val="00151149"/>
    <w:rsid w:val="00154024"/>
    <w:rsid w:val="00172084"/>
    <w:rsid w:val="0017474A"/>
    <w:rsid w:val="001758C6"/>
    <w:rsid w:val="00182B99"/>
    <w:rsid w:val="00187A68"/>
    <w:rsid w:val="00193892"/>
    <w:rsid w:val="00193975"/>
    <w:rsid w:val="001B3658"/>
    <w:rsid w:val="00205C7D"/>
    <w:rsid w:val="0020772A"/>
    <w:rsid w:val="0021332C"/>
    <w:rsid w:val="00213982"/>
    <w:rsid w:val="00235198"/>
    <w:rsid w:val="00241A46"/>
    <w:rsid w:val="0024416D"/>
    <w:rsid w:val="00271911"/>
    <w:rsid w:val="002800A0"/>
    <w:rsid w:val="002801B3"/>
    <w:rsid w:val="00281060"/>
    <w:rsid w:val="002940E8"/>
    <w:rsid w:val="00294751"/>
    <w:rsid w:val="002A0B75"/>
    <w:rsid w:val="002A6E50"/>
    <w:rsid w:val="002B4298"/>
    <w:rsid w:val="002C256A"/>
    <w:rsid w:val="002D1193"/>
    <w:rsid w:val="002F020D"/>
    <w:rsid w:val="002F5AB7"/>
    <w:rsid w:val="00304827"/>
    <w:rsid w:val="00305A7F"/>
    <w:rsid w:val="003152FE"/>
    <w:rsid w:val="00327436"/>
    <w:rsid w:val="003426E6"/>
    <w:rsid w:val="00344BD6"/>
    <w:rsid w:val="0035528D"/>
    <w:rsid w:val="0035588A"/>
    <w:rsid w:val="00361821"/>
    <w:rsid w:val="00361E9E"/>
    <w:rsid w:val="003C7FBE"/>
    <w:rsid w:val="003D227C"/>
    <w:rsid w:val="003D2B4D"/>
    <w:rsid w:val="004139D5"/>
    <w:rsid w:val="00421BAE"/>
    <w:rsid w:val="0044336B"/>
    <w:rsid w:val="00444A88"/>
    <w:rsid w:val="00474DA4"/>
    <w:rsid w:val="00476B4D"/>
    <w:rsid w:val="004805FA"/>
    <w:rsid w:val="00491A90"/>
    <w:rsid w:val="004935D2"/>
    <w:rsid w:val="004B1215"/>
    <w:rsid w:val="004B29C3"/>
    <w:rsid w:val="004D047D"/>
    <w:rsid w:val="004E77B4"/>
    <w:rsid w:val="004F1E9E"/>
    <w:rsid w:val="004F305A"/>
    <w:rsid w:val="00512164"/>
    <w:rsid w:val="005173A3"/>
    <w:rsid w:val="00520297"/>
    <w:rsid w:val="00524DB4"/>
    <w:rsid w:val="005338F9"/>
    <w:rsid w:val="0054281C"/>
    <w:rsid w:val="00544581"/>
    <w:rsid w:val="0055268D"/>
    <w:rsid w:val="005559A4"/>
    <w:rsid w:val="00576987"/>
    <w:rsid w:val="00576BE4"/>
    <w:rsid w:val="005A400A"/>
    <w:rsid w:val="005B46E9"/>
    <w:rsid w:val="005C2C74"/>
    <w:rsid w:val="005E6B99"/>
    <w:rsid w:val="005E75C9"/>
    <w:rsid w:val="005F0359"/>
    <w:rsid w:val="005F7B92"/>
    <w:rsid w:val="00612379"/>
    <w:rsid w:val="006153B6"/>
    <w:rsid w:val="0061555F"/>
    <w:rsid w:val="0062202C"/>
    <w:rsid w:val="0063369D"/>
    <w:rsid w:val="00636CA6"/>
    <w:rsid w:val="00637C8A"/>
    <w:rsid w:val="00641200"/>
    <w:rsid w:val="00645CA8"/>
    <w:rsid w:val="006655D3"/>
    <w:rsid w:val="00667404"/>
    <w:rsid w:val="00687EB4"/>
    <w:rsid w:val="00695C56"/>
    <w:rsid w:val="006A5CDE"/>
    <w:rsid w:val="006A644A"/>
    <w:rsid w:val="006B17D2"/>
    <w:rsid w:val="006B3A0E"/>
    <w:rsid w:val="006C224E"/>
    <w:rsid w:val="006D7435"/>
    <w:rsid w:val="006D780A"/>
    <w:rsid w:val="006F67C5"/>
    <w:rsid w:val="0071271E"/>
    <w:rsid w:val="00713403"/>
    <w:rsid w:val="00732DEC"/>
    <w:rsid w:val="00735BD5"/>
    <w:rsid w:val="0074544B"/>
    <w:rsid w:val="00751613"/>
    <w:rsid w:val="007556F6"/>
    <w:rsid w:val="00760EEF"/>
    <w:rsid w:val="00764773"/>
    <w:rsid w:val="00777EE5"/>
    <w:rsid w:val="0078234B"/>
    <w:rsid w:val="00784836"/>
    <w:rsid w:val="00786656"/>
    <w:rsid w:val="0079023E"/>
    <w:rsid w:val="00794CEC"/>
    <w:rsid w:val="007A2854"/>
    <w:rsid w:val="007B1641"/>
    <w:rsid w:val="007C1D92"/>
    <w:rsid w:val="007C4CB9"/>
    <w:rsid w:val="007D0B9D"/>
    <w:rsid w:val="007D19B0"/>
    <w:rsid w:val="007D241B"/>
    <w:rsid w:val="007E09F2"/>
    <w:rsid w:val="007F3A02"/>
    <w:rsid w:val="007F498F"/>
    <w:rsid w:val="007F69A3"/>
    <w:rsid w:val="008012C9"/>
    <w:rsid w:val="0080679D"/>
    <w:rsid w:val="008108B0"/>
    <w:rsid w:val="00811B20"/>
    <w:rsid w:val="00812C46"/>
    <w:rsid w:val="008211B5"/>
    <w:rsid w:val="0082296E"/>
    <w:rsid w:val="00824099"/>
    <w:rsid w:val="0084043B"/>
    <w:rsid w:val="00846D7C"/>
    <w:rsid w:val="00867AC1"/>
    <w:rsid w:val="00890DF8"/>
    <w:rsid w:val="00890EA0"/>
    <w:rsid w:val="008A743F"/>
    <w:rsid w:val="008B6E60"/>
    <w:rsid w:val="008B773F"/>
    <w:rsid w:val="008C0970"/>
    <w:rsid w:val="008D0BC5"/>
    <w:rsid w:val="008D29EC"/>
    <w:rsid w:val="008D2CF7"/>
    <w:rsid w:val="008D7E86"/>
    <w:rsid w:val="00900C26"/>
    <w:rsid w:val="0090197F"/>
    <w:rsid w:val="00905272"/>
    <w:rsid w:val="00906DDC"/>
    <w:rsid w:val="00934E09"/>
    <w:rsid w:val="00936253"/>
    <w:rsid w:val="00940D46"/>
    <w:rsid w:val="00952DD4"/>
    <w:rsid w:val="00965AE7"/>
    <w:rsid w:val="00970FED"/>
    <w:rsid w:val="00992D82"/>
    <w:rsid w:val="009956BC"/>
    <w:rsid w:val="00997029"/>
    <w:rsid w:val="009A3859"/>
    <w:rsid w:val="009A7339"/>
    <w:rsid w:val="009B440E"/>
    <w:rsid w:val="009B45FB"/>
    <w:rsid w:val="009C63EC"/>
    <w:rsid w:val="009D690D"/>
    <w:rsid w:val="009E3945"/>
    <w:rsid w:val="009E65B6"/>
    <w:rsid w:val="009F2AA3"/>
    <w:rsid w:val="00A02FB5"/>
    <w:rsid w:val="00A04556"/>
    <w:rsid w:val="00A04A26"/>
    <w:rsid w:val="00A24C10"/>
    <w:rsid w:val="00A35379"/>
    <w:rsid w:val="00A36A0F"/>
    <w:rsid w:val="00A37C2B"/>
    <w:rsid w:val="00A42AC3"/>
    <w:rsid w:val="00A430CF"/>
    <w:rsid w:val="00A54309"/>
    <w:rsid w:val="00A81683"/>
    <w:rsid w:val="00A90178"/>
    <w:rsid w:val="00AB2B93"/>
    <w:rsid w:val="00AB530F"/>
    <w:rsid w:val="00AB7E5B"/>
    <w:rsid w:val="00AC05EF"/>
    <w:rsid w:val="00AC2883"/>
    <w:rsid w:val="00AC28E9"/>
    <w:rsid w:val="00AD16F9"/>
    <w:rsid w:val="00AE0EF1"/>
    <w:rsid w:val="00AE2937"/>
    <w:rsid w:val="00AE2C77"/>
    <w:rsid w:val="00B04CEA"/>
    <w:rsid w:val="00B07301"/>
    <w:rsid w:val="00B11F3E"/>
    <w:rsid w:val="00B12C03"/>
    <w:rsid w:val="00B224DE"/>
    <w:rsid w:val="00B264B1"/>
    <w:rsid w:val="00B324D4"/>
    <w:rsid w:val="00B46575"/>
    <w:rsid w:val="00B61777"/>
    <w:rsid w:val="00B725AE"/>
    <w:rsid w:val="00B84BBD"/>
    <w:rsid w:val="00BA43FB"/>
    <w:rsid w:val="00BC127D"/>
    <w:rsid w:val="00BC1FE6"/>
    <w:rsid w:val="00BE4680"/>
    <w:rsid w:val="00C061B6"/>
    <w:rsid w:val="00C13C5C"/>
    <w:rsid w:val="00C2446C"/>
    <w:rsid w:val="00C36AE5"/>
    <w:rsid w:val="00C375D8"/>
    <w:rsid w:val="00C40ED8"/>
    <w:rsid w:val="00C41F17"/>
    <w:rsid w:val="00C527FA"/>
    <w:rsid w:val="00C5280D"/>
    <w:rsid w:val="00C53EB3"/>
    <w:rsid w:val="00C55CB8"/>
    <w:rsid w:val="00C5791C"/>
    <w:rsid w:val="00C66290"/>
    <w:rsid w:val="00C72B7A"/>
    <w:rsid w:val="00C9476F"/>
    <w:rsid w:val="00C973F2"/>
    <w:rsid w:val="00CA304C"/>
    <w:rsid w:val="00CA774A"/>
    <w:rsid w:val="00CC11B0"/>
    <w:rsid w:val="00CC2841"/>
    <w:rsid w:val="00CD1C06"/>
    <w:rsid w:val="00CF1330"/>
    <w:rsid w:val="00CF7E36"/>
    <w:rsid w:val="00D35BC0"/>
    <w:rsid w:val="00D3708D"/>
    <w:rsid w:val="00D40426"/>
    <w:rsid w:val="00D40DC9"/>
    <w:rsid w:val="00D4737F"/>
    <w:rsid w:val="00D559F7"/>
    <w:rsid w:val="00D57C96"/>
    <w:rsid w:val="00D57D18"/>
    <w:rsid w:val="00D605D9"/>
    <w:rsid w:val="00D7161A"/>
    <w:rsid w:val="00D91203"/>
    <w:rsid w:val="00D92A27"/>
    <w:rsid w:val="00D95174"/>
    <w:rsid w:val="00DA4973"/>
    <w:rsid w:val="00DA6F36"/>
    <w:rsid w:val="00DB596E"/>
    <w:rsid w:val="00DB7773"/>
    <w:rsid w:val="00DC00EA"/>
    <w:rsid w:val="00DC3802"/>
    <w:rsid w:val="00DD1532"/>
    <w:rsid w:val="00DE28FC"/>
    <w:rsid w:val="00E07D87"/>
    <w:rsid w:val="00E32F7E"/>
    <w:rsid w:val="00E41DBE"/>
    <w:rsid w:val="00E5267B"/>
    <w:rsid w:val="00E63C0E"/>
    <w:rsid w:val="00E72D49"/>
    <w:rsid w:val="00E7593C"/>
    <w:rsid w:val="00E7678A"/>
    <w:rsid w:val="00E8341C"/>
    <w:rsid w:val="00E84B03"/>
    <w:rsid w:val="00E935F1"/>
    <w:rsid w:val="00E94A81"/>
    <w:rsid w:val="00EA1FFB"/>
    <w:rsid w:val="00EB048E"/>
    <w:rsid w:val="00EB4E9C"/>
    <w:rsid w:val="00ED3E46"/>
    <w:rsid w:val="00EE34DF"/>
    <w:rsid w:val="00EF2F89"/>
    <w:rsid w:val="00F03E98"/>
    <w:rsid w:val="00F0504C"/>
    <w:rsid w:val="00F1237A"/>
    <w:rsid w:val="00F20BA5"/>
    <w:rsid w:val="00F22CBD"/>
    <w:rsid w:val="00F272F1"/>
    <w:rsid w:val="00F33CB8"/>
    <w:rsid w:val="00F45372"/>
    <w:rsid w:val="00F560F7"/>
    <w:rsid w:val="00F6334D"/>
    <w:rsid w:val="00F84293"/>
    <w:rsid w:val="00FA49AB"/>
    <w:rsid w:val="00FB6BDA"/>
    <w:rsid w:val="00FC533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52465C"/>
  <w15:docId w15:val="{BC824CCC-8170-4573-9028-57A5BB46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9956BC"/>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rsid w:val="005C2C74"/>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qFormat/>
    <w:rsid w:val="00A36A0F"/>
    <w:pPr>
      <w:tabs>
        <w:tab w:val="right" w:leader="dot" w:pos="9639"/>
      </w:tabs>
      <w:ind w:left="568" w:right="851" w:hanging="284"/>
      <w:contextualSpacing/>
      <w:jc w:val="left"/>
    </w:pPr>
    <w:rPr>
      <w:sz w:val="18"/>
    </w:rPr>
  </w:style>
  <w:style w:type="paragraph" w:styleId="TOC3">
    <w:name w:val="toc 3"/>
    <w:basedOn w:val="Normal"/>
    <w:next w:val="Normal"/>
    <w:autoRedefine/>
    <w:uiPriority w:val="39"/>
    <w:qFormat/>
    <w:rsid w:val="00A36A0F"/>
    <w:pPr>
      <w:tabs>
        <w:tab w:val="right" w:leader="dot" w:pos="9639"/>
      </w:tabs>
      <w:spacing w:after="60"/>
      <w:ind w:left="851" w:right="1418" w:hanging="284"/>
      <w:contextualSpacing/>
      <w:jc w:val="left"/>
    </w:pPr>
    <w:rPr>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qFormat/>
    <w:rsid w:val="00A36A0F"/>
    <w:pPr>
      <w:tabs>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9956BC"/>
    <w:rPr>
      <w:rFonts w:asciiTheme="majorHAnsi" w:eastAsiaTheme="majorEastAsia" w:hAnsiTheme="majorHAnsi" w:cstheme="majorBidi"/>
      <w:color w:val="243F60" w:themeColor="accent1" w:themeShade="7F"/>
    </w:rPr>
  </w:style>
  <w:style w:type="character" w:customStyle="1" w:styleId="Heading1Char">
    <w:name w:val="Heading 1 Char"/>
    <w:aliases w:val="COMMON NAME Char,common Char"/>
    <w:basedOn w:val="DefaultParagraphFont"/>
    <w:link w:val="Heading1"/>
    <w:rsid w:val="009956BC"/>
    <w:rPr>
      <w:rFonts w:ascii="Arial" w:hAnsi="Arial"/>
      <w:caps/>
    </w:rPr>
  </w:style>
  <w:style w:type="character" w:customStyle="1" w:styleId="Heading2Char">
    <w:name w:val="Heading 2 Char"/>
    <w:basedOn w:val="DefaultParagraphFont"/>
    <w:link w:val="Heading2"/>
    <w:rsid w:val="009956BC"/>
    <w:rPr>
      <w:rFonts w:ascii="Arial" w:hAnsi="Arial"/>
      <w:u w:val="single"/>
    </w:rPr>
  </w:style>
  <w:style w:type="character" w:customStyle="1" w:styleId="Heading3Char">
    <w:name w:val="Heading 3 Char"/>
    <w:basedOn w:val="DefaultParagraphFont"/>
    <w:link w:val="Heading3"/>
    <w:rsid w:val="009956BC"/>
    <w:rPr>
      <w:rFonts w:ascii="Arial" w:hAnsi="Arial"/>
      <w:i/>
    </w:rPr>
  </w:style>
  <w:style w:type="character" w:customStyle="1" w:styleId="Heading4Char">
    <w:name w:val="Heading 4 Char"/>
    <w:basedOn w:val="DefaultParagraphFont"/>
    <w:link w:val="Heading4"/>
    <w:rsid w:val="009956BC"/>
    <w:rPr>
      <w:rFonts w:ascii="Arial" w:hAnsi="Arial"/>
      <w:u w:val="single"/>
      <w:lang w:val="es-ES"/>
    </w:rPr>
  </w:style>
  <w:style w:type="character" w:customStyle="1" w:styleId="Heading5Char">
    <w:name w:val="Heading 5 Char"/>
    <w:basedOn w:val="DefaultParagraphFont"/>
    <w:link w:val="Heading5"/>
    <w:rsid w:val="009956BC"/>
    <w:rPr>
      <w:rFonts w:ascii="Arial" w:hAnsi="Arial"/>
      <w:i/>
    </w:rPr>
  </w:style>
  <w:style w:type="character" w:customStyle="1" w:styleId="Heading9Char">
    <w:name w:val="Heading 9 Char"/>
    <w:basedOn w:val="DefaultParagraphFont"/>
    <w:link w:val="Heading9"/>
    <w:rsid w:val="009956BC"/>
    <w:rPr>
      <w:rFonts w:ascii="Arial" w:hAnsi="Arial"/>
      <w:i/>
      <w:sz w:val="18"/>
    </w:rPr>
  </w:style>
  <w:style w:type="character" w:customStyle="1" w:styleId="HeaderChar">
    <w:name w:val="Header Char"/>
    <w:basedOn w:val="DefaultParagraphFont"/>
    <w:link w:val="Header"/>
    <w:rsid w:val="009956BC"/>
    <w:rPr>
      <w:rFonts w:ascii="Arial" w:hAnsi="Arial"/>
      <w:lang w:val="es-ES"/>
    </w:rPr>
  </w:style>
  <w:style w:type="character" w:customStyle="1" w:styleId="FooterChar">
    <w:name w:val="Footer Char"/>
    <w:aliases w:val="doc_path_name Char"/>
    <w:basedOn w:val="DefaultParagraphFont"/>
    <w:link w:val="Footer"/>
    <w:rsid w:val="005C2C74"/>
    <w:rPr>
      <w:rFonts w:ascii="Arial" w:hAnsi="Arial"/>
      <w:sz w:val="14"/>
    </w:rPr>
  </w:style>
  <w:style w:type="character" w:customStyle="1" w:styleId="TitleChar">
    <w:name w:val="Title Char"/>
    <w:basedOn w:val="DefaultParagraphFont"/>
    <w:link w:val="Title"/>
    <w:rsid w:val="009956BC"/>
    <w:rPr>
      <w:rFonts w:ascii="Arial" w:hAnsi="Arial"/>
      <w:b/>
      <w:caps/>
      <w:kern w:val="28"/>
      <w:sz w:val="30"/>
    </w:rPr>
  </w:style>
  <w:style w:type="character" w:customStyle="1" w:styleId="FootnoteTextChar">
    <w:name w:val="Footnote Text Char"/>
    <w:basedOn w:val="DefaultParagraphFont"/>
    <w:link w:val="FootnoteText"/>
    <w:rsid w:val="009956BC"/>
    <w:rPr>
      <w:rFonts w:ascii="Arial" w:hAnsi="Arial"/>
      <w:sz w:val="16"/>
    </w:rPr>
  </w:style>
  <w:style w:type="character" w:customStyle="1" w:styleId="ClosingChar">
    <w:name w:val="Closing Char"/>
    <w:basedOn w:val="DefaultParagraphFont"/>
    <w:link w:val="Closing"/>
    <w:rsid w:val="009956BC"/>
    <w:rPr>
      <w:rFonts w:ascii="Arial" w:hAnsi="Arial"/>
    </w:rPr>
  </w:style>
  <w:style w:type="character" w:customStyle="1" w:styleId="MacroTextChar">
    <w:name w:val="Macro Text Char"/>
    <w:basedOn w:val="DefaultParagraphFont"/>
    <w:link w:val="MacroText"/>
    <w:semiHidden/>
    <w:rsid w:val="009956BC"/>
    <w:rPr>
      <w:rFonts w:ascii="Courier New" w:hAnsi="Courier New"/>
      <w:sz w:val="16"/>
    </w:rPr>
  </w:style>
  <w:style w:type="character" w:customStyle="1" w:styleId="SignatureChar">
    <w:name w:val="Signature Char"/>
    <w:basedOn w:val="DefaultParagraphFont"/>
    <w:link w:val="Signature"/>
    <w:rsid w:val="009956BC"/>
    <w:rPr>
      <w:rFonts w:ascii="Arial" w:hAnsi="Arial"/>
    </w:rPr>
  </w:style>
  <w:style w:type="character" w:customStyle="1" w:styleId="BodyTextChar">
    <w:name w:val="Body Text Char"/>
    <w:basedOn w:val="DefaultParagraphFont"/>
    <w:link w:val="BodyText"/>
    <w:rsid w:val="009956BC"/>
    <w:rPr>
      <w:rFonts w:ascii="Arial" w:hAnsi="Arial"/>
    </w:rPr>
  </w:style>
  <w:style w:type="character" w:customStyle="1" w:styleId="EndnoteTextChar">
    <w:name w:val="Endnote Text Char"/>
    <w:basedOn w:val="DefaultParagraphFont"/>
    <w:link w:val="EndnoteText"/>
    <w:semiHidden/>
    <w:rsid w:val="009956BC"/>
    <w:rPr>
      <w:rFonts w:ascii="Arial" w:hAnsi="Arial"/>
    </w:rPr>
  </w:style>
  <w:style w:type="character" w:customStyle="1" w:styleId="DateChar">
    <w:name w:val="Date Char"/>
    <w:basedOn w:val="DefaultParagraphFont"/>
    <w:link w:val="Date"/>
    <w:semiHidden/>
    <w:rsid w:val="009956BC"/>
    <w:rPr>
      <w:rFonts w:ascii="Arial" w:hAnsi="Arial"/>
      <w:b/>
      <w:sz w:val="22"/>
    </w:rPr>
  </w:style>
  <w:style w:type="paragraph" w:customStyle="1" w:styleId="Sessiontwp">
    <w:name w:val="Session_twp"/>
    <w:basedOn w:val="Normal"/>
    <w:next w:val="Normal"/>
    <w:qFormat/>
    <w:rsid w:val="009956BC"/>
    <w:rPr>
      <w:b/>
    </w:rPr>
  </w:style>
  <w:style w:type="paragraph" w:customStyle="1" w:styleId="Sessiontwpplacedate">
    <w:name w:val="Session_twp_place_date"/>
    <w:basedOn w:val="Normal"/>
    <w:next w:val="Normal"/>
    <w:qFormat/>
    <w:rsid w:val="009956BC"/>
  </w:style>
  <w:style w:type="paragraph" w:styleId="ListParagraph">
    <w:name w:val="List Paragraph"/>
    <w:basedOn w:val="Normal"/>
    <w:uiPriority w:val="34"/>
    <w:qFormat/>
    <w:rsid w:val="009956BC"/>
    <w:pPr>
      <w:ind w:left="720"/>
      <w:contextualSpacing/>
    </w:pPr>
  </w:style>
  <w:style w:type="table" w:customStyle="1" w:styleId="TableGrid2">
    <w:name w:val="Table Grid2"/>
    <w:basedOn w:val="TableNormal"/>
    <w:next w:val="TableGrid"/>
    <w:uiPriority w:val="59"/>
    <w:rsid w:val="009956BC"/>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95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44336B"/>
    <w:rPr>
      <w:rFonts w:ascii="Arial" w:hAnsi="Arial"/>
      <w:i/>
    </w:rPr>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D24A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64559">
      <w:bodyDiv w:val="1"/>
      <w:marLeft w:val="0"/>
      <w:marRight w:val="0"/>
      <w:marTop w:val="0"/>
      <w:marBottom w:val="0"/>
      <w:divBdr>
        <w:top w:val="none" w:sz="0" w:space="0" w:color="auto"/>
        <w:left w:val="none" w:sz="0" w:space="0" w:color="auto"/>
        <w:bottom w:val="none" w:sz="0" w:space="0" w:color="auto"/>
        <w:right w:val="none" w:sz="0" w:space="0" w:color="auto"/>
      </w:divBdr>
    </w:div>
    <w:div w:id="385494038">
      <w:bodyDiv w:val="1"/>
      <w:marLeft w:val="0"/>
      <w:marRight w:val="0"/>
      <w:marTop w:val="0"/>
      <w:marBottom w:val="0"/>
      <w:divBdr>
        <w:top w:val="none" w:sz="0" w:space="0" w:color="auto"/>
        <w:left w:val="none" w:sz="0" w:space="0" w:color="auto"/>
        <w:bottom w:val="none" w:sz="0" w:space="0" w:color="auto"/>
        <w:right w:val="none" w:sz="0" w:space="0" w:color="auto"/>
      </w:divBdr>
    </w:div>
    <w:div w:id="1752893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meetings/es/doc_details.jsp?meeting_id=48107&amp;doc_id=419311" TargetMode="External"/><Relationship Id="rId18" Type="http://schemas.openxmlformats.org/officeDocument/2006/relationships/header" Target="header3.xml"/><Relationship Id="rId26" Type="http://schemas.openxmlformats.org/officeDocument/2006/relationships/image" Target="media/image6.wmf"/><Relationship Id="rId39" Type="http://schemas.openxmlformats.org/officeDocument/2006/relationships/footer" Target="footer2.xml"/><Relationship Id="rId21" Type="http://schemas.openxmlformats.org/officeDocument/2006/relationships/header" Target="header6.xml"/><Relationship Id="rId34" Type="http://schemas.openxmlformats.org/officeDocument/2006/relationships/header" Target="header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image" Target="media/image9.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edocs/mdocs/upov/es/tc_54/tc_54_31.pdf" TargetMode="External"/><Relationship Id="rId24" Type="http://schemas.openxmlformats.org/officeDocument/2006/relationships/image" Target="media/image4.wmf"/><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2.emf"/><Relationship Id="rId10" Type="http://schemas.openxmlformats.org/officeDocument/2006/relationships/hyperlink" Target="https://www.upov.int/meetings/es/doc_details.jsp?meeting_id=48107&amp;doc_id=419311" TargetMode="External"/><Relationship Id="rId19" Type="http://schemas.openxmlformats.org/officeDocument/2006/relationships/header" Target="header4.xml"/><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yperlink" Target="https://www.upov.int/meetings/es/doc_details.jsp?meeting_id=48107&amp;doc_id=419311" TargetMode="External"/><Relationship Id="rId14" Type="http://schemas.openxmlformats.org/officeDocument/2006/relationships/hyperlink" Target="https://www.upov.int/meetings/es/doc_details.jsp?meeting_id=48107&amp;doc_id=419311"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header" Target="header10.xml"/><Relationship Id="rId8" Type="http://schemas.openxmlformats.org/officeDocument/2006/relationships/hyperlink" Target="http://www.upov.int/upov_collection/es/" TargetMode="External"/><Relationship Id="rId3" Type="http://schemas.openxmlformats.org/officeDocument/2006/relationships/settings" Target="settings.xml"/><Relationship Id="rId12" Type="http://schemas.openxmlformats.org/officeDocument/2006/relationships/hyperlink" Target="https://www.upov.int/meetings/es/doc_details.jsp?meeting_id=48107&amp;doc_id=419311" TargetMode="Externa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header" Target="header8.xml"/><Relationship Id="rId38"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11245</Words>
  <Characters>60449</Characters>
  <Application>Microsoft Office Word</Application>
  <DocSecurity>0</DocSecurity>
  <Lines>503</Lines>
  <Paragraphs>143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TC/55/4</vt:lpstr>
      <vt:lpstr>TC/55/4</vt:lpstr>
    </vt:vector>
  </TitlesOfParts>
  <Company>UPOV</Company>
  <LinksUpToDate>false</LinksUpToDate>
  <CharactersWithSpaces>71551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TC/55/4</dc:title>
  <dc:subject/>
  <dc:creator>SANCHEZ VIZCAINO GOMEZ Rosa Maria</dc:creator>
  <cp:keywords/>
  <dc:description/>
  <cp:lastModifiedBy>MAY Jessica</cp:lastModifiedBy>
  <cp:revision>10</cp:revision>
  <cp:lastPrinted>2016-11-22T15:41:00Z</cp:lastPrinted>
  <dcterms:created xsi:type="dcterms:W3CDTF">2019-10-23T12:46:00Z</dcterms:created>
  <dcterms:modified xsi:type="dcterms:W3CDTF">2019-10-23T13:04:00Z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def2acfe-4b3c-4f06-bd4e-828c17aa7818</vt:lpwstr>
  </property>
</Properties>
</file>