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EB4E9C" w:rsidRPr="00DC3802" w:rsidRDefault="002E5944" w:rsidP="005A1EC1">
            <w:pPr>
              <w:pStyle w:val="Sessiontcplacedate"/>
              <w:rPr>
                <w:sz w:val="22"/>
              </w:rPr>
            </w:pPr>
            <w:r>
              <w:t>Quincuagésima cuarta sesión</w:t>
            </w:r>
            <w:r>
              <w:br/>
              <w:t>Ginebra, 29 y 30 de octubre de 2018</w:t>
            </w:r>
          </w:p>
        </w:tc>
        <w:tc>
          <w:tcPr>
            <w:tcW w:w="3127" w:type="dxa"/>
          </w:tcPr>
          <w:p w:rsidR="00EB4E9C" w:rsidRPr="00F838D9" w:rsidRDefault="005A1EC1" w:rsidP="003C7FBE">
            <w:pPr>
              <w:pStyle w:val="Doccode"/>
            </w:pPr>
            <w:r>
              <w:t>TC/54/13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</w:t>
            </w:r>
            <w:proofErr w:type="gramStart"/>
            <w:r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B57F3F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</w:t>
            </w:r>
            <w:r w:rsidR="00791920" w:rsidRPr="00791920">
              <w:rPr>
                <w:b w:val="0"/>
                <w:spacing w:val="0"/>
              </w:rPr>
              <w:t>3</w:t>
            </w:r>
            <w:r w:rsidRPr="00791920">
              <w:rPr>
                <w:b w:val="0"/>
                <w:spacing w:val="0"/>
              </w:rPr>
              <w:t>0 de agosto</w:t>
            </w:r>
            <w:r>
              <w:rPr>
                <w:b w:val="0"/>
                <w:spacing w:val="0"/>
              </w:rPr>
              <w:t xml:space="preserve"> de 2018</w:t>
            </w:r>
          </w:p>
        </w:tc>
      </w:tr>
    </w:tbl>
    <w:p w:rsidR="00E16E0A" w:rsidRPr="006A644A" w:rsidRDefault="00E16E0A" w:rsidP="00E16E0A">
      <w:pPr>
        <w:pStyle w:val="Titleofdoc0"/>
        <w:tabs>
          <w:tab w:val="left" w:pos="5760"/>
        </w:tabs>
      </w:pPr>
      <w:bookmarkStart w:id="1" w:name="TitleOfDoc"/>
      <w:bookmarkStart w:id="2" w:name="Prepared"/>
      <w:bookmarkEnd w:id="1"/>
      <w:bookmarkEnd w:id="2"/>
      <w:r>
        <w:t>Talleres preparatorios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E16E0A" w:rsidRPr="006532B1" w:rsidRDefault="00E16E0A" w:rsidP="00E16E0A">
      <w:pPr>
        <w:pStyle w:val="Heading1"/>
      </w:pPr>
      <w:bookmarkStart w:id="3" w:name="_Toc475955714"/>
      <w:bookmarkStart w:id="4" w:name="_Toc522631383"/>
      <w:bookmarkStart w:id="5" w:name="_Toc523900780"/>
      <w:r>
        <w:t>RESUMEN</w:t>
      </w:r>
      <w:bookmarkEnd w:id="3"/>
      <w:bookmarkEnd w:id="4"/>
      <w:bookmarkEnd w:id="5"/>
    </w:p>
    <w:p w:rsidR="00E16E0A" w:rsidRPr="00E16E0A" w:rsidRDefault="00E16E0A" w:rsidP="00E16E0A">
      <w:pPr>
        <w:autoSpaceDE w:val="0"/>
        <w:autoSpaceDN w:val="0"/>
        <w:adjustRightInd w:val="0"/>
        <w:rPr>
          <w:rFonts w:cs="Arial"/>
        </w:rPr>
      </w:pPr>
    </w:p>
    <w:p w:rsidR="00E16E0A" w:rsidRPr="00E16E0A" w:rsidRDefault="003A162C" w:rsidP="00E16E0A">
      <w:pPr>
        <w:rPr>
          <w:rFonts w:cs="Arial"/>
        </w:rPr>
      </w:pPr>
      <w:r w:rsidRPr="004A69D5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>El presente documento tiene por fin informar sobre los talleres preparatorios organizados en 2017 y 2018 y presentar propuestas para 2019.</w:t>
      </w:r>
    </w:p>
    <w:p w:rsidR="00E16E0A" w:rsidRPr="00E16E0A" w:rsidRDefault="00E16E0A" w:rsidP="00E16E0A">
      <w:pPr>
        <w:autoSpaceDE w:val="0"/>
        <w:autoSpaceDN w:val="0"/>
        <w:adjustRightInd w:val="0"/>
        <w:rPr>
          <w:rFonts w:cs="Arial"/>
        </w:rPr>
      </w:pPr>
    </w:p>
    <w:p w:rsidR="00E16E0A" w:rsidRPr="00E16E0A" w:rsidRDefault="003A162C" w:rsidP="00E16E0A">
      <w:pPr>
        <w:tabs>
          <w:tab w:val="left" w:pos="567"/>
          <w:tab w:val="left" w:pos="1134"/>
        </w:tabs>
      </w:pPr>
      <w:r w:rsidRPr="00235948">
        <w:fldChar w:fldCharType="begin"/>
      </w:r>
      <w:r w:rsidR="00E16E0A" w:rsidRPr="00E16E0A">
        <w:instrText xml:space="preserve"> AUTONUM  </w:instrText>
      </w:r>
      <w:r w:rsidRPr="00235948">
        <w:fldChar w:fldCharType="end"/>
      </w:r>
      <w:r w:rsidR="00E16E0A">
        <w:tab/>
        <w:t>Se invita al TC a:</w:t>
      </w:r>
    </w:p>
    <w:p w:rsidR="00E16E0A" w:rsidRPr="00E16E0A" w:rsidRDefault="00E16E0A" w:rsidP="00E16E0A">
      <w:pPr>
        <w:tabs>
          <w:tab w:val="left" w:pos="567"/>
          <w:tab w:val="left" w:pos="1134"/>
        </w:tabs>
      </w:pPr>
    </w:p>
    <w:p w:rsidR="00E16E0A" w:rsidRPr="00E16E0A" w:rsidRDefault="00E16E0A" w:rsidP="00E16E0A">
      <w:pPr>
        <w:autoSpaceDE w:val="0"/>
        <w:autoSpaceDN w:val="0"/>
        <w:adjustRightInd w:val="0"/>
        <w:ind w:firstLine="567"/>
        <w:rPr>
          <w:rFonts w:cs="Arial"/>
        </w:rPr>
      </w:pPr>
      <w:r>
        <w:t>a)</w:t>
      </w:r>
      <w:r>
        <w:tab/>
        <w:t>tomar nota del informe sobre los talleres preparatorios celebrados en 2017 y 2018; y</w:t>
      </w:r>
    </w:p>
    <w:p w:rsidR="00E16E0A" w:rsidRPr="00E16E0A" w:rsidRDefault="00E16E0A" w:rsidP="00E16E0A">
      <w:pPr>
        <w:autoSpaceDE w:val="0"/>
        <w:autoSpaceDN w:val="0"/>
        <w:adjustRightInd w:val="0"/>
        <w:rPr>
          <w:rFonts w:cs="Arial"/>
        </w:rPr>
      </w:pPr>
    </w:p>
    <w:p w:rsidR="00E16E0A" w:rsidRPr="00E16E0A" w:rsidRDefault="00E16E0A" w:rsidP="00E16E0A">
      <w:pPr>
        <w:autoSpaceDE w:val="0"/>
        <w:autoSpaceDN w:val="0"/>
        <w:adjustRightInd w:val="0"/>
        <w:ind w:firstLine="567"/>
        <w:rPr>
          <w:rFonts w:cs="Arial"/>
        </w:rPr>
      </w:pPr>
      <w:r>
        <w:t>b)</w:t>
      </w:r>
      <w:r>
        <w:tab/>
        <w:t>examinar la propuesta de programa de los talleres preparatorios de 2019 que se expone en los párrafos 17 y 18 del presente documento.</w:t>
      </w:r>
    </w:p>
    <w:p w:rsidR="00E16E0A" w:rsidRPr="00E16E0A" w:rsidRDefault="00E16E0A" w:rsidP="00E16E0A">
      <w:pPr>
        <w:rPr>
          <w:rFonts w:cs="Arial"/>
        </w:rPr>
      </w:pPr>
    </w:p>
    <w:p w:rsidR="00E16E0A" w:rsidRPr="00E16E0A" w:rsidRDefault="003A162C" w:rsidP="00E16E0A">
      <w:pPr>
        <w:rPr>
          <w:rFonts w:cs="Arial"/>
          <w:color w:val="000000"/>
        </w:rPr>
      </w:pPr>
      <w:r w:rsidRPr="004A69D5">
        <w:rPr>
          <w:rFonts w:cs="Arial"/>
          <w:color w:val="000000"/>
        </w:rPr>
        <w:fldChar w:fldCharType="begin"/>
      </w:r>
      <w:r w:rsidR="00E16E0A" w:rsidRPr="00E16E0A">
        <w:rPr>
          <w:rFonts w:cs="Arial"/>
          <w:color w:val="000000"/>
        </w:rPr>
        <w:instrText xml:space="preserve"> AUTONUM  </w:instrText>
      </w:r>
      <w:r w:rsidRPr="004A69D5">
        <w:rPr>
          <w:rFonts w:cs="Arial"/>
          <w:color w:val="000000"/>
        </w:rPr>
        <w:fldChar w:fldCharType="end"/>
      </w:r>
      <w:r w:rsidR="00E16E0A">
        <w:tab/>
        <w:t>En el presente documento se utilizan las abreviaturas siguientes:</w:t>
      </w:r>
    </w:p>
    <w:p w:rsidR="00E16E0A" w:rsidRPr="00E16E0A" w:rsidRDefault="00E16E0A" w:rsidP="00E16E0A">
      <w:pPr>
        <w:rPr>
          <w:rFonts w:cs="Arial"/>
          <w:color w:val="000000"/>
        </w:rPr>
      </w:pPr>
    </w:p>
    <w:p w:rsidR="00E16E0A" w:rsidRPr="00E16E0A" w:rsidRDefault="00E16E0A" w:rsidP="00B238B0">
      <w:pPr>
        <w:tabs>
          <w:tab w:val="left" w:pos="567"/>
        </w:tabs>
        <w:spacing w:after="60"/>
        <w:ind w:left="1276" w:hanging="709"/>
        <w:rPr>
          <w:rFonts w:cs="Arial"/>
          <w:color w:val="000000"/>
        </w:rPr>
      </w:pPr>
      <w:r>
        <w:rPr>
          <w:color w:val="000000"/>
        </w:rPr>
        <w:t>TC:</w:t>
      </w:r>
      <w:r>
        <w:tab/>
      </w:r>
      <w:r>
        <w:rPr>
          <w:color w:val="000000"/>
        </w:rPr>
        <w:t>Comité Técnico</w:t>
      </w:r>
    </w:p>
    <w:p w:rsidR="00E16E0A" w:rsidRPr="00E16E0A" w:rsidRDefault="00E16E0A" w:rsidP="00B238B0">
      <w:pPr>
        <w:tabs>
          <w:tab w:val="left" w:pos="567"/>
        </w:tabs>
        <w:spacing w:after="60"/>
        <w:ind w:left="1276" w:hanging="709"/>
        <w:rPr>
          <w:rFonts w:cs="Arial"/>
          <w:color w:val="000000"/>
        </w:rPr>
      </w:pPr>
      <w:r>
        <w:rPr>
          <w:color w:val="000000"/>
        </w:rPr>
        <w:t>TWA:</w:t>
      </w:r>
      <w:r>
        <w:tab/>
      </w:r>
      <w:r>
        <w:rPr>
          <w:color w:val="000000"/>
        </w:rPr>
        <w:t>Grupo de Trabajo Técnico sobre Plantas Agrícolas</w:t>
      </w:r>
    </w:p>
    <w:p w:rsidR="00E16E0A" w:rsidRPr="00E16E0A" w:rsidRDefault="00E16E0A" w:rsidP="00B238B0">
      <w:pPr>
        <w:spacing w:after="60"/>
        <w:ind w:left="1276" w:hanging="709"/>
        <w:rPr>
          <w:rFonts w:cs="Arial"/>
          <w:color w:val="000000"/>
        </w:rPr>
      </w:pPr>
      <w:r>
        <w:rPr>
          <w:color w:val="000000"/>
        </w:rPr>
        <w:t>TWC:</w:t>
      </w:r>
      <w:r>
        <w:tab/>
      </w:r>
      <w:r>
        <w:rPr>
          <w:color w:val="000000"/>
        </w:rPr>
        <w:t>Grupo de Trabajo Técnico sobre Automatización y Programas Informáticos</w:t>
      </w:r>
    </w:p>
    <w:p w:rsidR="00E16E0A" w:rsidRPr="00E16E0A" w:rsidRDefault="00E16E0A" w:rsidP="00B238B0">
      <w:pPr>
        <w:spacing w:after="60"/>
        <w:ind w:left="1276" w:hanging="709"/>
        <w:rPr>
          <w:rFonts w:cs="Arial"/>
          <w:color w:val="000000"/>
        </w:rPr>
      </w:pPr>
      <w:r>
        <w:rPr>
          <w:color w:val="000000"/>
        </w:rPr>
        <w:t xml:space="preserve">TWF: </w:t>
      </w:r>
      <w:r>
        <w:tab/>
      </w:r>
      <w:r>
        <w:rPr>
          <w:color w:val="000000"/>
        </w:rPr>
        <w:t>Grupo de Trabajo Técnico sobre Plantas Frutales</w:t>
      </w:r>
    </w:p>
    <w:p w:rsidR="00E16E0A" w:rsidRPr="00E16E0A" w:rsidRDefault="00E16E0A" w:rsidP="00B238B0">
      <w:pPr>
        <w:spacing w:after="60"/>
        <w:ind w:left="1276" w:hanging="709"/>
        <w:rPr>
          <w:rFonts w:cs="Arial"/>
          <w:color w:val="000000"/>
        </w:rPr>
      </w:pPr>
      <w:r>
        <w:rPr>
          <w:color w:val="000000"/>
        </w:rPr>
        <w:t>TWO:</w:t>
      </w:r>
      <w:r>
        <w:tab/>
      </w:r>
      <w:r>
        <w:rPr>
          <w:color w:val="000000"/>
        </w:rPr>
        <w:t>Grupo de Trabajo Técnico sobre Plantas Ornamentales y Árboles Forestales</w:t>
      </w:r>
    </w:p>
    <w:p w:rsidR="00E16E0A" w:rsidRPr="00E16E0A" w:rsidRDefault="00E16E0A" w:rsidP="00B238B0">
      <w:pPr>
        <w:spacing w:after="60"/>
        <w:ind w:left="1276" w:hanging="709"/>
        <w:rPr>
          <w:rFonts w:cs="Arial"/>
          <w:color w:val="000000"/>
        </w:rPr>
      </w:pPr>
      <w:r>
        <w:rPr>
          <w:color w:val="000000"/>
        </w:rPr>
        <w:t>TWV:</w:t>
      </w:r>
      <w:r>
        <w:tab/>
      </w:r>
      <w:r>
        <w:rPr>
          <w:color w:val="000000"/>
        </w:rPr>
        <w:t>Grupo de Trabajo Técnico sobre Hortalizas</w:t>
      </w:r>
    </w:p>
    <w:p w:rsidR="00E16E0A" w:rsidRPr="004A69D5" w:rsidRDefault="00E16E0A" w:rsidP="00B238B0">
      <w:pPr>
        <w:pStyle w:val="BodyTextIndent3"/>
        <w:tabs>
          <w:tab w:val="left" w:pos="567"/>
        </w:tabs>
        <w:spacing w:after="60"/>
        <w:ind w:left="1276" w:hanging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BMT:</w:t>
      </w:r>
      <w:r>
        <w:tab/>
      </w:r>
      <w:r>
        <w:rPr>
          <w:rFonts w:ascii="Arial" w:hAnsi="Arial"/>
          <w:sz w:val="20"/>
        </w:rPr>
        <w:t>Grupo de Trabajo sobre Técnicas Bioquímicas y Moleculares, y Perfiles de ADN en particular</w:t>
      </w:r>
    </w:p>
    <w:p w:rsidR="00E16E0A" w:rsidRPr="004A69D5" w:rsidRDefault="00E16E0A" w:rsidP="00B238B0">
      <w:pPr>
        <w:pStyle w:val="BodyTextIndent3"/>
        <w:tabs>
          <w:tab w:val="left" w:pos="567"/>
        </w:tabs>
        <w:ind w:left="1276" w:hanging="709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TWP:</w:t>
      </w:r>
      <w:r>
        <w:tab/>
      </w:r>
      <w:r>
        <w:rPr>
          <w:rFonts w:ascii="Arial" w:hAnsi="Arial"/>
          <w:sz w:val="20"/>
        </w:rPr>
        <w:t>Grupos de Trabajo Técnico</w:t>
      </w:r>
    </w:p>
    <w:p w:rsidR="00E16E0A" w:rsidRPr="00B238B0" w:rsidRDefault="00E16E0A" w:rsidP="00E16E0A">
      <w:pPr>
        <w:pStyle w:val="Heading6"/>
        <w:rPr>
          <w:rFonts w:cs="Arial"/>
          <w:sz w:val="18"/>
        </w:rPr>
      </w:pPr>
    </w:p>
    <w:p w:rsidR="00E16E0A" w:rsidRPr="009879FC" w:rsidRDefault="00E16E0A" w:rsidP="00E16E0A">
      <w:pPr>
        <w:rPr>
          <w:sz w:val="16"/>
        </w:rPr>
      </w:pPr>
    </w:p>
    <w:p w:rsidR="00E16E0A" w:rsidRDefault="00E16E0A" w:rsidP="00E16E0A">
      <w:pPr>
        <w:pStyle w:val="Heading1"/>
      </w:pPr>
      <w:bookmarkStart w:id="6" w:name="_Toc522631384"/>
      <w:bookmarkStart w:id="7" w:name="_Toc523900781"/>
      <w:r>
        <w:t>ANTECEDENTES</w:t>
      </w:r>
      <w:bookmarkEnd w:id="6"/>
      <w:bookmarkEnd w:id="7"/>
    </w:p>
    <w:p w:rsidR="00E16E0A" w:rsidRPr="009879FC" w:rsidRDefault="00E16E0A" w:rsidP="00E16E0A">
      <w:pPr>
        <w:rPr>
          <w:sz w:val="18"/>
        </w:rPr>
      </w:pPr>
    </w:p>
    <w:p w:rsidR="00E16E0A" w:rsidRPr="00E16E0A" w:rsidRDefault="003A162C" w:rsidP="00E16E0A">
      <w:pPr>
        <w:autoSpaceDE w:val="0"/>
        <w:autoSpaceDN w:val="0"/>
        <w:adjustRightInd w:val="0"/>
        <w:rPr>
          <w:rFonts w:cs="Arial"/>
          <w:snapToGrid w:val="0"/>
        </w:rPr>
      </w:pPr>
      <w:r w:rsidRPr="004A69D5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 xml:space="preserve">En su trigésima octava sesión, celebrada en Ginebra del 15 al 17 de abril de 2002, y sobre la base del documento TC/38/12, el Comité Técnico (TC) acordó organizar talleres preparatorios antes de cada </w:t>
      </w:r>
      <w:r w:rsidR="00F72446">
        <w:t>sesi</w:t>
      </w:r>
      <w:r w:rsidR="00E16E0A">
        <w:t xml:space="preserve">ón de los Grupos de Trabajo Técnico a fin de ayudar a varios de los delegados a participar más activamente en las </w:t>
      </w:r>
      <w:r w:rsidR="00F72446">
        <w:t>sesi</w:t>
      </w:r>
      <w:r w:rsidR="00E16E0A">
        <w:t>ones.</w:t>
      </w:r>
      <w:r w:rsidR="007D504A">
        <w:t xml:space="preserve"> </w:t>
      </w:r>
      <w:r w:rsidR="00E16E0A">
        <w:t>En su quincuagésima tercera sesión, celebrada en Ginebra del 3 al 5 de abril de 2017, el TC tomó nota del informe sobre los talleres preparatorios celebrados en 2016.</w:t>
      </w:r>
      <w:r w:rsidR="007D504A">
        <w:rPr>
          <w:rFonts w:ascii="ArialMT" w:hAnsi="ArialMT"/>
        </w:rPr>
        <w:t xml:space="preserve"> </w:t>
      </w:r>
      <w:r w:rsidR="00E16E0A">
        <w:t>A</w:t>
      </w:r>
      <w:r w:rsidR="002603AC">
        <w:t>simismo, a</w:t>
      </w:r>
      <w:r w:rsidR="00E16E0A">
        <w:t>probó el programa propuesto de 2017 que se expone en el documento TC/53/13 (véanse los párrafos 227 a 231 del documento</w:t>
      </w:r>
      <w:r w:rsidR="002603AC">
        <w:t> </w:t>
      </w:r>
      <w:r w:rsidR="00E42765">
        <w:t>TC/</w:t>
      </w:r>
      <w:r w:rsidR="00E16E0A">
        <w:t>53/31 “Informe sobre las conclusiones”).</w:t>
      </w:r>
    </w:p>
    <w:p w:rsidR="00E16E0A" w:rsidRPr="009879FC" w:rsidRDefault="00E16E0A" w:rsidP="00E16E0A">
      <w:pPr>
        <w:autoSpaceDE w:val="0"/>
        <w:autoSpaceDN w:val="0"/>
        <w:adjustRightInd w:val="0"/>
        <w:rPr>
          <w:rFonts w:cs="Arial"/>
          <w:snapToGrid w:val="0"/>
          <w:sz w:val="14"/>
        </w:rPr>
      </w:pPr>
    </w:p>
    <w:p w:rsidR="00E16E0A" w:rsidRPr="009879FC" w:rsidRDefault="00E16E0A" w:rsidP="00E16E0A">
      <w:pPr>
        <w:autoSpaceDE w:val="0"/>
        <w:autoSpaceDN w:val="0"/>
        <w:adjustRightInd w:val="0"/>
        <w:rPr>
          <w:rFonts w:cs="Arial"/>
          <w:snapToGrid w:val="0"/>
          <w:sz w:val="14"/>
        </w:rPr>
      </w:pPr>
    </w:p>
    <w:p w:rsidR="00E16E0A" w:rsidRPr="00E16E0A" w:rsidRDefault="003A162C" w:rsidP="00E16E0A">
      <w:pPr>
        <w:autoSpaceDE w:val="0"/>
        <w:autoSpaceDN w:val="0"/>
        <w:adjustRightInd w:val="0"/>
        <w:rPr>
          <w:rFonts w:cs="Arial"/>
          <w:snapToGrid w:val="0"/>
        </w:rPr>
      </w:pPr>
      <w:r w:rsidRPr="00292CE5">
        <w:rPr>
          <w:rFonts w:cs="Arial"/>
          <w:snapToGrid w:val="0"/>
        </w:rPr>
        <w:fldChar w:fldCharType="begin"/>
      </w:r>
      <w:r w:rsidR="00E16E0A" w:rsidRPr="00E16E0A">
        <w:rPr>
          <w:rFonts w:cs="Arial"/>
          <w:snapToGrid w:val="0"/>
        </w:rPr>
        <w:instrText xml:space="preserve"> AUTONUM  </w:instrText>
      </w:r>
      <w:r w:rsidRPr="00292CE5">
        <w:rPr>
          <w:rFonts w:cs="Arial"/>
          <w:snapToGrid w:val="0"/>
        </w:rPr>
        <w:fldChar w:fldCharType="end"/>
      </w:r>
      <w:r w:rsidR="00E16E0A">
        <w:tab/>
        <w:t>El presente documento se estructura del modo siguiente:</w:t>
      </w:r>
    </w:p>
    <w:p w:rsidR="00E16E0A" w:rsidRPr="00B238B0" w:rsidRDefault="00E16E0A" w:rsidP="00E16E0A">
      <w:pPr>
        <w:autoSpaceDE w:val="0"/>
        <w:autoSpaceDN w:val="0"/>
        <w:adjustRightInd w:val="0"/>
        <w:rPr>
          <w:rFonts w:cs="Arial"/>
          <w:snapToGrid w:val="0"/>
          <w:sz w:val="16"/>
        </w:rPr>
      </w:pPr>
    </w:p>
    <w:p w:rsidR="002603AC" w:rsidRDefault="003A162C" w:rsidP="007E7CA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rFonts w:eastAsiaTheme="minorEastAsia"/>
          <w:bCs/>
          <w:noProof/>
          <w:snapToGrid w:val="0"/>
        </w:rPr>
        <w:fldChar w:fldCharType="begin"/>
      </w:r>
      <w:r w:rsidR="00E16E0A">
        <w:rPr>
          <w:snapToGrid w:val="0"/>
        </w:rPr>
        <w:instrText xml:space="preserve"> TOC \o "1-3" \h \z \u </w:instrText>
      </w:r>
      <w:r>
        <w:rPr>
          <w:rFonts w:eastAsiaTheme="minorEastAsia"/>
          <w:bCs/>
          <w:noProof/>
          <w:snapToGrid w:val="0"/>
        </w:rPr>
        <w:fldChar w:fldCharType="separate"/>
      </w:r>
      <w:hyperlink w:anchor="_Toc523900780" w:history="1">
        <w:r w:rsidR="002603AC" w:rsidRPr="006B55C2">
          <w:rPr>
            <w:rStyle w:val="Hyperlink"/>
            <w:noProof/>
          </w:rPr>
          <w:t>RESUMEN</w:t>
        </w:r>
        <w:r w:rsidR="002603AC">
          <w:rPr>
            <w:noProof/>
            <w:webHidden/>
          </w:rPr>
          <w:tab/>
        </w:r>
        <w:r w:rsidR="002603AC">
          <w:rPr>
            <w:noProof/>
            <w:webHidden/>
          </w:rPr>
          <w:fldChar w:fldCharType="begin"/>
        </w:r>
        <w:r w:rsidR="002603AC">
          <w:rPr>
            <w:noProof/>
            <w:webHidden/>
          </w:rPr>
          <w:instrText xml:space="preserve"> PAGEREF _Toc523900780 \h </w:instrText>
        </w:r>
        <w:r w:rsidR="002603AC">
          <w:rPr>
            <w:noProof/>
            <w:webHidden/>
          </w:rPr>
        </w:r>
        <w:r w:rsidR="002603AC">
          <w:rPr>
            <w:noProof/>
            <w:webHidden/>
          </w:rPr>
          <w:fldChar w:fldCharType="separate"/>
        </w:r>
        <w:r w:rsidR="006C49E9">
          <w:rPr>
            <w:noProof/>
            <w:webHidden/>
          </w:rPr>
          <w:t>1</w:t>
        </w:r>
        <w:r w:rsidR="002603AC">
          <w:rPr>
            <w:noProof/>
            <w:webHidden/>
          </w:rPr>
          <w:fldChar w:fldCharType="end"/>
        </w:r>
      </w:hyperlink>
    </w:p>
    <w:p w:rsidR="002603AC" w:rsidRDefault="00E12662" w:rsidP="007E7CA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523900781" w:history="1">
        <w:r w:rsidR="002603AC" w:rsidRPr="006B55C2">
          <w:rPr>
            <w:rStyle w:val="Hyperlink"/>
            <w:noProof/>
          </w:rPr>
          <w:t>ANTECEDENTES</w:t>
        </w:r>
        <w:r w:rsidR="002603AC">
          <w:rPr>
            <w:noProof/>
            <w:webHidden/>
          </w:rPr>
          <w:tab/>
        </w:r>
        <w:r w:rsidR="002603AC">
          <w:rPr>
            <w:noProof/>
            <w:webHidden/>
          </w:rPr>
          <w:fldChar w:fldCharType="begin"/>
        </w:r>
        <w:r w:rsidR="002603AC">
          <w:rPr>
            <w:noProof/>
            <w:webHidden/>
          </w:rPr>
          <w:instrText xml:space="preserve"> PAGEREF _Toc523900781 \h </w:instrText>
        </w:r>
        <w:r w:rsidR="002603AC">
          <w:rPr>
            <w:noProof/>
            <w:webHidden/>
          </w:rPr>
        </w:r>
        <w:r w:rsidR="002603AC">
          <w:rPr>
            <w:noProof/>
            <w:webHidden/>
          </w:rPr>
          <w:fldChar w:fldCharType="separate"/>
        </w:r>
        <w:r w:rsidR="006C49E9">
          <w:rPr>
            <w:noProof/>
            <w:webHidden/>
          </w:rPr>
          <w:t>1</w:t>
        </w:r>
        <w:r w:rsidR="002603AC">
          <w:rPr>
            <w:noProof/>
            <w:webHidden/>
          </w:rPr>
          <w:fldChar w:fldCharType="end"/>
        </w:r>
      </w:hyperlink>
    </w:p>
    <w:p w:rsidR="002603AC" w:rsidRDefault="00E12662" w:rsidP="007E7CA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523900782" w:history="1">
        <w:r w:rsidR="002603AC" w:rsidRPr="006B55C2">
          <w:rPr>
            <w:rStyle w:val="Hyperlink"/>
            <w:noProof/>
          </w:rPr>
          <w:t>Informe sobre los talleres preparatorios y actividades afines organizados en 2017</w:t>
        </w:r>
        <w:r w:rsidR="002603AC">
          <w:rPr>
            <w:noProof/>
            <w:webHidden/>
          </w:rPr>
          <w:tab/>
        </w:r>
        <w:r w:rsidR="002603AC">
          <w:rPr>
            <w:noProof/>
            <w:webHidden/>
          </w:rPr>
          <w:fldChar w:fldCharType="begin"/>
        </w:r>
        <w:r w:rsidR="002603AC">
          <w:rPr>
            <w:noProof/>
            <w:webHidden/>
          </w:rPr>
          <w:instrText xml:space="preserve"> PAGEREF _Toc523900782 \h </w:instrText>
        </w:r>
        <w:r w:rsidR="002603AC">
          <w:rPr>
            <w:noProof/>
            <w:webHidden/>
          </w:rPr>
        </w:r>
        <w:r w:rsidR="002603AC">
          <w:rPr>
            <w:noProof/>
            <w:webHidden/>
          </w:rPr>
          <w:fldChar w:fldCharType="separate"/>
        </w:r>
        <w:r w:rsidR="006C49E9">
          <w:rPr>
            <w:noProof/>
            <w:webHidden/>
          </w:rPr>
          <w:t>2</w:t>
        </w:r>
        <w:r w:rsidR="002603AC">
          <w:rPr>
            <w:noProof/>
            <w:webHidden/>
          </w:rPr>
          <w:fldChar w:fldCharType="end"/>
        </w:r>
      </w:hyperlink>
    </w:p>
    <w:p w:rsidR="002603AC" w:rsidRDefault="00E12662" w:rsidP="007E7CA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523900783" w:history="1">
        <w:r w:rsidR="002603AC" w:rsidRPr="006B55C2">
          <w:rPr>
            <w:rStyle w:val="Hyperlink"/>
            <w:noProof/>
          </w:rPr>
          <w:t>Informe sobre los talleres preparatorios de 2018</w:t>
        </w:r>
        <w:r w:rsidR="002603AC">
          <w:rPr>
            <w:noProof/>
            <w:webHidden/>
          </w:rPr>
          <w:tab/>
        </w:r>
        <w:r w:rsidR="002603AC">
          <w:rPr>
            <w:noProof/>
            <w:webHidden/>
          </w:rPr>
          <w:fldChar w:fldCharType="begin"/>
        </w:r>
        <w:r w:rsidR="002603AC">
          <w:rPr>
            <w:noProof/>
            <w:webHidden/>
          </w:rPr>
          <w:instrText xml:space="preserve"> PAGEREF _Toc523900783 \h </w:instrText>
        </w:r>
        <w:r w:rsidR="002603AC">
          <w:rPr>
            <w:noProof/>
            <w:webHidden/>
          </w:rPr>
        </w:r>
        <w:r w:rsidR="002603AC">
          <w:rPr>
            <w:noProof/>
            <w:webHidden/>
          </w:rPr>
          <w:fldChar w:fldCharType="separate"/>
        </w:r>
        <w:r w:rsidR="006C49E9">
          <w:rPr>
            <w:noProof/>
            <w:webHidden/>
          </w:rPr>
          <w:t>4</w:t>
        </w:r>
        <w:r w:rsidR="002603AC">
          <w:rPr>
            <w:noProof/>
            <w:webHidden/>
          </w:rPr>
          <w:fldChar w:fldCharType="end"/>
        </w:r>
      </w:hyperlink>
    </w:p>
    <w:p w:rsidR="002603AC" w:rsidRDefault="00E12662" w:rsidP="007E7CA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523900784" w:history="1">
        <w:r w:rsidR="002603AC" w:rsidRPr="006B55C2">
          <w:rPr>
            <w:rStyle w:val="Hyperlink"/>
            <w:noProof/>
          </w:rPr>
          <w:t>Programa de los talleres preparatorios de 2019</w:t>
        </w:r>
        <w:r w:rsidR="002603AC">
          <w:rPr>
            <w:noProof/>
            <w:webHidden/>
          </w:rPr>
          <w:tab/>
        </w:r>
        <w:r w:rsidR="002603AC">
          <w:rPr>
            <w:noProof/>
            <w:webHidden/>
          </w:rPr>
          <w:fldChar w:fldCharType="begin"/>
        </w:r>
        <w:r w:rsidR="002603AC">
          <w:rPr>
            <w:noProof/>
            <w:webHidden/>
          </w:rPr>
          <w:instrText xml:space="preserve"> PAGEREF _Toc523900784 \h </w:instrText>
        </w:r>
        <w:r w:rsidR="002603AC">
          <w:rPr>
            <w:noProof/>
            <w:webHidden/>
          </w:rPr>
        </w:r>
        <w:r w:rsidR="002603AC">
          <w:rPr>
            <w:noProof/>
            <w:webHidden/>
          </w:rPr>
          <w:fldChar w:fldCharType="separate"/>
        </w:r>
        <w:r w:rsidR="006C49E9">
          <w:rPr>
            <w:noProof/>
            <w:webHidden/>
          </w:rPr>
          <w:t>5</w:t>
        </w:r>
        <w:r w:rsidR="002603AC">
          <w:rPr>
            <w:noProof/>
            <w:webHidden/>
          </w:rPr>
          <w:fldChar w:fldCharType="end"/>
        </w:r>
      </w:hyperlink>
    </w:p>
    <w:p w:rsidR="00E16E0A" w:rsidRPr="00362D68" w:rsidRDefault="003A162C" w:rsidP="00583006">
      <w:pPr>
        <w:pStyle w:val="Heading1"/>
        <w:rPr>
          <w:i/>
        </w:rPr>
      </w:pPr>
      <w:r>
        <w:rPr>
          <w:snapToGrid w:val="0"/>
        </w:rPr>
        <w:fldChar w:fldCharType="end"/>
      </w:r>
      <w:r w:rsidR="00E16E0A">
        <w:br w:type="page"/>
      </w:r>
      <w:bookmarkStart w:id="8" w:name="_Toc522631385"/>
      <w:bookmarkStart w:id="9" w:name="_Toc523900782"/>
      <w:r w:rsidR="00E16E0A">
        <w:lastRenderedPageBreak/>
        <w:t>Informe sobre los talleres preparatorios y actividades afines organizados en</w:t>
      </w:r>
      <w:r w:rsidR="002603AC">
        <w:t> </w:t>
      </w:r>
      <w:r w:rsidR="00E16E0A">
        <w:t>2017</w:t>
      </w:r>
      <w:bookmarkEnd w:id="8"/>
      <w:bookmarkEnd w:id="9"/>
    </w:p>
    <w:p w:rsidR="00E16E0A" w:rsidRPr="00E16E0A" w:rsidRDefault="00E16E0A" w:rsidP="00E16E0A">
      <w:pPr>
        <w:rPr>
          <w:rFonts w:cs="Arial"/>
          <w:i/>
        </w:rPr>
      </w:pPr>
    </w:p>
    <w:p w:rsidR="00E16E0A" w:rsidRPr="00E16E0A" w:rsidRDefault="003A162C" w:rsidP="00E16E0A">
      <w:pPr>
        <w:rPr>
          <w:rFonts w:cs="Arial"/>
        </w:rPr>
      </w:pPr>
      <w:r w:rsidRPr="004A69D5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 xml:space="preserve">En 2017, los talleres preparatorios tuvieron lugar el día anterior al comienzo de la </w:t>
      </w:r>
      <w:r w:rsidR="00F72446">
        <w:t>sesi</w:t>
      </w:r>
      <w:r w:rsidR="00E16E0A">
        <w:t>ón del Grupo de Trabajo Técnico, con una organización similar respecto del TWA, el TWF, el TWO y el TWV, y en ellos se abordaron los siguientes temas:</w:t>
      </w:r>
    </w:p>
    <w:p w:rsidR="00E16E0A" w:rsidRPr="00E16E0A" w:rsidRDefault="00E16E0A" w:rsidP="00E16E0A">
      <w:pPr>
        <w:rPr>
          <w:rFonts w:cs="Arial"/>
        </w:rPr>
      </w:pPr>
    </w:p>
    <w:p w:rsidR="00E16E0A" w:rsidRPr="00E16E0A" w:rsidRDefault="00E16E0A" w:rsidP="00E16E0A">
      <w:pPr>
        <w:numPr>
          <w:ilvl w:val="0"/>
          <w:numId w:val="6"/>
        </w:numPr>
        <w:spacing w:after="120"/>
        <w:rPr>
          <w:rFonts w:cs="Arial"/>
        </w:rPr>
      </w:pPr>
      <w:r>
        <w:t>Introducción a la UPOV y función de los Grupos de Trabajo Técnico de la UPOV</w:t>
      </w:r>
    </w:p>
    <w:p w:rsidR="00E16E0A" w:rsidRPr="00E16E0A" w:rsidRDefault="00E16E0A" w:rsidP="00E16E0A">
      <w:pPr>
        <w:numPr>
          <w:ilvl w:val="0"/>
          <w:numId w:val="6"/>
        </w:numPr>
        <w:spacing w:after="120"/>
        <w:rPr>
          <w:rFonts w:cs="Arial"/>
        </w:rPr>
      </w:pPr>
      <w:r>
        <w:t xml:space="preserve">Resumen de la Introducción </w:t>
      </w:r>
      <w:r w:rsidR="00195130">
        <w:t>g</w:t>
      </w:r>
      <w:r>
        <w:t>eneral (documento TG/1/3 y documentos TGP)</w:t>
      </w:r>
    </w:p>
    <w:p w:rsidR="00E16E0A" w:rsidRPr="00E16E0A" w:rsidRDefault="00E16E0A" w:rsidP="00E16E0A">
      <w:pPr>
        <w:numPr>
          <w:ilvl w:val="0"/>
          <w:numId w:val="8"/>
        </w:numPr>
        <w:spacing w:after="120"/>
        <w:rPr>
          <w:rFonts w:cs="Arial"/>
        </w:rPr>
      </w:pPr>
      <w:r>
        <w:t>Caracteres: base del examen DHE y selección de caracteres</w:t>
      </w:r>
    </w:p>
    <w:p w:rsidR="00E16E0A" w:rsidRPr="00E16E0A" w:rsidRDefault="00E16E0A" w:rsidP="00E16E0A">
      <w:pPr>
        <w:numPr>
          <w:ilvl w:val="0"/>
          <w:numId w:val="6"/>
        </w:numPr>
        <w:spacing w:after="120"/>
        <w:rPr>
          <w:rFonts w:cs="Arial"/>
        </w:rPr>
      </w:pPr>
      <w:r>
        <w:t xml:space="preserve">Orientaciones para la redacción de directrices de examen (documento TGP/7) </w:t>
      </w:r>
    </w:p>
    <w:p w:rsidR="00E16E0A" w:rsidRPr="00F72446" w:rsidRDefault="002603AC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a)</w:t>
      </w:r>
      <w:r w:rsidRPr="00F72446">
        <w:rPr>
          <w:snapToGrid w:val="0"/>
          <w:color w:val="000000"/>
        </w:rPr>
        <w:tab/>
      </w:r>
      <w:r w:rsidR="00E16E0A" w:rsidRPr="00F72446">
        <w:rPr>
          <w:snapToGrid w:val="0"/>
          <w:color w:val="000000"/>
        </w:rPr>
        <w:t>Objeto de las directrices de examen, materi</w:t>
      </w:r>
      <w:r w:rsidR="00AD4097" w:rsidRPr="00F72446">
        <w:rPr>
          <w:snapToGrid w:val="0"/>
          <w:color w:val="000000"/>
        </w:rPr>
        <w:t>al necesario y método de examen</w:t>
      </w:r>
    </w:p>
    <w:p w:rsidR="00E16E0A" w:rsidRPr="00F72446" w:rsidRDefault="002603AC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b)</w:t>
      </w:r>
      <w:r w:rsidRPr="00F72446">
        <w:rPr>
          <w:snapToGrid w:val="0"/>
          <w:color w:val="000000"/>
        </w:rPr>
        <w:tab/>
      </w:r>
      <w:r w:rsidR="00E16E0A" w:rsidRPr="00F72446">
        <w:rPr>
          <w:snapToGrid w:val="0"/>
          <w:color w:val="000000"/>
        </w:rPr>
        <w:t>Método de observación (MS, MG, VS, VG)</w:t>
      </w:r>
    </w:p>
    <w:p w:rsidR="00E16E0A" w:rsidRPr="00F72446" w:rsidRDefault="002603AC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c)</w:t>
      </w:r>
      <w:r w:rsidRPr="00F72446">
        <w:rPr>
          <w:snapToGrid w:val="0"/>
          <w:color w:val="000000"/>
        </w:rPr>
        <w:tab/>
      </w:r>
      <w:r w:rsidR="00E16E0A" w:rsidRPr="00F72446">
        <w:rPr>
          <w:snapToGrid w:val="0"/>
          <w:color w:val="000000"/>
        </w:rPr>
        <w:t>Tipos de expresión (QL, QN y PQ),</w:t>
      </w:r>
      <w:r w:rsidR="00AD4097" w:rsidRPr="00F72446">
        <w:rPr>
          <w:snapToGrid w:val="0"/>
          <w:color w:val="000000"/>
        </w:rPr>
        <w:t xml:space="preserve"> notas y distinción</w:t>
      </w:r>
    </w:p>
    <w:p w:rsidR="00E16E0A" w:rsidRPr="00F72446" w:rsidRDefault="002603AC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d)</w:t>
      </w:r>
      <w:r w:rsidRPr="00F72446">
        <w:rPr>
          <w:snapToGrid w:val="0"/>
          <w:color w:val="000000"/>
        </w:rPr>
        <w:tab/>
      </w:r>
      <w:r w:rsidR="00E16E0A" w:rsidRPr="00F72446">
        <w:rPr>
          <w:snapToGrid w:val="0"/>
          <w:color w:val="000000"/>
        </w:rPr>
        <w:t>Caracteres relativos a la forma y el color</w:t>
      </w:r>
    </w:p>
    <w:p w:rsidR="00E16E0A" w:rsidRPr="00F72446" w:rsidRDefault="002603AC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e)</w:t>
      </w:r>
      <w:r w:rsidRPr="00F72446">
        <w:rPr>
          <w:snapToGrid w:val="0"/>
          <w:color w:val="000000"/>
        </w:rPr>
        <w:tab/>
      </w:r>
      <w:r w:rsidR="00AD4097" w:rsidRPr="00F72446">
        <w:rPr>
          <w:snapToGrid w:val="0"/>
          <w:color w:val="000000"/>
        </w:rPr>
        <w:t>Variedades ejemplo</w:t>
      </w:r>
    </w:p>
    <w:p w:rsidR="00E16E0A" w:rsidRPr="00F72446" w:rsidRDefault="002603AC" w:rsidP="00D40FB1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>
        <w:rPr>
          <w:snapToGrid w:val="0"/>
          <w:color w:val="000000"/>
        </w:rPr>
        <w:t>f)</w:t>
      </w:r>
      <w:r>
        <w:rPr>
          <w:snapToGrid w:val="0"/>
          <w:color w:val="000000"/>
        </w:rPr>
        <w:tab/>
      </w:r>
      <w:r w:rsidR="00E16E0A">
        <w:rPr>
          <w:snapToGrid w:val="0"/>
          <w:color w:val="000000"/>
        </w:rPr>
        <w:t>El proceso de elaboración de directrices de examen de la UPOV, a saber: p</w:t>
      </w:r>
      <w:r w:rsidR="00E16E0A" w:rsidRPr="00F72446">
        <w:rPr>
          <w:snapToGrid w:val="0"/>
          <w:color w:val="000000"/>
        </w:rPr>
        <w:t>lantilla de los documentos TG, texto estándar</w:t>
      </w:r>
      <w:r w:rsidR="00AD4097" w:rsidRPr="00F72446">
        <w:rPr>
          <w:snapToGrid w:val="0"/>
          <w:color w:val="000000"/>
        </w:rPr>
        <w:t xml:space="preserve"> adicional y notas orientativas</w:t>
      </w:r>
    </w:p>
    <w:p w:rsidR="00E16E0A" w:rsidRPr="00595F05" w:rsidRDefault="00E16E0A" w:rsidP="00E16E0A">
      <w:pPr>
        <w:numPr>
          <w:ilvl w:val="0"/>
          <w:numId w:val="6"/>
        </w:numPr>
        <w:spacing w:after="120"/>
        <w:rPr>
          <w:rFonts w:cs="Arial"/>
        </w:rPr>
      </w:pPr>
      <w:r>
        <w:t xml:space="preserve">Orden del día de la sesión del </w:t>
      </w:r>
      <w:r w:rsidR="00A05C01">
        <w:t>TWP</w:t>
      </w:r>
      <w:r>
        <w:t xml:space="preserve"> correspondiente</w:t>
      </w:r>
    </w:p>
    <w:p w:rsidR="00E16E0A" w:rsidRPr="00595F05" w:rsidRDefault="00E16E0A" w:rsidP="00E16E0A">
      <w:pPr>
        <w:numPr>
          <w:ilvl w:val="0"/>
          <w:numId w:val="6"/>
        </w:numPr>
        <w:spacing w:after="120"/>
        <w:rPr>
          <w:rFonts w:cs="Arial"/>
        </w:rPr>
      </w:pPr>
      <w:r>
        <w:t>Información recibida de los participantes</w:t>
      </w:r>
    </w:p>
    <w:p w:rsidR="00E16E0A" w:rsidRDefault="00E16E0A" w:rsidP="00E16E0A">
      <w:pPr>
        <w:rPr>
          <w:rFonts w:cs="Arial"/>
        </w:rPr>
      </w:pPr>
    </w:p>
    <w:p w:rsidR="00E16E0A" w:rsidRPr="00E16E0A" w:rsidRDefault="003A162C" w:rsidP="00E16E0A">
      <w:pPr>
        <w:rPr>
          <w:rFonts w:cs="Arial"/>
        </w:rPr>
      </w:pPr>
      <w:r w:rsidRPr="004A69D5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>En el taller preparatorio correspondiente al TWC se abordaron los siguientes temas:</w:t>
      </w:r>
    </w:p>
    <w:p w:rsidR="00E16E0A" w:rsidRPr="00E16E0A" w:rsidRDefault="00E16E0A" w:rsidP="00E16E0A">
      <w:pPr>
        <w:rPr>
          <w:rFonts w:cs="Arial"/>
        </w:rPr>
      </w:pPr>
    </w:p>
    <w:p w:rsidR="00E16E0A" w:rsidRPr="00E16E0A" w:rsidRDefault="00E16E0A" w:rsidP="00E16E0A">
      <w:pPr>
        <w:numPr>
          <w:ilvl w:val="0"/>
          <w:numId w:val="12"/>
        </w:numPr>
        <w:spacing w:after="120"/>
        <w:rPr>
          <w:rFonts w:cs="Arial"/>
        </w:rPr>
      </w:pPr>
      <w:r>
        <w:t>Introducción a la UPOV y función de los Grupos de Trabajo Técnico de la UPOV</w:t>
      </w:r>
    </w:p>
    <w:p w:rsidR="00E16E0A" w:rsidRPr="00E16E0A" w:rsidRDefault="00E16E0A" w:rsidP="00E16E0A">
      <w:pPr>
        <w:numPr>
          <w:ilvl w:val="0"/>
          <w:numId w:val="12"/>
        </w:numPr>
        <w:spacing w:after="120"/>
        <w:rPr>
          <w:rFonts w:cs="Arial"/>
        </w:rPr>
      </w:pPr>
      <w:r>
        <w:t xml:space="preserve">Resumen de la Introducción </w:t>
      </w:r>
      <w:r w:rsidR="00195130">
        <w:t>g</w:t>
      </w:r>
      <w:r>
        <w:t>eneral (documento TG/1/3 y documentos TGP)</w:t>
      </w:r>
    </w:p>
    <w:p w:rsidR="00E16E0A" w:rsidRPr="00E16E0A" w:rsidRDefault="00E16E0A" w:rsidP="00E16E0A">
      <w:pPr>
        <w:numPr>
          <w:ilvl w:val="0"/>
          <w:numId w:val="12"/>
        </w:numPr>
        <w:spacing w:after="120"/>
        <w:rPr>
          <w:rFonts w:cs="Arial"/>
        </w:rPr>
      </w:pPr>
      <w:r>
        <w:t xml:space="preserve">Aspectos generales de los ensayos DHE </w:t>
      </w:r>
      <w:r w:rsidR="00C96F95">
        <w:t>y las directrices de examen</w:t>
      </w:r>
    </w:p>
    <w:p w:rsidR="00E16E0A" w:rsidRPr="00F72446" w:rsidRDefault="00E16E0A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a)</w:t>
      </w:r>
      <w:r w:rsidRPr="00F72446">
        <w:rPr>
          <w:snapToGrid w:val="0"/>
          <w:color w:val="000000"/>
        </w:rPr>
        <w:tab/>
        <w:t>Método de observación y tipo de registro (MS, MG, VS, VG)</w:t>
      </w:r>
    </w:p>
    <w:p w:rsidR="00E16E0A" w:rsidRPr="00F72446" w:rsidRDefault="00E16E0A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b)</w:t>
      </w:r>
      <w:r w:rsidRPr="00F72446">
        <w:rPr>
          <w:snapToGrid w:val="0"/>
          <w:color w:val="000000"/>
        </w:rPr>
        <w:tab/>
        <w:t>Tipos de expresión de los caracteres (QL, QN y PQ) y tipos de escala de los datos</w:t>
      </w:r>
    </w:p>
    <w:p w:rsidR="00E16E0A" w:rsidRPr="00595F05" w:rsidRDefault="00E16E0A" w:rsidP="00E16E0A">
      <w:pPr>
        <w:numPr>
          <w:ilvl w:val="0"/>
          <w:numId w:val="12"/>
        </w:numPr>
        <w:spacing w:after="120"/>
        <w:rPr>
          <w:rFonts w:cs="Arial"/>
        </w:rPr>
      </w:pPr>
      <w:r>
        <w:t>Recursos de la UPOV en Internet</w:t>
      </w:r>
    </w:p>
    <w:p w:rsidR="00E16E0A" w:rsidRPr="00F72446" w:rsidRDefault="00E16E0A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a)</w:t>
      </w:r>
      <w:r w:rsidRPr="00F72446">
        <w:rPr>
          <w:snapToGrid w:val="0"/>
          <w:color w:val="000000"/>
        </w:rPr>
        <w:tab/>
        <w:t>Bases de datos (Códigos de la UPOV, GENIE, PLUTO y UPOV </w:t>
      </w:r>
      <w:proofErr w:type="spellStart"/>
      <w:r w:rsidRPr="00F72446">
        <w:rPr>
          <w:snapToGrid w:val="0"/>
          <w:color w:val="000000"/>
        </w:rPr>
        <w:t>Lex</w:t>
      </w:r>
      <w:proofErr w:type="spellEnd"/>
      <w:r w:rsidRPr="00F72446">
        <w:rPr>
          <w:snapToGrid w:val="0"/>
          <w:color w:val="000000"/>
        </w:rPr>
        <w:t>)</w:t>
      </w:r>
    </w:p>
    <w:p w:rsidR="00E16E0A" w:rsidRPr="00F72446" w:rsidRDefault="00E16E0A" w:rsidP="00D40FB1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b)</w:t>
      </w:r>
      <w:r w:rsidRPr="00F72446">
        <w:rPr>
          <w:snapToGrid w:val="0"/>
          <w:color w:val="000000"/>
        </w:rPr>
        <w:tab/>
        <w:t>Otros recursos (proyecto de formulario electrónico de solicitud de la UPOV, plantilla de directrices de examen)</w:t>
      </w:r>
    </w:p>
    <w:p w:rsidR="00E16E0A" w:rsidRPr="00595F05" w:rsidRDefault="00E16E0A" w:rsidP="00E16E0A">
      <w:pPr>
        <w:numPr>
          <w:ilvl w:val="0"/>
          <w:numId w:val="12"/>
        </w:numPr>
        <w:spacing w:after="120"/>
        <w:rPr>
          <w:rFonts w:cs="Arial"/>
        </w:rPr>
      </w:pPr>
      <w:r>
        <w:t xml:space="preserve">Orden del día de la </w:t>
      </w:r>
      <w:r w:rsidR="00F72446">
        <w:t>sesi</w:t>
      </w:r>
      <w:r>
        <w:t>ón del TWC</w:t>
      </w:r>
    </w:p>
    <w:p w:rsidR="00E16E0A" w:rsidRPr="00595F05" w:rsidRDefault="00E16E0A" w:rsidP="00E16E0A">
      <w:pPr>
        <w:numPr>
          <w:ilvl w:val="0"/>
          <w:numId w:val="12"/>
        </w:numPr>
        <w:spacing w:after="120"/>
        <w:rPr>
          <w:rFonts w:cs="Arial"/>
        </w:rPr>
      </w:pPr>
      <w:r>
        <w:t>Información recibida de los participantes</w:t>
      </w:r>
    </w:p>
    <w:p w:rsidR="00E16E0A" w:rsidRPr="00960E3D" w:rsidRDefault="00E16E0A" w:rsidP="00E16E0A">
      <w:pPr>
        <w:ind w:left="1134" w:hanging="567"/>
        <w:rPr>
          <w:i/>
        </w:rPr>
      </w:pPr>
    </w:p>
    <w:p w:rsidR="00E16E0A" w:rsidRPr="00E16E0A" w:rsidRDefault="003A162C" w:rsidP="00E16E0A">
      <w:pPr>
        <w:rPr>
          <w:rFonts w:cs="Arial"/>
        </w:rPr>
      </w:pPr>
      <w:r w:rsidRPr="004A69D5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>En el taller p</w:t>
      </w:r>
      <w:r w:rsidR="00DE09FA">
        <w:t>reparatorio correspondiente al BMT</w:t>
      </w:r>
      <w:r w:rsidR="00E16E0A">
        <w:t xml:space="preserve"> se abordaron los siguientes temas:</w:t>
      </w:r>
    </w:p>
    <w:p w:rsidR="00E16E0A" w:rsidRPr="00E16E0A" w:rsidRDefault="00E16E0A" w:rsidP="00E16E0A">
      <w:pPr>
        <w:rPr>
          <w:rFonts w:cs="Arial"/>
        </w:rPr>
      </w:pPr>
    </w:p>
    <w:p w:rsidR="00E16E0A" w:rsidRPr="00595F05" w:rsidRDefault="00E16E0A" w:rsidP="00E16E0A">
      <w:pPr>
        <w:numPr>
          <w:ilvl w:val="0"/>
          <w:numId w:val="13"/>
        </w:numPr>
        <w:spacing w:after="120"/>
        <w:rPr>
          <w:rFonts w:cs="Arial"/>
        </w:rPr>
      </w:pPr>
      <w:r>
        <w:t>Introducción a la UPOV</w:t>
      </w:r>
    </w:p>
    <w:p w:rsidR="00E16E0A" w:rsidRPr="00E16E0A" w:rsidRDefault="00E16E0A" w:rsidP="00E16E0A">
      <w:pPr>
        <w:numPr>
          <w:ilvl w:val="0"/>
          <w:numId w:val="13"/>
        </w:numPr>
        <w:spacing w:after="120"/>
        <w:rPr>
          <w:rFonts w:cs="Arial"/>
        </w:rPr>
      </w:pPr>
      <w:r>
        <w:t>Resumen acerca de los Grupos de Trabajo Técnico</w:t>
      </w:r>
    </w:p>
    <w:p w:rsidR="00E16E0A" w:rsidRPr="00595F05" w:rsidRDefault="00E16E0A" w:rsidP="00E16E0A">
      <w:pPr>
        <w:numPr>
          <w:ilvl w:val="0"/>
          <w:numId w:val="13"/>
        </w:numPr>
        <w:spacing w:after="120"/>
        <w:rPr>
          <w:rFonts w:cs="Arial"/>
        </w:rPr>
      </w:pPr>
      <w:r>
        <w:t>Orientaciones para el examen DHE</w:t>
      </w:r>
    </w:p>
    <w:p w:rsidR="00E16E0A" w:rsidRPr="00E16E0A" w:rsidRDefault="00E16E0A" w:rsidP="00E16E0A">
      <w:pPr>
        <w:numPr>
          <w:ilvl w:val="0"/>
          <w:numId w:val="13"/>
        </w:numPr>
        <w:spacing w:after="120"/>
        <w:rPr>
          <w:rFonts w:cs="Arial"/>
        </w:rPr>
      </w:pPr>
      <w:r>
        <w:t>Función de los Grupos de Trabajo Técnico y el BMT</w:t>
      </w:r>
    </w:p>
    <w:p w:rsidR="00E16E0A" w:rsidRPr="00E16E0A" w:rsidRDefault="00E16E0A" w:rsidP="00E16E0A">
      <w:pPr>
        <w:numPr>
          <w:ilvl w:val="0"/>
          <w:numId w:val="13"/>
        </w:numPr>
        <w:spacing w:after="120"/>
        <w:rPr>
          <w:rFonts w:cs="Arial"/>
          <w:spacing w:val="-2"/>
        </w:rPr>
      </w:pPr>
      <w:r>
        <w:t>Situación en la UPOV en relación con el posible uso de técnicas moleculares en el examen DHE</w:t>
      </w:r>
    </w:p>
    <w:p w:rsidR="00E16E0A" w:rsidRPr="00E16E0A" w:rsidRDefault="00E16E0A" w:rsidP="00E16E0A">
      <w:pPr>
        <w:numPr>
          <w:ilvl w:val="0"/>
          <w:numId w:val="13"/>
        </w:numPr>
        <w:spacing w:after="120"/>
        <w:rPr>
          <w:rFonts w:cs="Arial"/>
        </w:rPr>
      </w:pPr>
      <w:r>
        <w:t>El concepto de variedad esencialmente derivada</w:t>
      </w:r>
    </w:p>
    <w:p w:rsidR="00E16E0A" w:rsidRPr="00E16E0A" w:rsidRDefault="00E16E0A" w:rsidP="00E16E0A">
      <w:pPr>
        <w:numPr>
          <w:ilvl w:val="0"/>
          <w:numId w:val="13"/>
        </w:numPr>
        <w:spacing w:after="120"/>
        <w:rPr>
          <w:rFonts w:cs="Arial"/>
        </w:rPr>
      </w:pPr>
      <w:r>
        <w:t>Función de la UPOV en la identificación de variedades</w:t>
      </w:r>
    </w:p>
    <w:p w:rsidR="00E16E0A" w:rsidRPr="00595F05" w:rsidRDefault="00E16E0A" w:rsidP="00E16E0A">
      <w:pPr>
        <w:numPr>
          <w:ilvl w:val="0"/>
          <w:numId w:val="13"/>
        </w:numPr>
        <w:spacing w:after="120"/>
        <w:rPr>
          <w:rFonts w:cs="Arial"/>
        </w:rPr>
      </w:pPr>
      <w:r>
        <w:t>Sitio web de la UPOV</w:t>
      </w:r>
    </w:p>
    <w:p w:rsidR="00E16E0A" w:rsidRPr="00595F05" w:rsidRDefault="00E16E0A" w:rsidP="00E16E0A">
      <w:pPr>
        <w:numPr>
          <w:ilvl w:val="0"/>
          <w:numId w:val="13"/>
        </w:numPr>
        <w:spacing w:after="120"/>
        <w:rPr>
          <w:rFonts w:cs="Arial"/>
        </w:rPr>
      </w:pPr>
      <w:r>
        <w:t xml:space="preserve">Orden del día de la </w:t>
      </w:r>
      <w:r w:rsidR="00F72446">
        <w:t>sesi</w:t>
      </w:r>
      <w:r>
        <w:t>ón del BMT</w:t>
      </w:r>
    </w:p>
    <w:p w:rsidR="00E16E0A" w:rsidRPr="00E16E0A" w:rsidRDefault="00E16E0A" w:rsidP="00E16E0A">
      <w:pPr>
        <w:rPr>
          <w:rFonts w:cs="Arial"/>
        </w:rPr>
      </w:pPr>
      <w:r>
        <w:br w:type="page"/>
      </w:r>
      <w:r w:rsidR="003A162C" w:rsidRPr="004A69D5">
        <w:rPr>
          <w:rFonts w:cs="Arial"/>
        </w:rPr>
        <w:lastRenderedPageBreak/>
        <w:fldChar w:fldCharType="begin"/>
      </w:r>
      <w:r w:rsidRPr="00E16E0A">
        <w:rPr>
          <w:rFonts w:cs="Arial"/>
        </w:rPr>
        <w:instrText xml:space="preserve"> AUTONUM  </w:instrText>
      </w:r>
      <w:r w:rsidR="003A162C" w:rsidRPr="004A69D5">
        <w:rPr>
          <w:rFonts w:cs="Arial"/>
        </w:rPr>
        <w:fldChar w:fldCharType="end"/>
      </w:r>
      <w:r>
        <w:tab/>
        <w:t>Los talleres preparatorios abarcaron media jornada.</w:t>
      </w:r>
      <w:r w:rsidR="007D504A">
        <w:t xml:space="preserve"> </w:t>
      </w:r>
    </w:p>
    <w:p w:rsidR="00E16E0A" w:rsidRPr="00E16E0A" w:rsidRDefault="00E16E0A" w:rsidP="00E16E0A">
      <w:pPr>
        <w:rPr>
          <w:rFonts w:cs="Arial"/>
        </w:rPr>
      </w:pPr>
    </w:p>
    <w:p w:rsidR="00E16E0A" w:rsidRPr="00E16E0A" w:rsidRDefault="003A162C" w:rsidP="00E16E0A">
      <w:pPr>
        <w:rPr>
          <w:rFonts w:cs="Arial"/>
          <w:spacing w:val="-2"/>
        </w:rPr>
      </w:pPr>
      <w:r w:rsidRPr="004A69D5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>En el cuadro que figura a continuación se resume la participación en los talleres preparatorios celebrados entre 2007 y 2017.</w:t>
      </w:r>
      <w:r w:rsidR="007D504A">
        <w:t xml:space="preserve"> </w:t>
      </w:r>
      <w:r w:rsidR="00E16E0A">
        <w:t xml:space="preserve">En el número de participantes están incluidos los expertos que presentaron ponencias en los respectivos talleres. </w:t>
      </w:r>
    </w:p>
    <w:p w:rsidR="00E16E0A" w:rsidRPr="00E16E0A" w:rsidRDefault="00E16E0A" w:rsidP="00E16E0A">
      <w:pPr>
        <w:rPr>
          <w:rFonts w:cs="Arial"/>
          <w:spacing w:val="-2"/>
        </w:rPr>
      </w:pPr>
    </w:p>
    <w:p w:rsidR="00E16E0A" w:rsidRPr="00E16E0A" w:rsidRDefault="00E16E0A" w:rsidP="00E16E0A">
      <w:pPr>
        <w:rPr>
          <w:rFonts w:cs="Arial"/>
          <w:spacing w:val="-2"/>
        </w:rPr>
      </w:pPr>
      <w:r>
        <w:t xml:space="preserve">La participación en los talleres preparatorios antes de 2007 puede consultarse en el documento TC/53/13. </w:t>
      </w:r>
    </w:p>
    <w:p w:rsidR="00E16E0A" w:rsidRPr="00823DC8" w:rsidRDefault="00E16E0A" w:rsidP="00E16E0A">
      <w:pPr>
        <w:jc w:val="left"/>
        <w:rPr>
          <w:rFonts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833"/>
        <w:gridCol w:w="618"/>
        <w:gridCol w:w="618"/>
        <w:gridCol w:w="618"/>
        <w:gridCol w:w="618"/>
        <w:gridCol w:w="619"/>
        <w:gridCol w:w="619"/>
        <w:gridCol w:w="619"/>
        <w:gridCol w:w="619"/>
        <w:gridCol w:w="619"/>
        <w:gridCol w:w="619"/>
        <w:gridCol w:w="615"/>
      </w:tblGrid>
      <w:tr w:rsidR="00E16E0A" w:rsidRPr="004A69D5" w:rsidTr="006C2714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16E0A" w:rsidRPr="00E16E0A" w:rsidRDefault="00E16E0A" w:rsidP="006C2714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E16E0A" w:rsidRPr="00E16E0A" w:rsidRDefault="00E16E0A" w:rsidP="006C271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529" w:type="pct"/>
            <w:gridSpan w:val="11"/>
            <w:tcBorders>
              <w:left w:val="single" w:sz="4" w:space="0" w:color="auto"/>
            </w:tcBorders>
          </w:tcPr>
          <w:p w:rsidR="00E16E0A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Participación</w:t>
            </w:r>
          </w:p>
        </w:tc>
      </w:tr>
      <w:tr w:rsidR="00E16E0A" w:rsidRPr="004A69D5" w:rsidTr="006C2714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E16E0A" w:rsidRDefault="00E16E0A" w:rsidP="006C2714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E16E0A" w:rsidRPr="004A69D5" w:rsidRDefault="00E16E0A" w:rsidP="006C271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2007</w:t>
            </w:r>
          </w:p>
        </w:tc>
        <w:tc>
          <w:tcPr>
            <w:tcW w:w="321" w:type="pct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2008</w:t>
            </w:r>
          </w:p>
        </w:tc>
        <w:tc>
          <w:tcPr>
            <w:tcW w:w="321" w:type="pct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2009</w:t>
            </w:r>
          </w:p>
        </w:tc>
        <w:tc>
          <w:tcPr>
            <w:tcW w:w="321" w:type="pct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2010</w:t>
            </w:r>
          </w:p>
        </w:tc>
        <w:tc>
          <w:tcPr>
            <w:tcW w:w="321" w:type="pct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2011</w:t>
            </w:r>
          </w:p>
        </w:tc>
        <w:tc>
          <w:tcPr>
            <w:tcW w:w="321" w:type="pct"/>
          </w:tcPr>
          <w:p w:rsidR="00E16E0A" w:rsidRPr="00910B1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2012</w:t>
            </w:r>
          </w:p>
        </w:tc>
        <w:tc>
          <w:tcPr>
            <w:tcW w:w="321" w:type="pct"/>
          </w:tcPr>
          <w:p w:rsidR="00E16E0A" w:rsidRPr="00910B1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2013</w:t>
            </w:r>
          </w:p>
        </w:tc>
        <w:tc>
          <w:tcPr>
            <w:tcW w:w="321" w:type="pct"/>
          </w:tcPr>
          <w:p w:rsidR="00E16E0A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2014</w:t>
            </w:r>
          </w:p>
        </w:tc>
        <w:tc>
          <w:tcPr>
            <w:tcW w:w="321" w:type="pct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2015</w:t>
            </w:r>
          </w:p>
        </w:tc>
        <w:tc>
          <w:tcPr>
            <w:tcW w:w="321" w:type="pct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2016</w:t>
            </w:r>
          </w:p>
        </w:tc>
        <w:tc>
          <w:tcPr>
            <w:tcW w:w="321" w:type="pct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2017</w:t>
            </w:r>
          </w:p>
        </w:tc>
      </w:tr>
      <w:tr w:rsidR="00E16E0A" w:rsidRPr="008968C8" w:rsidTr="006C2714">
        <w:trPr>
          <w:cantSplit/>
        </w:trPr>
        <w:tc>
          <w:tcPr>
            <w:tcW w:w="1471" w:type="pct"/>
          </w:tcPr>
          <w:p w:rsidR="00E16E0A" w:rsidRPr="00E16E0A" w:rsidRDefault="00E16E0A" w:rsidP="006C2714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>Miembros de la Unión</w:t>
            </w:r>
          </w:p>
          <w:p w:rsidR="00E16E0A" w:rsidRPr="00E16E0A" w:rsidRDefault="00E16E0A" w:rsidP="006C2714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número de participantes /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 xml:space="preserve">(número de miembros de la Unión) 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167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(22)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162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(31)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95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(21)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117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(25)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115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(24)</w:t>
            </w:r>
          </w:p>
        </w:tc>
        <w:tc>
          <w:tcPr>
            <w:tcW w:w="321" w:type="pct"/>
            <w:vAlign w:val="bottom"/>
          </w:tcPr>
          <w:p w:rsidR="00E16E0A" w:rsidRPr="00910B1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114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(26)</w:t>
            </w:r>
          </w:p>
        </w:tc>
        <w:tc>
          <w:tcPr>
            <w:tcW w:w="321" w:type="pct"/>
            <w:vAlign w:val="bottom"/>
          </w:tcPr>
          <w:p w:rsidR="00E16E0A" w:rsidRPr="00910B1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125 (27)</w:t>
            </w:r>
          </w:p>
        </w:tc>
        <w:tc>
          <w:tcPr>
            <w:tcW w:w="321" w:type="pct"/>
            <w:vAlign w:val="bottom"/>
          </w:tcPr>
          <w:p w:rsidR="00E16E0A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132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(26)</w:t>
            </w:r>
          </w:p>
        </w:tc>
        <w:tc>
          <w:tcPr>
            <w:tcW w:w="321" w:type="pct"/>
            <w:vAlign w:val="bottom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103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(21)</w:t>
            </w:r>
          </w:p>
        </w:tc>
        <w:tc>
          <w:tcPr>
            <w:tcW w:w="321" w:type="pct"/>
            <w:vAlign w:val="bottom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145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(30)</w:t>
            </w:r>
          </w:p>
        </w:tc>
        <w:tc>
          <w:tcPr>
            <w:tcW w:w="321" w:type="pct"/>
            <w:vAlign w:val="bottom"/>
          </w:tcPr>
          <w:p w:rsidR="00E16E0A" w:rsidRPr="008968C8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136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(25)</w:t>
            </w:r>
          </w:p>
        </w:tc>
      </w:tr>
      <w:tr w:rsidR="00E16E0A" w:rsidRPr="008968C8" w:rsidTr="006C2714">
        <w:trPr>
          <w:cantSplit/>
        </w:trPr>
        <w:tc>
          <w:tcPr>
            <w:tcW w:w="1471" w:type="pct"/>
          </w:tcPr>
          <w:p w:rsidR="00E16E0A" w:rsidRPr="00E16E0A" w:rsidRDefault="00E16E0A" w:rsidP="006C2714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>Estados observadores</w:t>
            </w:r>
          </w:p>
          <w:p w:rsidR="00E16E0A" w:rsidRPr="00E16E0A" w:rsidRDefault="00E16E0A" w:rsidP="006C2714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número de participantes /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(número de Estados)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(1)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(6)</w:t>
            </w:r>
          </w:p>
        </w:tc>
        <w:tc>
          <w:tcPr>
            <w:tcW w:w="321" w:type="pct"/>
            <w:vAlign w:val="bottom"/>
          </w:tcPr>
          <w:p w:rsidR="00E16E0A" w:rsidRPr="00910B1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8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(4)</w:t>
            </w:r>
          </w:p>
        </w:tc>
        <w:tc>
          <w:tcPr>
            <w:tcW w:w="321" w:type="pct"/>
            <w:vAlign w:val="bottom"/>
          </w:tcPr>
          <w:p w:rsidR="00E16E0A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  <w:p w:rsidR="00E16E0A" w:rsidRPr="00910B15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321" w:type="pct"/>
            <w:vAlign w:val="bottom"/>
          </w:tcPr>
          <w:p w:rsidR="00E16E0A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(5)</w:t>
            </w:r>
          </w:p>
        </w:tc>
        <w:tc>
          <w:tcPr>
            <w:tcW w:w="321" w:type="pct"/>
            <w:vAlign w:val="bottom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24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(10)</w:t>
            </w:r>
          </w:p>
        </w:tc>
        <w:tc>
          <w:tcPr>
            <w:tcW w:w="321" w:type="pct"/>
            <w:vAlign w:val="bottom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21" w:type="pct"/>
            <w:vAlign w:val="bottom"/>
          </w:tcPr>
          <w:p w:rsidR="00E16E0A" w:rsidRPr="008968C8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4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(2)</w:t>
            </w:r>
          </w:p>
        </w:tc>
      </w:tr>
      <w:tr w:rsidR="00E16E0A" w:rsidRPr="008968C8" w:rsidTr="006C2714">
        <w:trPr>
          <w:cantSplit/>
        </w:trPr>
        <w:tc>
          <w:tcPr>
            <w:tcW w:w="1471" w:type="pct"/>
          </w:tcPr>
          <w:p w:rsidR="00E16E0A" w:rsidRPr="00E16E0A" w:rsidRDefault="00E16E0A" w:rsidP="006C2714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Organizaciones observadoras </w:t>
            </w:r>
          </w:p>
          <w:p w:rsidR="00E16E0A" w:rsidRPr="00E16E0A" w:rsidRDefault="00E16E0A" w:rsidP="006C2714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número de participantes /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(número de organizaciones)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4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25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E16E0A" w:rsidRPr="004A69D5" w:rsidRDefault="00E16E0A" w:rsidP="006C271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E16E0A" w:rsidRPr="00910B15" w:rsidRDefault="00E16E0A" w:rsidP="006C271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10" w:name="OLE_LINK3"/>
            <w:bookmarkStart w:id="11" w:name="OLE_LINK4"/>
            <w:r>
              <w:rPr>
                <w:color w:val="000000"/>
                <w:sz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  <w:bookmarkEnd w:id="10"/>
            <w:bookmarkEnd w:id="11"/>
          </w:p>
        </w:tc>
        <w:tc>
          <w:tcPr>
            <w:tcW w:w="321" w:type="pct"/>
            <w:vAlign w:val="bottom"/>
          </w:tcPr>
          <w:p w:rsidR="00E16E0A" w:rsidRPr="007953E6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  <w:p w:rsidR="00E16E0A" w:rsidRPr="007953E6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E16E0A" w:rsidRPr="007953E6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2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(3)</w:t>
            </w:r>
          </w:p>
        </w:tc>
        <w:tc>
          <w:tcPr>
            <w:tcW w:w="321" w:type="pct"/>
            <w:vAlign w:val="bottom"/>
          </w:tcPr>
          <w:p w:rsidR="00E16E0A" w:rsidRPr="00A914A9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(3)</w:t>
            </w:r>
          </w:p>
        </w:tc>
        <w:tc>
          <w:tcPr>
            <w:tcW w:w="321" w:type="pct"/>
            <w:vAlign w:val="bottom"/>
          </w:tcPr>
          <w:p w:rsidR="00E16E0A" w:rsidRPr="008968C8" w:rsidRDefault="00E16E0A" w:rsidP="006C271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8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(4)</w:t>
            </w:r>
          </w:p>
        </w:tc>
      </w:tr>
    </w:tbl>
    <w:p w:rsidR="00E16E0A" w:rsidRPr="00823DC8" w:rsidRDefault="00E16E0A" w:rsidP="00823DC8">
      <w:pPr>
        <w:rPr>
          <w:sz w:val="16"/>
        </w:rPr>
      </w:pPr>
    </w:p>
    <w:p w:rsidR="00E16E0A" w:rsidRPr="00823DC8" w:rsidRDefault="00E16E0A" w:rsidP="00823DC8">
      <w:pPr>
        <w:rPr>
          <w:sz w:val="16"/>
        </w:rPr>
      </w:pPr>
    </w:p>
    <w:p w:rsidR="00E16E0A" w:rsidRDefault="00971AB8" w:rsidP="00E16E0A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2386330</wp:posOffset>
                </wp:positionV>
                <wp:extent cx="3281680" cy="918210"/>
                <wp:effectExtent l="635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097" w:rsidRPr="00AD4097" w:rsidRDefault="00AD4097" w:rsidP="00AD4097">
                            <w:pPr>
                              <w:spacing w:line="420" w:lineRule="auto"/>
                              <w:rPr>
                                <w:sz w:val="18"/>
                              </w:rPr>
                            </w:pPr>
                            <w:r w:rsidRPr="00AD4097">
                              <w:rPr>
                                <w:sz w:val="18"/>
                              </w:rPr>
                              <w:t>Miembros de la Unión: número de miembros de la Unión</w:t>
                            </w:r>
                          </w:p>
                          <w:p w:rsidR="00AD4097" w:rsidRPr="00AD4097" w:rsidRDefault="00AD4097" w:rsidP="00AD4097">
                            <w:pPr>
                              <w:spacing w:line="420" w:lineRule="auto"/>
                              <w:rPr>
                                <w:sz w:val="18"/>
                              </w:rPr>
                            </w:pPr>
                            <w:r w:rsidRPr="00AD4097">
                              <w:rPr>
                                <w:sz w:val="18"/>
                              </w:rPr>
                              <w:t>Estados observadores: número de Estados</w:t>
                            </w:r>
                          </w:p>
                          <w:p w:rsidR="00AD4097" w:rsidRPr="00AD4097" w:rsidRDefault="00AD4097" w:rsidP="00AD4097">
                            <w:pPr>
                              <w:spacing w:line="420" w:lineRule="auto"/>
                              <w:rPr>
                                <w:sz w:val="18"/>
                              </w:rPr>
                            </w:pPr>
                            <w:r w:rsidRPr="00AD4097">
                              <w:rPr>
                                <w:sz w:val="18"/>
                              </w:rPr>
                              <w:t>Organizaciones observadoras: número de organizaciones</w:t>
                            </w:r>
                          </w:p>
                          <w:p w:rsidR="00AD4097" w:rsidRPr="00AD4097" w:rsidRDefault="00AD4097" w:rsidP="00AD4097">
                            <w:pPr>
                              <w:spacing w:line="420" w:lineRule="auto"/>
                              <w:rPr>
                                <w:sz w:val="18"/>
                              </w:rPr>
                            </w:pPr>
                            <w:r w:rsidRPr="00AD4097">
                              <w:rPr>
                                <w:sz w:val="18"/>
                              </w:rPr>
                              <w:t>Número total de participantes (todas las categorías</w:t>
                            </w:r>
                            <w:r w:rsidR="00055A87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54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05pt;margin-top:187.9pt;width:258.4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" stroked="f">
                <v:textbox inset="1.5mm">
                  <w:txbxContent>
                    <w:p w:rsidR="00AD4097" w:rsidRPr="00AD4097" w:rsidRDefault="00AD4097" w:rsidP="00AD4097">
                      <w:pPr>
                        <w:spacing w:line="420" w:lineRule="auto"/>
                        <w:rPr>
                          <w:sz w:val="18"/>
                        </w:rPr>
                      </w:pPr>
                      <w:r w:rsidRPr="00AD4097">
                        <w:rPr>
                          <w:sz w:val="18"/>
                        </w:rPr>
                        <w:t>Miembros de la Unión: número de miembros de la Unión</w:t>
                      </w:r>
                    </w:p>
                    <w:p w:rsidR="00AD4097" w:rsidRPr="00AD4097" w:rsidRDefault="00AD4097" w:rsidP="00AD4097">
                      <w:pPr>
                        <w:spacing w:line="420" w:lineRule="auto"/>
                        <w:rPr>
                          <w:sz w:val="18"/>
                        </w:rPr>
                      </w:pPr>
                      <w:r w:rsidRPr="00AD4097">
                        <w:rPr>
                          <w:sz w:val="18"/>
                        </w:rPr>
                        <w:t>Estados observadores: número de Estados</w:t>
                      </w:r>
                    </w:p>
                    <w:p w:rsidR="00AD4097" w:rsidRPr="00AD4097" w:rsidRDefault="00AD4097" w:rsidP="00AD4097">
                      <w:pPr>
                        <w:spacing w:line="420" w:lineRule="auto"/>
                        <w:rPr>
                          <w:sz w:val="18"/>
                        </w:rPr>
                      </w:pPr>
                      <w:r w:rsidRPr="00AD4097">
                        <w:rPr>
                          <w:sz w:val="18"/>
                        </w:rPr>
                        <w:t>Organizaciones observadoras: número de organizaciones</w:t>
                      </w:r>
                    </w:p>
                    <w:p w:rsidR="00AD4097" w:rsidRPr="00AD4097" w:rsidRDefault="00AD4097" w:rsidP="00AD4097">
                      <w:pPr>
                        <w:spacing w:line="420" w:lineRule="auto"/>
                        <w:rPr>
                          <w:sz w:val="18"/>
                        </w:rPr>
                      </w:pPr>
                      <w:r w:rsidRPr="00AD4097">
                        <w:rPr>
                          <w:sz w:val="18"/>
                        </w:rPr>
                        <w:t>Número total de participantes (todas las categorías</w:t>
                      </w:r>
                      <w:r w:rsidR="00055A87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6E0A">
        <w:rPr>
          <w:noProof/>
          <w:lang w:val="en-US" w:eastAsia="en-US" w:bidi="ar-SA"/>
        </w:rPr>
        <w:drawing>
          <wp:inline distT="0" distB="0" distL="0" distR="0">
            <wp:extent cx="6120765" cy="3357880"/>
            <wp:effectExtent l="0" t="0" r="1333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6E0A" w:rsidRPr="00823DC8" w:rsidRDefault="00E16E0A" w:rsidP="00E16E0A">
      <w:pPr>
        <w:rPr>
          <w:rFonts w:cs="Arial"/>
          <w:sz w:val="14"/>
          <w:szCs w:val="16"/>
        </w:rPr>
      </w:pPr>
    </w:p>
    <w:p w:rsidR="00E16E0A" w:rsidRPr="00E16E0A" w:rsidRDefault="00E16E0A" w:rsidP="00E16E0A">
      <w:pPr>
        <w:rPr>
          <w:rFonts w:cs="Arial"/>
          <w:sz w:val="16"/>
          <w:szCs w:val="16"/>
        </w:rPr>
      </w:pPr>
      <w:r>
        <w:rPr>
          <w:sz w:val="16"/>
        </w:rPr>
        <w:t>Gráfico 1: participación en los talleres preparatorios de 2007 a</w:t>
      </w:r>
      <w:r w:rsidR="007D504A">
        <w:rPr>
          <w:sz w:val="16"/>
        </w:rPr>
        <w:t xml:space="preserve"> </w:t>
      </w:r>
      <w:r>
        <w:rPr>
          <w:sz w:val="16"/>
        </w:rPr>
        <w:t>2017: número total de participantes y miembros de la Unión en comparación con los Estados observadores y las organizaciones observadoras</w:t>
      </w:r>
    </w:p>
    <w:p w:rsidR="00E16E0A" w:rsidRPr="00823DC8" w:rsidRDefault="00E16E0A" w:rsidP="00E16E0A">
      <w:pPr>
        <w:rPr>
          <w:rFonts w:cs="Arial"/>
          <w:sz w:val="14"/>
        </w:rPr>
      </w:pPr>
    </w:p>
    <w:p w:rsidR="00E16E0A" w:rsidRPr="00823DC8" w:rsidRDefault="00E16E0A" w:rsidP="00823DC8">
      <w:pPr>
        <w:rPr>
          <w:sz w:val="14"/>
        </w:rPr>
      </w:pPr>
    </w:p>
    <w:p w:rsidR="00E16E0A" w:rsidRPr="00E16E0A" w:rsidRDefault="003A162C" w:rsidP="00823DC8">
      <w:pPr>
        <w:rPr>
          <w:rFonts w:cs="Arial"/>
        </w:rPr>
      </w:pPr>
      <w:r w:rsidRPr="004A69D5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 xml:space="preserve">En lo que respecta a los talleres preparatorios celebrados en 2017, a </w:t>
      </w:r>
      <w:proofErr w:type="gramStart"/>
      <w:r w:rsidR="00E16E0A">
        <w:t>continuación</w:t>
      </w:r>
      <w:proofErr w:type="gramEnd"/>
      <w:r w:rsidR="00E16E0A">
        <w:t xml:space="preserve"> figura el número de participantes en cada uno de ellos:</w:t>
      </w:r>
    </w:p>
    <w:p w:rsidR="00E16E0A" w:rsidRPr="00823DC8" w:rsidRDefault="00E16E0A" w:rsidP="00823DC8">
      <w:pPr>
        <w:rPr>
          <w:rFonts w:cs="Arial"/>
          <w:sz w:val="16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E16E0A" w:rsidRPr="004A69D5" w:rsidTr="006C2714">
        <w:tc>
          <w:tcPr>
            <w:tcW w:w="3686" w:type="dxa"/>
          </w:tcPr>
          <w:p w:rsidR="00E16E0A" w:rsidRPr="004A69D5" w:rsidRDefault="00E16E0A" w:rsidP="006C2714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>
              <w:t xml:space="preserve">TWA </w:t>
            </w:r>
            <w:r>
              <w:tab/>
              <w:t xml:space="preserve">(Alemania): </w:t>
            </w:r>
          </w:p>
        </w:tc>
        <w:tc>
          <w:tcPr>
            <w:tcW w:w="1276" w:type="dxa"/>
          </w:tcPr>
          <w:p w:rsidR="00E16E0A" w:rsidRDefault="00E16E0A" w:rsidP="006C2714">
            <w:r>
              <w:rPr>
                <w:sz w:val="18"/>
              </w:rPr>
              <w:t>22</w:t>
            </w:r>
          </w:p>
        </w:tc>
      </w:tr>
      <w:tr w:rsidR="00E16E0A" w:rsidRPr="004A69D5" w:rsidTr="006C2714">
        <w:tc>
          <w:tcPr>
            <w:tcW w:w="3686" w:type="dxa"/>
          </w:tcPr>
          <w:p w:rsidR="00E16E0A" w:rsidRPr="004A69D5" w:rsidRDefault="00E16E0A" w:rsidP="006C271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 xml:space="preserve">TWC </w:t>
            </w:r>
            <w:r>
              <w:tab/>
              <w:t xml:space="preserve">(Argentina): </w:t>
            </w:r>
          </w:p>
        </w:tc>
        <w:tc>
          <w:tcPr>
            <w:tcW w:w="1276" w:type="dxa"/>
          </w:tcPr>
          <w:p w:rsidR="00E16E0A" w:rsidRDefault="00E16E0A" w:rsidP="006C2714">
            <w:r w:rsidRPr="00FD4AC4">
              <w:rPr>
                <w:sz w:val="18"/>
              </w:rPr>
              <w:t>23</w:t>
            </w:r>
          </w:p>
        </w:tc>
      </w:tr>
      <w:tr w:rsidR="00E16E0A" w:rsidRPr="004A69D5" w:rsidTr="006C2714">
        <w:tc>
          <w:tcPr>
            <w:tcW w:w="3686" w:type="dxa"/>
          </w:tcPr>
          <w:p w:rsidR="00E16E0A" w:rsidRPr="004A69D5" w:rsidRDefault="00E16E0A" w:rsidP="006C271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>TWF</w:t>
            </w:r>
            <w:r>
              <w:tab/>
              <w:t xml:space="preserve">(Canadá): </w:t>
            </w:r>
          </w:p>
        </w:tc>
        <w:tc>
          <w:tcPr>
            <w:tcW w:w="1276" w:type="dxa"/>
          </w:tcPr>
          <w:p w:rsidR="00E16E0A" w:rsidRDefault="00E16E0A" w:rsidP="006C2714">
            <w:r>
              <w:rPr>
                <w:sz w:val="18"/>
              </w:rPr>
              <w:t>21</w:t>
            </w:r>
          </w:p>
        </w:tc>
      </w:tr>
      <w:tr w:rsidR="00E16E0A" w:rsidRPr="004A69D5" w:rsidTr="006C2714">
        <w:tc>
          <w:tcPr>
            <w:tcW w:w="3686" w:type="dxa"/>
          </w:tcPr>
          <w:p w:rsidR="00E16E0A" w:rsidRPr="004A69D5" w:rsidRDefault="00E16E0A" w:rsidP="006C271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>TWO</w:t>
            </w:r>
            <w:r>
              <w:tab/>
              <w:t xml:space="preserve">(Canadá): </w:t>
            </w:r>
          </w:p>
        </w:tc>
        <w:tc>
          <w:tcPr>
            <w:tcW w:w="1276" w:type="dxa"/>
          </w:tcPr>
          <w:p w:rsidR="00E16E0A" w:rsidRDefault="00E16E0A" w:rsidP="006C2714">
            <w:r>
              <w:rPr>
                <w:sz w:val="18"/>
              </w:rPr>
              <w:t>27</w:t>
            </w:r>
          </w:p>
        </w:tc>
      </w:tr>
      <w:tr w:rsidR="00E16E0A" w:rsidRPr="004A69D5" w:rsidTr="006C2714">
        <w:tc>
          <w:tcPr>
            <w:tcW w:w="3686" w:type="dxa"/>
          </w:tcPr>
          <w:p w:rsidR="00E16E0A" w:rsidRPr="004A69D5" w:rsidRDefault="00E16E0A" w:rsidP="006C271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>TWV</w:t>
            </w:r>
            <w:r>
              <w:tab/>
              <w:t xml:space="preserve">(Países Bajos): </w:t>
            </w:r>
          </w:p>
        </w:tc>
        <w:tc>
          <w:tcPr>
            <w:tcW w:w="1276" w:type="dxa"/>
          </w:tcPr>
          <w:p w:rsidR="00E16E0A" w:rsidRDefault="00E16E0A" w:rsidP="006C2714">
            <w:r>
              <w:rPr>
                <w:sz w:val="18"/>
              </w:rPr>
              <w:t>19</w:t>
            </w:r>
          </w:p>
        </w:tc>
      </w:tr>
      <w:tr w:rsidR="00E16E0A" w:rsidRPr="004A69D5" w:rsidTr="006C2714">
        <w:tc>
          <w:tcPr>
            <w:tcW w:w="3686" w:type="dxa"/>
          </w:tcPr>
          <w:p w:rsidR="00E16E0A" w:rsidRPr="004A69D5" w:rsidRDefault="00E16E0A" w:rsidP="006C271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>BMT</w:t>
            </w:r>
            <w:r w:rsidR="007D504A">
              <w:tab/>
            </w:r>
            <w:r>
              <w:t>(Francia):</w:t>
            </w:r>
          </w:p>
        </w:tc>
        <w:tc>
          <w:tcPr>
            <w:tcW w:w="1276" w:type="dxa"/>
          </w:tcPr>
          <w:p w:rsidR="00E16E0A" w:rsidRDefault="00E16E0A" w:rsidP="006C271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</w:tbl>
    <w:p w:rsidR="00E16E0A" w:rsidRPr="00F0655E" w:rsidRDefault="00E16E0A" w:rsidP="00E16E0A">
      <w:pPr>
        <w:rPr>
          <w:rFonts w:cs="Arial"/>
        </w:rPr>
      </w:pPr>
    </w:p>
    <w:p w:rsidR="00E16E0A" w:rsidRPr="00362D68" w:rsidRDefault="00E16E0A" w:rsidP="00E16E0A">
      <w:pPr>
        <w:pStyle w:val="Heading1"/>
        <w:rPr>
          <w:i/>
        </w:rPr>
      </w:pPr>
      <w:bookmarkStart w:id="12" w:name="_Toc522631386"/>
      <w:bookmarkStart w:id="13" w:name="_Toc523900783"/>
      <w:r>
        <w:lastRenderedPageBreak/>
        <w:t>Informe sobre los talleres preparatorios de 2018</w:t>
      </w:r>
      <w:bookmarkEnd w:id="12"/>
      <w:bookmarkEnd w:id="13"/>
    </w:p>
    <w:p w:rsidR="00E16E0A" w:rsidRPr="00F0655E" w:rsidRDefault="00E16E0A" w:rsidP="00E16E0A">
      <w:pPr>
        <w:rPr>
          <w:rFonts w:cs="Arial"/>
        </w:rPr>
      </w:pPr>
    </w:p>
    <w:p w:rsidR="00E16E0A" w:rsidRPr="00E16E0A" w:rsidRDefault="003A162C" w:rsidP="00E16E0A">
      <w:pPr>
        <w:rPr>
          <w:rFonts w:cs="Arial"/>
        </w:rPr>
      </w:pPr>
      <w:r w:rsidRPr="00F51858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="00E16E0A">
        <w:tab/>
        <w:t xml:space="preserve">En la quincuagésima tercera sesión del TC, se convino en que los talleres preparatorios de 2018 se organicen el lunes o martes de la semana en que tengan lugar las </w:t>
      </w:r>
      <w:r w:rsidR="00F72446">
        <w:t>sesi</w:t>
      </w:r>
      <w:r w:rsidR="00E16E0A">
        <w:t xml:space="preserve">ones de los TWP, a fin de fomentar la participación de todos los participantes de los TWP (véase </w:t>
      </w:r>
      <w:r w:rsidR="007D504A">
        <w:t xml:space="preserve">el </w:t>
      </w:r>
      <w:r w:rsidR="00E16E0A">
        <w:t xml:space="preserve">párrafo 230 del documento TC/53/31 “Informe”). </w:t>
      </w:r>
    </w:p>
    <w:p w:rsidR="00E16E0A" w:rsidRPr="00F0655E" w:rsidRDefault="00E16E0A" w:rsidP="00E16E0A">
      <w:pPr>
        <w:rPr>
          <w:rFonts w:cs="Arial"/>
        </w:rPr>
      </w:pPr>
    </w:p>
    <w:p w:rsidR="00E16E0A" w:rsidRPr="00E16E0A" w:rsidRDefault="003A162C" w:rsidP="00E16E0A">
      <w:pPr>
        <w:rPr>
          <w:rFonts w:cs="Arial"/>
        </w:rPr>
      </w:pPr>
      <w:r w:rsidRPr="00F51858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="00E16E0A">
        <w:tab/>
      </w:r>
      <w:r w:rsidR="008E4ADD">
        <w:t>El taller preparatorio</w:t>
      </w:r>
      <w:r w:rsidR="00E16E0A">
        <w:t xml:space="preserve"> del TWA tuv</w:t>
      </w:r>
      <w:r w:rsidR="008E4ADD">
        <w:t>o</w:t>
      </w:r>
      <w:r w:rsidR="00E16E0A">
        <w:t xml:space="preserve"> lugar el lunes 21 de mayo de 2018 por la mañana, con el programa siguiente:</w:t>
      </w:r>
    </w:p>
    <w:p w:rsidR="00E16E0A" w:rsidRPr="00F0655E" w:rsidRDefault="00E16E0A" w:rsidP="00E16E0A">
      <w:pPr>
        <w:rPr>
          <w:rFonts w:cs="Arial"/>
        </w:rPr>
      </w:pPr>
    </w:p>
    <w:p w:rsidR="00E16E0A" w:rsidRPr="00E16E0A" w:rsidRDefault="00E16E0A" w:rsidP="00E16E0A">
      <w:pPr>
        <w:numPr>
          <w:ilvl w:val="0"/>
          <w:numId w:val="9"/>
        </w:numPr>
        <w:spacing w:after="120"/>
        <w:rPr>
          <w:rFonts w:cs="Arial"/>
        </w:rPr>
      </w:pPr>
      <w:r>
        <w:t>Introducción a la UPOV y función de los Grupos de Trabajo Técnico de la UPOV</w:t>
      </w:r>
    </w:p>
    <w:p w:rsidR="00E16E0A" w:rsidRPr="00E16E0A" w:rsidRDefault="00E16E0A" w:rsidP="00E16E0A">
      <w:pPr>
        <w:numPr>
          <w:ilvl w:val="0"/>
          <w:numId w:val="9"/>
        </w:numPr>
        <w:spacing w:after="120"/>
        <w:rPr>
          <w:rFonts w:cs="Arial"/>
        </w:rPr>
      </w:pPr>
      <w:r>
        <w:t xml:space="preserve">Resumen de la Introducción </w:t>
      </w:r>
      <w:r w:rsidR="00195130">
        <w:t>g</w:t>
      </w:r>
      <w:r>
        <w:t>eneral (documento TG/1/3 y documentos TGP)</w:t>
      </w:r>
    </w:p>
    <w:p w:rsidR="00E16E0A" w:rsidRPr="00E16E0A" w:rsidRDefault="00E16E0A" w:rsidP="00E16E0A">
      <w:pPr>
        <w:numPr>
          <w:ilvl w:val="0"/>
          <w:numId w:val="8"/>
        </w:numPr>
        <w:spacing w:after="120"/>
        <w:rPr>
          <w:rFonts w:cs="Arial"/>
        </w:rPr>
      </w:pPr>
      <w:r>
        <w:t>Caracteres: base del examen DHE y selección de caracteres</w:t>
      </w:r>
    </w:p>
    <w:p w:rsidR="00E16E0A" w:rsidRPr="00E16E0A" w:rsidRDefault="00E16E0A" w:rsidP="00E16E0A">
      <w:pPr>
        <w:numPr>
          <w:ilvl w:val="0"/>
          <w:numId w:val="9"/>
        </w:numPr>
        <w:spacing w:after="120"/>
        <w:rPr>
          <w:rFonts w:cs="Arial"/>
        </w:rPr>
      </w:pPr>
      <w:r>
        <w:t xml:space="preserve">Orientaciones para la redacción de directrices de examen (documento TGP/7) </w:t>
      </w:r>
    </w:p>
    <w:p w:rsidR="00E16E0A" w:rsidRPr="00F72446" w:rsidRDefault="00D40FB1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a)</w:t>
      </w:r>
      <w:r w:rsidRPr="00F72446">
        <w:rPr>
          <w:snapToGrid w:val="0"/>
          <w:color w:val="000000"/>
        </w:rPr>
        <w:tab/>
      </w:r>
      <w:r w:rsidR="00E16E0A" w:rsidRPr="00F72446">
        <w:rPr>
          <w:snapToGrid w:val="0"/>
          <w:color w:val="000000"/>
        </w:rPr>
        <w:t>Objeto de las directrices de examen, material necesario y método de examen</w:t>
      </w:r>
    </w:p>
    <w:p w:rsidR="00E16E0A" w:rsidRPr="00F72446" w:rsidRDefault="00D40FB1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b)</w:t>
      </w:r>
      <w:r w:rsidRPr="00F72446">
        <w:rPr>
          <w:snapToGrid w:val="0"/>
          <w:color w:val="000000"/>
        </w:rPr>
        <w:tab/>
      </w:r>
      <w:r w:rsidR="00E16E0A" w:rsidRPr="00F72446">
        <w:rPr>
          <w:snapToGrid w:val="0"/>
          <w:color w:val="000000"/>
        </w:rPr>
        <w:t>Método de observación (MS, MG, VS, VG)</w:t>
      </w:r>
    </w:p>
    <w:p w:rsidR="00E16E0A" w:rsidRPr="00F72446" w:rsidRDefault="00D40FB1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c)</w:t>
      </w:r>
      <w:r w:rsidRPr="00F72446">
        <w:rPr>
          <w:snapToGrid w:val="0"/>
          <w:color w:val="000000"/>
        </w:rPr>
        <w:tab/>
      </w:r>
      <w:r w:rsidR="00E16E0A" w:rsidRPr="00F72446">
        <w:rPr>
          <w:snapToGrid w:val="0"/>
          <w:color w:val="000000"/>
        </w:rPr>
        <w:t>Tipos de expresión (Q</w:t>
      </w:r>
      <w:r w:rsidRPr="00F72446">
        <w:rPr>
          <w:snapToGrid w:val="0"/>
          <w:color w:val="000000"/>
        </w:rPr>
        <w:t>L, QN y PQ), notas y distinción</w:t>
      </w:r>
    </w:p>
    <w:p w:rsidR="00E16E0A" w:rsidRPr="00F72446" w:rsidRDefault="00D40FB1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d)</w:t>
      </w:r>
      <w:r w:rsidRPr="00F72446">
        <w:rPr>
          <w:snapToGrid w:val="0"/>
          <w:color w:val="000000"/>
        </w:rPr>
        <w:tab/>
      </w:r>
      <w:r w:rsidR="00E16E0A" w:rsidRPr="00F72446">
        <w:rPr>
          <w:snapToGrid w:val="0"/>
          <w:color w:val="000000"/>
        </w:rPr>
        <w:t xml:space="preserve">Caracteres </w:t>
      </w:r>
      <w:r w:rsidRPr="00F72446">
        <w:rPr>
          <w:snapToGrid w:val="0"/>
          <w:color w:val="000000"/>
        </w:rPr>
        <w:t>relativos a la forma y el color</w:t>
      </w:r>
    </w:p>
    <w:p w:rsidR="00E16E0A" w:rsidRPr="00F72446" w:rsidRDefault="00D40FB1" w:rsidP="00F72446">
      <w:pPr>
        <w:tabs>
          <w:tab w:val="left" w:pos="1701"/>
        </w:tabs>
        <w:spacing w:before="60" w:after="120"/>
        <w:ind w:left="1134"/>
        <w:rPr>
          <w:snapToGrid w:val="0"/>
          <w:color w:val="000000"/>
        </w:rPr>
      </w:pPr>
      <w:r w:rsidRPr="00F72446">
        <w:rPr>
          <w:snapToGrid w:val="0"/>
          <w:color w:val="000000"/>
        </w:rPr>
        <w:t>e)</w:t>
      </w:r>
      <w:r w:rsidRPr="00F72446">
        <w:rPr>
          <w:snapToGrid w:val="0"/>
          <w:color w:val="000000"/>
        </w:rPr>
        <w:tab/>
        <w:t>Variedades ejemplo</w:t>
      </w:r>
    </w:p>
    <w:p w:rsidR="00E16E0A" w:rsidRPr="00E16E0A" w:rsidRDefault="00D40FB1" w:rsidP="00D40FB1">
      <w:pPr>
        <w:tabs>
          <w:tab w:val="left" w:pos="1701"/>
        </w:tabs>
        <w:spacing w:before="60" w:after="120"/>
        <w:ind w:left="1134"/>
        <w:rPr>
          <w:rFonts w:cs="Arial"/>
        </w:rPr>
      </w:pPr>
      <w:r>
        <w:rPr>
          <w:snapToGrid w:val="0"/>
          <w:color w:val="000000"/>
        </w:rPr>
        <w:t>f)</w:t>
      </w:r>
      <w:r>
        <w:rPr>
          <w:snapToGrid w:val="0"/>
          <w:color w:val="000000"/>
        </w:rPr>
        <w:tab/>
      </w:r>
      <w:r w:rsidR="00E16E0A">
        <w:rPr>
          <w:snapToGrid w:val="0"/>
          <w:color w:val="000000"/>
        </w:rPr>
        <w:t xml:space="preserve">El proceso de elaboración de directrices de examen de la UPOV, a saber: </w:t>
      </w:r>
      <w:r w:rsidR="00E16E0A">
        <w:t>Plantilla en</w:t>
      </w:r>
      <w:r w:rsidR="00E16E0A">
        <w:rPr>
          <w:snapToGrid w:val="0"/>
          <w:color w:val="000000"/>
        </w:rPr>
        <w:t xml:space="preserve"> Internet</w:t>
      </w:r>
      <w:r w:rsidR="00E16E0A">
        <w:t xml:space="preserve"> de los documentos TG, texto estándar adicional y notas orientativas</w:t>
      </w:r>
    </w:p>
    <w:p w:rsidR="00E16E0A" w:rsidRPr="00595F05" w:rsidRDefault="00E16E0A" w:rsidP="00E16E0A">
      <w:pPr>
        <w:numPr>
          <w:ilvl w:val="0"/>
          <w:numId w:val="9"/>
        </w:numPr>
        <w:spacing w:after="120"/>
        <w:rPr>
          <w:rFonts w:cs="Arial"/>
        </w:rPr>
      </w:pPr>
      <w:r>
        <w:t xml:space="preserve">Orden del día de la sesión del </w:t>
      </w:r>
      <w:r w:rsidR="00671C9C">
        <w:t>TWP</w:t>
      </w:r>
      <w:r>
        <w:t xml:space="preserve"> correspondiente</w:t>
      </w:r>
    </w:p>
    <w:p w:rsidR="00E16E0A" w:rsidRPr="00595F05" w:rsidRDefault="00E16E0A" w:rsidP="00E16E0A">
      <w:pPr>
        <w:numPr>
          <w:ilvl w:val="0"/>
          <w:numId w:val="9"/>
        </w:numPr>
        <w:rPr>
          <w:rFonts w:cs="Arial"/>
        </w:rPr>
      </w:pPr>
      <w:r>
        <w:t>Información recibida de los participantes</w:t>
      </w:r>
    </w:p>
    <w:p w:rsidR="00E16E0A" w:rsidRPr="00F0655E" w:rsidRDefault="00E16E0A" w:rsidP="00E16E0A">
      <w:pPr>
        <w:rPr>
          <w:rFonts w:cs="Arial"/>
        </w:rPr>
      </w:pPr>
    </w:p>
    <w:p w:rsidR="00E16E0A" w:rsidRPr="00E16E0A" w:rsidRDefault="003A162C" w:rsidP="00E16E0A">
      <w:pPr>
        <w:rPr>
          <w:rFonts w:cs="Arial"/>
        </w:rPr>
      </w:pPr>
      <w:r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 w:rsidR="00E16E0A">
        <w:tab/>
        <w:t>Los talleres preparatorios del TWV y el TWF se organizarán el lunes 17 de septiembre de 2018 y el lunes 19 de noviembre de 2018, respectivamente con el mismo programa que el TWA.</w:t>
      </w:r>
      <w:r w:rsidR="007D504A">
        <w:t xml:space="preserve"> </w:t>
      </w:r>
      <w:r w:rsidR="00E16E0A">
        <w:t>El TWO no celebrará sesión en 2018.</w:t>
      </w:r>
    </w:p>
    <w:p w:rsidR="00E16E0A" w:rsidRPr="00F0655E" w:rsidRDefault="00E16E0A" w:rsidP="00E16E0A">
      <w:pPr>
        <w:rPr>
          <w:rFonts w:cs="Arial"/>
        </w:rPr>
      </w:pPr>
    </w:p>
    <w:p w:rsidR="00E16E0A" w:rsidRPr="00E16E0A" w:rsidRDefault="003A162C" w:rsidP="00E16E0A">
      <w:pPr>
        <w:rPr>
          <w:rFonts w:cs="Arial"/>
        </w:rPr>
      </w:pPr>
      <w:r w:rsidRPr="00F51858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="00E16E0A">
        <w:tab/>
        <w:t>Los talleres preparatorios del TWC tuvieron lugar el lunes 2 de julio de 2018 por la mañana, con el programa siguiente:</w:t>
      </w:r>
    </w:p>
    <w:p w:rsidR="00E16E0A" w:rsidRPr="00F0655E" w:rsidRDefault="00E16E0A" w:rsidP="00E16E0A">
      <w:pPr>
        <w:keepNext/>
        <w:rPr>
          <w:rFonts w:cs="Arial"/>
        </w:rPr>
      </w:pPr>
    </w:p>
    <w:p w:rsidR="00E16E0A" w:rsidRPr="00E16E0A" w:rsidRDefault="00E16E0A" w:rsidP="00E16E0A">
      <w:pPr>
        <w:keepNext/>
        <w:numPr>
          <w:ilvl w:val="0"/>
          <w:numId w:val="7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>
        <w:t>Introducción a la UPOV y función de los Grupo</w:t>
      </w:r>
      <w:r w:rsidR="00671C9C">
        <w:t>s de Trabajo Técnico de la UPOV</w:t>
      </w:r>
    </w:p>
    <w:p w:rsidR="00E16E0A" w:rsidRPr="00E16E0A" w:rsidRDefault="00E16E0A" w:rsidP="00E16E0A">
      <w:pPr>
        <w:keepNext/>
        <w:numPr>
          <w:ilvl w:val="0"/>
          <w:numId w:val="7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>
        <w:t xml:space="preserve">Resumen de la Introducción </w:t>
      </w:r>
      <w:r w:rsidR="00195130">
        <w:t>g</w:t>
      </w:r>
      <w:r>
        <w:t>eneral (documento TG/1/3 y documentos TGP)</w:t>
      </w:r>
    </w:p>
    <w:p w:rsidR="00E16E0A" w:rsidRPr="00E16E0A" w:rsidRDefault="00E16E0A" w:rsidP="00E16E0A">
      <w:pPr>
        <w:numPr>
          <w:ilvl w:val="0"/>
          <w:numId w:val="7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>
        <w:t>Aspectos generales de los ensayos DHE</w:t>
      </w:r>
      <w:r w:rsidR="00671C9C">
        <w:t xml:space="preserve"> </w:t>
      </w:r>
      <w:r w:rsidR="00C96F95">
        <w:t>y las directrices de examen</w:t>
      </w:r>
    </w:p>
    <w:p w:rsidR="00E16E0A" w:rsidRPr="00E16E0A" w:rsidRDefault="00244738" w:rsidP="00244738">
      <w:pPr>
        <w:spacing w:after="120"/>
        <w:ind w:left="1134"/>
        <w:rPr>
          <w:rFonts w:cs="Arial"/>
        </w:rPr>
      </w:pPr>
      <w:r>
        <w:t>a)</w:t>
      </w:r>
      <w:r>
        <w:tab/>
      </w:r>
      <w:r w:rsidR="00E16E0A">
        <w:t>Método de observación y tip</w:t>
      </w:r>
      <w:r w:rsidR="00671C9C">
        <w:t>o de registro (MS, MG, VS, VG)</w:t>
      </w:r>
    </w:p>
    <w:p w:rsidR="00E16E0A" w:rsidRPr="00E16E0A" w:rsidRDefault="00244738" w:rsidP="00244738">
      <w:pPr>
        <w:spacing w:after="120"/>
        <w:ind w:left="1134"/>
        <w:rPr>
          <w:rFonts w:cs="Arial"/>
        </w:rPr>
      </w:pPr>
      <w:r>
        <w:t>b)</w:t>
      </w:r>
      <w:r>
        <w:tab/>
      </w:r>
      <w:r w:rsidR="00E16E0A">
        <w:t xml:space="preserve">Tipos de expresión de los caracteres (QL, QN y PQ) </w:t>
      </w:r>
      <w:r w:rsidR="00671C9C">
        <w:t>y tipos de escala de los datos</w:t>
      </w:r>
    </w:p>
    <w:p w:rsidR="00E16E0A" w:rsidRPr="00595F05" w:rsidRDefault="00E16E0A" w:rsidP="00E16E0A">
      <w:pPr>
        <w:numPr>
          <w:ilvl w:val="0"/>
          <w:numId w:val="7"/>
        </w:numPr>
        <w:tabs>
          <w:tab w:val="clear" w:pos="1704"/>
          <w:tab w:val="num" w:pos="1276"/>
        </w:tabs>
        <w:spacing w:after="120"/>
        <w:ind w:left="1134" w:hanging="567"/>
        <w:rPr>
          <w:rFonts w:cs="Arial"/>
        </w:rPr>
      </w:pPr>
      <w:r>
        <w:t xml:space="preserve">Recursos de la UPOV </w:t>
      </w:r>
      <w:r w:rsidR="00671C9C">
        <w:t>en Internet</w:t>
      </w:r>
    </w:p>
    <w:p w:rsidR="00E16E0A" w:rsidRPr="00E16E0A" w:rsidRDefault="00244738" w:rsidP="00244738">
      <w:pPr>
        <w:spacing w:after="120"/>
        <w:ind w:left="1134"/>
        <w:rPr>
          <w:rFonts w:cs="Arial"/>
        </w:rPr>
      </w:pPr>
      <w:r>
        <w:t>a)</w:t>
      </w:r>
      <w:r>
        <w:tab/>
      </w:r>
      <w:r w:rsidR="00E16E0A">
        <w:t>Bases de datos (Códigos de la UPOV, GENIE, PLUTO y UPOV </w:t>
      </w:r>
      <w:proofErr w:type="spellStart"/>
      <w:r w:rsidR="00E16E0A">
        <w:t>Lex</w:t>
      </w:r>
      <w:proofErr w:type="spellEnd"/>
      <w:r w:rsidR="00E16E0A">
        <w:t>)</w:t>
      </w:r>
    </w:p>
    <w:p w:rsidR="00E16E0A" w:rsidRPr="00E16E0A" w:rsidRDefault="00244738" w:rsidP="00244738">
      <w:pPr>
        <w:spacing w:after="120"/>
        <w:ind w:left="1134"/>
        <w:rPr>
          <w:rFonts w:cs="Arial"/>
          <w:spacing w:val="-2"/>
        </w:rPr>
      </w:pPr>
      <w:r>
        <w:t>b)</w:t>
      </w:r>
      <w:r>
        <w:tab/>
      </w:r>
      <w:r w:rsidR="00E16E0A">
        <w:t>Otros recursos (proyecto de formulario electrónico de solicitud de la UPOV, plantilla de directrices de examen)</w:t>
      </w:r>
    </w:p>
    <w:p w:rsidR="00E16E0A" w:rsidRPr="00595F05" w:rsidRDefault="00E16E0A" w:rsidP="00E16E0A">
      <w:pPr>
        <w:numPr>
          <w:ilvl w:val="0"/>
          <w:numId w:val="7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>
        <w:t xml:space="preserve">Orden del día de la </w:t>
      </w:r>
      <w:r w:rsidR="00F72446">
        <w:t>sesi</w:t>
      </w:r>
      <w:r>
        <w:t>ón del TWC</w:t>
      </w:r>
    </w:p>
    <w:p w:rsidR="00E16E0A" w:rsidRPr="008E4ADD" w:rsidRDefault="00E16E0A" w:rsidP="00E16E0A">
      <w:pPr>
        <w:numPr>
          <w:ilvl w:val="0"/>
          <w:numId w:val="7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>
        <w:t>Información recibida de los participantes</w:t>
      </w:r>
    </w:p>
    <w:p w:rsidR="008E4ADD" w:rsidRPr="00595F05" w:rsidRDefault="008E4ADD" w:rsidP="00F0655E"/>
    <w:p w:rsidR="00E16E0A" w:rsidRPr="00E16E0A" w:rsidRDefault="003A162C" w:rsidP="00CE3914">
      <w:pPr>
        <w:keepNext/>
        <w:rPr>
          <w:rFonts w:cs="Arial"/>
        </w:rPr>
      </w:pPr>
      <w:r w:rsidRPr="004A69D5">
        <w:rPr>
          <w:rFonts w:cs="Arial"/>
        </w:rPr>
        <w:lastRenderedPageBreak/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>Los elementos siguientes del taller preparatorio se presentarán junto con los puntos pertinentes del orden del día de la sesión de 2018 del BMT:</w:t>
      </w:r>
    </w:p>
    <w:p w:rsidR="00E16E0A" w:rsidRPr="00E16E0A" w:rsidRDefault="00E16E0A" w:rsidP="00CE3914">
      <w:pPr>
        <w:keepNext/>
        <w:rPr>
          <w:rFonts w:cs="Arial"/>
        </w:rPr>
      </w:pPr>
    </w:p>
    <w:p w:rsidR="00E16E0A" w:rsidRPr="00595F05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>Introducción a la UPOV</w:t>
      </w:r>
    </w:p>
    <w:p w:rsidR="00E16E0A" w:rsidRPr="00E16E0A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>Resumen acerca de los Grupos de Trabajo Técnico</w:t>
      </w:r>
    </w:p>
    <w:p w:rsidR="00E16E0A" w:rsidRPr="00595F05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 xml:space="preserve">Orientaciones </w:t>
      </w:r>
      <w:r w:rsidR="00671C9C">
        <w:t>para</w:t>
      </w:r>
      <w:r>
        <w:t xml:space="preserve"> el examen DHE</w:t>
      </w:r>
    </w:p>
    <w:p w:rsidR="00E16E0A" w:rsidRPr="00E16E0A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>Función de los Grupos de Trabajo Técnico y el BMT</w:t>
      </w:r>
    </w:p>
    <w:p w:rsidR="00E16E0A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>Sitio web de la UPOV</w:t>
      </w:r>
    </w:p>
    <w:p w:rsidR="00E16E0A" w:rsidRPr="00595F05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 xml:space="preserve">Orden del día de la </w:t>
      </w:r>
      <w:r w:rsidR="00F72446">
        <w:t>sesi</w:t>
      </w:r>
      <w:r>
        <w:t>ón del BMT</w:t>
      </w:r>
    </w:p>
    <w:p w:rsidR="00E16E0A" w:rsidRPr="00E16E0A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>El concepto de variedad esencialmente derivada</w:t>
      </w:r>
    </w:p>
    <w:p w:rsidR="00E16E0A" w:rsidRPr="00E16E0A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>Función de la UPOV en la identificación de variedades</w:t>
      </w:r>
    </w:p>
    <w:p w:rsidR="00E16E0A" w:rsidRPr="00595F05" w:rsidRDefault="00E16E0A" w:rsidP="00E16E0A">
      <w:pPr>
        <w:keepNext/>
        <w:numPr>
          <w:ilvl w:val="0"/>
          <w:numId w:val="11"/>
        </w:numPr>
        <w:spacing w:after="120"/>
        <w:rPr>
          <w:rFonts w:cs="Arial"/>
        </w:rPr>
      </w:pPr>
      <w:r>
        <w:t>Herramienta de solicitudes de derechos de obtentor UPOV PRISMA</w:t>
      </w:r>
    </w:p>
    <w:p w:rsidR="00E16E0A" w:rsidRDefault="00E16E0A" w:rsidP="00E16E0A">
      <w:pPr>
        <w:pStyle w:val="Heading1"/>
      </w:pPr>
    </w:p>
    <w:p w:rsidR="00E16E0A" w:rsidRPr="00BA0F53" w:rsidRDefault="00E16E0A" w:rsidP="00E16E0A"/>
    <w:p w:rsidR="00E16E0A" w:rsidRPr="00362D68" w:rsidRDefault="00E16E0A" w:rsidP="00E16E0A">
      <w:pPr>
        <w:pStyle w:val="Heading1"/>
        <w:rPr>
          <w:i/>
        </w:rPr>
      </w:pPr>
      <w:bookmarkStart w:id="14" w:name="_Toc522631387"/>
      <w:bookmarkStart w:id="15" w:name="_Toc523900784"/>
      <w:r>
        <w:t>Programa de los talleres preparatorios de 2019</w:t>
      </w:r>
      <w:bookmarkEnd w:id="14"/>
      <w:bookmarkEnd w:id="15"/>
    </w:p>
    <w:p w:rsidR="00E16E0A" w:rsidRPr="00E16E0A" w:rsidRDefault="00E16E0A" w:rsidP="00E16E0A">
      <w:pPr>
        <w:rPr>
          <w:rFonts w:cs="Arial"/>
        </w:rPr>
      </w:pPr>
    </w:p>
    <w:p w:rsidR="00E16E0A" w:rsidRPr="00E16E0A" w:rsidRDefault="003A162C" w:rsidP="00E16E0A">
      <w:pPr>
        <w:rPr>
          <w:rFonts w:cs="Arial"/>
        </w:rPr>
      </w:pPr>
      <w:r w:rsidRPr="004A69D5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="00E16E0A">
        <w:tab/>
        <w:t>Se propone que en 2019 se organicen talleres preparatorios de medio día de duración conjuntamente con las sesiones del TWA, el TWF, el TWO y el TWV</w:t>
      </w:r>
      <w:r w:rsidR="00156CB8">
        <w:t>,</w:t>
      </w:r>
      <w:r w:rsidR="00E16E0A">
        <w:t xml:space="preserve"> con arreglo al siguiente programa:</w:t>
      </w:r>
    </w:p>
    <w:p w:rsidR="00E16E0A" w:rsidRPr="00E16E0A" w:rsidRDefault="007D504A" w:rsidP="00E16E0A">
      <w:pPr>
        <w:rPr>
          <w:rFonts w:cs="Arial"/>
        </w:rPr>
      </w:pPr>
      <w:r>
        <w:t xml:space="preserve"> </w:t>
      </w:r>
    </w:p>
    <w:p w:rsidR="00E16E0A" w:rsidRPr="00E16E0A" w:rsidRDefault="00E16E0A" w:rsidP="00E16E0A">
      <w:pPr>
        <w:numPr>
          <w:ilvl w:val="0"/>
          <w:numId w:val="15"/>
        </w:numPr>
        <w:spacing w:after="120"/>
        <w:rPr>
          <w:rFonts w:cs="Arial"/>
        </w:rPr>
      </w:pPr>
      <w:r>
        <w:t>Introducción a la UPOV y función de los Grupos de Trabajo Técnico de la UPOV</w:t>
      </w:r>
    </w:p>
    <w:p w:rsidR="00E16E0A" w:rsidRPr="00E16E0A" w:rsidRDefault="00E16E0A" w:rsidP="00E16E0A">
      <w:pPr>
        <w:numPr>
          <w:ilvl w:val="0"/>
          <w:numId w:val="15"/>
        </w:numPr>
        <w:spacing w:after="120"/>
        <w:rPr>
          <w:rFonts w:cs="Arial"/>
        </w:rPr>
      </w:pPr>
      <w:r>
        <w:t xml:space="preserve">Resumen de la Introducción </w:t>
      </w:r>
      <w:r w:rsidR="006C5970">
        <w:t>g</w:t>
      </w:r>
      <w:r>
        <w:t>eneral (documento TG/1/3 y documentos TGP)</w:t>
      </w:r>
    </w:p>
    <w:p w:rsidR="00E16E0A" w:rsidRPr="00E16E0A" w:rsidRDefault="00E16E0A" w:rsidP="00E16E0A">
      <w:pPr>
        <w:numPr>
          <w:ilvl w:val="0"/>
          <w:numId w:val="8"/>
        </w:numPr>
        <w:spacing w:after="120"/>
        <w:rPr>
          <w:rFonts w:cs="Arial"/>
        </w:rPr>
      </w:pPr>
      <w:r>
        <w:t>Caracteres: base del examen DHE y selección de caracteres</w:t>
      </w:r>
    </w:p>
    <w:p w:rsidR="00E16E0A" w:rsidRPr="00E16E0A" w:rsidRDefault="00E16E0A" w:rsidP="00E16E0A">
      <w:pPr>
        <w:numPr>
          <w:ilvl w:val="0"/>
          <w:numId w:val="15"/>
        </w:numPr>
        <w:spacing w:after="120"/>
        <w:rPr>
          <w:rFonts w:cs="Arial"/>
        </w:rPr>
      </w:pPr>
      <w:r>
        <w:t xml:space="preserve">Orientaciones para la redacción de directrices de examen (documento TGP/7) </w:t>
      </w:r>
    </w:p>
    <w:p w:rsidR="00E16E0A" w:rsidRPr="00156CB8" w:rsidRDefault="00156CB8" w:rsidP="00156CB8">
      <w:pPr>
        <w:spacing w:after="120"/>
        <w:ind w:left="1134"/>
      </w:pPr>
      <w:r>
        <w:t>a)</w:t>
      </w:r>
      <w:r>
        <w:tab/>
      </w:r>
      <w:r w:rsidR="00E16E0A">
        <w:t>Objeto de las directrices de examen, materi</w:t>
      </w:r>
      <w:r w:rsidR="005A58DC">
        <w:t>al necesario y método de examen</w:t>
      </w:r>
    </w:p>
    <w:p w:rsidR="00E16E0A" w:rsidRPr="00156CB8" w:rsidRDefault="00156CB8" w:rsidP="00156CB8">
      <w:pPr>
        <w:spacing w:after="120"/>
        <w:ind w:left="1134"/>
      </w:pPr>
      <w:r>
        <w:t>b)</w:t>
      </w:r>
      <w:r>
        <w:tab/>
      </w:r>
      <w:r w:rsidR="00E16E0A">
        <w:t>Método de observación (MS, MG, VS, VG)</w:t>
      </w:r>
    </w:p>
    <w:p w:rsidR="00E16E0A" w:rsidRPr="00156CB8" w:rsidRDefault="00156CB8" w:rsidP="00156CB8">
      <w:pPr>
        <w:spacing w:after="120"/>
        <w:ind w:left="1134"/>
      </w:pPr>
      <w:r>
        <w:t>c)</w:t>
      </w:r>
      <w:r>
        <w:tab/>
      </w:r>
      <w:r w:rsidR="00E16E0A">
        <w:t>Tipos de expresión (QL, QN y PQ), notas y distinción</w:t>
      </w:r>
    </w:p>
    <w:p w:rsidR="00E16E0A" w:rsidRPr="00156CB8" w:rsidRDefault="00156CB8" w:rsidP="00156CB8">
      <w:pPr>
        <w:spacing w:after="120"/>
        <w:ind w:left="1134"/>
      </w:pPr>
      <w:r>
        <w:t>d)</w:t>
      </w:r>
      <w:r>
        <w:tab/>
      </w:r>
      <w:r w:rsidR="00E16E0A">
        <w:t>Caracteres relativos a la f</w:t>
      </w:r>
      <w:r w:rsidR="005A58DC">
        <w:t>orma y el color</w:t>
      </w:r>
    </w:p>
    <w:p w:rsidR="00E16E0A" w:rsidRPr="00156CB8" w:rsidRDefault="00156CB8" w:rsidP="00156CB8">
      <w:pPr>
        <w:spacing w:after="120"/>
        <w:ind w:left="1134"/>
      </w:pPr>
      <w:r>
        <w:t>e)</w:t>
      </w:r>
      <w:r>
        <w:tab/>
      </w:r>
      <w:r w:rsidR="005A58DC">
        <w:t>Variedades ejemplo</w:t>
      </w:r>
    </w:p>
    <w:p w:rsidR="00E16E0A" w:rsidRPr="00156CB8" w:rsidRDefault="00156CB8" w:rsidP="00156CB8">
      <w:pPr>
        <w:spacing w:after="120"/>
        <w:ind w:left="1134"/>
      </w:pPr>
      <w:r>
        <w:t>f)</w:t>
      </w:r>
      <w:r>
        <w:tab/>
      </w:r>
      <w:r w:rsidR="00044992">
        <w:t>P</w:t>
      </w:r>
      <w:r w:rsidR="00E16E0A" w:rsidRPr="00156CB8">
        <w:t xml:space="preserve">roceso de elaboración de directrices de examen de la UPOV, a saber: </w:t>
      </w:r>
      <w:r w:rsidR="005A58DC">
        <w:t>p</w:t>
      </w:r>
      <w:r w:rsidR="00E16E0A">
        <w:t>lantilla en</w:t>
      </w:r>
      <w:r w:rsidR="00DD0F9C">
        <w:t> </w:t>
      </w:r>
      <w:r w:rsidR="00E16E0A" w:rsidRPr="00156CB8">
        <w:t>Internet</w:t>
      </w:r>
      <w:r w:rsidR="00E16E0A">
        <w:t xml:space="preserve"> de los documentos TG, texto estándar adicional y notas orientativas</w:t>
      </w:r>
    </w:p>
    <w:p w:rsidR="00E16E0A" w:rsidRPr="00595F05" w:rsidRDefault="00E16E0A" w:rsidP="00E16E0A">
      <w:pPr>
        <w:numPr>
          <w:ilvl w:val="0"/>
          <w:numId w:val="15"/>
        </w:numPr>
        <w:spacing w:after="120"/>
        <w:rPr>
          <w:rFonts w:cs="Arial"/>
        </w:rPr>
      </w:pPr>
      <w:r>
        <w:t xml:space="preserve">Orden del día de la sesión del </w:t>
      </w:r>
      <w:r w:rsidR="005A58DC">
        <w:t>TWP</w:t>
      </w:r>
      <w:r>
        <w:t xml:space="preserve"> correspondiente</w:t>
      </w:r>
    </w:p>
    <w:p w:rsidR="00E16E0A" w:rsidRPr="00595F05" w:rsidRDefault="00E16E0A" w:rsidP="00E16E0A">
      <w:pPr>
        <w:numPr>
          <w:ilvl w:val="0"/>
          <w:numId w:val="15"/>
        </w:numPr>
        <w:rPr>
          <w:rFonts w:cs="Arial"/>
        </w:rPr>
      </w:pPr>
      <w:r>
        <w:t>Información recibida de los participantes</w:t>
      </w:r>
    </w:p>
    <w:p w:rsidR="00E16E0A" w:rsidRDefault="00E16E0A" w:rsidP="00E16E0A">
      <w:pPr>
        <w:rPr>
          <w:rFonts w:cs="Arial"/>
        </w:rPr>
      </w:pPr>
    </w:p>
    <w:p w:rsidR="00E16E0A" w:rsidRPr="00E16E0A" w:rsidRDefault="003A162C" w:rsidP="00E16E0A">
      <w:pPr>
        <w:keepNext/>
        <w:rPr>
          <w:rFonts w:cs="Arial"/>
        </w:rPr>
      </w:pPr>
      <w:r w:rsidRPr="00F51858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="00E16E0A">
        <w:tab/>
        <w:t xml:space="preserve">Se propone organizar un taller preparatorio conjunto TWC-BMT de medio día de duración </w:t>
      </w:r>
      <w:r w:rsidR="00044992">
        <w:t>asociado a</w:t>
      </w:r>
      <w:r w:rsidR="00E16E0A">
        <w:t xml:space="preserve"> las sesiones de 2019 del TWC y el BMT, con arreglo al siguiente programa:</w:t>
      </w:r>
    </w:p>
    <w:p w:rsidR="00E16E0A" w:rsidRPr="00E16E0A" w:rsidRDefault="00E16E0A" w:rsidP="00E16E0A">
      <w:pPr>
        <w:keepNext/>
        <w:rPr>
          <w:rFonts w:cs="Arial"/>
        </w:rPr>
      </w:pPr>
    </w:p>
    <w:p w:rsidR="00E16E0A" w:rsidRPr="00E16E0A" w:rsidRDefault="00E16E0A" w:rsidP="00E16E0A">
      <w:pPr>
        <w:keepNext/>
        <w:numPr>
          <w:ilvl w:val="0"/>
          <w:numId w:val="14"/>
        </w:numPr>
        <w:spacing w:after="120"/>
        <w:rPr>
          <w:rFonts w:cs="Arial"/>
        </w:rPr>
      </w:pPr>
      <w:r>
        <w:t>Introducción a la UPO</w:t>
      </w:r>
      <w:r w:rsidR="00D70FA2">
        <w:t>V y función de los TWP y el BMT</w:t>
      </w:r>
    </w:p>
    <w:p w:rsidR="00E16E0A" w:rsidRPr="00E16E0A" w:rsidRDefault="00E16E0A" w:rsidP="00E16E0A">
      <w:pPr>
        <w:keepNext/>
        <w:numPr>
          <w:ilvl w:val="0"/>
          <w:numId w:val="14"/>
        </w:numPr>
        <w:spacing w:after="120"/>
        <w:ind w:left="1134" w:hanging="567"/>
        <w:rPr>
          <w:rFonts w:cs="Arial"/>
        </w:rPr>
      </w:pPr>
      <w:r>
        <w:t xml:space="preserve">Resumen de la Introducción </w:t>
      </w:r>
      <w:r w:rsidR="00195130">
        <w:t>g</w:t>
      </w:r>
      <w:r>
        <w:t>eneral (documento TG/1/3 y documentos TGP)</w:t>
      </w:r>
    </w:p>
    <w:p w:rsidR="00E16E0A" w:rsidRPr="00E16E0A" w:rsidRDefault="00E16E0A" w:rsidP="00E16E0A">
      <w:pPr>
        <w:numPr>
          <w:ilvl w:val="0"/>
          <w:numId w:val="14"/>
        </w:numPr>
        <w:spacing w:after="120"/>
        <w:ind w:left="1134" w:hanging="567"/>
        <w:rPr>
          <w:rFonts w:cs="Arial"/>
        </w:rPr>
      </w:pPr>
      <w:r>
        <w:t>Aspectos generales de los ensayos DHE</w:t>
      </w:r>
      <w:r w:rsidR="00D70FA2">
        <w:t xml:space="preserve"> y las directrices de examen</w:t>
      </w:r>
    </w:p>
    <w:p w:rsidR="00E16E0A" w:rsidRPr="00595F05" w:rsidRDefault="00D70FA2" w:rsidP="00E16E0A">
      <w:pPr>
        <w:numPr>
          <w:ilvl w:val="0"/>
          <w:numId w:val="14"/>
        </w:numPr>
        <w:spacing w:after="120"/>
        <w:ind w:left="1134" w:hanging="567"/>
        <w:rPr>
          <w:rFonts w:cs="Arial"/>
        </w:rPr>
      </w:pPr>
      <w:r>
        <w:t>Recursos de la UPOV en Internet</w:t>
      </w:r>
    </w:p>
    <w:p w:rsidR="00E16E0A" w:rsidRPr="00D70FA2" w:rsidRDefault="00D70FA2" w:rsidP="00D70FA2">
      <w:pPr>
        <w:spacing w:after="120"/>
        <w:ind w:left="1134"/>
      </w:pPr>
      <w:r>
        <w:t>a)</w:t>
      </w:r>
      <w:r>
        <w:tab/>
      </w:r>
      <w:r w:rsidR="00E16E0A">
        <w:t>Legislación de los miembros de la UPOV:</w:t>
      </w:r>
      <w:r w:rsidR="007D504A">
        <w:t xml:space="preserve"> </w:t>
      </w:r>
      <w:r w:rsidR="00E16E0A">
        <w:t xml:space="preserve">UPOV </w:t>
      </w:r>
      <w:proofErr w:type="spellStart"/>
      <w:r w:rsidR="00E16E0A">
        <w:t>Lex</w:t>
      </w:r>
      <w:proofErr w:type="spellEnd"/>
      <w:r w:rsidR="00E16E0A">
        <w:t>, base de datos GENIE</w:t>
      </w:r>
    </w:p>
    <w:p w:rsidR="00E16E0A" w:rsidRPr="00D70FA2" w:rsidRDefault="00D70FA2" w:rsidP="00D70FA2">
      <w:pPr>
        <w:spacing w:after="120"/>
        <w:ind w:left="1134"/>
      </w:pPr>
      <w:r>
        <w:t>b)</w:t>
      </w:r>
      <w:r>
        <w:tab/>
      </w:r>
      <w:r w:rsidR="00E16E0A">
        <w:t>Solicitudes de derecho</w:t>
      </w:r>
      <w:r w:rsidR="00980A13">
        <w:t>s</w:t>
      </w:r>
      <w:r w:rsidR="00E16E0A">
        <w:t xml:space="preserve"> de obtentor:</w:t>
      </w:r>
      <w:r w:rsidR="007D504A">
        <w:t xml:space="preserve"> </w:t>
      </w:r>
      <w:r w:rsidR="00DD0F9C">
        <w:t>h</w:t>
      </w:r>
      <w:r w:rsidR="00E16E0A">
        <w:t>erramienta de solicitudes de derechos de obtentor</w:t>
      </w:r>
      <w:r w:rsidR="00DD0F9C">
        <w:t> </w:t>
      </w:r>
      <w:r w:rsidR="00E16E0A">
        <w:t>UPOV PRISMA</w:t>
      </w:r>
    </w:p>
    <w:p w:rsidR="00E16E0A" w:rsidRPr="00D70FA2" w:rsidRDefault="00D70FA2" w:rsidP="00D70FA2">
      <w:pPr>
        <w:spacing w:after="120"/>
        <w:ind w:left="1134"/>
      </w:pPr>
      <w:r>
        <w:t>c)</w:t>
      </w:r>
      <w:r>
        <w:tab/>
      </w:r>
      <w:r w:rsidR="00E16E0A">
        <w:t>Examen DHE</w:t>
      </w:r>
      <w:r w:rsidR="00DD0F9C">
        <w:t>: b</w:t>
      </w:r>
      <w:r w:rsidR="00E16E0A">
        <w:t>ase de datos GENIE, plantilla en Internet de las directrices de examen y código de la UPOV</w:t>
      </w:r>
    </w:p>
    <w:p w:rsidR="00E16E0A" w:rsidRPr="00D70FA2" w:rsidRDefault="00D70FA2" w:rsidP="00D70FA2">
      <w:pPr>
        <w:spacing w:after="120"/>
        <w:ind w:left="1134"/>
      </w:pPr>
      <w:r>
        <w:t>d)</w:t>
      </w:r>
      <w:r>
        <w:tab/>
      </w:r>
      <w:r w:rsidR="00E16E0A">
        <w:t>Denominaciones de variedades y novedad:</w:t>
      </w:r>
      <w:r w:rsidR="007D504A">
        <w:t xml:space="preserve"> </w:t>
      </w:r>
      <w:r w:rsidR="00DD0F9C">
        <w:t>b</w:t>
      </w:r>
      <w:r w:rsidR="00E16E0A">
        <w:t>ase de datos PLUTO</w:t>
      </w:r>
    </w:p>
    <w:p w:rsidR="00E16E0A" w:rsidRPr="00E16E0A" w:rsidRDefault="00E16E0A" w:rsidP="00E16E0A">
      <w:pPr>
        <w:keepNext/>
        <w:numPr>
          <w:ilvl w:val="0"/>
          <w:numId w:val="14"/>
        </w:numPr>
        <w:spacing w:after="120"/>
        <w:rPr>
          <w:rFonts w:cs="Arial"/>
        </w:rPr>
      </w:pPr>
      <w:r>
        <w:lastRenderedPageBreak/>
        <w:t>Situación en la UPOV en relación con el posible uso de té</w:t>
      </w:r>
      <w:r w:rsidR="00D70FA2">
        <w:t>cnicas moleculares en el examen </w:t>
      </w:r>
      <w:r>
        <w:t>DHE</w:t>
      </w:r>
    </w:p>
    <w:p w:rsidR="00E16E0A" w:rsidRPr="00E16E0A" w:rsidRDefault="00E16E0A" w:rsidP="00E16E0A">
      <w:pPr>
        <w:keepNext/>
        <w:numPr>
          <w:ilvl w:val="0"/>
          <w:numId w:val="14"/>
        </w:numPr>
        <w:spacing w:after="120"/>
        <w:rPr>
          <w:rFonts w:cs="Arial"/>
        </w:rPr>
      </w:pPr>
      <w:r>
        <w:t>El concepto de variedad esencialmente derivada</w:t>
      </w:r>
    </w:p>
    <w:p w:rsidR="00E16E0A" w:rsidRPr="00E16E0A" w:rsidRDefault="00E16E0A" w:rsidP="00E16E0A">
      <w:pPr>
        <w:keepNext/>
        <w:numPr>
          <w:ilvl w:val="0"/>
          <w:numId w:val="14"/>
        </w:numPr>
        <w:spacing w:after="120"/>
        <w:rPr>
          <w:rFonts w:cs="Arial"/>
        </w:rPr>
      </w:pPr>
      <w:r>
        <w:t>Función de la UPOV en la identificación de variedades</w:t>
      </w:r>
    </w:p>
    <w:p w:rsidR="00E16E0A" w:rsidRPr="00E16E0A" w:rsidRDefault="00E16E0A" w:rsidP="00E16E0A">
      <w:pPr>
        <w:numPr>
          <w:ilvl w:val="0"/>
          <w:numId w:val="14"/>
        </w:numPr>
        <w:spacing w:after="120"/>
        <w:rPr>
          <w:rFonts w:cs="Arial"/>
        </w:rPr>
      </w:pPr>
      <w:r>
        <w:t>Orden del día del TWC y el BTM</w:t>
      </w:r>
    </w:p>
    <w:p w:rsidR="00E16E0A" w:rsidRDefault="00E16E0A" w:rsidP="00E16E0A">
      <w:pPr>
        <w:rPr>
          <w:rFonts w:cs="Arial"/>
        </w:rPr>
      </w:pPr>
    </w:p>
    <w:p w:rsidR="00E16E0A" w:rsidRPr="00E16E0A" w:rsidRDefault="003A162C" w:rsidP="00E16E0A">
      <w:pPr>
        <w:pStyle w:val="DecisionParagraphs"/>
        <w:rPr>
          <w:rFonts w:cs="Arial"/>
        </w:rPr>
      </w:pPr>
      <w:r w:rsidRPr="00960E3D">
        <w:rPr>
          <w:rFonts w:cs="Arial"/>
        </w:rPr>
        <w:fldChar w:fldCharType="begin"/>
      </w:r>
      <w:r w:rsidR="00E16E0A" w:rsidRPr="00E16E0A">
        <w:rPr>
          <w:rFonts w:cs="Arial"/>
        </w:rPr>
        <w:instrText xml:space="preserve"> AUTONUM  </w:instrText>
      </w:r>
      <w:r w:rsidRPr="00960E3D">
        <w:rPr>
          <w:rFonts w:cs="Arial"/>
        </w:rPr>
        <w:fldChar w:fldCharType="end"/>
      </w:r>
      <w:r w:rsidR="00E16E0A">
        <w:tab/>
        <w:t>Se invita al TC a:</w:t>
      </w:r>
    </w:p>
    <w:p w:rsidR="00E16E0A" w:rsidRPr="00E16E0A" w:rsidRDefault="00E16E0A" w:rsidP="00E16E0A">
      <w:pPr>
        <w:pStyle w:val="DecisionParagraphs"/>
        <w:rPr>
          <w:rFonts w:cs="Arial"/>
        </w:rPr>
      </w:pPr>
    </w:p>
    <w:p w:rsidR="00E16E0A" w:rsidRPr="00E16E0A" w:rsidRDefault="00D70FA2" w:rsidP="00D70FA2">
      <w:pPr>
        <w:pStyle w:val="DecisionParagraphs"/>
        <w:tabs>
          <w:tab w:val="clear" w:pos="5387"/>
        </w:tabs>
        <w:ind w:firstLine="567"/>
        <w:rPr>
          <w:rFonts w:cs="Arial"/>
        </w:rPr>
      </w:pPr>
      <w:r>
        <w:t>a)</w:t>
      </w:r>
      <w:r>
        <w:tab/>
      </w:r>
      <w:r w:rsidR="00E16E0A">
        <w:t>tomar nota del informe sobre los talleres preparatorios celebrados en 2017 y 2018; y</w:t>
      </w:r>
    </w:p>
    <w:p w:rsidR="00E16E0A" w:rsidRPr="00E16E0A" w:rsidRDefault="00E16E0A" w:rsidP="00D70FA2">
      <w:pPr>
        <w:pStyle w:val="DecisionParagraphs"/>
        <w:tabs>
          <w:tab w:val="clear" w:pos="5387"/>
          <w:tab w:val="left" w:pos="5954"/>
        </w:tabs>
        <w:ind w:firstLine="567"/>
        <w:rPr>
          <w:rFonts w:cs="Arial"/>
        </w:rPr>
      </w:pPr>
    </w:p>
    <w:p w:rsidR="00E16E0A" w:rsidRPr="00E16E0A" w:rsidRDefault="00D70FA2" w:rsidP="00D70FA2">
      <w:pPr>
        <w:pStyle w:val="DecisionParagraphs"/>
        <w:tabs>
          <w:tab w:val="clear" w:pos="5387"/>
          <w:tab w:val="num" w:pos="5960"/>
        </w:tabs>
        <w:ind w:firstLine="567"/>
        <w:rPr>
          <w:rFonts w:cs="Arial"/>
        </w:rPr>
      </w:pPr>
      <w:r>
        <w:t>b)</w:t>
      </w:r>
      <w:r>
        <w:tab/>
      </w:r>
      <w:r w:rsidR="00E16E0A">
        <w:t>examinar la propuesta de programa de los talleres preparatorios de 2019 que se expone en los párrafos 17 y 18 del presente documento.</w:t>
      </w:r>
    </w:p>
    <w:p w:rsidR="00E16E0A" w:rsidRPr="00E16E0A" w:rsidRDefault="00E16E0A" w:rsidP="00E16E0A"/>
    <w:p w:rsidR="00E16E0A" w:rsidRPr="00E16E0A" w:rsidRDefault="00E16E0A" w:rsidP="00E16E0A">
      <w:pPr>
        <w:jc w:val="left"/>
      </w:pPr>
    </w:p>
    <w:p w:rsidR="00E16E0A" w:rsidRPr="00E16E0A" w:rsidRDefault="00E16E0A" w:rsidP="00E16E0A"/>
    <w:p w:rsidR="00E16E0A" w:rsidRDefault="00E16E0A" w:rsidP="00E16E0A">
      <w:pPr>
        <w:jc w:val="right"/>
      </w:pPr>
      <w:r>
        <w:t>[Fin del documento]</w:t>
      </w:r>
    </w:p>
    <w:p w:rsidR="00E16E0A" w:rsidRPr="007E7836" w:rsidRDefault="00E16E0A" w:rsidP="00E16E0A"/>
    <w:sectPr w:rsidR="00E16E0A" w:rsidRPr="007E7836" w:rsidSect="00995DFA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AA" w:rsidRDefault="003669AA" w:rsidP="006655D3">
      <w:r>
        <w:separator/>
      </w:r>
    </w:p>
    <w:p w:rsidR="003669AA" w:rsidRDefault="003669AA" w:rsidP="006655D3"/>
    <w:p w:rsidR="003669AA" w:rsidRDefault="003669AA" w:rsidP="006655D3"/>
  </w:endnote>
  <w:endnote w:type="continuationSeparator" w:id="0">
    <w:p w:rsidR="003669AA" w:rsidRDefault="003669AA" w:rsidP="006655D3">
      <w:r>
        <w:separator/>
      </w:r>
    </w:p>
    <w:p w:rsidR="003669AA" w:rsidRPr="00294751" w:rsidRDefault="003669A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669AA" w:rsidRPr="00294751" w:rsidRDefault="003669AA" w:rsidP="006655D3">
      <w:pPr>
        <w:rPr>
          <w:lang w:val="fr-FR"/>
        </w:rPr>
      </w:pPr>
    </w:p>
    <w:p w:rsidR="003669AA" w:rsidRPr="00294751" w:rsidRDefault="003669AA" w:rsidP="006655D3">
      <w:pPr>
        <w:rPr>
          <w:lang w:val="fr-FR"/>
        </w:rPr>
      </w:pPr>
    </w:p>
  </w:endnote>
  <w:endnote w:type="continuationNotice" w:id="1">
    <w:p w:rsidR="003669AA" w:rsidRPr="00294751" w:rsidRDefault="003669A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669AA" w:rsidRPr="00294751" w:rsidRDefault="003669AA" w:rsidP="006655D3">
      <w:pPr>
        <w:rPr>
          <w:lang w:val="fr-FR"/>
        </w:rPr>
      </w:pPr>
    </w:p>
    <w:p w:rsidR="003669AA" w:rsidRPr="00294751" w:rsidRDefault="003669A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AA" w:rsidRDefault="003669AA" w:rsidP="006655D3">
      <w:r>
        <w:separator/>
      </w:r>
    </w:p>
  </w:footnote>
  <w:footnote w:type="continuationSeparator" w:id="0">
    <w:p w:rsidR="003669AA" w:rsidRDefault="003669AA" w:rsidP="006655D3">
      <w:r>
        <w:separator/>
      </w:r>
    </w:p>
  </w:footnote>
  <w:footnote w:type="continuationNotice" w:id="1">
    <w:p w:rsidR="003669AA" w:rsidRPr="00AB530F" w:rsidRDefault="003669A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54" w:rsidRPr="000A23DC" w:rsidRDefault="00BA1B54" w:rsidP="000A23DC">
    <w:pPr>
      <w:pStyle w:val="Header"/>
      <w:rPr>
        <w:rStyle w:val="PageNumber"/>
      </w:rPr>
    </w:pPr>
    <w:r>
      <w:rPr>
        <w:rStyle w:val="PageNumber"/>
      </w:rPr>
      <w:t>TC/54/13</w:t>
    </w:r>
  </w:p>
  <w:p w:rsidR="00BA1B54" w:rsidRPr="00202E38" w:rsidRDefault="00BA1B54" w:rsidP="008B3D8D">
    <w:pPr>
      <w:pStyle w:val="Header"/>
    </w:pPr>
    <w:r>
      <w:t xml:space="preserve">página </w:t>
    </w:r>
    <w:r w:rsidR="003A162C"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="003A162C" w:rsidRPr="00202E38">
      <w:rPr>
        <w:rStyle w:val="PageNumber"/>
      </w:rPr>
      <w:fldChar w:fldCharType="separate"/>
    </w:r>
    <w:r w:rsidR="00E12662">
      <w:rPr>
        <w:rStyle w:val="PageNumber"/>
        <w:noProof/>
      </w:rPr>
      <w:t>6</w:t>
    </w:r>
    <w:r w:rsidR="003A162C" w:rsidRPr="00202E38">
      <w:rPr>
        <w:rStyle w:val="PageNumber"/>
      </w:rPr>
      <w:fldChar w:fldCharType="end"/>
    </w:r>
  </w:p>
  <w:p w:rsidR="00BA1B54" w:rsidRPr="00202E38" w:rsidRDefault="00BA1B54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99"/>
    <w:multiLevelType w:val="hybridMultilevel"/>
    <w:tmpl w:val="9EA6DE08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85B4DE7"/>
    <w:multiLevelType w:val="hybridMultilevel"/>
    <w:tmpl w:val="BDEA3952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176124EA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9A638F6"/>
    <w:multiLevelType w:val="hybridMultilevel"/>
    <w:tmpl w:val="0194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36AC3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02365F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66ED6"/>
    <w:multiLevelType w:val="hybridMultilevel"/>
    <w:tmpl w:val="E5AC7AB2"/>
    <w:lvl w:ilvl="0" w:tplc="224AF9D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5C4B81"/>
    <w:multiLevelType w:val="hybridMultilevel"/>
    <w:tmpl w:val="EB4C88FC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D9"/>
    <w:rsid w:val="00010CF3"/>
    <w:rsid w:val="00011E27"/>
    <w:rsid w:val="000148BC"/>
    <w:rsid w:val="00024AB8"/>
    <w:rsid w:val="00030854"/>
    <w:rsid w:val="00036028"/>
    <w:rsid w:val="00044642"/>
    <w:rsid w:val="000446B9"/>
    <w:rsid w:val="00044992"/>
    <w:rsid w:val="00047E21"/>
    <w:rsid w:val="00050E16"/>
    <w:rsid w:val="00055A87"/>
    <w:rsid w:val="000638A9"/>
    <w:rsid w:val="00085505"/>
    <w:rsid w:val="000A23DC"/>
    <w:rsid w:val="000B5EC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7922"/>
    <w:rsid w:val="00141DB8"/>
    <w:rsid w:val="00153B6C"/>
    <w:rsid w:val="00156CB8"/>
    <w:rsid w:val="00172084"/>
    <w:rsid w:val="0017474A"/>
    <w:rsid w:val="001758C6"/>
    <w:rsid w:val="00182B99"/>
    <w:rsid w:val="00195130"/>
    <w:rsid w:val="001F56DF"/>
    <w:rsid w:val="001F6260"/>
    <w:rsid w:val="001F64BF"/>
    <w:rsid w:val="00202E38"/>
    <w:rsid w:val="0021332C"/>
    <w:rsid w:val="00213982"/>
    <w:rsid w:val="0024416D"/>
    <w:rsid w:val="00244738"/>
    <w:rsid w:val="002464A3"/>
    <w:rsid w:val="002603AC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07F0D"/>
    <w:rsid w:val="003152FE"/>
    <w:rsid w:val="00327436"/>
    <w:rsid w:val="00344BD6"/>
    <w:rsid w:val="0035528D"/>
    <w:rsid w:val="00361821"/>
    <w:rsid w:val="00361E9E"/>
    <w:rsid w:val="003669AA"/>
    <w:rsid w:val="003A162C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83006"/>
    <w:rsid w:val="005A1EC1"/>
    <w:rsid w:val="005A400A"/>
    <w:rsid w:val="005A58DC"/>
    <w:rsid w:val="005F7B92"/>
    <w:rsid w:val="00611E27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71C9C"/>
    <w:rsid w:val="00687EB4"/>
    <w:rsid w:val="00695C56"/>
    <w:rsid w:val="006A5CDE"/>
    <w:rsid w:val="006A644A"/>
    <w:rsid w:val="006B17D2"/>
    <w:rsid w:val="006C224E"/>
    <w:rsid w:val="006C49E9"/>
    <w:rsid w:val="006C5970"/>
    <w:rsid w:val="006D780A"/>
    <w:rsid w:val="0071271E"/>
    <w:rsid w:val="00730816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91920"/>
    <w:rsid w:val="007A2854"/>
    <w:rsid w:val="007C1D92"/>
    <w:rsid w:val="007C4CB9"/>
    <w:rsid w:val="007D0B9D"/>
    <w:rsid w:val="007D19B0"/>
    <w:rsid w:val="007D504A"/>
    <w:rsid w:val="007E7CA9"/>
    <w:rsid w:val="007F498F"/>
    <w:rsid w:val="0080679D"/>
    <w:rsid w:val="008108B0"/>
    <w:rsid w:val="00811B20"/>
    <w:rsid w:val="008211B5"/>
    <w:rsid w:val="0082296E"/>
    <w:rsid w:val="00823DC8"/>
    <w:rsid w:val="00824099"/>
    <w:rsid w:val="00846D7C"/>
    <w:rsid w:val="00864C55"/>
    <w:rsid w:val="00867AC1"/>
    <w:rsid w:val="00871431"/>
    <w:rsid w:val="00890DF8"/>
    <w:rsid w:val="008A743F"/>
    <w:rsid w:val="008B3D8D"/>
    <w:rsid w:val="008B5373"/>
    <w:rsid w:val="008C0970"/>
    <w:rsid w:val="008D0BC5"/>
    <w:rsid w:val="008D2CF7"/>
    <w:rsid w:val="008E4ADD"/>
    <w:rsid w:val="00900C26"/>
    <w:rsid w:val="0090197F"/>
    <w:rsid w:val="00906DDC"/>
    <w:rsid w:val="0091351A"/>
    <w:rsid w:val="00934E09"/>
    <w:rsid w:val="00936253"/>
    <w:rsid w:val="00940D46"/>
    <w:rsid w:val="00952DD4"/>
    <w:rsid w:val="0096175D"/>
    <w:rsid w:val="00965AE7"/>
    <w:rsid w:val="00970FED"/>
    <w:rsid w:val="00971AB8"/>
    <w:rsid w:val="00980A13"/>
    <w:rsid w:val="009879FC"/>
    <w:rsid w:val="00992D82"/>
    <w:rsid w:val="00995DFA"/>
    <w:rsid w:val="00997029"/>
    <w:rsid w:val="009A7339"/>
    <w:rsid w:val="009B440E"/>
    <w:rsid w:val="009D690D"/>
    <w:rsid w:val="009E65B6"/>
    <w:rsid w:val="00A05C01"/>
    <w:rsid w:val="00A24C10"/>
    <w:rsid w:val="00A42AC3"/>
    <w:rsid w:val="00A430CF"/>
    <w:rsid w:val="00A54309"/>
    <w:rsid w:val="00A706D3"/>
    <w:rsid w:val="00AB1C85"/>
    <w:rsid w:val="00AB2B93"/>
    <w:rsid w:val="00AB530F"/>
    <w:rsid w:val="00AB7E5B"/>
    <w:rsid w:val="00AC2883"/>
    <w:rsid w:val="00AD4097"/>
    <w:rsid w:val="00AE0EF1"/>
    <w:rsid w:val="00AE2937"/>
    <w:rsid w:val="00B07301"/>
    <w:rsid w:val="00B11F3E"/>
    <w:rsid w:val="00B224DE"/>
    <w:rsid w:val="00B238B0"/>
    <w:rsid w:val="00B324D4"/>
    <w:rsid w:val="00B46575"/>
    <w:rsid w:val="00B57F3F"/>
    <w:rsid w:val="00B61777"/>
    <w:rsid w:val="00B84BBD"/>
    <w:rsid w:val="00BA1B54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6F95"/>
    <w:rsid w:val="00C973F2"/>
    <w:rsid w:val="00CA304C"/>
    <w:rsid w:val="00CA774A"/>
    <w:rsid w:val="00CC11B0"/>
    <w:rsid w:val="00CC2841"/>
    <w:rsid w:val="00CD5D28"/>
    <w:rsid w:val="00CE3914"/>
    <w:rsid w:val="00CE49AB"/>
    <w:rsid w:val="00CF1330"/>
    <w:rsid w:val="00CF7E36"/>
    <w:rsid w:val="00D3708D"/>
    <w:rsid w:val="00D40426"/>
    <w:rsid w:val="00D40FB1"/>
    <w:rsid w:val="00D57C96"/>
    <w:rsid w:val="00D57D18"/>
    <w:rsid w:val="00D70FA2"/>
    <w:rsid w:val="00D91203"/>
    <w:rsid w:val="00D95174"/>
    <w:rsid w:val="00DA4973"/>
    <w:rsid w:val="00DA6F36"/>
    <w:rsid w:val="00DB596E"/>
    <w:rsid w:val="00DB7773"/>
    <w:rsid w:val="00DC00EA"/>
    <w:rsid w:val="00DC3802"/>
    <w:rsid w:val="00DC6E9D"/>
    <w:rsid w:val="00DD0F9C"/>
    <w:rsid w:val="00DD33F8"/>
    <w:rsid w:val="00DE09FA"/>
    <w:rsid w:val="00E07D87"/>
    <w:rsid w:val="00E07DC1"/>
    <w:rsid w:val="00E12662"/>
    <w:rsid w:val="00E16E0A"/>
    <w:rsid w:val="00E32F7E"/>
    <w:rsid w:val="00E4276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0655E"/>
    <w:rsid w:val="00F1237A"/>
    <w:rsid w:val="00F22CBD"/>
    <w:rsid w:val="00F272F1"/>
    <w:rsid w:val="00F45372"/>
    <w:rsid w:val="00F560F7"/>
    <w:rsid w:val="00F6334D"/>
    <w:rsid w:val="00F72446"/>
    <w:rsid w:val="00F838D9"/>
    <w:rsid w:val="00FA49AB"/>
    <w:rsid w:val="00FD3F87"/>
    <w:rsid w:val="00FD4AC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C19F4376-6C64-4013-AD4B-6741B006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16E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9879FC"/>
    <w:pPr>
      <w:tabs>
        <w:tab w:val="right" w:leader="dot" w:pos="9639"/>
      </w:tabs>
      <w:spacing w:before="60"/>
      <w:ind w:right="1418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F56D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DD33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3F8"/>
  </w:style>
  <w:style w:type="character" w:customStyle="1" w:styleId="CommentTextChar">
    <w:name w:val="Comment Text Char"/>
    <w:basedOn w:val="DefaultParagraphFont"/>
    <w:link w:val="CommentText"/>
    <w:rsid w:val="00DD33F8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995DFA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995DFA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995DFA"/>
    <w:rPr>
      <w:rFonts w:ascii="Arial" w:hAnsi="Arial"/>
      <w:i/>
      <w:lang w:val="es-ES"/>
    </w:rPr>
  </w:style>
  <w:style w:type="character" w:customStyle="1" w:styleId="Heading6Char">
    <w:name w:val="Heading 6 Char"/>
    <w:basedOn w:val="DefaultParagraphFont"/>
    <w:link w:val="Heading6"/>
    <w:semiHidden/>
    <w:rsid w:val="00E16E0A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rsid w:val="00E16E0A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E16E0A"/>
    <w:pPr>
      <w:ind w:left="1701" w:hanging="1701"/>
    </w:pPr>
    <w:rPr>
      <w:rFonts w:ascii="Times New Roman" w:hAnsi="Times New Roman" w:cs="Angsana New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16E0A"/>
    <w:rPr>
      <w:rFonts w:cs="Angsana New"/>
      <w:color w:val="000000"/>
      <w:sz w:val="24"/>
      <w:szCs w:val="24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DAT1\OrgUPOV\Shared\Document\TC\Tc54\tc_54_13_graph\tc_54_13_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Members of the Union: number of participants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Sheet1!$F$2:$P$2</c:f>
            </c:numRef>
          </c:val>
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<c:ext xmlns:c16="http://schemas.microsoft.com/office/drawing/2014/chart" uri="{C3380CC4-5D6E-409C-BE32-E72D297353CC}">
              <c16:uniqueId val="{00000000-97EE-43B7-BB1F-176F1F2ADA3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Members of the Union: number of members of the Union</c:v>
                </c:pt>
              </c:strCache>
            </c:strRef>
          </c:tx>
          <c:spPr>
            <a:solidFill>
              <a:schemeClr val="tx1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Sheet1!$F$4:$P$4</c:f>
              <c:numCache>
                <c:formatCode>General</c:formatCode>
                <c:ptCount val="11"/>
                <c:pt idx="0">
                  <c:v>22</c:v>
                </c:pt>
                <c:pt idx="1">
                  <c:v>31</c:v>
                </c:pt>
                <c:pt idx="2">
                  <c:v>21</c:v>
                </c:pt>
                <c:pt idx="3">
                  <c:v>25</c:v>
                </c:pt>
                <c:pt idx="4">
                  <c:v>24</c:v>
                </c:pt>
                <c:pt idx="5">
                  <c:v>26</c:v>
                </c:pt>
                <c:pt idx="6">
                  <c:v>27</c:v>
                </c:pt>
                <c:pt idx="7">
                  <c:v>26</c:v>
                </c:pt>
                <c:pt idx="8">
                  <c:v>21</c:v>
                </c:pt>
                <c:pt idx="9">
                  <c:v>30</c:v>
                </c:pt>
                <c:pt idx="10">
                  <c:v>25</c:v>
                </c:pt>
              </c:numCache>
            </c:numRef>
          </c:val>
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<c:ext xmlns:c16="http://schemas.microsoft.com/office/drawing/2014/chart" uri="{C3380CC4-5D6E-409C-BE32-E72D297353CC}">
              <c16:uniqueId val="{00000001-97EE-43B7-BB1F-176F1F2ADA3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Observer States / Authorities:  number of participants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Sheet1!$F$5:$P$5</c:f>
            </c:numRef>
          </c:val>
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<c:ext xmlns:c16="http://schemas.microsoft.com/office/drawing/2014/chart" uri="{C3380CC4-5D6E-409C-BE32-E72D297353CC}">
              <c16:uniqueId val="{00000002-97EE-43B7-BB1F-176F1F2ADA34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Observer States:  number of States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Sheet1!$F$6:$P$6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10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<c:ext xmlns:c16="http://schemas.microsoft.com/office/drawing/2014/chart" uri="{C3380CC4-5D6E-409C-BE32-E72D297353CC}">
              <c16:uniqueId val="{00000003-97EE-43B7-BB1F-176F1F2ADA34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Observer Organizations:  number of participants 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Sheet1!$F$7:$P$7</c:f>
            </c:numRef>
          </c:val>
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<c:ext xmlns:c16="http://schemas.microsoft.com/office/drawing/2014/chart" uri="{C3380CC4-5D6E-409C-BE32-E72D297353CC}">
              <c16:uniqueId val="{00000004-97EE-43B7-BB1F-176F1F2ADA34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Observer Organizations:  number of Organizations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Sheet1!$F$8:$P$8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<c:ext xmlns:c16="http://schemas.microsoft.com/office/drawing/2014/chart" uri="{C3380CC4-5D6E-409C-BE32-E72D297353CC}">
              <c16:uniqueId val="{00000005-97EE-43B7-BB1F-176F1F2AD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77440"/>
        <c:axId val="12087897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Total number of participants (all categories)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Sheet1!$F$3:$P$3</c:f>
              <c:numCache>
                <c:formatCode>General</c:formatCode>
                <c:ptCount val="11"/>
                <c:pt idx="0">
                  <c:v>174</c:v>
                </c:pt>
                <c:pt idx="1">
                  <c:v>190</c:v>
                </c:pt>
                <c:pt idx="2">
                  <c:v>98</c:v>
                </c:pt>
                <c:pt idx="3">
                  <c:v>127</c:v>
                </c:pt>
                <c:pt idx="4">
                  <c:v>135</c:v>
                </c:pt>
                <c:pt idx="5">
                  <c:v>124</c:v>
                </c:pt>
                <c:pt idx="6">
                  <c:v>141</c:v>
                </c:pt>
                <c:pt idx="7">
                  <c:v>149</c:v>
                </c:pt>
                <c:pt idx="8">
                  <c:v>130</c:v>
                </c:pt>
                <c:pt idx="9">
                  <c:v>150</c:v>
                </c:pt>
                <c:pt idx="10">
                  <c:v>148</c:v>
                </c:pt>
              </c:numCache>
            </c:numRef>
          </c:val>
          <c:smooth val="0"/>
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<c:ext xmlns:c16="http://schemas.microsoft.com/office/drawing/2014/chart" uri="{C3380CC4-5D6E-409C-BE32-E72D297353CC}">
              <c16:uniqueId val="{00000006-97EE-43B7-BB1F-176F1F2AD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883072"/>
        <c:axId val="120881152"/>
      </c:lineChart>
      <c:catAx>
        <c:axId val="12087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878976"/>
        <c:crosses val="autoZero"/>
        <c:auto val="1"/>
        <c:lblAlgn val="ctr"/>
        <c:lblOffset val="100"/>
        <c:noMultiLvlLbl val="0"/>
      </c:catAx>
      <c:valAx>
        <c:axId val="120878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S"/>
                  <a:t>Número de miembros de la Unión o de Estados u Organizaciones observadores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0877440"/>
        <c:crosses val="autoZero"/>
        <c:crossBetween val="between"/>
      </c:valAx>
      <c:valAx>
        <c:axId val="120881152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S"/>
                  <a:t>Número total de participantes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92D050"/>
                </a:solidFill>
              </a:defRPr>
            </a:pPr>
            <a:endParaRPr lang="en-US"/>
          </a:p>
        </c:txPr>
        <c:crossAx val="120883072"/>
        <c:crosses val="max"/>
        <c:crossBetween val="between"/>
      </c:valAx>
      <c:catAx>
        <c:axId val="120883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0881152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9706</Characters>
  <Application>Microsoft Office Word</Application>
  <DocSecurity>0</DocSecurity>
  <Lines>80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TC/53</vt:lpstr>
      <vt:lpstr>TC/53</vt:lpstr>
    </vt:vector>
  </TitlesOfParts>
  <Company>UPOV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CEVALLOS DUQUE Nilo</dc:creator>
  <cp:lastModifiedBy>MAY Jessica</cp:lastModifiedBy>
  <cp:revision>12</cp:revision>
  <cp:lastPrinted>2016-11-22T15:41:00Z</cp:lastPrinted>
  <dcterms:created xsi:type="dcterms:W3CDTF">2018-09-05T12:35:00Z</dcterms:created>
  <dcterms:modified xsi:type="dcterms:W3CDTF">2018-10-11T07:35:00Z</dcterms:modified>
</cp:coreProperties>
</file>