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0F1969" w:rsidRPr="00D72C4D" w:rsidTr="00D1182B">
        <w:trPr>
          <w:trHeight w:val="1760"/>
        </w:trPr>
        <w:tc>
          <w:tcPr>
            <w:tcW w:w="4243" w:type="dxa"/>
          </w:tcPr>
          <w:p w:rsidR="00F50118" w:rsidRPr="000F1969" w:rsidRDefault="00F50118" w:rsidP="00D1182B">
            <w:pPr>
              <w:rPr>
                <w:lang w:val="es-ES_tradnl"/>
              </w:rPr>
            </w:pPr>
          </w:p>
        </w:tc>
        <w:tc>
          <w:tcPr>
            <w:tcW w:w="1646" w:type="dxa"/>
            <w:vAlign w:val="center"/>
          </w:tcPr>
          <w:p w:rsidR="00F50118" w:rsidRPr="000F1969" w:rsidRDefault="00F50118" w:rsidP="00D1182B">
            <w:pPr>
              <w:pStyle w:val="LogoUPOV"/>
              <w:rPr>
                <w:lang w:val="es-ES_tradnl"/>
              </w:rPr>
            </w:pPr>
            <w:r w:rsidRPr="000F1969">
              <w:rPr>
                <w:noProof/>
              </w:rPr>
              <w:drawing>
                <wp:inline distT="0" distB="0" distL="0" distR="0" wp14:anchorId="7CC1603A" wp14:editId="219592EC">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F50118" w:rsidRPr="000F1969" w:rsidRDefault="00F50118" w:rsidP="00D1182B">
            <w:pPr>
              <w:pStyle w:val="Lettrine"/>
              <w:rPr>
                <w:lang w:val="es-ES_tradnl"/>
              </w:rPr>
            </w:pPr>
            <w:r w:rsidRPr="000F1969">
              <w:rPr>
                <w:lang w:val="es-ES_tradnl"/>
              </w:rPr>
              <w:t>S</w:t>
            </w:r>
          </w:p>
          <w:p w:rsidR="00F50118" w:rsidRPr="000F1969" w:rsidRDefault="00F50118" w:rsidP="00D1182B">
            <w:pPr>
              <w:pStyle w:val="Docoriginal"/>
              <w:rPr>
                <w:lang w:val="es-ES_tradnl"/>
              </w:rPr>
            </w:pPr>
            <w:r w:rsidRPr="000F1969">
              <w:rPr>
                <w:lang w:val="es-ES_tradnl"/>
              </w:rPr>
              <w:t>TC/51/</w:t>
            </w:r>
            <w:bookmarkStart w:id="0" w:name="Code"/>
            <w:bookmarkEnd w:id="0"/>
            <w:r w:rsidRPr="000F1969">
              <w:rPr>
                <w:lang w:val="es-ES_tradnl"/>
              </w:rPr>
              <w:t>21</w:t>
            </w:r>
          </w:p>
          <w:p w:rsidR="00F50118" w:rsidRPr="000F1969" w:rsidRDefault="00F50118" w:rsidP="00D1182B">
            <w:pPr>
              <w:pStyle w:val="Docoriginal"/>
              <w:rPr>
                <w:b w:val="0"/>
                <w:spacing w:val="0"/>
                <w:lang w:val="es-ES_tradnl"/>
              </w:rPr>
            </w:pPr>
            <w:r w:rsidRPr="000F1969">
              <w:rPr>
                <w:rStyle w:val="StyleDoclangBold"/>
                <w:b/>
                <w:bCs/>
                <w:spacing w:val="0"/>
                <w:lang w:val="es-ES_tradnl"/>
              </w:rPr>
              <w:t>ORIGINAL:</w:t>
            </w:r>
            <w:r w:rsidRPr="000F1969">
              <w:rPr>
                <w:rStyle w:val="StyleDocoriginalNotBold1"/>
                <w:spacing w:val="0"/>
                <w:lang w:val="es-ES_tradnl"/>
              </w:rPr>
              <w:t xml:space="preserve">  </w:t>
            </w:r>
            <w:bookmarkStart w:id="1" w:name="Original"/>
            <w:bookmarkEnd w:id="1"/>
            <w:r w:rsidRPr="000F1969">
              <w:rPr>
                <w:b w:val="0"/>
                <w:spacing w:val="0"/>
                <w:lang w:val="es-ES_tradnl"/>
              </w:rPr>
              <w:t>Inglés</w:t>
            </w:r>
          </w:p>
          <w:p w:rsidR="00F50118" w:rsidRPr="000F1969" w:rsidRDefault="00F50118" w:rsidP="00D72C4D">
            <w:pPr>
              <w:pStyle w:val="Docoriginal"/>
              <w:rPr>
                <w:lang w:val="es-ES_tradnl"/>
              </w:rPr>
            </w:pPr>
            <w:r w:rsidRPr="000F1969">
              <w:rPr>
                <w:spacing w:val="0"/>
                <w:lang w:val="es-ES_tradnl"/>
              </w:rPr>
              <w:t>FECHA:</w:t>
            </w:r>
            <w:r w:rsidRPr="000F1969">
              <w:rPr>
                <w:b w:val="0"/>
                <w:spacing w:val="0"/>
                <w:lang w:val="es-ES_tradnl"/>
              </w:rPr>
              <w:t xml:space="preserve"> </w:t>
            </w:r>
            <w:r w:rsidRPr="000F1969">
              <w:rPr>
                <w:rStyle w:val="StyleDocoriginalNotBold1"/>
                <w:spacing w:val="0"/>
                <w:lang w:val="es-ES_tradnl"/>
              </w:rPr>
              <w:t xml:space="preserve"> </w:t>
            </w:r>
            <w:bookmarkStart w:id="2" w:name="Date"/>
            <w:bookmarkEnd w:id="2"/>
            <w:r w:rsidR="00D72C4D">
              <w:rPr>
                <w:rStyle w:val="StyleDocoriginalNotBold1"/>
                <w:spacing w:val="0"/>
                <w:lang w:val="es-ES_tradnl"/>
              </w:rPr>
              <w:t>2</w:t>
            </w:r>
            <w:r w:rsidRPr="000F1969">
              <w:rPr>
                <w:rStyle w:val="StyleDocoriginalNotBold1"/>
                <w:spacing w:val="0"/>
                <w:lang w:val="es-ES_tradnl"/>
              </w:rPr>
              <w:t xml:space="preserve"> de </w:t>
            </w:r>
            <w:r w:rsidR="00D72C4D">
              <w:rPr>
                <w:rStyle w:val="StyleDocoriginalNotBold1"/>
                <w:spacing w:val="0"/>
                <w:lang w:val="es-ES_tradnl"/>
              </w:rPr>
              <w:t>febrero</w:t>
            </w:r>
            <w:r w:rsidRPr="000F1969">
              <w:rPr>
                <w:b w:val="0"/>
                <w:spacing w:val="0"/>
                <w:lang w:val="es-ES_tradnl"/>
              </w:rPr>
              <w:t xml:space="preserve"> de 2015</w:t>
            </w:r>
          </w:p>
        </w:tc>
      </w:tr>
      <w:tr w:rsidR="000F1969" w:rsidRPr="00D72C4D" w:rsidTr="00D1182B">
        <w:tc>
          <w:tcPr>
            <w:tcW w:w="10131" w:type="dxa"/>
            <w:gridSpan w:val="3"/>
          </w:tcPr>
          <w:p w:rsidR="00F50118" w:rsidRPr="000F1969" w:rsidRDefault="00F50118" w:rsidP="00D1182B">
            <w:pPr>
              <w:pStyle w:val="upove"/>
              <w:rPr>
                <w:sz w:val="28"/>
                <w:lang w:val="es-ES_tradnl"/>
              </w:rPr>
            </w:pPr>
            <w:r w:rsidRPr="000F1969">
              <w:rPr>
                <w:spacing w:val="2"/>
                <w:lang w:val="es-ES_tradnl"/>
              </w:rPr>
              <w:t>UNIÓN INTERNACIONAL PARA LA PROTECCIÓN DE LAS OBTENCIONES VEGETALES</w:t>
            </w:r>
          </w:p>
        </w:tc>
      </w:tr>
      <w:tr w:rsidR="000F1969" w:rsidRPr="000F1969" w:rsidTr="00D1182B">
        <w:tc>
          <w:tcPr>
            <w:tcW w:w="10131" w:type="dxa"/>
            <w:gridSpan w:val="3"/>
          </w:tcPr>
          <w:p w:rsidR="00F50118" w:rsidRPr="000F1969" w:rsidRDefault="00F50118" w:rsidP="00D1182B">
            <w:pPr>
              <w:pStyle w:val="Country"/>
              <w:rPr>
                <w:lang w:val="es-ES_tradnl"/>
              </w:rPr>
            </w:pPr>
            <w:r w:rsidRPr="000F1969">
              <w:rPr>
                <w:lang w:val="es-ES_tradnl"/>
              </w:rPr>
              <w:t>Ginebra</w:t>
            </w:r>
          </w:p>
        </w:tc>
      </w:tr>
    </w:tbl>
    <w:p w:rsidR="00F50118" w:rsidRPr="000F1969" w:rsidRDefault="00F50118" w:rsidP="00F50118">
      <w:pPr>
        <w:pStyle w:val="Sessiontc"/>
        <w:rPr>
          <w:lang w:val="es-ES_tradnl"/>
        </w:rPr>
      </w:pPr>
      <w:r w:rsidRPr="000F1969">
        <w:rPr>
          <w:lang w:val="es-ES_tradnl"/>
        </w:rPr>
        <w:t>Comité TÉCNICO</w:t>
      </w:r>
    </w:p>
    <w:p w:rsidR="00F50118" w:rsidRPr="000F1969" w:rsidRDefault="00F50118" w:rsidP="00F50118">
      <w:pPr>
        <w:pStyle w:val="Sessiontcplacedate"/>
        <w:rPr>
          <w:lang w:val="es-ES_tradnl"/>
        </w:rPr>
      </w:pPr>
      <w:r w:rsidRPr="000F1969">
        <w:rPr>
          <w:lang w:val="es-ES_tradnl"/>
        </w:rPr>
        <w:t>Quincuagésima primera sesión</w:t>
      </w:r>
      <w:r w:rsidRPr="000F1969">
        <w:rPr>
          <w:lang w:val="es-ES_tradnl"/>
        </w:rPr>
        <w:br/>
        <w:t>Ginebra, 23 a 25 de marzo de 2015</w:t>
      </w:r>
    </w:p>
    <w:p w:rsidR="00F50118" w:rsidRPr="000F1969" w:rsidRDefault="00F50118" w:rsidP="00F50118">
      <w:pPr>
        <w:pStyle w:val="Titleofdoc0"/>
        <w:rPr>
          <w:lang w:val="es-ES"/>
        </w:rPr>
      </w:pPr>
      <w:bookmarkStart w:id="3" w:name="TitleOfDoc"/>
      <w:bookmarkEnd w:id="3"/>
      <w:r w:rsidRPr="000F1969">
        <w:rPr>
          <w:lang w:val="es-ES_tradnl"/>
        </w:rPr>
        <w:t xml:space="preserve">Revisión del documento TGP/8:  Parte II:  Técnicas utilizadas </w:t>
      </w:r>
      <w:r w:rsidR="002C4E0C" w:rsidRPr="000F1969">
        <w:rPr>
          <w:lang w:val="es-ES_tradnl"/>
        </w:rPr>
        <w:t>en el examen DHE, nueva sección</w:t>
      </w:r>
      <w:r w:rsidRPr="000F1969">
        <w:rPr>
          <w:lang w:val="es-ES_tradnl"/>
        </w:rPr>
        <w:t>:  Examen de caracteres mediante el análisis de imagen</w:t>
      </w:r>
    </w:p>
    <w:p w:rsidR="00F50118" w:rsidRPr="00E97C0B" w:rsidRDefault="00F50118" w:rsidP="00F50118">
      <w:pPr>
        <w:pStyle w:val="preparedby1"/>
        <w:rPr>
          <w:color w:val="A6A6A6" w:themeColor="background1" w:themeShade="A6"/>
          <w:lang w:val="es-ES_tradnl"/>
        </w:rPr>
      </w:pPr>
      <w:bookmarkStart w:id="4" w:name="Prepared"/>
      <w:bookmarkEnd w:id="4"/>
      <w:r w:rsidRPr="000F1969">
        <w:rPr>
          <w:lang w:val="es-ES_tradnl"/>
        </w:rPr>
        <w:t>Documento preparado por la Oficina de la Unión</w:t>
      </w:r>
      <w:r w:rsidRPr="000F1969">
        <w:rPr>
          <w:lang w:val="es-ES_tradnl"/>
        </w:rPr>
        <w:br/>
      </w:r>
      <w:r w:rsidRPr="000F1969">
        <w:rPr>
          <w:lang w:val="es-ES_tradnl"/>
        </w:rPr>
        <w:br/>
      </w:r>
      <w:r w:rsidRPr="00E97C0B">
        <w:rPr>
          <w:color w:val="A6A6A6" w:themeColor="background1" w:themeShade="A6"/>
          <w:lang w:val="es-ES_tradnl"/>
        </w:rPr>
        <w:t>Descargo de responsabilidad:  el presente documento no constituye</w:t>
      </w:r>
      <w:r w:rsidRPr="00E97C0B">
        <w:rPr>
          <w:color w:val="A6A6A6" w:themeColor="background1" w:themeShade="A6"/>
          <w:lang w:val="es-ES_tradnl"/>
        </w:rPr>
        <w:br/>
        <w:t>un documento de política u orientación de la UPOV</w:t>
      </w:r>
    </w:p>
    <w:p w:rsidR="00F50118" w:rsidRPr="000F1969" w:rsidRDefault="006201D6" w:rsidP="00F50118">
      <w:pPr>
        <w:rPr>
          <w:lang w:val="es-ES"/>
        </w:rPr>
      </w:pPr>
      <w:r w:rsidRPr="000F1969">
        <w:fldChar w:fldCharType="begin"/>
      </w:r>
      <w:r w:rsidR="00627ADA" w:rsidRPr="000F1969">
        <w:rPr>
          <w:lang w:val="es-ES"/>
        </w:rPr>
        <w:instrText xml:space="preserve"> AUTONUM  </w:instrText>
      </w:r>
      <w:r w:rsidRPr="000F1969">
        <w:fldChar w:fldCharType="end"/>
      </w:r>
      <w:r w:rsidR="00627ADA" w:rsidRPr="000F1969">
        <w:rPr>
          <w:lang w:val="es-ES"/>
        </w:rPr>
        <w:tab/>
      </w:r>
      <w:r w:rsidR="00F50118" w:rsidRPr="000F1969">
        <w:rPr>
          <w:lang w:val="es-ES_tradnl"/>
        </w:rPr>
        <w:t xml:space="preserve">El propósito del presente documento es informar </w:t>
      </w:r>
      <w:r w:rsidR="0056689D" w:rsidRPr="000F1969">
        <w:rPr>
          <w:lang w:val="es-ES_tradnl"/>
        </w:rPr>
        <w:t>acerca de las novedades relativas a</w:t>
      </w:r>
      <w:r w:rsidR="00F50118" w:rsidRPr="000F1969">
        <w:rPr>
          <w:lang w:val="es-ES_tradnl"/>
        </w:rPr>
        <w:t>l documento TGP/8:  Parte II:  Técnicas utilizadas en el examen DHE, nueva sección:  “Examen de caracteres mediante el análisis de imagen”.</w:t>
      </w:r>
    </w:p>
    <w:p w:rsidR="00F50118" w:rsidRPr="000F1969" w:rsidRDefault="00F50118" w:rsidP="00627ADA">
      <w:pPr>
        <w:rPr>
          <w:lang w:val="es-ES" w:eastAsia="ja-JP"/>
        </w:rPr>
      </w:pPr>
    </w:p>
    <w:p w:rsidR="00F50118" w:rsidRPr="000F1969" w:rsidRDefault="006201D6" w:rsidP="00F50118">
      <w:pPr>
        <w:rPr>
          <w:lang w:val="es-ES" w:eastAsia="ja-JP"/>
        </w:rPr>
      </w:pPr>
      <w:r w:rsidRPr="000F1969">
        <w:fldChar w:fldCharType="begin"/>
      </w:r>
      <w:r w:rsidR="00627ADA" w:rsidRPr="000F1969">
        <w:rPr>
          <w:lang w:val="es-ES"/>
        </w:rPr>
        <w:instrText xml:space="preserve"> AUTONUM  </w:instrText>
      </w:r>
      <w:r w:rsidRPr="000F1969">
        <w:fldChar w:fldCharType="end"/>
      </w:r>
      <w:r w:rsidR="00627ADA" w:rsidRPr="000F1969">
        <w:rPr>
          <w:lang w:val="es-ES"/>
        </w:rPr>
        <w:tab/>
      </w:r>
      <w:r w:rsidR="00F50118" w:rsidRPr="000F1969">
        <w:rPr>
          <w:lang w:val="es-ES_tradnl"/>
        </w:rPr>
        <w:t>En el presente documento se utilizan las abreviaturas siguientes:</w:t>
      </w:r>
    </w:p>
    <w:p w:rsidR="00F50118" w:rsidRPr="000F1969" w:rsidRDefault="00F50118" w:rsidP="00627ADA">
      <w:pPr>
        <w:rPr>
          <w:lang w:val="es-ES" w:eastAsia="ja-JP"/>
        </w:rPr>
      </w:pPr>
    </w:p>
    <w:p w:rsidR="00F50118" w:rsidRPr="000F1969" w:rsidRDefault="00F50118" w:rsidP="001E3D32">
      <w:pPr>
        <w:tabs>
          <w:tab w:val="left" w:pos="1701"/>
        </w:tabs>
        <w:ind w:firstLine="567"/>
        <w:rPr>
          <w:lang w:val="es-ES" w:eastAsia="ja-JP"/>
        </w:rPr>
      </w:pPr>
      <w:r w:rsidRPr="000F1969">
        <w:rPr>
          <w:lang w:val="es-ES_tradnl" w:eastAsia="ja-JP"/>
        </w:rPr>
        <w:t>TC:</w:t>
      </w:r>
      <w:r w:rsidR="001E3D32" w:rsidRPr="000F1969">
        <w:rPr>
          <w:lang w:val="es-ES_tradnl" w:eastAsia="ja-JP"/>
        </w:rPr>
        <w:tab/>
      </w:r>
      <w:r w:rsidRPr="000F1969">
        <w:rPr>
          <w:lang w:val="es-ES_tradnl" w:eastAsia="ja-JP"/>
        </w:rPr>
        <w:t>Comité Técnico</w:t>
      </w:r>
    </w:p>
    <w:p w:rsidR="00F50118" w:rsidRPr="000F1969" w:rsidRDefault="00F50118" w:rsidP="00F50118">
      <w:pPr>
        <w:ind w:firstLine="567"/>
        <w:rPr>
          <w:lang w:val="es-ES" w:eastAsia="ja-JP"/>
        </w:rPr>
      </w:pPr>
      <w:r w:rsidRPr="000F1969">
        <w:rPr>
          <w:lang w:val="es-ES_tradnl" w:eastAsia="ja-JP"/>
        </w:rPr>
        <w:t>TC-E</w:t>
      </w:r>
      <w:r w:rsidR="006E7AB9" w:rsidRPr="000F1969">
        <w:rPr>
          <w:lang w:val="es-ES_tradnl" w:eastAsia="ja-JP"/>
        </w:rPr>
        <w:t>DC</w:t>
      </w:r>
      <w:r w:rsidRPr="000F1969">
        <w:rPr>
          <w:lang w:val="es-ES_tradnl" w:eastAsia="ja-JP"/>
        </w:rPr>
        <w:t>:</w:t>
      </w:r>
      <w:r w:rsidR="001E3D32" w:rsidRPr="000F1969">
        <w:rPr>
          <w:lang w:val="es-ES_tradnl" w:eastAsia="ja-JP"/>
        </w:rPr>
        <w:tab/>
      </w:r>
      <w:r w:rsidRPr="000F1969">
        <w:rPr>
          <w:lang w:val="es-ES_tradnl" w:eastAsia="ja-JP"/>
        </w:rPr>
        <w:t>Comité de Redacción Ampliado</w:t>
      </w:r>
    </w:p>
    <w:p w:rsidR="00F50118" w:rsidRPr="000F1969" w:rsidRDefault="00F50118" w:rsidP="001E3D32">
      <w:pPr>
        <w:tabs>
          <w:tab w:val="left" w:pos="1701"/>
        </w:tabs>
        <w:ind w:firstLine="567"/>
        <w:rPr>
          <w:lang w:val="es-ES" w:eastAsia="ja-JP"/>
        </w:rPr>
      </w:pPr>
      <w:r w:rsidRPr="000F1969">
        <w:rPr>
          <w:lang w:val="es-ES_tradnl" w:eastAsia="ja-JP"/>
        </w:rPr>
        <w:t>TWA:</w:t>
      </w:r>
      <w:r w:rsidR="001E3D32" w:rsidRPr="000F1969">
        <w:rPr>
          <w:lang w:val="es-ES_tradnl" w:eastAsia="ja-JP"/>
        </w:rPr>
        <w:tab/>
      </w:r>
      <w:r w:rsidRPr="000F1969">
        <w:rPr>
          <w:lang w:val="es-ES_tradnl" w:eastAsia="ja-JP"/>
        </w:rPr>
        <w:t>Grupo de Trabajo Técnico sobre Plantas Agrícolas</w:t>
      </w:r>
    </w:p>
    <w:p w:rsidR="00F50118" w:rsidRPr="000F1969" w:rsidRDefault="00F50118" w:rsidP="001E3D32">
      <w:pPr>
        <w:tabs>
          <w:tab w:val="left" w:pos="1701"/>
        </w:tabs>
        <w:ind w:firstLine="567"/>
        <w:rPr>
          <w:lang w:val="es-ES" w:eastAsia="ja-JP"/>
        </w:rPr>
      </w:pPr>
      <w:r w:rsidRPr="000F1969">
        <w:rPr>
          <w:lang w:val="es-ES_tradnl" w:eastAsia="ja-JP"/>
        </w:rPr>
        <w:t>TWC:</w:t>
      </w:r>
      <w:r w:rsidR="001E3D32" w:rsidRPr="000F1969">
        <w:rPr>
          <w:lang w:val="es-ES_tradnl" w:eastAsia="ja-JP"/>
        </w:rPr>
        <w:tab/>
      </w:r>
      <w:r w:rsidRPr="000F1969">
        <w:rPr>
          <w:lang w:val="es-ES_tradnl" w:eastAsia="ja-JP"/>
        </w:rPr>
        <w:t>Grupo de Trabajo Técnico sobre Automatización y Programas Informáticos</w:t>
      </w:r>
    </w:p>
    <w:p w:rsidR="00F50118" w:rsidRPr="000F1969" w:rsidRDefault="00F50118" w:rsidP="001E3D32">
      <w:pPr>
        <w:tabs>
          <w:tab w:val="left" w:pos="1701"/>
        </w:tabs>
        <w:ind w:firstLine="567"/>
        <w:rPr>
          <w:lang w:val="es-ES" w:eastAsia="ja-JP"/>
        </w:rPr>
      </w:pPr>
      <w:r w:rsidRPr="000F1969">
        <w:rPr>
          <w:lang w:val="es-ES_tradnl" w:eastAsia="ja-JP"/>
        </w:rPr>
        <w:t>TWF:</w:t>
      </w:r>
      <w:r w:rsidR="001E3D32" w:rsidRPr="000F1969">
        <w:rPr>
          <w:lang w:val="es-ES_tradnl" w:eastAsia="ja-JP"/>
        </w:rPr>
        <w:tab/>
      </w:r>
      <w:r w:rsidRPr="000F1969">
        <w:rPr>
          <w:lang w:val="es-ES_tradnl" w:eastAsia="ja-JP"/>
        </w:rPr>
        <w:t>Grupo de Trabajo Técnico sobre Plantas Frutales</w:t>
      </w:r>
    </w:p>
    <w:p w:rsidR="00F50118" w:rsidRPr="000F1969" w:rsidRDefault="00F50118" w:rsidP="001E3D32">
      <w:pPr>
        <w:tabs>
          <w:tab w:val="left" w:pos="1701"/>
        </w:tabs>
        <w:ind w:firstLine="567"/>
        <w:rPr>
          <w:lang w:val="es-ES" w:eastAsia="ja-JP"/>
        </w:rPr>
      </w:pPr>
      <w:r w:rsidRPr="000F1969">
        <w:rPr>
          <w:lang w:val="es-ES_tradnl" w:eastAsia="ja-JP"/>
        </w:rPr>
        <w:t>TWO</w:t>
      </w:r>
      <w:r w:rsidR="001E3D32" w:rsidRPr="000F1969">
        <w:rPr>
          <w:lang w:val="es-ES_tradnl" w:eastAsia="ja-JP"/>
        </w:rPr>
        <w:t>:</w:t>
      </w:r>
      <w:r w:rsidR="001E3D32" w:rsidRPr="000F1969">
        <w:rPr>
          <w:lang w:val="es-ES_tradnl" w:eastAsia="ja-JP"/>
        </w:rPr>
        <w:tab/>
      </w:r>
      <w:r w:rsidRPr="000F1969">
        <w:rPr>
          <w:lang w:val="es-ES_tradnl" w:eastAsia="ja-JP"/>
        </w:rPr>
        <w:t>Grupo de Trabajo Técnico sobre Plantas Ornamentales y Árboles Forestales</w:t>
      </w:r>
    </w:p>
    <w:p w:rsidR="00F50118" w:rsidRPr="000F1969" w:rsidRDefault="00F50118" w:rsidP="001E3D32">
      <w:pPr>
        <w:tabs>
          <w:tab w:val="left" w:pos="1701"/>
        </w:tabs>
        <w:ind w:firstLine="567"/>
        <w:rPr>
          <w:lang w:val="es-ES" w:eastAsia="ja-JP"/>
        </w:rPr>
      </w:pPr>
      <w:r w:rsidRPr="000F1969">
        <w:rPr>
          <w:lang w:val="es-ES_tradnl" w:eastAsia="ja-JP"/>
        </w:rPr>
        <w:t>TWP:</w:t>
      </w:r>
      <w:r w:rsidR="001E3D32" w:rsidRPr="000F1969">
        <w:rPr>
          <w:lang w:val="es-ES_tradnl" w:eastAsia="ja-JP"/>
        </w:rPr>
        <w:tab/>
      </w:r>
      <w:r w:rsidRPr="000F1969">
        <w:rPr>
          <w:lang w:val="es-ES_tradnl" w:eastAsia="ja-JP"/>
        </w:rPr>
        <w:t>Grupos de Trabajo Técnico</w:t>
      </w:r>
    </w:p>
    <w:p w:rsidR="00F50118" w:rsidRPr="000F1969" w:rsidRDefault="00F50118" w:rsidP="001E3D32">
      <w:pPr>
        <w:tabs>
          <w:tab w:val="left" w:pos="1701"/>
        </w:tabs>
        <w:ind w:firstLine="567"/>
        <w:rPr>
          <w:lang w:val="es-ES" w:eastAsia="ja-JP"/>
        </w:rPr>
      </w:pPr>
      <w:r w:rsidRPr="000F1969">
        <w:rPr>
          <w:lang w:val="es-ES_tradnl" w:eastAsia="ja-JP"/>
        </w:rPr>
        <w:t>TWV:</w:t>
      </w:r>
      <w:r w:rsidR="001E3D32" w:rsidRPr="000F1969">
        <w:rPr>
          <w:lang w:val="es-ES_tradnl" w:eastAsia="ja-JP"/>
        </w:rPr>
        <w:tab/>
      </w:r>
      <w:r w:rsidRPr="000F1969">
        <w:rPr>
          <w:lang w:val="es-ES_tradnl" w:eastAsia="ja-JP"/>
        </w:rPr>
        <w:t>Grupo de Trabajo Técnico sobre Hortalizas</w:t>
      </w:r>
    </w:p>
    <w:p w:rsidR="00F50118" w:rsidRPr="000F1969" w:rsidRDefault="00F50118" w:rsidP="00627ADA">
      <w:pPr>
        <w:rPr>
          <w:lang w:val="es-ES" w:eastAsia="ja-JP"/>
        </w:rPr>
      </w:pPr>
    </w:p>
    <w:p w:rsidR="00F50118" w:rsidRPr="000F1969" w:rsidRDefault="00F50118" w:rsidP="009F39F5">
      <w:pPr>
        <w:pStyle w:val="Heading1"/>
        <w:rPr>
          <w:color w:val="auto"/>
        </w:rPr>
      </w:pPr>
    </w:p>
    <w:p w:rsidR="00F50118" w:rsidRPr="000F1969" w:rsidRDefault="00F50118" w:rsidP="009F39F5">
      <w:pPr>
        <w:pStyle w:val="Heading1"/>
        <w:rPr>
          <w:color w:val="auto"/>
        </w:rPr>
      </w:pPr>
      <w:r w:rsidRPr="000F1969">
        <w:rPr>
          <w:color w:val="auto"/>
        </w:rPr>
        <w:t>ANTECEDENTES</w:t>
      </w:r>
    </w:p>
    <w:p w:rsidR="00F50118" w:rsidRPr="000F1969" w:rsidRDefault="00F50118" w:rsidP="00627ADA">
      <w:pPr>
        <w:rPr>
          <w:lang w:val="es-ES" w:eastAsia="ja-JP"/>
        </w:rPr>
      </w:pPr>
    </w:p>
    <w:p w:rsidR="00F50118" w:rsidRPr="000F1969" w:rsidRDefault="006201D6" w:rsidP="00627ADA">
      <w:pPr>
        <w:rPr>
          <w:szCs w:val="24"/>
          <w:lang w:val="es-ES" w:eastAsia="ja-JP"/>
        </w:rPr>
      </w:pPr>
      <w:r w:rsidRPr="000F1969">
        <w:fldChar w:fldCharType="begin"/>
      </w:r>
      <w:r w:rsidR="00627ADA" w:rsidRPr="000F1969">
        <w:rPr>
          <w:lang w:val="es-ES"/>
        </w:rPr>
        <w:instrText xml:space="preserve"> AUTONUM  </w:instrText>
      </w:r>
      <w:r w:rsidRPr="000F1969">
        <w:fldChar w:fldCharType="end"/>
      </w:r>
      <w:r w:rsidR="00627ADA" w:rsidRPr="000F1969">
        <w:rPr>
          <w:lang w:val="es-ES"/>
        </w:rPr>
        <w:tab/>
      </w:r>
      <w:r w:rsidR="00F722DF" w:rsidRPr="000F1969">
        <w:rPr>
          <w:lang w:val="es-ES" w:eastAsia="es-ES"/>
        </w:rPr>
        <w:t>Los antecedentes de esta cuestión figuran en el documento TC/50/27</w:t>
      </w:r>
      <w:r w:rsidR="00F722DF" w:rsidRPr="000F1969">
        <w:rPr>
          <w:rFonts w:cs="Arial"/>
          <w:cs/>
          <w:lang w:val="es-ES" w:eastAsia="es-ES"/>
        </w:rPr>
        <w:t xml:space="preserve"> “</w:t>
      </w:r>
      <w:r w:rsidR="00F722DF" w:rsidRPr="000F1969">
        <w:rPr>
          <w:lang w:val="es-ES" w:eastAsia="es-ES"/>
        </w:rPr>
        <w:t>Revisión del documento TGP/8:  Parte II:  Técnicas utilizadas en el examen DHE, nueva sección:  Examen de caracteres mediante el análisis de imagen</w:t>
      </w:r>
      <w:r w:rsidR="00F722DF" w:rsidRPr="000F1969">
        <w:rPr>
          <w:rFonts w:cs="Arial"/>
          <w:cs/>
          <w:lang w:val="es-ES" w:eastAsia="es-ES"/>
        </w:rPr>
        <w:t>”</w:t>
      </w:r>
      <w:r w:rsidR="00F722DF" w:rsidRPr="000F1969">
        <w:rPr>
          <w:lang w:val="es-ES" w:eastAsia="es-ES"/>
        </w:rPr>
        <w:t>.</w:t>
      </w:r>
    </w:p>
    <w:p w:rsidR="00F50118" w:rsidRPr="000F1969" w:rsidRDefault="00F50118" w:rsidP="00627ADA">
      <w:pPr>
        <w:rPr>
          <w:lang w:val="es-ES" w:eastAsia="ja-JP"/>
        </w:rPr>
      </w:pPr>
    </w:p>
    <w:p w:rsidR="00F50118" w:rsidRPr="000F1969" w:rsidRDefault="00F50118" w:rsidP="00627ADA">
      <w:pPr>
        <w:autoSpaceDE w:val="0"/>
        <w:autoSpaceDN w:val="0"/>
        <w:adjustRightInd w:val="0"/>
        <w:rPr>
          <w:rFonts w:cs="Arial"/>
          <w:lang w:val="es-ES" w:eastAsia="ja-JP"/>
        </w:rPr>
      </w:pPr>
    </w:p>
    <w:p w:rsidR="00F50118" w:rsidRPr="000F1969" w:rsidRDefault="00F50118" w:rsidP="009F39F5">
      <w:pPr>
        <w:pStyle w:val="Heading1"/>
        <w:rPr>
          <w:color w:val="auto"/>
          <w:lang w:val="es-ES"/>
        </w:rPr>
      </w:pPr>
      <w:r w:rsidRPr="000F1969">
        <w:rPr>
          <w:color w:val="auto"/>
          <w:lang w:val="es-ES"/>
        </w:rPr>
        <w:t>Novedades acaecidas en 2014</w:t>
      </w:r>
    </w:p>
    <w:p w:rsidR="00F50118" w:rsidRPr="000F1969" w:rsidRDefault="00F50118" w:rsidP="001E3D32">
      <w:pPr>
        <w:pStyle w:val="Heading2"/>
        <w:rPr>
          <w:color w:val="auto"/>
          <w:lang w:val="es-ES"/>
        </w:rPr>
      </w:pPr>
    </w:p>
    <w:p w:rsidR="00F50118" w:rsidRPr="000F1969" w:rsidRDefault="00F50118" w:rsidP="001E3D32">
      <w:pPr>
        <w:pStyle w:val="Heading2"/>
        <w:rPr>
          <w:color w:val="auto"/>
          <w:lang w:val="es-ES"/>
        </w:rPr>
      </w:pPr>
      <w:r w:rsidRPr="000F1969">
        <w:rPr>
          <w:color w:val="auto"/>
          <w:lang w:val="es-ES"/>
        </w:rPr>
        <w:t>Comité Técnico</w:t>
      </w:r>
    </w:p>
    <w:p w:rsidR="00F50118" w:rsidRPr="000F1969" w:rsidRDefault="00F50118" w:rsidP="00627ADA">
      <w:pPr>
        <w:autoSpaceDE w:val="0"/>
        <w:autoSpaceDN w:val="0"/>
        <w:adjustRightInd w:val="0"/>
        <w:rPr>
          <w:rFonts w:cs="Arial"/>
          <w:lang w:val="es-ES" w:eastAsia="ja-JP"/>
        </w:rPr>
      </w:pPr>
    </w:p>
    <w:p w:rsidR="00F50118" w:rsidRPr="000F1969" w:rsidRDefault="006201D6" w:rsidP="00627ADA">
      <w:pPr>
        <w:rPr>
          <w:rFonts w:cs="Arial"/>
          <w:lang w:val="es-ES"/>
        </w:rPr>
      </w:pPr>
      <w:r w:rsidRPr="000F1969">
        <w:rPr>
          <w:rFonts w:cs="Arial"/>
        </w:rPr>
        <w:fldChar w:fldCharType="begin"/>
      </w:r>
      <w:r w:rsidR="00627ADA" w:rsidRPr="000F1969">
        <w:rPr>
          <w:rFonts w:cs="Arial"/>
          <w:lang w:val="es-ES"/>
        </w:rPr>
        <w:instrText xml:space="preserve"> AUTONUM  </w:instrText>
      </w:r>
      <w:r w:rsidRPr="000F1969">
        <w:rPr>
          <w:rFonts w:cs="Arial"/>
        </w:rPr>
        <w:fldChar w:fldCharType="end"/>
      </w:r>
      <w:r w:rsidR="00627ADA" w:rsidRPr="000F1969">
        <w:rPr>
          <w:rFonts w:cs="Arial"/>
          <w:lang w:val="es-ES"/>
        </w:rPr>
        <w:tab/>
      </w:r>
      <w:r w:rsidR="00F56D2C" w:rsidRPr="000F1969">
        <w:rPr>
          <w:lang w:val="es-ES" w:eastAsia="es-ES"/>
        </w:rPr>
        <w:t xml:space="preserve">En su quincuagésima sesión, celebrada en Ginebra </w:t>
      </w:r>
      <w:r w:rsidR="00004949" w:rsidRPr="000F1969">
        <w:rPr>
          <w:lang w:val="es-ES" w:eastAsia="es-ES"/>
        </w:rPr>
        <w:t>del 7 a</w:t>
      </w:r>
      <w:r w:rsidR="00F56D2C" w:rsidRPr="000F1969">
        <w:rPr>
          <w:lang w:val="es-ES" w:eastAsia="es-ES"/>
        </w:rPr>
        <w:t>l 9 de abril de 2014, el TC examinó el documento TC/50/27</w:t>
      </w:r>
      <w:r w:rsidR="00F56D2C" w:rsidRPr="000F1969">
        <w:rPr>
          <w:rFonts w:cs="Arial"/>
          <w:cs/>
          <w:lang w:val="es-ES" w:eastAsia="es-ES"/>
        </w:rPr>
        <w:t xml:space="preserve"> “</w:t>
      </w:r>
      <w:r w:rsidR="00F56D2C" w:rsidRPr="000F1969">
        <w:rPr>
          <w:lang w:val="es-ES" w:eastAsia="es-ES"/>
        </w:rPr>
        <w:t xml:space="preserve">Revisión del documento TGP/8: </w:t>
      </w:r>
      <w:r w:rsidR="00F56D2C" w:rsidRPr="000F1969">
        <w:rPr>
          <w:lang w:val="es-ES"/>
        </w:rPr>
        <w:t xml:space="preserve"> </w:t>
      </w:r>
      <w:r w:rsidR="00F56D2C" w:rsidRPr="000F1969">
        <w:rPr>
          <w:lang w:val="es-ES" w:eastAsia="es-ES"/>
        </w:rPr>
        <w:t>Parte II:</w:t>
      </w:r>
      <w:r w:rsidR="00F56D2C" w:rsidRPr="000F1969">
        <w:rPr>
          <w:lang w:val="es-ES"/>
        </w:rPr>
        <w:t xml:space="preserve"> </w:t>
      </w:r>
      <w:r w:rsidR="00F56D2C" w:rsidRPr="000F1969">
        <w:rPr>
          <w:lang w:val="es-ES" w:eastAsia="es-ES"/>
        </w:rPr>
        <w:t xml:space="preserve"> Técnicas utilizadas en el examen DHE, nueva sección</w:t>
      </w:r>
      <w:r w:rsidR="00994CBA" w:rsidRPr="000F1969">
        <w:rPr>
          <w:lang w:val="es-ES" w:eastAsia="es-ES"/>
        </w:rPr>
        <w:t xml:space="preserve">:  </w:t>
      </w:r>
      <w:r w:rsidR="00F56D2C" w:rsidRPr="000F1969">
        <w:rPr>
          <w:lang w:val="es-ES" w:eastAsia="es-ES"/>
        </w:rPr>
        <w:t>Examen de caracteres mediante el análisis de imagen</w:t>
      </w:r>
      <w:r w:rsidR="00F56D2C" w:rsidRPr="000F1969">
        <w:rPr>
          <w:rFonts w:cs="Arial"/>
          <w:cs/>
          <w:lang w:val="es-ES" w:eastAsia="es-ES"/>
        </w:rPr>
        <w:t>”</w:t>
      </w:r>
      <w:r w:rsidR="00627ADA" w:rsidRPr="000F1969">
        <w:rPr>
          <w:rFonts w:cs="Arial"/>
          <w:lang w:val="es-ES"/>
        </w:rPr>
        <w:t>.</w:t>
      </w:r>
    </w:p>
    <w:p w:rsidR="00F50118" w:rsidRPr="000F1969" w:rsidRDefault="00F50118" w:rsidP="00627ADA">
      <w:pPr>
        <w:rPr>
          <w:rFonts w:cs="Arial"/>
          <w:lang w:val="es-ES"/>
        </w:rPr>
      </w:pPr>
    </w:p>
    <w:p w:rsidR="00F50118" w:rsidRPr="000F1969" w:rsidRDefault="006201D6" w:rsidP="00F50118">
      <w:pPr>
        <w:rPr>
          <w:lang w:val="es-ES"/>
        </w:rPr>
      </w:pPr>
      <w:r w:rsidRPr="000F1969">
        <w:fldChar w:fldCharType="begin"/>
      </w:r>
      <w:r w:rsidR="00627ADA" w:rsidRPr="000F1969">
        <w:rPr>
          <w:lang w:val="es-ES"/>
        </w:rPr>
        <w:instrText xml:space="preserve"> AUTONUM  </w:instrText>
      </w:r>
      <w:r w:rsidRPr="000F1969">
        <w:fldChar w:fldCharType="end"/>
      </w:r>
      <w:r w:rsidR="00627ADA" w:rsidRPr="000F1969">
        <w:rPr>
          <w:lang w:val="es-ES"/>
        </w:rPr>
        <w:tab/>
      </w:r>
      <w:r w:rsidR="00F50118" w:rsidRPr="000F1969">
        <w:rPr>
          <w:lang w:val="es-ES_tradnl"/>
        </w:rPr>
        <w:t>El TC convino en que un experto de la Unión Europea redacte nuevamente el texto propuesto en el estilo de discurso impersonal habitual y en añadir la siguiente introducción al texto propuesto, tal como se expone en el párrafo 9 del documento TC/50/27:</w:t>
      </w:r>
    </w:p>
    <w:p w:rsidR="00F50118" w:rsidRPr="000F1969" w:rsidRDefault="00F50118" w:rsidP="00627ADA">
      <w:pPr>
        <w:tabs>
          <w:tab w:val="left" w:pos="913"/>
        </w:tabs>
        <w:spacing w:line="360" w:lineRule="auto"/>
        <w:rPr>
          <w:lang w:val="es-ES"/>
        </w:rPr>
      </w:pPr>
    </w:p>
    <w:p w:rsidR="00F50118" w:rsidRPr="005733E2" w:rsidRDefault="0095100A" w:rsidP="00F50118">
      <w:pPr>
        <w:keepNext/>
        <w:ind w:left="446"/>
        <w:outlineLvl w:val="1"/>
        <w:rPr>
          <w:rFonts w:cs="Arial"/>
          <w:sz w:val="18"/>
          <w:szCs w:val="16"/>
          <w:lang w:val="es-ES" w:eastAsia="ja-JP"/>
        </w:rPr>
      </w:pPr>
      <w:r w:rsidRPr="005733E2">
        <w:rPr>
          <w:rFonts w:cs="Arial"/>
          <w:sz w:val="18"/>
          <w:szCs w:val="16"/>
          <w:lang w:val="es-ES_tradnl" w:eastAsia="ja-JP"/>
        </w:rPr>
        <w:lastRenderedPageBreak/>
        <w:t>“</w:t>
      </w:r>
      <w:r w:rsidR="00F50118" w:rsidRPr="005733E2">
        <w:rPr>
          <w:rFonts w:cs="Arial"/>
          <w:sz w:val="18"/>
          <w:szCs w:val="16"/>
          <w:lang w:val="es-ES_tradnl" w:eastAsia="ja-JP"/>
        </w:rPr>
        <w:t>1.</w:t>
      </w:r>
      <w:r w:rsidR="001E3D32" w:rsidRPr="005733E2">
        <w:rPr>
          <w:rFonts w:cs="Arial"/>
          <w:sz w:val="18"/>
          <w:szCs w:val="16"/>
          <w:lang w:val="es-ES_tradnl" w:eastAsia="ja-JP"/>
        </w:rPr>
        <w:tab/>
        <w:t>Introducción</w:t>
      </w:r>
    </w:p>
    <w:p w:rsidR="00F50118" w:rsidRPr="005733E2" w:rsidRDefault="00F50118" w:rsidP="00F50118">
      <w:pPr>
        <w:ind w:left="446" w:right="459"/>
        <w:rPr>
          <w:rFonts w:cs="Arial"/>
          <w:sz w:val="18"/>
          <w:szCs w:val="16"/>
          <w:lang w:val="es-ES"/>
        </w:rPr>
      </w:pPr>
      <w:r w:rsidRPr="005733E2">
        <w:rPr>
          <w:rFonts w:cs="Arial"/>
          <w:sz w:val="18"/>
          <w:szCs w:val="16"/>
          <w:lang w:val="es-ES_tradnl"/>
        </w:rPr>
        <w:t>Los caracteres que pueden examinarse mediante el análisis de imagen también deben ser susceptibles de examen mediante observación visual o medición manual, según proceda.  Las explicaciones para la observación de tales caracteres, incluidas, cuando corresponda, las que figuran en las directrices de examen, deben formularse en términos tales que permitan a todos los expertos en el examen DHE comprender y examinar los caracteres.</w:t>
      </w:r>
      <w:r w:rsidR="00627ADA" w:rsidRPr="005733E2">
        <w:rPr>
          <w:rFonts w:cs="Arial"/>
          <w:sz w:val="18"/>
          <w:szCs w:val="16"/>
          <w:lang w:val="es-ES"/>
        </w:rPr>
        <w:t xml:space="preserve"> </w:t>
      </w:r>
    </w:p>
    <w:p w:rsidR="00F50118" w:rsidRPr="005733E2" w:rsidRDefault="00F50118" w:rsidP="00627ADA">
      <w:pPr>
        <w:ind w:left="446" w:right="459"/>
        <w:rPr>
          <w:rFonts w:cs="Arial"/>
          <w:strike/>
          <w:sz w:val="18"/>
          <w:szCs w:val="16"/>
          <w:lang w:val="es-ES"/>
        </w:rPr>
      </w:pPr>
    </w:p>
    <w:p w:rsidR="00F50118" w:rsidRPr="005733E2" w:rsidRDefault="0095100A" w:rsidP="00F50118">
      <w:pPr>
        <w:keepNext/>
        <w:ind w:left="446"/>
        <w:outlineLvl w:val="1"/>
        <w:rPr>
          <w:rFonts w:cs="Arial"/>
          <w:sz w:val="18"/>
          <w:szCs w:val="16"/>
          <w:lang w:val="es-ES"/>
        </w:rPr>
      </w:pPr>
      <w:r w:rsidRPr="005733E2">
        <w:rPr>
          <w:rFonts w:cs="Arial"/>
          <w:sz w:val="18"/>
          <w:szCs w:val="16"/>
          <w:lang w:val="es-ES_tradnl"/>
        </w:rPr>
        <w:t>2.</w:t>
      </w:r>
      <w:r w:rsidRPr="005733E2">
        <w:rPr>
          <w:rFonts w:cs="Arial"/>
          <w:sz w:val="18"/>
          <w:szCs w:val="16"/>
          <w:lang w:val="es-ES_tradnl"/>
        </w:rPr>
        <w:tab/>
      </w:r>
      <w:r w:rsidR="00F50118" w:rsidRPr="005733E2">
        <w:rPr>
          <w:rFonts w:cs="Arial"/>
          <w:sz w:val="18"/>
          <w:szCs w:val="16"/>
          <w:lang w:val="es-ES_tradnl"/>
        </w:rPr>
        <w:t>Caracteres combinados</w:t>
      </w:r>
    </w:p>
    <w:p w:rsidR="00F50118" w:rsidRPr="005733E2" w:rsidRDefault="0095100A" w:rsidP="00F50118">
      <w:pPr>
        <w:ind w:left="446" w:right="459"/>
        <w:rPr>
          <w:rFonts w:cs="Arial"/>
          <w:sz w:val="18"/>
          <w:szCs w:val="16"/>
          <w:lang w:val="es-ES"/>
        </w:rPr>
      </w:pPr>
      <w:r w:rsidRPr="005733E2">
        <w:rPr>
          <w:rFonts w:cs="Arial"/>
          <w:sz w:val="18"/>
          <w:szCs w:val="16"/>
          <w:lang w:val="es-ES_tradnl"/>
        </w:rPr>
        <w:t>2.1</w:t>
      </w:r>
      <w:r w:rsidRPr="005733E2">
        <w:rPr>
          <w:rFonts w:cs="Arial"/>
          <w:sz w:val="18"/>
          <w:szCs w:val="16"/>
          <w:lang w:val="es-ES_tradnl"/>
        </w:rPr>
        <w:tab/>
      </w:r>
      <w:r w:rsidR="00F50118" w:rsidRPr="005733E2">
        <w:rPr>
          <w:rFonts w:cs="Arial"/>
          <w:sz w:val="18"/>
          <w:szCs w:val="16"/>
          <w:lang w:val="es-ES_tradnl"/>
        </w:rPr>
        <w:t>En la Introducción General (documento TG/1/3, Capítulo 4, sección 4) se establece que:</w:t>
      </w:r>
      <w:r w:rsidR="00627ADA" w:rsidRPr="005733E2">
        <w:rPr>
          <w:rFonts w:cs="Arial"/>
          <w:sz w:val="18"/>
          <w:szCs w:val="16"/>
          <w:lang w:val="es-ES"/>
        </w:rPr>
        <w:t xml:space="preserve"> </w:t>
      </w:r>
    </w:p>
    <w:p w:rsidR="00F50118" w:rsidRPr="005733E2" w:rsidRDefault="00F50118" w:rsidP="00627ADA">
      <w:pPr>
        <w:ind w:left="446" w:right="459"/>
        <w:rPr>
          <w:rFonts w:cs="Arial"/>
          <w:sz w:val="18"/>
          <w:szCs w:val="16"/>
          <w:lang w:val="es-ES"/>
        </w:rPr>
      </w:pPr>
    </w:p>
    <w:p w:rsidR="00F50118" w:rsidRPr="005733E2" w:rsidRDefault="00F50118" w:rsidP="00F50118">
      <w:pPr>
        <w:ind w:left="871" w:right="459"/>
        <w:rPr>
          <w:rFonts w:cs="Arial"/>
          <w:sz w:val="18"/>
          <w:szCs w:val="16"/>
          <w:lang w:val="es-ES"/>
        </w:rPr>
      </w:pPr>
      <w:r w:rsidRPr="005733E2">
        <w:rPr>
          <w:rFonts w:cs="Arial"/>
          <w:sz w:val="18"/>
          <w:szCs w:val="16"/>
          <w:lang w:val="es-ES_tradnl"/>
        </w:rPr>
        <w:t>4.6.3</w:t>
      </w:r>
      <w:r w:rsidR="0095100A" w:rsidRPr="005733E2">
        <w:rPr>
          <w:rFonts w:cs="Arial"/>
          <w:sz w:val="18"/>
          <w:szCs w:val="16"/>
          <w:lang w:val="es-ES_tradnl"/>
        </w:rPr>
        <w:tab/>
      </w:r>
      <w:r w:rsidRPr="005733E2">
        <w:rPr>
          <w:rFonts w:cs="Arial"/>
          <w:sz w:val="18"/>
          <w:szCs w:val="16"/>
          <w:u w:val="single"/>
          <w:lang w:val="es-ES_tradnl"/>
        </w:rPr>
        <w:t>Caracteres combinados</w:t>
      </w:r>
    </w:p>
    <w:p w:rsidR="00F50118" w:rsidRPr="005733E2" w:rsidRDefault="00F50118" w:rsidP="00627ADA">
      <w:pPr>
        <w:ind w:left="871" w:right="459"/>
        <w:rPr>
          <w:rFonts w:cs="Arial"/>
          <w:sz w:val="18"/>
          <w:szCs w:val="16"/>
          <w:lang w:val="es-ES"/>
        </w:rPr>
      </w:pPr>
    </w:p>
    <w:p w:rsidR="00F50118" w:rsidRPr="005733E2" w:rsidRDefault="00F50118" w:rsidP="00F50118">
      <w:pPr>
        <w:ind w:left="871" w:right="459"/>
        <w:rPr>
          <w:rFonts w:cs="Arial"/>
          <w:sz w:val="18"/>
          <w:szCs w:val="16"/>
          <w:lang w:val="es-ES"/>
        </w:rPr>
      </w:pPr>
      <w:r w:rsidRPr="005733E2">
        <w:rPr>
          <w:rFonts w:cs="Arial"/>
          <w:sz w:val="18"/>
          <w:szCs w:val="16"/>
          <w:lang w:val="es-ES_tradnl"/>
        </w:rPr>
        <w:t>4.</w:t>
      </w:r>
      <w:r w:rsidR="0095100A" w:rsidRPr="005733E2">
        <w:rPr>
          <w:rFonts w:cs="Arial"/>
          <w:sz w:val="18"/>
          <w:szCs w:val="16"/>
          <w:lang w:val="es-ES_tradnl"/>
        </w:rPr>
        <w:t>6.3.1</w:t>
      </w:r>
      <w:r w:rsidR="0095100A" w:rsidRPr="005733E2">
        <w:rPr>
          <w:rFonts w:cs="Arial"/>
          <w:sz w:val="18"/>
          <w:szCs w:val="16"/>
          <w:lang w:val="es-ES_tradnl"/>
        </w:rPr>
        <w:tab/>
      </w:r>
      <w:r w:rsidRPr="005733E2">
        <w:rPr>
          <w:rFonts w:cs="Arial"/>
          <w:sz w:val="18"/>
          <w:szCs w:val="16"/>
          <w:lang w:val="es-ES_tradnl"/>
        </w:rPr>
        <w:t>El carácter combinado es una simple combinación de un pequeño número de caracteres.</w:t>
      </w:r>
      <w:r w:rsidR="00627ADA" w:rsidRPr="005733E2">
        <w:rPr>
          <w:rFonts w:cs="Arial"/>
          <w:sz w:val="18"/>
          <w:szCs w:val="16"/>
          <w:lang w:val="es-ES"/>
        </w:rPr>
        <w:t xml:space="preserve">  </w:t>
      </w:r>
      <w:r w:rsidRPr="005733E2">
        <w:rPr>
          <w:rFonts w:cs="Arial"/>
          <w:sz w:val="18"/>
          <w:szCs w:val="16"/>
          <w:lang w:val="es-ES_tradnl"/>
        </w:rPr>
        <w:t>Siempre que la combinación tenga sentido desde el punto de vista biológico, podrán combinarse posteriormente los caracteres observados por separado, por ejemplo, el índice de longitud y anchura, a fin de producir dicho carácter combinado.  Los caracteres combinados deberán ser examinados a los fines de la distinción, la homogeneidad y la estabilidad en la misma medida que otros caracteres.  En algunos casos estos caracteres combinados se examinan por medio de técnicas como la del análisis de imagen.  En estos casos, los métodos apropiados de examen DHE se especifican en el documento TGP/12, “Caracteres especiales”.</w:t>
      </w:r>
    </w:p>
    <w:p w:rsidR="00F50118" w:rsidRPr="005733E2" w:rsidRDefault="00F50118" w:rsidP="00627ADA">
      <w:pPr>
        <w:tabs>
          <w:tab w:val="left" w:pos="1985"/>
        </w:tabs>
        <w:ind w:left="446" w:right="459"/>
        <w:rPr>
          <w:rFonts w:cs="Arial"/>
          <w:sz w:val="18"/>
          <w:szCs w:val="16"/>
          <w:lang w:val="es-ES"/>
        </w:rPr>
      </w:pPr>
    </w:p>
    <w:p w:rsidR="00F50118" w:rsidRPr="000F1969" w:rsidRDefault="0095100A" w:rsidP="00F50118">
      <w:pPr>
        <w:ind w:left="446" w:right="459"/>
        <w:rPr>
          <w:rFonts w:cs="Arial"/>
          <w:sz w:val="18"/>
          <w:szCs w:val="16"/>
          <w:lang w:val="es-ES"/>
        </w:rPr>
      </w:pPr>
      <w:r w:rsidRPr="005733E2">
        <w:rPr>
          <w:rFonts w:cs="Arial"/>
          <w:sz w:val="18"/>
          <w:szCs w:val="16"/>
          <w:lang w:val="es-ES_tradnl"/>
        </w:rPr>
        <w:t>2.2</w:t>
      </w:r>
      <w:r w:rsidRPr="005733E2">
        <w:rPr>
          <w:rFonts w:cs="Arial"/>
          <w:sz w:val="18"/>
          <w:szCs w:val="16"/>
          <w:lang w:val="es-ES_tradnl"/>
        </w:rPr>
        <w:tab/>
      </w:r>
      <w:r w:rsidR="00F50118" w:rsidRPr="005733E2">
        <w:rPr>
          <w:rFonts w:cs="Arial"/>
          <w:sz w:val="18"/>
          <w:szCs w:val="16"/>
          <w:lang w:val="es-ES_tradnl"/>
        </w:rPr>
        <w:t>Así, en la Introducción General se aclara que el análisis de la imagen es uno de los métodos posibles para examinar los caracteres que satisfacen los requisitos básicos de utilización en el examen DHE (véase el documento TG/1/3, Capítulo 4.2), entre los cuales está la necesidad de homogeneidad y estabilidad de tales caracteres.  Por lo que respecta a los caracteres combinados, en la Introducción General se explica también que dicha combinación deberá ser biológicamente pertinente.”</w:t>
      </w:r>
    </w:p>
    <w:p w:rsidR="00F50118" w:rsidRPr="000F1969" w:rsidRDefault="00F50118" w:rsidP="00627ADA">
      <w:pPr>
        <w:autoSpaceDE w:val="0"/>
        <w:autoSpaceDN w:val="0"/>
        <w:adjustRightInd w:val="0"/>
        <w:rPr>
          <w:rFonts w:cs="Arial"/>
          <w:lang w:val="es-ES" w:eastAsia="ja-JP"/>
        </w:rPr>
      </w:pPr>
    </w:p>
    <w:p w:rsidR="00F50118" w:rsidRPr="000F1969" w:rsidRDefault="00F50118" w:rsidP="001E3D32">
      <w:pPr>
        <w:pStyle w:val="Heading2"/>
        <w:rPr>
          <w:color w:val="auto"/>
          <w:lang w:val="es-ES"/>
        </w:rPr>
      </w:pPr>
      <w:r w:rsidRPr="000F1969">
        <w:rPr>
          <w:color w:val="auto"/>
          <w:lang w:val="es-ES"/>
        </w:rPr>
        <w:t>Grupos de Trabajo Técnico</w:t>
      </w:r>
    </w:p>
    <w:p w:rsidR="00F56D2C" w:rsidRPr="000F1969" w:rsidRDefault="00F56D2C" w:rsidP="00F56D2C">
      <w:pPr>
        <w:rPr>
          <w:snapToGrid w:val="0"/>
          <w:lang w:val="es-ES"/>
        </w:rPr>
      </w:pPr>
    </w:p>
    <w:p w:rsidR="00F56D2C" w:rsidRPr="000F1969" w:rsidRDefault="006201D6" w:rsidP="00F56D2C">
      <w:pPr>
        <w:rPr>
          <w:snapToGrid w:val="0"/>
          <w:lang w:val="es-ES"/>
        </w:rPr>
      </w:pPr>
      <w:r w:rsidRPr="000F1969">
        <w:fldChar w:fldCharType="begin"/>
      </w:r>
      <w:r w:rsidR="00F56D2C" w:rsidRPr="000F1969">
        <w:rPr>
          <w:lang w:val="es-ES"/>
        </w:rPr>
        <w:instrText xml:space="preserve"> AUTONUM  </w:instrText>
      </w:r>
      <w:r w:rsidRPr="000F1969">
        <w:fldChar w:fldCharType="end"/>
      </w:r>
      <w:r w:rsidR="00F56D2C" w:rsidRPr="000F1969">
        <w:rPr>
          <w:lang w:val="es-ES" w:eastAsia="es-ES"/>
        </w:rPr>
        <w:tab/>
        <w:t>En sus sesiones de 2014, el TWO, el TWF, el TWC, el TWV y el TWA examinaron</w:t>
      </w:r>
      <w:r w:rsidR="00451873" w:rsidRPr="000F1969">
        <w:rPr>
          <w:lang w:val="es-ES" w:eastAsia="es-ES"/>
        </w:rPr>
        <w:t>,</w:t>
      </w:r>
      <w:r w:rsidR="00F56D2C" w:rsidRPr="000F1969">
        <w:rPr>
          <w:lang w:val="es-ES" w:eastAsia="es-ES"/>
        </w:rPr>
        <w:t xml:space="preserve"> respectivamente</w:t>
      </w:r>
      <w:r w:rsidR="00451873" w:rsidRPr="000F1969">
        <w:rPr>
          <w:lang w:val="es-ES" w:eastAsia="es-ES"/>
        </w:rPr>
        <w:t>,</w:t>
      </w:r>
      <w:r w:rsidR="00F56D2C" w:rsidRPr="000F1969">
        <w:rPr>
          <w:lang w:val="es-ES" w:eastAsia="es-ES"/>
        </w:rPr>
        <w:t xml:space="preserve"> los documentos TWO/47/20, TWF/45/20, TWC/32/20, TWV/48/20, TWV/48/20 Add. </w:t>
      </w:r>
      <w:proofErr w:type="gramStart"/>
      <w:r w:rsidR="00F56D2C" w:rsidRPr="000F1969">
        <w:rPr>
          <w:lang w:val="es-ES" w:eastAsia="es-ES"/>
        </w:rPr>
        <w:t>y</w:t>
      </w:r>
      <w:proofErr w:type="gramEnd"/>
      <w:r w:rsidR="00F56D2C" w:rsidRPr="000F1969">
        <w:rPr>
          <w:lang w:val="es-ES" w:eastAsia="es-ES"/>
        </w:rPr>
        <w:t> TWA/43/20</w:t>
      </w:r>
      <w:r w:rsidR="00F56D2C" w:rsidRPr="000F1969">
        <w:rPr>
          <w:lang w:val="es-ES"/>
        </w:rPr>
        <w:t xml:space="preserve"> </w:t>
      </w:r>
      <w:r w:rsidR="00F56D2C" w:rsidRPr="000F1969">
        <w:rPr>
          <w:rFonts w:cs="Arial"/>
          <w:cs/>
          <w:lang w:val="es-ES" w:eastAsia="es-ES"/>
        </w:rPr>
        <w:t>“</w:t>
      </w:r>
      <w:r w:rsidR="00F56D2C" w:rsidRPr="000F1969">
        <w:rPr>
          <w:lang w:val="es-ES" w:eastAsia="es-ES"/>
        </w:rPr>
        <w:t>Revisión del documento TGP/8:  Parte II:  Técnicas utilizadas en</w:t>
      </w:r>
      <w:r w:rsidR="005733E2">
        <w:rPr>
          <w:lang w:val="es-ES" w:eastAsia="es-ES"/>
        </w:rPr>
        <w:t xml:space="preserve"> el examen DHE, nueva sección: </w:t>
      </w:r>
      <w:r w:rsidR="00F56D2C" w:rsidRPr="000F1969">
        <w:rPr>
          <w:lang w:val="es-ES" w:eastAsia="es-ES"/>
        </w:rPr>
        <w:t>Examen de caracteres mediante el análisis de imagen</w:t>
      </w:r>
      <w:r w:rsidR="00F56D2C" w:rsidRPr="000F1969">
        <w:rPr>
          <w:rFonts w:cs="Arial"/>
          <w:cs/>
          <w:lang w:val="es-ES" w:eastAsia="es-ES"/>
        </w:rPr>
        <w:t>”</w:t>
      </w:r>
      <w:r w:rsidR="00F56D2C" w:rsidRPr="000F1969">
        <w:rPr>
          <w:lang w:val="es-ES" w:eastAsia="es-ES"/>
        </w:rPr>
        <w:t>.</w:t>
      </w:r>
    </w:p>
    <w:p w:rsidR="00F56D2C" w:rsidRPr="000F1969" w:rsidRDefault="00F56D2C" w:rsidP="00F56D2C">
      <w:pPr>
        <w:rPr>
          <w:snapToGrid w:val="0"/>
          <w:lang w:val="es-ES"/>
        </w:rPr>
      </w:pPr>
    </w:p>
    <w:p w:rsidR="00F56D2C" w:rsidRPr="000F1969" w:rsidRDefault="006201D6" w:rsidP="00F56D2C">
      <w:pPr>
        <w:rPr>
          <w:lang w:val="es-ES"/>
        </w:rPr>
      </w:pPr>
      <w:r w:rsidRPr="000F1969">
        <w:fldChar w:fldCharType="begin"/>
      </w:r>
      <w:r w:rsidR="00F56D2C" w:rsidRPr="000F1969">
        <w:rPr>
          <w:lang w:val="es-ES"/>
        </w:rPr>
        <w:instrText xml:space="preserve"> AUTONUM  </w:instrText>
      </w:r>
      <w:r w:rsidRPr="000F1969">
        <w:fldChar w:fldCharType="end"/>
      </w:r>
      <w:r w:rsidR="00F56D2C" w:rsidRPr="000F1969">
        <w:rPr>
          <w:lang w:val="es-ES" w:eastAsia="es-ES"/>
        </w:rPr>
        <w:tab/>
        <w:t xml:space="preserve">El TWO, el TWF, el TWC, el TWV y el TWA tomaron nota de la propuesta del experto de la Unión Europea de elaborar un nuevo proyecto </w:t>
      </w:r>
      <w:r w:rsidR="00F56D2C" w:rsidRPr="000F1969">
        <w:rPr>
          <w:lang w:val="es-ES"/>
        </w:rPr>
        <w:t>de</w:t>
      </w:r>
      <w:r w:rsidR="00F56D2C" w:rsidRPr="000F1969">
        <w:rPr>
          <w:lang w:val="es-ES" w:eastAsia="es-ES"/>
        </w:rPr>
        <w:t xml:space="preserve"> la nueva sección </w:t>
      </w:r>
      <w:r w:rsidR="00F56D2C" w:rsidRPr="000F1969">
        <w:rPr>
          <w:rFonts w:cs="Arial"/>
          <w:cs/>
          <w:lang w:val="es-ES" w:eastAsia="es-ES"/>
        </w:rPr>
        <w:t>“</w:t>
      </w:r>
      <w:r w:rsidR="00F56D2C" w:rsidRPr="000F1969">
        <w:rPr>
          <w:lang w:val="es-ES" w:eastAsia="es-ES"/>
        </w:rPr>
        <w:t>Examen de caracteres mediante el análisis de imagen</w:t>
      </w:r>
      <w:r w:rsidR="00F56D2C" w:rsidRPr="000F1969">
        <w:rPr>
          <w:rFonts w:cs="Arial"/>
          <w:cs/>
          <w:lang w:val="es-ES" w:eastAsia="es-ES"/>
        </w:rPr>
        <w:t xml:space="preserve">” </w:t>
      </w:r>
      <w:r w:rsidR="00F56D2C" w:rsidRPr="000F1969">
        <w:rPr>
          <w:lang w:val="es-ES" w:eastAsia="es-ES"/>
        </w:rPr>
        <w:t>con el objeto de incluirlo en el documento TGP/8 para que el TC y los TWP lo examin</w:t>
      </w:r>
      <w:r w:rsidR="00190C8F" w:rsidRPr="000F1969">
        <w:rPr>
          <w:lang w:val="es-ES" w:eastAsia="es-ES"/>
        </w:rPr>
        <w:t>ara</w:t>
      </w:r>
      <w:r w:rsidR="00F56D2C" w:rsidRPr="000F1969">
        <w:rPr>
          <w:lang w:val="es-ES" w:eastAsia="es-ES"/>
        </w:rPr>
        <w:t>n en sus sesiones de 2015 (véanse los documentos TWO/47/28 </w:t>
      </w:r>
      <w:r w:rsidR="00F56D2C" w:rsidRPr="000F1969">
        <w:rPr>
          <w:rFonts w:cs="Arial"/>
          <w:cs/>
          <w:lang w:val="es-ES" w:eastAsia="es-ES"/>
        </w:rPr>
        <w:t>“</w:t>
      </w:r>
      <w:r w:rsidR="00F56D2C" w:rsidRPr="000F1969">
        <w:rPr>
          <w:i/>
          <w:lang w:val="es-ES" w:eastAsia="es-ES"/>
        </w:rPr>
        <w:t>Report</w:t>
      </w:r>
      <w:r w:rsidR="00F56D2C" w:rsidRPr="000F1969">
        <w:rPr>
          <w:rFonts w:cs="Arial"/>
          <w:cs/>
          <w:lang w:val="es-ES" w:eastAsia="es-ES"/>
        </w:rPr>
        <w:t>”</w:t>
      </w:r>
      <w:r w:rsidR="00F56D2C" w:rsidRPr="000F1969">
        <w:rPr>
          <w:lang w:val="es-ES" w:eastAsia="es-ES"/>
        </w:rPr>
        <w:t>, párrafo 55;  TWF/45/32</w:t>
      </w:r>
      <w:r w:rsidR="00F56D2C" w:rsidRPr="000F1969">
        <w:rPr>
          <w:rFonts w:cs="Arial"/>
          <w:cs/>
          <w:lang w:val="es-ES" w:eastAsia="es-ES"/>
        </w:rPr>
        <w:t xml:space="preserve"> “</w:t>
      </w:r>
      <w:r w:rsidR="00F56D2C" w:rsidRPr="000F1969">
        <w:rPr>
          <w:i/>
          <w:lang w:val="es-ES" w:eastAsia="es-ES"/>
        </w:rPr>
        <w:t>Report</w:t>
      </w:r>
      <w:r w:rsidR="00F56D2C" w:rsidRPr="000F1969">
        <w:rPr>
          <w:rFonts w:cs="Arial"/>
          <w:cs/>
          <w:lang w:val="es-ES" w:eastAsia="es-ES"/>
        </w:rPr>
        <w:t>”</w:t>
      </w:r>
      <w:r w:rsidR="00F56D2C" w:rsidRPr="000F1969">
        <w:rPr>
          <w:lang w:val="es-ES" w:eastAsia="es-ES"/>
        </w:rPr>
        <w:t>, párrafo 46;  TWC/32/2</w:t>
      </w:r>
      <w:r w:rsidR="005733E2">
        <w:rPr>
          <w:lang w:val="es-ES" w:eastAsia="es-ES"/>
        </w:rPr>
        <w:t>8</w:t>
      </w:r>
      <w:r w:rsidR="00F56D2C" w:rsidRPr="000F1969">
        <w:rPr>
          <w:rFonts w:cs="Arial"/>
          <w:cs/>
          <w:lang w:val="es-ES" w:eastAsia="es-ES"/>
        </w:rPr>
        <w:t xml:space="preserve"> “</w:t>
      </w:r>
      <w:proofErr w:type="spellStart"/>
      <w:r w:rsidR="00F56D2C" w:rsidRPr="000F1969">
        <w:rPr>
          <w:i/>
          <w:lang w:val="es-ES" w:eastAsia="es-ES"/>
        </w:rPr>
        <w:t>Report</w:t>
      </w:r>
      <w:proofErr w:type="spellEnd"/>
      <w:r w:rsidR="00F56D2C" w:rsidRPr="000F1969">
        <w:rPr>
          <w:rFonts w:cs="Arial"/>
          <w:cs/>
          <w:lang w:val="es-ES" w:eastAsia="es-ES"/>
        </w:rPr>
        <w:t>”</w:t>
      </w:r>
      <w:r w:rsidR="00F56D2C" w:rsidRPr="000F1969">
        <w:rPr>
          <w:lang w:val="es-ES" w:eastAsia="es-ES"/>
        </w:rPr>
        <w:t>, párrafo 41;  TWV/48/43</w:t>
      </w:r>
      <w:r w:rsidR="00F56D2C" w:rsidRPr="000F1969">
        <w:rPr>
          <w:rFonts w:cs="Arial"/>
          <w:cs/>
          <w:lang w:val="es-ES" w:eastAsia="es-ES"/>
        </w:rPr>
        <w:t xml:space="preserve"> “</w:t>
      </w:r>
      <w:proofErr w:type="spellStart"/>
      <w:r w:rsidR="00F56D2C" w:rsidRPr="000F1969">
        <w:rPr>
          <w:i/>
          <w:lang w:val="es-ES" w:eastAsia="es-ES"/>
        </w:rPr>
        <w:t>Report</w:t>
      </w:r>
      <w:proofErr w:type="spellEnd"/>
      <w:r w:rsidR="00F56D2C" w:rsidRPr="000F1969">
        <w:rPr>
          <w:rFonts w:cs="Arial"/>
          <w:cs/>
          <w:lang w:val="es-ES" w:eastAsia="es-ES"/>
        </w:rPr>
        <w:t>”</w:t>
      </w:r>
      <w:r w:rsidR="00F56D2C" w:rsidRPr="000F1969">
        <w:rPr>
          <w:lang w:val="es-ES" w:eastAsia="es-ES"/>
        </w:rPr>
        <w:t>, párrafo 56;  y</w:t>
      </w:r>
      <w:r w:rsidR="00F56D2C" w:rsidRPr="000F1969">
        <w:rPr>
          <w:lang w:val="es-ES"/>
        </w:rPr>
        <w:t xml:space="preserve"> </w:t>
      </w:r>
      <w:r w:rsidR="00F56D2C" w:rsidRPr="000F1969">
        <w:rPr>
          <w:lang w:val="es-ES" w:eastAsia="es-ES"/>
        </w:rPr>
        <w:t>TWA/43/27</w:t>
      </w:r>
      <w:r w:rsidR="00F56D2C" w:rsidRPr="000F1969">
        <w:rPr>
          <w:rFonts w:cs="Arial"/>
          <w:cs/>
          <w:lang w:val="es-ES" w:eastAsia="es-ES"/>
        </w:rPr>
        <w:t xml:space="preserve"> “</w:t>
      </w:r>
      <w:proofErr w:type="spellStart"/>
      <w:r w:rsidR="00F56D2C" w:rsidRPr="000F1969">
        <w:rPr>
          <w:i/>
          <w:lang w:val="es-ES" w:eastAsia="es-ES"/>
        </w:rPr>
        <w:t>Report</w:t>
      </w:r>
      <w:proofErr w:type="spellEnd"/>
      <w:r w:rsidR="00F56D2C" w:rsidRPr="000F1969">
        <w:rPr>
          <w:rFonts w:cs="Arial"/>
          <w:cs/>
          <w:lang w:val="es-ES" w:eastAsia="es-ES"/>
        </w:rPr>
        <w:t>”</w:t>
      </w:r>
      <w:r w:rsidR="00F56D2C" w:rsidRPr="000F1969">
        <w:rPr>
          <w:lang w:val="es-ES" w:eastAsia="es-ES"/>
        </w:rPr>
        <w:t xml:space="preserve">, párrafo 51). </w:t>
      </w:r>
    </w:p>
    <w:p w:rsidR="00F56D2C" w:rsidRPr="000F1969" w:rsidRDefault="00F56D2C" w:rsidP="00F56D2C">
      <w:pPr>
        <w:ind w:right="-425"/>
        <w:rPr>
          <w:lang w:val="es-ES"/>
        </w:rPr>
      </w:pPr>
    </w:p>
    <w:p w:rsidR="00F56D2C" w:rsidRPr="000F1969" w:rsidRDefault="006201D6" w:rsidP="00F56D2C">
      <w:pPr>
        <w:rPr>
          <w:snapToGrid w:val="0"/>
          <w:lang w:val="es-ES"/>
        </w:rPr>
      </w:pPr>
      <w:r w:rsidRPr="000F1969">
        <w:fldChar w:fldCharType="begin"/>
      </w:r>
      <w:r w:rsidR="00F56D2C" w:rsidRPr="000F1969">
        <w:rPr>
          <w:lang w:val="es-ES"/>
        </w:rPr>
        <w:instrText xml:space="preserve"> AUTONUM  </w:instrText>
      </w:r>
      <w:r w:rsidRPr="000F1969">
        <w:fldChar w:fldCharType="end"/>
      </w:r>
      <w:r w:rsidR="00F56D2C" w:rsidRPr="000F1969">
        <w:rPr>
          <w:lang w:val="es-ES" w:eastAsia="es-ES"/>
        </w:rPr>
        <w:tab/>
        <w:t xml:space="preserve">El TWO y el TWC convinieron en solicitar al redactor que contemplara la posibilidad de incluir ejemplos típicos de </w:t>
      </w:r>
      <w:r w:rsidR="00190C8F" w:rsidRPr="000F1969">
        <w:rPr>
          <w:lang w:val="es-ES" w:eastAsia="es-ES"/>
        </w:rPr>
        <w:t xml:space="preserve">los </w:t>
      </w:r>
      <w:r w:rsidR="00F56D2C" w:rsidRPr="000F1969">
        <w:rPr>
          <w:lang w:val="es-ES" w:eastAsia="es-ES"/>
        </w:rPr>
        <w:t>caracteres que se podrían examinar mediante el análisis de imagen, tales como la superficie foliar y la relación longitud/anchura del grano (véanse los documentos TWO/47/28, párrafo 56, y TWC/32/2</w:t>
      </w:r>
      <w:r w:rsidR="005733E2">
        <w:rPr>
          <w:lang w:val="es-ES" w:eastAsia="es-ES"/>
        </w:rPr>
        <w:t>8</w:t>
      </w:r>
      <w:r w:rsidR="00F56D2C" w:rsidRPr="000F1969">
        <w:rPr>
          <w:lang w:val="es-ES" w:eastAsia="es-ES"/>
        </w:rPr>
        <w:t>, párrafo 42).</w:t>
      </w:r>
    </w:p>
    <w:p w:rsidR="00F56D2C" w:rsidRPr="000F1969" w:rsidRDefault="00F56D2C" w:rsidP="00F56D2C">
      <w:pPr>
        <w:ind w:right="-425"/>
        <w:rPr>
          <w:lang w:val="es-ES"/>
        </w:rPr>
      </w:pPr>
    </w:p>
    <w:p w:rsidR="00F56D2C" w:rsidRPr="000F1969" w:rsidRDefault="006201D6" w:rsidP="00F56D2C">
      <w:pPr>
        <w:rPr>
          <w:lang w:val="es-ES"/>
        </w:rPr>
      </w:pPr>
      <w:r w:rsidRPr="000F1969">
        <w:fldChar w:fldCharType="begin"/>
      </w:r>
      <w:r w:rsidR="00F56D2C" w:rsidRPr="000F1969">
        <w:rPr>
          <w:lang w:val="es-ES"/>
        </w:rPr>
        <w:instrText xml:space="preserve"> AUTONUM  </w:instrText>
      </w:r>
      <w:r w:rsidRPr="000F1969">
        <w:fldChar w:fldCharType="end"/>
      </w:r>
      <w:r w:rsidR="00F56D2C" w:rsidRPr="000F1969">
        <w:rPr>
          <w:lang w:val="es-ES" w:eastAsia="es-ES"/>
        </w:rPr>
        <w:tab/>
        <w:t>El TWC tomó nota de que se presentarían experiencias sobre el uso del análisis de imagen al TWV (véase el párrafo 43 del documento TWC/32/2</w:t>
      </w:r>
      <w:r w:rsidR="005733E2">
        <w:rPr>
          <w:lang w:val="es-ES" w:eastAsia="es-ES"/>
        </w:rPr>
        <w:t>8</w:t>
      </w:r>
      <w:r w:rsidR="00F56D2C" w:rsidRPr="000F1969">
        <w:rPr>
          <w:lang w:val="es-ES" w:eastAsia="es-ES"/>
        </w:rPr>
        <w:t>).</w:t>
      </w:r>
    </w:p>
    <w:p w:rsidR="00F56D2C" w:rsidRPr="000F1969" w:rsidRDefault="00F56D2C" w:rsidP="00F56D2C">
      <w:pPr>
        <w:ind w:right="-425"/>
        <w:rPr>
          <w:lang w:val="es-ES"/>
        </w:rPr>
      </w:pPr>
    </w:p>
    <w:p w:rsidR="00F56D2C" w:rsidRPr="000F1969" w:rsidRDefault="006201D6" w:rsidP="00F56D2C">
      <w:pPr>
        <w:rPr>
          <w:lang w:val="es-ES"/>
        </w:rPr>
      </w:pPr>
      <w:r w:rsidRPr="000F1969">
        <w:fldChar w:fldCharType="begin"/>
      </w:r>
      <w:r w:rsidR="00F56D2C" w:rsidRPr="000F1969">
        <w:rPr>
          <w:lang w:val="es-ES"/>
        </w:rPr>
        <w:instrText xml:space="preserve"> AUTONUM  </w:instrText>
      </w:r>
      <w:r w:rsidRPr="000F1969">
        <w:fldChar w:fldCharType="end"/>
      </w:r>
      <w:r w:rsidR="00F56D2C" w:rsidRPr="000F1969">
        <w:rPr>
          <w:lang w:val="es-ES" w:eastAsia="es-ES"/>
        </w:rPr>
        <w:t xml:space="preserve"> </w:t>
      </w:r>
      <w:r w:rsidR="00F56D2C" w:rsidRPr="000F1969">
        <w:rPr>
          <w:lang w:val="es-ES" w:eastAsia="es-ES"/>
        </w:rPr>
        <w:tab/>
        <w:t xml:space="preserve">El TWV atendió a las ponencias de expertos de la República Checa, Francia, los Países Bajos y el Reino Unido sobre su uso del análisis de imagen para el examen DHE, que se reproducen en los anexos del documento TWV/48/20 Add. </w:t>
      </w:r>
      <w:r w:rsidR="00F56D2C" w:rsidRPr="000F1969">
        <w:rPr>
          <w:lang w:val="es-ES" w:eastAsia="ja-JP"/>
        </w:rPr>
        <w:t>“</w:t>
      </w:r>
      <w:r w:rsidR="00F56D2C" w:rsidRPr="000F1969">
        <w:rPr>
          <w:i/>
          <w:lang w:val="es-ES" w:eastAsia="ja-JP"/>
        </w:rPr>
        <w:t>Addendum to Revision of Document TGP/8: Part II: Selected Techniques used in DUS Examination, New Section: Examining Characteristics using Image Analysis</w:t>
      </w:r>
      <w:r w:rsidR="00F56D2C" w:rsidRPr="000F1969">
        <w:rPr>
          <w:lang w:val="es-ES" w:eastAsia="ja-JP"/>
        </w:rPr>
        <w:t>”</w:t>
      </w:r>
      <w:r w:rsidR="00F56D2C" w:rsidRPr="000F1969">
        <w:rPr>
          <w:rFonts w:hint="eastAsia"/>
          <w:lang w:val="es-ES" w:eastAsia="ja-JP"/>
        </w:rPr>
        <w:t xml:space="preserve"> </w:t>
      </w:r>
      <w:r w:rsidR="00F56D2C" w:rsidRPr="000F1969">
        <w:rPr>
          <w:lang w:val="es-ES" w:eastAsia="ja-JP"/>
        </w:rPr>
        <w:t>(</w:t>
      </w:r>
      <w:r w:rsidR="00F56D2C" w:rsidRPr="000F1969">
        <w:rPr>
          <w:lang w:val="es-ES" w:eastAsia="es-ES"/>
        </w:rPr>
        <w:t>Adenda a la Revisión del documento TGP/8:</w:t>
      </w:r>
      <w:r w:rsidR="00451873" w:rsidRPr="000F1969">
        <w:rPr>
          <w:lang w:val="es-ES" w:eastAsia="es-ES"/>
        </w:rPr>
        <w:t xml:space="preserve">  </w:t>
      </w:r>
      <w:r w:rsidR="00F56D2C" w:rsidRPr="000F1969">
        <w:rPr>
          <w:lang w:val="es-ES" w:eastAsia="es-ES"/>
        </w:rPr>
        <w:t xml:space="preserve">Parte II: </w:t>
      </w:r>
      <w:r w:rsidR="00451873" w:rsidRPr="000F1969">
        <w:rPr>
          <w:lang w:val="es-ES" w:eastAsia="es-ES"/>
        </w:rPr>
        <w:t xml:space="preserve"> </w:t>
      </w:r>
      <w:r w:rsidR="00F56D2C" w:rsidRPr="000F1969">
        <w:rPr>
          <w:lang w:val="es-ES" w:eastAsia="es-ES"/>
        </w:rPr>
        <w:t xml:space="preserve">Técnicas utilizadas en el examen DHE, nueva sección: </w:t>
      </w:r>
      <w:r w:rsidR="00451873" w:rsidRPr="000F1969">
        <w:rPr>
          <w:lang w:val="es-ES" w:eastAsia="es-ES"/>
        </w:rPr>
        <w:t xml:space="preserve"> </w:t>
      </w:r>
      <w:r w:rsidR="00F56D2C" w:rsidRPr="000F1969">
        <w:rPr>
          <w:lang w:val="es-ES" w:eastAsia="es-ES"/>
        </w:rPr>
        <w:t>Examen de caracteres mediante el análisis de imagen</w:t>
      </w:r>
      <w:r w:rsidR="00F56D2C" w:rsidRPr="000F1969">
        <w:rPr>
          <w:rFonts w:cs="Arial"/>
          <w:cs/>
        </w:rPr>
        <w:t>)</w:t>
      </w:r>
      <w:r w:rsidR="00F56D2C" w:rsidRPr="000F1969">
        <w:rPr>
          <w:rFonts w:cs="Arial"/>
          <w:cs/>
          <w:lang w:val="es-ES" w:eastAsia="es-ES"/>
        </w:rPr>
        <w:t xml:space="preserve">  </w:t>
      </w:r>
      <w:r w:rsidR="00F56D2C" w:rsidRPr="000F1969">
        <w:rPr>
          <w:lang w:val="es-ES" w:eastAsia="es-ES"/>
        </w:rPr>
        <w:t>(véase el párrafo 57 del documento TWV/48/43).</w:t>
      </w:r>
    </w:p>
    <w:p w:rsidR="00F56D2C" w:rsidRPr="000F1969" w:rsidRDefault="00F56D2C" w:rsidP="00F56D2C">
      <w:pPr>
        <w:ind w:right="-425"/>
        <w:rPr>
          <w:lang w:val="es-ES"/>
        </w:rPr>
      </w:pPr>
    </w:p>
    <w:p w:rsidR="00F56D2C" w:rsidRPr="000F1969" w:rsidRDefault="006201D6" w:rsidP="00F56D2C">
      <w:pPr>
        <w:ind w:right="9"/>
        <w:rPr>
          <w:lang w:val="es-ES"/>
        </w:rPr>
      </w:pPr>
      <w:r w:rsidRPr="000F1969">
        <w:fldChar w:fldCharType="begin"/>
      </w:r>
      <w:r w:rsidR="00F56D2C" w:rsidRPr="000F1969">
        <w:rPr>
          <w:lang w:val="es-ES"/>
        </w:rPr>
        <w:instrText xml:space="preserve"> AUTONUM  </w:instrText>
      </w:r>
      <w:r w:rsidRPr="000F1969">
        <w:fldChar w:fldCharType="end"/>
      </w:r>
      <w:r w:rsidR="00F56D2C" w:rsidRPr="000F1969">
        <w:rPr>
          <w:lang w:val="es-ES" w:eastAsia="es-ES"/>
        </w:rPr>
        <w:t xml:space="preserve"> </w:t>
      </w:r>
      <w:r w:rsidR="00F56D2C" w:rsidRPr="000F1969">
        <w:rPr>
          <w:lang w:val="es-ES" w:eastAsia="es-ES"/>
        </w:rPr>
        <w:tab/>
        <w:t>El TWV convino en que algunos de los programas informáticos utilizados para el análisis de imagen debían mencionarse en el documento UPOV/INF/22</w:t>
      </w:r>
      <w:r w:rsidR="00F56D2C" w:rsidRPr="000F1969">
        <w:rPr>
          <w:rFonts w:cs="Arial"/>
          <w:cs/>
          <w:lang w:val="es-ES" w:eastAsia="es-ES"/>
        </w:rPr>
        <w:t xml:space="preserve"> “</w:t>
      </w:r>
      <w:r w:rsidR="00F56D2C" w:rsidRPr="000F1969">
        <w:rPr>
          <w:lang w:val="es-ES" w:eastAsia="es-ES"/>
        </w:rPr>
        <w:t>Programas informáticos y equipos utilizados por los miembros de la Unión</w:t>
      </w:r>
      <w:r w:rsidR="00F56D2C" w:rsidRPr="000F1969">
        <w:rPr>
          <w:rFonts w:cs="Arial"/>
          <w:cs/>
          <w:lang w:val="es-ES" w:eastAsia="es-ES"/>
        </w:rPr>
        <w:t xml:space="preserve">” </w:t>
      </w:r>
      <w:r w:rsidR="00F56D2C" w:rsidRPr="000F1969">
        <w:rPr>
          <w:lang w:val="es-ES" w:eastAsia="es-ES"/>
        </w:rPr>
        <w:t>(véase el párrafo 58 del documento TWV/48/43).</w:t>
      </w:r>
    </w:p>
    <w:p w:rsidR="00F56D2C" w:rsidRPr="000F1969" w:rsidRDefault="00F56D2C" w:rsidP="00F56D2C">
      <w:pPr>
        <w:ind w:right="-425"/>
        <w:rPr>
          <w:lang w:val="es-ES"/>
        </w:rPr>
      </w:pPr>
    </w:p>
    <w:p w:rsidR="00F56D2C" w:rsidRPr="000F1969" w:rsidRDefault="006201D6" w:rsidP="00F56D2C">
      <w:pPr>
        <w:ind w:right="9"/>
        <w:rPr>
          <w:lang w:val="es-ES"/>
        </w:rPr>
      </w:pPr>
      <w:r w:rsidRPr="000F1969">
        <w:fldChar w:fldCharType="begin"/>
      </w:r>
      <w:r w:rsidR="00F56D2C" w:rsidRPr="000F1969">
        <w:rPr>
          <w:lang w:val="es-ES"/>
        </w:rPr>
        <w:instrText xml:space="preserve"> AUTONUM  </w:instrText>
      </w:r>
      <w:r w:rsidRPr="000F1969">
        <w:fldChar w:fldCharType="end"/>
      </w:r>
      <w:r w:rsidR="00F56D2C" w:rsidRPr="000F1969">
        <w:rPr>
          <w:lang w:val="es-ES" w:eastAsia="es-ES"/>
        </w:rPr>
        <w:t xml:space="preserve"> </w:t>
      </w:r>
      <w:r w:rsidR="00F56D2C" w:rsidRPr="000F1969">
        <w:rPr>
          <w:lang w:val="es-ES" w:eastAsia="es-ES"/>
        </w:rPr>
        <w:tab/>
        <w:t>El TWV convino en que expertos de la República Checa, Francia, los Países Bajos, Polonia y el Reino Unido colaboraran con el redactor de la Unión Europea en la elaboración de un nuevo proyecto para que el TC y los TWP lo examin</w:t>
      </w:r>
      <w:r w:rsidR="008A7F6D" w:rsidRPr="000F1969">
        <w:rPr>
          <w:lang w:val="es-ES" w:eastAsia="es-ES"/>
        </w:rPr>
        <w:t>ara</w:t>
      </w:r>
      <w:r w:rsidR="00F56D2C" w:rsidRPr="000F1969">
        <w:rPr>
          <w:lang w:val="es-ES" w:eastAsia="es-ES"/>
        </w:rPr>
        <w:t>n en sus sesiones de 2015 (véase el párrafo 59 del documento TWV/48/43).</w:t>
      </w:r>
    </w:p>
    <w:p w:rsidR="00F56D2C" w:rsidRPr="000F1969" w:rsidRDefault="00F56D2C" w:rsidP="00F56D2C">
      <w:pPr>
        <w:autoSpaceDE w:val="0"/>
        <w:autoSpaceDN w:val="0"/>
        <w:adjustRightInd w:val="0"/>
        <w:rPr>
          <w:rFonts w:cs="Arial"/>
          <w:lang w:val="es-ES"/>
        </w:rPr>
      </w:pPr>
    </w:p>
    <w:p w:rsidR="00F56D2C" w:rsidRPr="000F1969" w:rsidRDefault="006201D6" w:rsidP="00F56D2C">
      <w:pPr>
        <w:rPr>
          <w:lang w:val="es-ES"/>
        </w:rPr>
      </w:pPr>
      <w:r w:rsidRPr="000F1969">
        <w:lastRenderedPageBreak/>
        <w:fldChar w:fldCharType="begin"/>
      </w:r>
      <w:r w:rsidR="00F56D2C" w:rsidRPr="000F1969">
        <w:rPr>
          <w:lang w:val="es-ES"/>
        </w:rPr>
        <w:instrText xml:space="preserve"> AUTONUM  </w:instrText>
      </w:r>
      <w:r w:rsidRPr="000F1969">
        <w:fldChar w:fldCharType="end"/>
      </w:r>
      <w:r w:rsidR="00F56D2C" w:rsidRPr="000F1969">
        <w:rPr>
          <w:lang w:val="es-ES" w:eastAsia="es-ES"/>
        </w:rPr>
        <w:tab/>
        <w:t>El TWA convino en la importancia de definir con precisión los caracteres que han de examinarse  mediante el análisis de imagen (véase el párrafo 49 del documento TWA/43/27).</w:t>
      </w:r>
    </w:p>
    <w:p w:rsidR="00F56D2C" w:rsidRPr="000F1969" w:rsidRDefault="00F56D2C" w:rsidP="00F56D2C">
      <w:pPr>
        <w:jc w:val="left"/>
        <w:rPr>
          <w:lang w:val="es-ES"/>
        </w:rPr>
      </w:pPr>
    </w:p>
    <w:p w:rsidR="00F56D2C" w:rsidRPr="000F1969" w:rsidRDefault="006201D6" w:rsidP="00F56D2C">
      <w:pPr>
        <w:rPr>
          <w:rFonts w:cs="Arial"/>
          <w:lang w:val="es-ES"/>
        </w:rPr>
      </w:pPr>
      <w:r w:rsidRPr="000F1969">
        <w:fldChar w:fldCharType="begin"/>
      </w:r>
      <w:r w:rsidR="00F56D2C" w:rsidRPr="000F1969">
        <w:rPr>
          <w:lang w:val="es-ES"/>
        </w:rPr>
        <w:instrText xml:space="preserve"> AUTONUM  </w:instrText>
      </w:r>
      <w:r w:rsidRPr="000F1969">
        <w:fldChar w:fldCharType="end"/>
      </w:r>
      <w:r w:rsidR="00F56D2C" w:rsidRPr="000F1969">
        <w:rPr>
          <w:lang w:val="es-ES" w:eastAsia="es-ES"/>
        </w:rPr>
        <w:tab/>
        <w:t xml:space="preserve">El TWA tomó nota del uso del análisis de imagen: </w:t>
      </w:r>
      <w:r w:rsidR="00F56D2C" w:rsidRPr="000F1969">
        <w:rPr>
          <w:lang w:val="es-ES"/>
        </w:rPr>
        <w:t xml:space="preserve"> </w:t>
      </w:r>
      <w:r w:rsidR="00F56D2C" w:rsidRPr="000F1969">
        <w:rPr>
          <w:lang w:val="es-ES" w:eastAsia="es-ES"/>
        </w:rPr>
        <w:t xml:space="preserve">en Australia, para la medición de la longitud y la anchura de la hoja </w:t>
      </w:r>
      <w:r w:rsidR="00F56D2C" w:rsidRPr="000F1969">
        <w:rPr>
          <w:lang w:val="es-ES"/>
        </w:rPr>
        <w:t>de</w:t>
      </w:r>
      <w:r w:rsidR="00F56D2C" w:rsidRPr="000F1969">
        <w:rPr>
          <w:lang w:val="es-ES" w:eastAsia="es-ES"/>
        </w:rPr>
        <w:t xml:space="preserve"> plantas ornamentales;  en Dinamarca, para la medición de los pétalos, los cotiledones y las silicuas de la colza y la longitud de las espigas y las aristas de la cebada;  en el Reino Unido, para la medición de los pétalos, los cotiledones y las silicuas de la colza y de diversos caracteres de la remolacha azucarera y el haboncillo;  y en Francia para el examen de los cotiledones de la colza (véase el párrafo 50 del documento TWA/43/27).</w:t>
      </w:r>
    </w:p>
    <w:p w:rsidR="00F56D2C" w:rsidRPr="000F1969" w:rsidRDefault="00F56D2C" w:rsidP="00F56D2C">
      <w:pPr>
        <w:autoSpaceDE w:val="0"/>
        <w:autoSpaceDN w:val="0"/>
        <w:adjustRightInd w:val="0"/>
        <w:rPr>
          <w:rFonts w:cs="Arial"/>
          <w:lang w:val="es-ES"/>
        </w:rPr>
      </w:pPr>
    </w:p>
    <w:p w:rsidR="00F56D2C" w:rsidRPr="000F1969" w:rsidRDefault="006201D6" w:rsidP="00F56D2C">
      <w:pPr>
        <w:autoSpaceDE w:val="0"/>
        <w:autoSpaceDN w:val="0"/>
        <w:adjustRightInd w:val="0"/>
        <w:rPr>
          <w:lang w:val="es-ES"/>
        </w:rPr>
      </w:pPr>
      <w:r w:rsidRPr="000F1969">
        <w:fldChar w:fldCharType="begin"/>
      </w:r>
      <w:r w:rsidR="00F56D2C" w:rsidRPr="000F1969">
        <w:rPr>
          <w:lang w:val="es-ES"/>
        </w:rPr>
        <w:instrText xml:space="preserve"> AUTONUM  </w:instrText>
      </w:r>
      <w:r w:rsidRPr="000F1969">
        <w:fldChar w:fldCharType="end"/>
      </w:r>
      <w:r w:rsidR="00F56D2C" w:rsidRPr="000F1969">
        <w:rPr>
          <w:lang w:val="es-ES" w:eastAsia="es-ES"/>
        </w:rPr>
        <w:t xml:space="preserve"> </w:t>
      </w:r>
      <w:r w:rsidR="00F56D2C" w:rsidRPr="000F1969">
        <w:rPr>
          <w:lang w:val="es-ES" w:eastAsia="es-ES"/>
        </w:rPr>
        <w:tab/>
        <w:t>En el Anexo de este documento, se reproduce un nuevo proyecto propuesto por un experto de la Unión Europea.</w:t>
      </w:r>
    </w:p>
    <w:p w:rsidR="00F50118" w:rsidRPr="000F1969" w:rsidRDefault="00F50118" w:rsidP="00627ADA">
      <w:pPr>
        <w:autoSpaceDE w:val="0"/>
        <w:autoSpaceDN w:val="0"/>
        <w:adjustRightInd w:val="0"/>
        <w:rPr>
          <w:lang w:val="es-ES" w:eastAsia="ja-JP"/>
        </w:rPr>
      </w:pPr>
    </w:p>
    <w:p w:rsidR="00F50118" w:rsidRPr="000F1969" w:rsidRDefault="00F50118" w:rsidP="001E3D32">
      <w:pPr>
        <w:pStyle w:val="Heading2"/>
        <w:rPr>
          <w:color w:val="auto"/>
          <w:lang w:val="es-ES" w:eastAsia="ja-JP"/>
        </w:rPr>
      </w:pPr>
      <w:r w:rsidRPr="000F1969">
        <w:rPr>
          <w:color w:val="auto"/>
          <w:lang w:val="es-ES" w:eastAsia="ja-JP"/>
        </w:rPr>
        <w:t>Comité de Redacción Ampliado</w:t>
      </w:r>
    </w:p>
    <w:p w:rsidR="00F50118" w:rsidRPr="000F1969" w:rsidRDefault="00F50118" w:rsidP="00627ADA">
      <w:pPr>
        <w:ind w:right="400"/>
        <w:rPr>
          <w:lang w:val="es-ES" w:eastAsia="ja-JP"/>
        </w:rPr>
      </w:pPr>
    </w:p>
    <w:p w:rsidR="00F50118" w:rsidRPr="000F1969" w:rsidRDefault="006201D6" w:rsidP="00627ADA">
      <w:pPr>
        <w:ind w:right="9"/>
        <w:rPr>
          <w:lang w:val="es-ES" w:eastAsia="ja-JP"/>
        </w:rPr>
      </w:pPr>
      <w:r w:rsidRPr="000F1969">
        <w:fldChar w:fldCharType="begin"/>
      </w:r>
      <w:r w:rsidR="00627ADA" w:rsidRPr="000F1969">
        <w:rPr>
          <w:lang w:val="es-ES"/>
        </w:rPr>
        <w:instrText xml:space="preserve"> AUTONUM  </w:instrText>
      </w:r>
      <w:r w:rsidRPr="000F1969">
        <w:fldChar w:fldCharType="end"/>
      </w:r>
      <w:r w:rsidR="00627ADA" w:rsidRPr="000F1969">
        <w:rPr>
          <w:lang w:val="es-ES"/>
        </w:rPr>
        <w:tab/>
      </w:r>
      <w:r w:rsidR="00482247" w:rsidRPr="000F1969">
        <w:rPr>
          <w:lang w:val="es-ES" w:eastAsia="es-ES"/>
        </w:rPr>
        <w:t xml:space="preserve">En su reunión celebrada en Ginebra el 7 y el </w:t>
      </w:r>
      <w:r w:rsidR="00FE7248" w:rsidRPr="000F1969">
        <w:rPr>
          <w:lang w:val="es-ES" w:eastAsia="es-ES"/>
        </w:rPr>
        <w:t>8</w:t>
      </w:r>
      <w:r w:rsidR="00482247" w:rsidRPr="000F1969">
        <w:rPr>
          <w:lang w:val="es-ES" w:eastAsia="es-ES"/>
        </w:rPr>
        <w:t xml:space="preserve"> de enero de 2015, el TC</w:t>
      </w:r>
      <w:r w:rsidR="00482247" w:rsidRPr="000F1969">
        <w:rPr>
          <w:lang w:val="es-ES" w:eastAsia="es-ES"/>
        </w:rPr>
        <w:noBreakHyphen/>
        <w:t>EDC examinó el documento TC</w:t>
      </w:r>
      <w:r w:rsidR="00482247" w:rsidRPr="000F1969">
        <w:rPr>
          <w:lang w:val="es-ES" w:eastAsia="es-ES"/>
        </w:rPr>
        <w:noBreakHyphen/>
        <w:t>EDC/Jan15/11</w:t>
      </w:r>
      <w:r w:rsidR="00482247" w:rsidRPr="000F1969">
        <w:rPr>
          <w:rFonts w:cs="Arial"/>
          <w:cs/>
          <w:lang w:val="es-ES" w:eastAsia="es-ES"/>
        </w:rPr>
        <w:t xml:space="preserve"> “</w:t>
      </w:r>
      <w:r w:rsidR="00482247" w:rsidRPr="000F1969">
        <w:rPr>
          <w:i/>
          <w:lang w:val="es-ES" w:eastAsia="es-ES"/>
        </w:rPr>
        <w:t>Revision of Document TGP/8:</w:t>
      </w:r>
      <w:r w:rsidR="00482247" w:rsidRPr="000F1969">
        <w:rPr>
          <w:lang w:val="es-ES" w:eastAsia="es-ES"/>
        </w:rPr>
        <w:t xml:space="preserve"> </w:t>
      </w:r>
      <w:r w:rsidR="00482247" w:rsidRPr="000F1969">
        <w:rPr>
          <w:i/>
          <w:lang w:val="es-ES" w:eastAsia="es-ES"/>
        </w:rPr>
        <w:t>Part II: Techniques Used in DUS Examination, New Section: Examining Characteristics Using Image Analysis</w:t>
      </w:r>
      <w:r w:rsidR="00482247" w:rsidRPr="000F1969">
        <w:rPr>
          <w:rFonts w:cs="Arial"/>
          <w:cs/>
          <w:lang w:val="en-GB" w:eastAsia="es-ES"/>
        </w:rPr>
        <w:t>”</w:t>
      </w:r>
      <w:r w:rsidR="00482247" w:rsidRPr="000F1969">
        <w:rPr>
          <w:rFonts w:cs="Arial"/>
          <w:cs/>
          <w:lang w:val="es-ES" w:eastAsia="es-ES"/>
        </w:rPr>
        <w:t xml:space="preserve"> </w:t>
      </w:r>
      <w:r w:rsidR="00482247" w:rsidRPr="000F1969">
        <w:rPr>
          <w:lang w:val="es-ES" w:eastAsia="es-ES"/>
        </w:rPr>
        <w:t>(Revisión del documento TGP/8</w:t>
      </w:r>
      <w:proofErr w:type="gramStart"/>
      <w:r w:rsidR="00482247" w:rsidRPr="000F1969">
        <w:rPr>
          <w:lang w:val="es-ES" w:eastAsia="es-ES"/>
        </w:rPr>
        <w:t>:  Parte</w:t>
      </w:r>
      <w:proofErr w:type="gramEnd"/>
      <w:r w:rsidR="00482247" w:rsidRPr="000F1969">
        <w:rPr>
          <w:lang w:val="es-ES" w:eastAsia="es-ES"/>
        </w:rPr>
        <w:t xml:space="preserve"> II: </w:t>
      </w:r>
      <w:r w:rsidR="00451873" w:rsidRPr="000F1969">
        <w:rPr>
          <w:lang w:val="es-ES" w:eastAsia="es-ES"/>
        </w:rPr>
        <w:t xml:space="preserve"> </w:t>
      </w:r>
      <w:r w:rsidR="00482247" w:rsidRPr="000F1969">
        <w:rPr>
          <w:lang w:val="es-ES" w:eastAsia="es-ES"/>
        </w:rPr>
        <w:t>Técnicas utilizadas en el examen DHE, nueva sección: Examen de caracteres mediante el análisis de imagen) e hizo las siguientes recomendaciones</w:t>
      </w:r>
      <w:r w:rsidR="00627ADA" w:rsidRPr="000F1969">
        <w:rPr>
          <w:rFonts w:hint="eastAsia"/>
          <w:lang w:val="es-ES" w:eastAsia="ja-JP"/>
        </w:rPr>
        <w:t>:</w:t>
      </w:r>
    </w:p>
    <w:p w:rsidR="00F50118" w:rsidRPr="000F1969" w:rsidRDefault="00F50118" w:rsidP="00627ADA">
      <w:pPr>
        <w:jc w:val="left"/>
        <w:rPr>
          <w:lang w:val="es-ES" w:eastAsia="ja-JP"/>
        </w:rPr>
      </w:pPr>
    </w:p>
    <w:p w:rsidR="00627ADA" w:rsidRPr="000F1969" w:rsidRDefault="00627ADA" w:rsidP="00627ADA">
      <w:pPr>
        <w:keepNext/>
        <w:jc w:val="center"/>
        <w:rPr>
          <w:rFonts w:cs="Arial"/>
          <w:b/>
          <w:bCs/>
          <w:snapToGrid w:val="0"/>
          <w:lang w:val="es-ES"/>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2"/>
        <w:gridCol w:w="7659"/>
      </w:tblGrid>
      <w:tr w:rsidR="000F1969" w:rsidRPr="00D72C4D" w:rsidTr="001536B7">
        <w:tc>
          <w:tcPr>
            <w:tcW w:w="2122" w:type="dxa"/>
          </w:tcPr>
          <w:p w:rsidR="00482247" w:rsidRPr="000F1969" w:rsidRDefault="00482247" w:rsidP="001536B7">
            <w:pPr>
              <w:jc w:val="left"/>
              <w:rPr>
                <w:rFonts w:cs="Arial"/>
                <w:lang w:val="es-ES_tradnl"/>
              </w:rPr>
            </w:pPr>
            <w:r w:rsidRPr="000F1969">
              <w:rPr>
                <w:lang w:val="es-ES_tradnl"/>
              </w:rPr>
              <w:t>Anexo, Introducción y párrafo 19</w:t>
            </w:r>
          </w:p>
        </w:tc>
        <w:tc>
          <w:tcPr>
            <w:tcW w:w="7659" w:type="dxa"/>
          </w:tcPr>
          <w:p w:rsidR="00482247" w:rsidRPr="000F1969" w:rsidRDefault="00482247" w:rsidP="001536B7">
            <w:pPr>
              <w:keepNext/>
              <w:rPr>
                <w:rFonts w:cs="Arial"/>
                <w:lang w:val="es-ES"/>
              </w:rPr>
            </w:pPr>
            <w:r w:rsidRPr="000F1969">
              <w:rPr>
                <w:lang w:val="es-ES"/>
              </w:rPr>
              <w:t>El TC</w:t>
            </w:r>
            <w:r w:rsidRPr="000F1969">
              <w:rPr>
                <w:lang w:val="es-ES"/>
              </w:rPr>
              <w:noBreakHyphen/>
              <w:t>EDC tomó nota de la contradicción entre la Introducción y el párrafo 19 del proyecto de orientación y recomendó eliminar dicho párrafo</w:t>
            </w:r>
          </w:p>
        </w:tc>
      </w:tr>
      <w:tr w:rsidR="000F1969" w:rsidRPr="00D72C4D" w:rsidTr="001536B7">
        <w:tc>
          <w:tcPr>
            <w:tcW w:w="2122" w:type="dxa"/>
          </w:tcPr>
          <w:p w:rsidR="00482247" w:rsidRPr="000F1969" w:rsidRDefault="00482247" w:rsidP="001536B7">
            <w:pPr>
              <w:jc w:val="left"/>
              <w:rPr>
                <w:rFonts w:cs="Arial"/>
                <w:lang w:val="es-ES_tradnl"/>
              </w:rPr>
            </w:pPr>
            <w:r w:rsidRPr="000F1969">
              <w:rPr>
                <w:lang w:val="es-ES_tradnl"/>
              </w:rPr>
              <w:t>Párrafo 5 del Anexo</w:t>
            </w:r>
          </w:p>
        </w:tc>
        <w:tc>
          <w:tcPr>
            <w:tcW w:w="7659" w:type="dxa"/>
          </w:tcPr>
          <w:p w:rsidR="00482247" w:rsidRPr="000F1969" w:rsidRDefault="00482247" w:rsidP="008A7F6D">
            <w:pPr>
              <w:keepNext/>
              <w:rPr>
                <w:rFonts w:cs="Arial"/>
                <w:lang w:val="es-ES"/>
              </w:rPr>
            </w:pPr>
            <w:r w:rsidRPr="000F1969">
              <w:rPr>
                <w:lang w:val="es-ES"/>
              </w:rPr>
              <w:t xml:space="preserve">añadir </w:t>
            </w:r>
            <w:r w:rsidRPr="000F1969">
              <w:rPr>
                <w:rFonts w:cs="Arial"/>
                <w:cs/>
              </w:rPr>
              <w:t>“</w:t>
            </w:r>
            <w:r w:rsidRPr="000F1969">
              <w:rPr>
                <w:lang w:val="es-ES"/>
              </w:rPr>
              <w:t xml:space="preserve">en los casos en que el análisis de imagen </w:t>
            </w:r>
            <w:r w:rsidR="008A7F6D" w:rsidRPr="000F1969">
              <w:rPr>
                <w:lang w:val="es-ES"/>
              </w:rPr>
              <w:t>sea</w:t>
            </w:r>
            <w:r w:rsidRPr="000F1969">
              <w:rPr>
                <w:lang w:val="es-ES"/>
              </w:rPr>
              <w:t xml:space="preserve"> automático</w:t>
            </w:r>
            <w:r w:rsidR="00743923" w:rsidRPr="000F1969">
              <w:rPr>
                <w:rFonts w:cs="Arial"/>
                <w:cs/>
              </w:rPr>
              <w:t>”</w:t>
            </w:r>
            <w:r w:rsidRPr="000F1969">
              <w:rPr>
                <w:lang w:val="es-ES"/>
              </w:rPr>
              <w:t xml:space="preserve"> al final de la primera frase</w:t>
            </w:r>
          </w:p>
        </w:tc>
      </w:tr>
      <w:tr w:rsidR="000F1969" w:rsidRPr="00D72C4D" w:rsidTr="001536B7">
        <w:tc>
          <w:tcPr>
            <w:tcW w:w="2122" w:type="dxa"/>
          </w:tcPr>
          <w:p w:rsidR="00482247" w:rsidRPr="000F1969" w:rsidRDefault="00482247" w:rsidP="001536B7">
            <w:pPr>
              <w:jc w:val="left"/>
              <w:rPr>
                <w:rFonts w:cs="Arial"/>
                <w:lang w:val="es-ES_tradnl"/>
              </w:rPr>
            </w:pPr>
            <w:r w:rsidRPr="000F1969">
              <w:rPr>
                <w:lang w:val="es-ES_tradnl"/>
              </w:rPr>
              <w:t>Párrafo 14 del Anexo</w:t>
            </w:r>
          </w:p>
        </w:tc>
        <w:tc>
          <w:tcPr>
            <w:tcW w:w="7659" w:type="dxa"/>
          </w:tcPr>
          <w:p w:rsidR="00482247" w:rsidRPr="000F1969" w:rsidRDefault="00482247" w:rsidP="001536B7">
            <w:pPr>
              <w:keepNext/>
              <w:rPr>
                <w:rFonts w:cs="Arial"/>
                <w:lang w:val="es-ES"/>
              </w:rPr>
            </w:pPr>
            <w:r w:rsidRPr="000F1969">
              <w:rPr>
                <w:lang w:val="es-ES"/>
              </w:rPr>
              <w:t>eliminar el título anterior al párrafo</w:t>
            </w:r>
          </w:p>
        </w:tc>
      </w:tr>
      <w:tr w:rsidR="000F1969" w:rsidRPr="00D72C4D" w:rsidTr="001536B7">
        <w:tc>
          <w:tcPr>
            <w:tcW w:w="2122" w:type="dxa"/>
          </w:tcPr>
          <w:p w:rsidR="00482247" w:rsidRPr="000F1969" w:rsidRDefault="00482247" w:rsidP="001536B7">
            <w:pPr>
              <w:jc w:val="left"/>
              <w:rPr>
                <w:rFonts w:cs="Arial"/>
                <w:lang w:val="es-ES_tradnl"/>
              </w:rPr>
            </w:pPr>
            <w:r w:rsidRPr="000F1969">
              <w:rPr>
                <w:lang w:val="es-ES_tradnl"/>
              </w:rPr>
              <w:t>Párrafo 18 del Anexo</w:t>
            </w:r>
          </w:p>
        </w:tc>
        <w:tc>
          <w:tcPr>
            <w:tcW w:w="7659" w:type="dxa"/>
          </w:tcPr>
          <w:p w:rsidR="00482247" w:rsidRPr="000F1969" w:rsidRDefault="00482247" w:rsidP="001536B7">
            <w:pPr>
              <w:keepNext/>
              <w:rPr>
                <w:rFonts w:cs="Arial"/>
                <w:lang w:val="es-ES"/>
              </w:rPr>
            </w:pPr>
            <w:r w:rsidRPr="000F1969">
              <w:rPr>
                <w:rFonts w:cs="Arial"/>
                <w:lang w:val="es-ES_tradnl"/>
              </w:rPr>
              <w:t xml:space="preserve">corríjase la ortografía de:  “RHS </w:t>
            </w:r>
            <w:r w:rsidRPr="000F1969">
              <w:rPr>
                <w:rFonts w:cs="Arial"/>
                <w:highlight w:val="lightGray"/>
                <w:u w:val="single"/>
                <w:lang w:val="es-ES_tradnl"/>
              </w:rPr>
              <w:t>colour</w:t>
            </w:r>
            <w:r w:rsidRPr="000F1969">
              <w:rPr>
                <w:rFonts w:cs="Arial"/>
                <w:lang w:val="es-ES_tradnl"/>
              </w:rPr>
              <w:t xml:space="preserve"> Chart” (en la versión inglesa)</w:t>
            </w:r>
          </w:p>
        </w:tc>
      </w:tr>
      <w:tr w:rsidR="000F1969" w:rsidRPr="00D72C4D" w:rsidTr="001536B7">
        <w:tc>
          <w:tcPr>
            <w:tcW w:w="2122" w:type="dxa"/>
          </w:tcPr>
          <w:p w:rsidR="00482247" w:rsidRPr="000F1969" w:rsidRDefault="00482247" w:rsidP="001536B7">
            <w:pPr>
              <w:jc w:val="left"/>
              <w:rPr>
                <w:rFonts w:cs="Arial"/>
                <w:lang w:val="es-ES_tradnl"/>
              </w:rPr>
            </w:pPr>
            <w:r w:rsidRPr="000F1969">
              <w:rPr>
                <w:lang w:val="es-ES_tradnl"/>
              </w:rPr>
              <w:t>Párrafo 22 del Anexo</w:t>
            </w:r>
          </w:p>
        </w:tc>
        <w:tc>
          <w:tcPr>
            <w:tcW w:w="7659" w:type="dxa"/>
          </w:tcPr>
          <w:p w:rsidR="00482247" w:rsidRPr="000F1969" w:rsidRDefault="00482247" w:rsidP="00743923">
            <w:pPr>
              <w:pStyle w:val="ListParagraph"/>
              <w:spacing w:after="0" w:line="240" w:lineRule="auto"/>
              <w:ind w:left="0"/>
              <w:jc w:val="both"/>
              <w:rPr>
                <w:rFonts w:cs="Arial"/>
                <w:lang w:val="es-ES"/>
              </w:rPr>
            </w:pPr>
            <w:r w:rsidRPr="000F1969">
              <w:rPr>
                <w:rFonts w:ascii="Arial" w:eastAsia="Times New Roman" w:hAnsi="Arial"/>
                <w:sz w:val="20"/>
                <w:lang w:val="es-ES"/>
              </w:rPr>
              <w:t xml:space="preserve">el texto debe ser </w:t>
            </w:r>
            <w:r w:rsidRPr="000F1969">
              <w:rPr>
                <w:rFonts w:ascii="Arial" w:eastAsia="Times New Roman" w:hAnsi="Arial" w:cs="Arial"/>
                <w:sz w:val="20"/>
                <w:cs/>
              </w:rPr>
              <w:t>“…</w:t>
            </w:r>
            <w:r w:rsidRPr="000F1969">
              <w:rPr>
                <w:rFonts w:ascii="Arial" w:eastAsia="Times New Roman" w:hAnsi="Arial"/>
                <w:sz w:val="20"/>
                <w:lang w:val="es-ES"/>
              </w:rPr>
              <w:t xml:space="preserve"> posible utilizarlo para una variedad más amplia de caracteres </w:t>
            </w:r>
            <w:r w:rsidRPr="000F1969">
              <w:rPr>
                <w:rFonts w:ascii="Arial" w:eastAsia="Times New Roman" w:hAnsi="Arial"/>
                <w:sz w:val="20"/>
                <w:highlight w:val="lightGray"/>
                <w:u w:val="single"/>
                <w:lang w:val="es-ES"/>
              </w:rPr>
              <w:t>estándar de la UPOV</w:t>
            </w:r>
            <w:r w:rsidRPr="000F1969">
              <w:rPr>
                <w:rFonts w:ascii="Arial" w:eastAsia="Times New Roman" w:hAnsi="Arial"/>
                <w:sz w:val="20"/>
                <w:lang w:val="es-ES"/>
              </w:rPr>
              <w:t xml:space="preserve"> en el futuro</w:t>
            </w:r>
            <w:r w:rsidR="00743923" w:rsidRPr="000F1969">
              <w:rPr>
                <w:rFonts w:ascii="Arial" w:hAnsi="Arial" w:cs="Arial"/>
                <w:cs/>
                <w:lang w:val="es-ES" w:eastAsia="es-ES"/>
              </w:rPr>
              <w:t>”</w:t>
            </w:r>
            <w:r w:rsidRPr="000F1969">
              <w:rPr>
                <w:rFonts w:ascii="Arial" w:eastAsia="Times New Roman" w:hAnsi="Arial"/>
                <w:sz w:val="20"/>
                <w:lang w:val="es-ES"/>
              </w:rPr>
              <w:t xml:space="preserve">. </w:t>
            </w:r>
          </w:p>
        </w:tc>
      </w:tr>
    </w:tbl>
    <w:p w:rsidR="00F50118" w:rsidRPr="000F1969" w:rsidRDefault="00F50118" w:rsidP="00627ADA">
      <w:pPr>
        <w:jc w:val="center"/>
        <w:rPr>
          <w:rFonts w:cs="Arial"/>
          <w:bCs/>
          <w:snapToGrid w:val="0"/>
          <w:lang w:val="es-ES"/>
        </w:rPr>
      </w:pPr>
    </w:p>
    <w:p w:rsidR="00F50118" w:rsidRPr="000F1969" w:rsidRDefault="00F50118" w:rsidP="00627ADA">
      <w:pPr>
        <w:autoSpaceDE w:val="0"/>
        <w:autoSpaceDN w:val="0"/>
        <w:adjustRightInd w:val="0"/>
        <w:rPr>
          <w:rFonts w:cs="Arial"/>
          <w:lang w:val="es-ES" w:eastAsia="ja-JP"/>
        </w:rPr>
      </w:pPr>
    </w:p>
    <w:p w:rsidR="00F50118" w:rsidRPr="000F1969" w:rsidRDefault="00F50118" w:rsidP="00627ADA">
      <w:pPr>
        <w:autoSpaceDE w:val="0"/>
        <w:autoSpaceDN w:val="0"/>
        <w:adjustRightInd w:val="0"/>
        <w:rPr>
          <w:rFonts w:cs="Arial"/>
          <w:lang w:val="es-ES" w:eastAsia="ja-JP"/>
        </w:rPr>
      </w:pPr>
    </w:p>
    <w:p w:rsidR="00F50118" w:rsidRPr="000F1969" w:rsidRDefault="006201D6" w:rsidP="00627ADA">
      <w:pPr>
        <w:pStyle w:val="DecisionParagraphs"/>
        <w:tabs>
          <w:tab w:val="left" w:pos="5490"/>
        </w:tabs>
        <w:rPr>
          <w:iCs/>
          <w:spacing w:val="-4"/>
          <w:lang w:val="es-ES" w:eastAsia="ja-JP"/>
        </w:rPr>
      </w:pPr>
      <w:r w:rsidRPr="000F1969">
        <w:fldChar w:fldCharType="begin"/>
      </w:r>
      <w:r w:rsidR="00627ADA" w:rsidRPr="000F1969">
        <w:rPr>
          <w:lang w:val="es-ES"/>
        </w:rPr>
        <w:instrText xml:space="preserve"> AUTONUM  </w:instrText>
      </w:r>
      <w:r w:rsidRPr="000F1969">
        <w:fldChar w:fldCharType="end"/>
      </w:r>
      <w:r w:rsidR="00627ADA" w:rsidRPr="000F1969">
        <w:rPr>
          <w:lang w:val="es-ES"/>
        </w:rPr>
        <w:tab/>
      </w:r>
      <w:r w:rsidR="00482247" w:rsidRPr="000F1969">
        <w:rPr>
          <w:spacing w:val="-4"/>
          <w:lang w:val="es-ES" w:eastAsia="es-ES"/>
        </w:rPr>
        <w:t xml:space="preserve">Se invita al TC a examinar el proyecto de orientación propuesto sobre el </w:t>
      </w:r>
      <w:r w:rsidR="00482247" w:rsidRPr="000F1969">
        <w:rPr>
          <w:lang w:val="es-ES" w:eastAsia="es-ES"/>
        </w:rPr>
        <w:t xml:space="preserve"> </w:t>
      </w:r>
      <w:r w:rsidR="00482247" w:rsidRPr="000F1969">
        <w:rPr>
          <w:rFonts w:cs="Arial"/>
          <w:cs/>
          <w:lang w:val="es-ES" w:eastAsia="es-ES"/>
        </w:rPr>
        <w:t>“</w:t>
      </w:r>
      <w:r w:rsidR="00482247" w:rsidRPr="000F1969">
        <w:rPr>
          <w:lang w:val="es-ES" w:eastAsia="es-ES"/>
        </w:rPr>
        <w:t>Examen de caracteres mediante el análisis de imagen</w:t>
      </w:r>
      <w:r w:rsidR="00482247" w:rsidRPr="000F1969">
        <w:rPr>
          <w:rFonts w:cs="Arial"/>
          <w:cs/>
          <w:lang w:val="es-ES" w:eastAsia="es-ES"/>
        </w:rPr>
        <w:t>”</w:t>
      </w:r>
      <w:r w:rsidR="00482247" w:rsidRPr="000F1969">
        <w:rPr>
          <w:lang w:val="es-ES" w:eastAsia="es-ES"/>
        </w:rPr>
        <w:t>, que se presenta en el Anexo de este documento, junto con los comentarios efectuados por el TC</w:t>
      </w:r>
      <w:r w:rsidR="00482247" w:rsidRPr="000F1969">
        <w:rPr>
          <w:lang w:val="es-ES" w:eastAsia="es-ES"/>
        </w:rPr>
        <w:noBreakHyphen/>
        <w:t>EDC en su reunión de 2015,</w:t>
      </w:r>
      <w:r w:rsidR="00482247" w:rsidRPr="000F1969">
        <w:rPr>
          <w:spacing w:val="-4"/>
          <w:lang w:val="es-ES" w:eastAsia="es-ES"/>
        </w:rPr>
        <w:t xml:space="preserve"> que se indican en el párrafo 16</w:t>
      </w:r>
      <w:r w:rsidR="00627ADA" w:rsidRPr="000F1969">
        <w:rPr>
          <w:iCs/>
          <w:spacing w:val="-4"/>
          <w:lang w:val="es-ES" w:eastAsia="ja-JP"/>
        </w:rPr>
        <w:t>.</w:t>
      </w:r>
    </w:p>
    <w:p w:rsidR="00F50118" w:rsidRPr="000F1969" w:rsidRDefault="00F50118" w:rsidP="00627ADA">
      <w:pPr>
        <w:pStyle w:val="DecisionParagraphs"/>
        <w:tabs>
          <w:tab w:val="left" w:pos="5490"/>
        </w:tabs>
        <w:rPr>
          <w:iCs/>
          <w:spacing w:val="-4"/>
          <w:lang w:val="es-ES" w:eastAsia="ja-JP"/>
        </w:rPr>
      </w:pPr>
    </w:p>
    <w:p w:rsidR="00F50118" w:rsidRPr="000F1969" w:rsidRDefault="00F50118" w:rsidP="00627ADA">
      <w:pPr>
        <w:pStyle w:val="DecisionParagraphs"/>
        <w:tabs>
          <w:tab w:val="left" w:pos="5490"/>
        </w:tabs>
        <w:rPr>
          <w:i w:val="0"/>
          <w:iCs/>
          <w:lang w:val="es-ES" w:eastAsia="ja-JP"/>
        </w:rPr>
      </w:pPr>
    </w:p>
    <w:p w:rsidR="00F50118" w:rsidRPr="000F1969" w:rsidRDefault="00557BFD" w:rsidP="00F50118">
      <w:pPr>
        <w:keepNext/>
        <w:jc w:val="right"/>
        <w:rPr>
          <w:rFonts w:cs="Arial"/>
          <w:lang w:val="es-ES"/>
        </w:rPr>
      </w:pPr>
      <w:r w:rsidRPr="000F1969">
        <w:rPr>
          <w:rFonts w:cs="Arial"/>
          <w:lang w:val="es-ES_tradnl"/>
        </w:rPr>
        <w:t>[</w:t>
      </w:r>
      <w:r w:rsidR="00F50118" w:rsidRPr="000F1969">
        <w:rPr>
          <w:rFonts w:cs="Arial"/>
          <w:lang w:val="es-ES_tradnl"/>
        </w:rPr>
        <w:t>Sigue el Anexo]</w:t>
      </w:r>
    </w:p>
    <w:p w:rsidR="00F50118" w:rsidRPr="000F1969" w:rsidRDefault="00F50118" w:rsidP="00627ADA">
      <w:pPr>
        <w:rPr>
          <w:rFonts w:cs="Arial"/>
          <w:lang w:val="es-ES"/>
        </w:rPr>
      </w:pPr>
    </w:p>
    <w:p w:rsidR="000C1BB1" w:rsidRPr="000F1969" w:rsidRDefault="000C1BB1" w:rsidP="00627ADA">
      <w:pPr>
        <w:rPr>
          <w:rFonts w:cs="Arial"/>
          <w:lang w:val="es-ES"/>
        </w:rPr>
        <w:sectPr w:rsidR="000C1BB1" w:rsidRPr="000F1969" w:rsidSect="00906DDC">
          <w:headerReference w:type="default" r:id="rId9"/>
          <w:pgSz w:w="11907" w:h="16840" w:code="9"/>
          <w:pgMar w:top="510" w:right="1134" w:bottom="1134" w:left="1134" w:header="510" w:footer="680" w:gutter="0"/>
          <w:cols w:space="720"/>
          <w:titlePg/>
        </w:sectPr>
      </w:pPr>
    </w:p>
    <w:p w:rsidR="00F50118" w:rsidRPr="000F1969" w:rsidRDefault="00F50118" w:rsidP="00627ADA">
      <w:pPr>
        <w:rPr>
          <w:rFonts w:cs="Arial"/>
          <w:lang w:val="es-ES" w:eastAsia="ja-JP"/>
        </w:rPr>
      </w:pPr>
    </w:p>
    <w:p w:rsidR="00F50118" w:rsidRPr="000F1969" w:rsidRDefault="00F50118" w:rsidP="00F50118">
      <w:pPr>
        <w:jc w:val="center"/>
        <w:rPr>
          <w:rFonts w:cs="Arial"/>
          <w:lang w:val="es-ES" w:eastAsia="ja-JP"/>
        </w:rPr>
      </w:pPr>
      <w:r w:rsidRPr="000F1969">
        <w:rPr>
          <w:lang w:val="es-ES_tradnl" w:eastAsia="ja-JP"/>
        </w:rPr>
        <w:t>Documento preparado por expertos de la Unión Europea</w:t>
      </w:r>
      <w:r w:rsidR="00627ADA" w:rsidRPr="000F1969">
        <w:rPr>
          <w:rFonts w:hint="eastAsia"/>
          <w:lang w:val="es-ES" w:eastAsia="ja-JP"/>
        </w:rPr>
        <w:tab/>
      </w:r>
    </w:p>
    <w:p w:rsidR="00F50118" w:rsidRPr="000F1969" w:rsidRDefault="00F50118" w:rsidP="00627ADA">
      <w:pPr>
        <w:rPr>
          <w:rFonts w:cs="Arial"/>
          <w:lang w:val="es-ES" w:eastAsia="ja-JP"/>
        </w:rPr>
      </w:pPr>
    </w:p>
    <w:p w:rsidR="00F50118" w:rsidRPr="000F1969" w:rsidRDefault="00F50118" w:rsidP="009F39F5">
      <w:pPr>
        <w:pStyle w:val="Heading1"/>
        <w:rPr>
          <w:color w:val="auto"/>
          <w:lang w:val="es-ES"/>
        </w:rPr>
      </w:pPr>
      <w:r w:rsidRPr="000F1969">
        <w:rPr>
          <w:color w:val="auto"/>
        </w:rPr>
        <w:t>EXAMEN DE CARACTERES MEDIANTE EL ANÁLISIS DE IMAGEN</w:t>
      </w:r>
    </w:p>
    <w:p w:rsidR="00F50118" w:rsidRPr="000F1969" w:rsidRDefault="00F50118" w:rsidP="00627ADA">
      <w:pPr>
        <w:rPr>
          <w:rFonts w:cs="Arial"/>
          <w:lang w:val="es-ES"/>
        </w:rPr>
      </w:pPr>
    </w:p>
    <w:p w:rsidR="00F50118" w:rsidRPr="000F1969" w:rsidRDefault="00F50118" w:rsidP="009F39F5">
      <w:pPr>
        <w:pStyle w:val="Heading1"/>
        <w:rPr>
          <w:color w:val="auto"/>
        </w:rPr>
      </w:pPr>
      <w:r w:rsidRPr="000F1969">
        <w:rPr>
          <w:color w:val="auto"/>
        </w:rPr>
        <w:t>INTRODUCCIÓN</w:t>
      </w:r>
    </w:p>
    <w:p w:rsidR="00F50118" w:rsidRPr="000F1969" w:rsidRDefault="00F50118" w:rsidP="00627ADA">
      <w:pPr>
        <w:rPr>
          <w:rFonts w:cs="Arial"/>
          <w:u w:val="single"/>
        </w:rPr>
      </w:pPr>
    </w:p>
    <w:p w:rsidR="00F50118" w:rsidRPr="000F1969" w:rsidRDefault="009F39F5" w:rsidP="00627ADA">
      <w:pPr>
        <w:pStyle w:val="ListParagraph"/>
        <w:numPr>
          <w:ilvl w:val="0"/>
          <w:numId w:val="1"/>
        </w:numPr>
        <w:spacing w:after="0" w:line="240" w:lineRule="auto"/>
        <w:ind w:left="0" w:firstLine="0"/>
        <w:jc w:val="both"/>
        <w:rPr>
          <w:rFonts w:ascii="Arial" w:hAnsi="Arial" w:cs="Arial"/>
          <w:sz w:val="20"/>
          <w:szCs w:val="20"/>
          <w:highlight w:val="lightGray"/>
          <w:u w:val="single"/>
          <w:lang w:val="es-ES"/>
        </w:rPr>
      </w:pPr>
      <w:r w:rsidRPr="000F1969">
        <w:rPr>
          <w:rFonts w:ascii="Arial" w:hAnsi="Arial" w:cs="Arial"/>
          <w:sz w:val="20"/>
          <w:highlight w:val="lightGray"/>
          <w:u w:val="single"/>
          <w:lang w:val="es-ES"/>
        </w:rPr>
        <w:t>La sección</w:t>
      </w:r>
      <w:r w:rsidR="00627ADA" w:rsidRPr="000F1969">
        <w:rPr>
          <w:rFonts w:ascii="Arial" w:hAnsi="Arial" w:cs="Arial"/>
          <w:sz w:val="20"/>
          <w:highlight w:val="lightGray"/>
          <w:u w:val="single"/>
          <w:lang w:val="es-ES"/>
        </w:rPr>
        <w:t xml:space="preserve"> III</w:t>
      </w:r>
      <w:r w:rsidRPr="000F1969">
        <w:rPr>
          <w:rFonts w:ascii="Arial" w:hAnsi="Arial" w:cs="Arial"/>
          <w:sz w:val="20"/>
          <w:highlight w:val="lightGray"/>
          <w:u w:val="single"/>
          <w:lang w:val="es-ES"/>
        </w:rPr>
        <w:t xml:space="preserve"> del </w:t>
      </w:r>
      <w:r w:rsidR="00627ADA" w:rsidRPr="000F1969">
        <w:rPr>
          <w:rFonts w:ascii="Arial" w:hAnsi="Arial" w:cs="Arial"/>
          <w:sz w:val="20"/>
          <w:highlight w:val="lightGray"/>
          <w:u w:val="single"/>
          <w:lang w:val="es-ES"/>
        </w:rPr>
        <w:t>document</w:t>
      </w:r>
      <w:r w:rsidRPr="000F1969">
        <w:rPr>
          <w:rFonts w:ascii="Arial" w:hAnsi="Arial" w:cs="Arial"/>
          <w:sz w:val="20"/>
          <w:highlight w:val="lightGray"/>
          <w:u w:val="single"/>
          <w:lang w:val="es-ES"/>
        </w:rPr>
        <w:t>o</w:t>
      </w:r>
      <w:r w:rsidR="00627ADA" w:rsidRPr="000F1969">
        <w:rPr>
          <w:rFonts w:ascii="Arial" w:hAnsi="Arial" w:cs="Arial"/>
          <w:sz w:val="20"/>
          <w:highlight w:val="lightGray"/>
          <w:u w:val="single"/>
          <w:lang w:val="es-ES"/>
        </w:rPr>
        <w:t xml:space="preserve"> TGP/12/1 Draft 7 “</w:t>
      </w:r>
      <w:r w:rsidRPr="000F1969">
        <w:rPr>
          <w:rFonts w:ascii="Arial" w:hAnsi="Arial" w:cs="Arial"/>
          <w:sz w:val="20"/>
          <w:highlight w:val="lightGray"/>
          <w:u w:val="single"/>
          <w:lang w:val="es-ES"/>
        </w:rPr>
        <w:t>Caracteres es</w:t>
      </w:r>
      <w:r w:rsidR="00627ADA" w:rsidRPr="000F1969">
        <w:rPr>
          <w:rFonts w:ascii="Arial" w:hAnsi="Arial" w:cs="Arial"/>
          <w:sz w:val="20"/>
          <w:highlight w:val="lightGray"/>
          <w:u w:val="single"/>
          <w:lang w:val="es-ES"/>
        </w:rPr>
        <w:t>pecial</w:t>
      </w:r>
      <w:r w:rsidRPr="000F1969">
        <w:rPr>
          <w:rFonts w:ascii="Arial" w:hAnsi="Arial" w:cs="Arial"/>
          <w:sz w:val="20"/>
          <w:highlight w:val="lightGray"/>
          <w:u w:val="single"/>
          <w:lang w:val="es-ES"/>
        </w:rPr>
        <w:t>e</w:t>
      </w:r>
      <w:r w:rsidR="00627ADA" w:rsidRPr="000F1969">
        <w:rPr>
          <w:rFonts w:ascii="Arial" w:hAnsi="Arial" w:cs="Arial"/>
          <w:sz w:val="20"/>
          <w:highlight w:val="lightGray"/>
          <w:u w:val="single"/>
          <w:lang w:val="es-ES"/>
        </w:rPr>
        <w:t xml:space="preserve">s” </w:t>
      </w:r>
      <w:r w:rsidR="00407AE1" w:rsidRPr="000F1969">
        <w:rPr>
          <w:rFonts w:ascii="Arial" w:hAnsi="Arial" w:cs="Arial"/>
          <w:sz w:val="20"/>
          <w:highlight w:val="lightGray"/>
          <w:u w:val="single"/>
          <w:lang w:val="es-ES"/>
        </w:rPr>
        <w:t>dice lo siguiente</w:t>
      </w:r>
      <w:r w:rsidR="00627ADA" w:rsidRPr="000F1969">
        <w:rPr>
          <w:rFonts w:ascii="Arial" w:hAnsi="Arial" w:cs="Arial"/>
          <w:sz w:val="20"/>
          <w:highlight w:val="lightGray"/>
          <w:u w:val="single"/>
          <w:lang w:val="es-ES"/>
        </w:rPr>
        <w:t>:</w:t>
      </w:r>
    </w:p>
    <w:p w:rsidR="00F50118" w:rsidRPr="000F1969" w:rsidRDefault="00F50118" w:rsidP="00627ADA">
      <w:pPr>
        <w:rPr>
          <w:rFonts w:cs="Arial"/>
          <w:u w:val="single"/>
          <w:lang w:val="es-ES"/>
        </w:rPr>
      </w:pPr>
    </w:p>
    <w:p w:rsidR="00F50118" w:rsidRPr="000F1969" w:rsidRDefault="001A55F6" w:rsidP="00F50118">
      <w:pPr>
        <w:ind w:left="567"/>
        <w:rPr>
          <w:rFonts w:cs="Arial"/>
          <w:i/>
          <w:u w:val="single"/>
          <w:lang w:val="es-ES"/>
        </w:rPr>
      </w:pPr>
      <w:r w:rsidRPr="000F1969">
        <w:rPr>
          <w:i/>
          <w:szCs w:val="18"/>
          <w:highlight w:val="lightGray"/>
          <w:u w:val="single"/>
          <w:lang w:val="es-ES"/>
        </w:rPr>
        <w:t>“</w:t>
      </w:r>
      <w:r w:rsidR="00F50118" w:rsidRPr="000F1969">
        <w:rPr>
          <w:i/>
          <w:szCs w:val="18"/>
          <w:highlight w:val="lightGray"/>
          <w:u w:val="single"/>
          <w:lang w:val="es-ES_tradnl"/>
        </w:rPr>
        <w:t>Los caracteres que pueden examinarse mediante el análisis de imagen también deben ser susceptibles de examen mediante observación visual o medición manual, según proceda.   Las explicaciones para la observación de tales caracteres, incluidas, cuando corresponda, las que figuran en las directrices de examen, deben formularse en términos tales que permitan a todos los expertos en el examen DHE comprender y examinar los caracteres.</w:t>
      </w:r>
      <w:r w:rsidRPr="000F1969">
        <w:rPr>
          <w:i/>
          <w:szCs w:val="18"/>
          <w:highlight w:val="lightGray"/>
          <w:u w:val="single"/>
          <w:lang w:val="es-ES"/>
        </w:rPr>
        <w:t>”</w:t>
      </w:r>
    </w:p>
    <w:p w:rsidR="00F50118" w:rsidRPr="000F1969" w:rsidRDefault="00F50118" w:rsidP="00627ADA">
      <w:pPr>
        <w:rPr>
          <w:rFonts w:cs="Arial"/>
          <w:lang w:val="es-ES"/>
        </w:rPr>
      </w:pPr>
    </w:p>
    <w:p w:rsidR="00F50118" w:rsidRPr="000F1969" w:rsidRDefault="00F50118" w:rsidP="00F50118">
      <w:pPr>
        <w:pStyle w:val="ListParagraph"/>
        <w:numPr>
          <w:ilvl w:val="0"/>
          <w:numId w:val="1"/>
        </w:numPr>
        <w:tabs>
          <w:tab w:val="left" w:pos="540"/>
        </w:tabs>
        <w:spacing w:after="0" w:line="240" w:lineRule="auto"/>
        <w:ind w:left="720"/>
        <w:jc w:val="both"/>
        <w:rPr>
          <w:rFonts w:ascii="Arial" w:hAnsi="Arial" w:cs="Arial"/>
          <w:sz w:val="20"/>
          <w:szCs w:val="20"/>
          <w:highlight w:val="lightGray"/>
          <w:u w:val="single"/>
          <w:lang w:val="en-US"/>
        </w:rPr>
      </w:pPr>
      <w:r w:rsidRPr="000F1969">
        <w:rPr>
          <w:rFonts w:ascii="Arial" w:hAnsi="Arial" w:cs="Arial"/>
          <w:sz w:val="20"/>
          <w:szCs w:val="20"/>
          <w:highlight w:val="lightGray"/>
          <w:u w:val="single"/>
          <w:lang w:val="es-ES_tradnl"/>
        </w:rPr>
        <w:t>Caracteres combinados</w:t>
      </w:r>
    </w:p>
    <w:p w:rsidR="00F50118" w:rsidRPr="000F1969" w:rsidRDefault="00F50118" w:rsidP="00627ADA">
      <w:pPr>
        <w:rPr>
          <w:rFonts w:cs="Arial"/>
          <w:highlight w:val="lightGray"/>
          <w:u w:val="single"/>
        </w:rPr>
      </w:pPr>
    </w:p>
    <w:p w:rsidR="00F50118" w:rsidRPr="000F1969" w:rsidRDefault="001A55F6" w:rsidP="00F50118">
      <w:pPr>
        <w:ind w:left="567" w:right="459"/>
        <w:rPr>
          <w:szCs w:val="18"/>
          <w:highlight w:val="lightGray"/>
          <w:u w:val="single"/>
          <w:lang w:val="es-ES"/>
        </w:rPr>
      </w:pPr>
      <w:r w:rsidRPr="000F1969">
        <w:rPr>
          <w:szCs w:val="18"/>
          <w:highlight w:val="lightGray"/>
          <w:u w:val="single"/>
          <w:lang w:val="es-ES_tradnl"/>
        </w:rPr>
        <w:t>2.1</w:t>
      </w:r>
      <w:r w:rsidRPr="000F1969">
        <w:rPr>
          <w:szCs w:val="18"/>
          <w:highlight w:val="lightGray"/>
          <w:u w:val="single"/>
          <w:lang w:val="es-ES_tradnl"/>
        </w:rPr>
        <w:tab/>
      </w:r>
      <w:r w:rsidR="00F50118" w:rsidRPr="000F1969">
        <w:rPr>
          <w:szCs w:val="18"/>
          <w:highlight w:val="lightGray"/>
          <w:u w:val="single"/>
          <w:lang w:val="es-ES_tradnl"/>
        </w:rPr>
        <w:t>En la Introducción General (documento TG/1/3, Capítulo 4, sección 4) se establece que:</w:t>
      </w:r>
      <w:r w:rsidR="00627ADA" w:rsidRPr="000F1969">
        <w:rPr>
          <w:szCs w:val="18"/>
          <w:highlight w:val="lightGray"/>
          <w:u w:val="single"/>
          <w:lang w:val="es-ES"/>
        </w:rPr>
        <w:t xml:space="preserve"> </w:t>
      </w:r>
    </w:p>
    <w:p w:rsidR="00F50118" w:rsidRPr="000F1969" w:rsidRDefault="00F50118" w:rsidP="00627ADA">
      <w:pPr>
        <w:ind w:left="360" w:right="459"/>
        <w:rPr>
          <w:szCs w:val="18"/>
          <w:highlight w:val="lightGray"/>
          <w:u w:val="single"/>
          <w:lang w:val="es-ES"/>
        </w:rPr>
      </w:pPr>
    </w:p>
    <w:p w:rsidR="00F50118" w:rsidRPr="000F1969" w:rsidRDefault="005733E2" w:rsidP="001A55F6">
      <w:pPr>
        <w:tabs>
          <w:tab w:val="left" w:pos="1985"/>
        </w:tabs>
        <w:ind w:left="1065" w:right="459"/>
        <w:rPr>
          <w:i/>
          <w:szCs w:val="18"/>
          <w:highlight w:val="lightGray"/>
          <w:u w:val="single"/>
          <w:lang w:val="es-ES"/>
        </w:rPr>
      </w:pPr>
      <w:r>
        <w:rPr>
          <w:i/>
          <w:szCs w:val="18"/>
          <w:highlight w:val="lightGray"/>
          <w:u w:val="single"/>
          <w:lang w:val="es-ES_tradnl"/>
        </w:rPr>
        <w:t>‘</w:t>
      </w:r>
      <w:r w:rsidR="001A55F6" w:rsidRPr="000F1969">
        <w:rPr>
          <w:i/>
          <w:szCs w:val="18"/>
          <w:highlight w:val="lightGray"/>
          <w:u w:val="single"/>
          <w:lang w:val="es-ES_tradnl"/>
        </w:rPr>
        <w:t>4.6.3</w:t>
      </w:r>
      <w:r w:rsidR="001A55F6" w:rsidRPr="000F1969">
        <w:rPr>
          <w:i/>
          <w:szCs w:val="18"/>
          <w:highlight w:val="lightGray"/>
          <w:u w:val="single"/>
          <w:lang w:val="es-ES_tradnl"/>
        </w:rPr>
        <w:tab/>
      </w:r>
      <w:r w:rsidR="00F50118" w:rsidRPr="000F1969">
        <w:rPr>
          <w:i/>
          <w:szCs w:val="18"/>
          <w:highlight w:val="lightGray"/>
          <w:u w:val="single"/>
          <w:lang w:val="es-ES_tradnl"/>
        </w:rPr>
        <w:t>Caracteres combinados</w:t>
      </w:r>
    </w:p>
    <w:p w:rsidR="00F50118" w:rsidRPr="000F1969" w:rsidRDefault="00F50118" w:rsidP="00627ADA">
      <w:pPr>
        <w:ind w:left="360" w:right="459"/>
        <w:rPr>
          <w:i/>
          <w:szCs w:val="18"/>
          <w:highlight w:val="lightGray"/>
          <w:u w:val="single"/>
          <w:lang w:val="es-ES"/>
        </w:rPr>
      </w:pPr>
    </w:p>
    <w:p w:rsidR="00F50118" w:rsidRPr="000F1969" w:rsidRDefault="005733E2" w:rsidP="00F50118">
      <w:pPr>
        <w:ind w:left="1065" w:right="459"/>
        <w:rPr>
          <w:i/>
          <w:szCs w:val="18"/>
          <w:highlight w:val="lightGray"/>
          <w:u w:val="single"/>
          <w:lang w:val="es-ES"/>
        </w:rPr>
      </w:pPr>
      <w:r>
        <w:rPr>
          <w:i/>
          <w:szCs w:val="18"/>
          <w:highlight w:val="lightGray"/>
          <w:u w:val="single"/>
          <w:lang w:val="es-ES_tradnl"/>
        </w:rPr>
        <w:t>‘</w:t>
      </w:r>
      <w:r w:rsidR="00F50118" w:rsidRPr="000F1969">
        <w:rPr>
          <w:i/>
          <w:szCs w:val="18"/>
          <w:highlight w:val="lightGray"/>
          <w:u w:val="single"/>
          <w:lang w:val="es-ES_tradnl"/>
        </w:rPr>
        <w:t>4.6.3.1  El carácter combinado es una simple combinación de un pequeño número de caracteres.</w:t>
      </w:r>
      <w:r w:rsidR="00627ADA" w:rsidRPr="000F1969">
        <w:rPr>
          <w:i/>
          <w:szCs w:val="18"/>
          <w:highlight w:val="lightGray"/>
          <w:u w:val="single"/>
          <w:lang w:val="es-ES"/>
        </w:rPr>
        <w:t xml:space="preserve">  </w:t>
      </w:r>
      <w:r w:rsidR="00F50118" w:rsidRPr="000F1969">
        <w:rPr>
          <w:i/>
          <w:szCs w:val="18"/>
          <w:highlight w:val="lightGray"/>
          <w:u w:val="single"/>
          <w:lang w:val="es-ES_tradnl"/>
        </w:rPr>
        <w:t>Siempre que la combinación tenga sentido desde el punto de vista biológico, podrán combinarse posteriormente los caracteres observados por separado, por ejemplo, el índice de longitud y anchura, a fin de produ</w:t>
      </w:r>
      <w:r w:rsidR="001A55F6" w:rsidRPr="000F1969">
        <w:rPr>
          <w:i/>
          <w:szCs w:val="18"/>
          <w:highlight w:val="lightGray"/>
          <w:u w:val="single"/>
          <w:lang w:val="es-ES_tradnl"/>
        </w:rPr>
        <w:t xml:space="preserve">cir dicho carácter combinado.  </w:t>
      </w:r>
      <w:r w:rsidR="00F50118" w:rsidRPr="000F1969">
        <w:rPr>
          <w:i/>
          <w:szCs w:val="18"/>
          <w:highlight w:val="lightGray"/>
          <w:u w:val="single"/>
          <w:lang w:val="es-ES_tradnl"/>
        </w:rPr>
        <w:t>Los caracteres combinados deberán ser examinados a los fines de la distinción, la homogeneidad y la estabilidad en la misma</w:t>
      </w:r>
      <w:r w:rsidR="001A55F6" w:rsidRPr="000F1969">
        <w:rPr>
          <w:i/>
          <w:szCs w:val="18"/>
          <w:highlight w:val="lightGray"/>
          <w:u w:val="single"/>
          <w:lang w:val="es-ES_tradnl"/>
        </w:rPr>
        <w:t xml:space="preserve"> medida que otros caracteres.  </w:t>
      </w:r>
      <w:r w:rsidR="00F50118" w:rsidRPr="000F1969">
        <w:rPr>
          <w:i/>
          <w:szCs w:val="18"/>
          <w:highlight w:val="lightGray"/>
          <w:u w:val="single"/>
          <w:lang w:val="es-ES_tradnl"/>
        </w:rPr>
        <w:t>En algunos casos estos caracteres combinados se examinan por medio de técnicas c</w:t>
      </w:r>
      <w:r w:rsidR="001A55F6" w:rsidRPr="000F1969">
        <w:rPr>
          <w:i/>
          <w:szCs w:val="18"/>
          <w:highlight w:val="lightGray"/>
          <w:u w:val="single"/>
          <w:lang w:val="es-ES_tradnl"/>
        </w:rPr>
        <w:t xml:space="preserve">omo la del análisis de imagen. </w:t>
      </w:r>
      <w:r w:rsidR="00F50118" w:rsidRPr="000F1969">
        <w:rPr>
          <w:i/>
          <w:szCs w:val="18"/>
          <w:highlight w:val="lightGray"/>
          <w:u w:val="single"/>
          <w:lang w:val="es-ES_tradnl"/>
        </w:rPr>
        <w:t xml:space="preserve"> En estos casos, los métodos apropiados de examen de DHE se especifican en el documento TGP/12, “Caracteres especiales”.</w:t>
      </w:r>
    </w:p>
    <w:p w:rsidR="00F50118" w:rsidRPr="000F1969" w:rsidRDefault="00F50118" w:rsidP="00627ADA">
      <w:pPr>
        <w:ind w:left="360" w:right="459"/>
        <w:rPr>
          <w:szCs w:val="18"/>
          <w:highlight w:val="lightGray"/>
          <w:u w:val="single"/>
          <w:lang w:val="es-ES"/>
        </w:rPr>
      </w:pPr>
    </w:p>
    <w:p w:rsidR="00F50118" w:rsidRPr="000F1969" w:rsidRDefault="005733E2" w:rsidP="00F50118">
      <w:pPr>
        <w:ind w:left="1134" w:right="459" w:hanging="567"/>
        <w:rPr>
          <w:szCs w:val="18"/>
          <w:u w:val="single"/>
          <w:lang w:val="es-ES"/>
        </w:rPr>
      </w:pPr>
      <w:r>
        <w:rPr>
          <w:szCs w:val="18"/>
          <w:highlight w:val="lightGray"/>
          <w:u w:val="single"/>
          <w:lang w:val="es-ES_tradnl"/>
        </w:rPr>
        <w:t>“</w:t>
      </w:r>
      <w:r w:rsidR="001A55F6" w:rsidRPr="000F1969">
        <w:rPr>
          <w:szCs w:val="18"/>
          <w:highlight w:val="lightGray"/>
          <w:u w:val="single"/>
          <w:lang w:val="es-ES_tradnl"/>
        </w:rPr>
        <w:t>2.2</w:t>
      </w:r>
      <w:r w:rsidR="001A55F6" w:rsidRPr="000F1969">
        <w:rPr>
          <w:szCs w:val="18"/>
          <w:highlight w:val="lightGray"/>
          <w:u w:val="single"/>
          <w:lang w:val="es-ES_tradnl"/>
        </w:rPr>
        <w:tab/>
      </w:r>
      <w:r w:rsidR="00F50118" w:rsidRPr="000F1969">
        <w:rPr>
          <w:szCs w:val="18"/>
          <w:highlight w:val="lightGray"/>
          <w:u w:val="single"/>
          <w:lang w:val="es-ES_tradnl"/>
        </w:rPr>
        <w:t>Así, en la Introducción General se aclara que el análisis de la imagen es uno de los métodos posibles para examinar los caracteres que satisfacen los requisitos básicos de utilización en el examen DHE (véase el documento TG/1/3, Capítulo 4.2), entre los cuales está la necesidad de homogeneidad y estabilidad de tales caracteres.   Por lo que respecta a los caracteres combinados, en la Introducción General se explica también que dicha combinación deberá ser biológicamente pertinente.”</w:t>
      </w:r>
    </w:p>
    <w:p w:rsidR="00F50118" w:rsidRPr="000F1969" w:rsidRDefault="00F50118" w:rsidP="00627ADA">
      <w:pPr>
        <w:rPr>
          <w:rFonts w:cs="Arial"/>
          <w:lang w:val="es-ES"/>
        </w:rPr>
      </w:pPr>
    </w:p>
    <w:p w:rsidR="00F50118" w:rsidRPr="000F1969" w:rsidRDefault="001A55F6"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trike/>
          <w:sz w:val="20"/>
          <w:szCs w:val="20"/>
          <w:highlight w:val="lightGray"/>
          <w:lang w:val="es-ES" w:eastAsia="ja-JP"/>
        </w:rPr>
        <w:t>1.</w:t>
      </w:r>
      <w:r w:rsidRPr="000F1969">
        <w:rPr>
          <w:rFonts w:ascii="Arial" w:eastAsia="MS Mincho" w:hAnsi="Arial" w:cs="Arial" w:hint="eastAsia"/>
          <w:sz w:val="20"/>
          <w:szCs w:val="20"/>
          <w:highlight w:val="lightGray"/>
          <w:u w:val="single"/>
          <w:lang w:val="es-ES" w:eastAsia="ja-JP"/>
        </w:rPr>
        <w:t>3.</w:t>
      </w:r>
      <w:r w:rsidRPr="000F1969">
        <w:rPr>
          <w:rFonts w:ascii="Arial" w:eastAsia="MS Mincho" w:hAnsi="Arial" w:cs="Arial"/>
          <w:sz w:val="20"/>
          <w:szCs w:val="20"/>
          <w:lang w:val="es-ES" w:eastAsia="ja-JP"/>
        </w:rPr>
        <w:tab/>
      </w:r>
      <w:r w:rsidR="00F50118" w:rsidRPr="000F1969">
        <w:rPr>
          <w:rFonts w:ascii="Arial" w:hAnsi="Arial" w:cs="Arial"/>
          <w:sz w:val="20"/>
          <w:szCs w:val="20"/>
          <w:lang w:val="es-ES_tradnl"/>
        </w:rPr>
        <w:t>El análisis de imagen consiste en la extracción de información (p. ej., mediciones de las plantas) a partir de imágenes (digitales) por medio de un</w:t>
      </w:r>
      <w:r w:rsidR="001A50DB" w:rsidRPr="000F1969">
        <w:rPr>
          <w:rFonts w:ascii="Arial" w:hAnsi="Arial" w:cs="Arial"/>
          <w:sz w:val="20"/>
          <w:szCs w:val="20"/>
          <w:lang w:val="es-ES_tradnl"/>
        </w:rPr>
        <w:t>a computadora</w:t>
      </w:r>
      <w:r w:rsidR="00F50118" w:rsidRPr="000F1969">
        <w:rPr>
          <w:rFonts w:ascii="Arial" w:hAnsi="Arial" w:cs="Arial"/>
          <w:sz w:val="20"/>
          <w:szCs w:val="20"/>
          <w:lang w:val="es-ES_tradnl"/>
        </w:rPr>
        <w:t>.</w:t>
      </w:r>
      <w:r w:rsidR="00627ADA" w:rsidRPr="000F1969">
        <w:rPr>
          <w:rFonts w:ascii="Arial" w:hAnsi="Arial" w:cs="Arial"/>
          <w:sz w:val="20"/>
          <w:szCs w:val="20"/>
          <w:lang w:val="es-ES"/>
        </w:rPr>
        <w:t xml:space="preserve"> </w:t>
      </w:r>
      <w:r w:rsidRPr="000F1969">
        <w:rPr>
          <w:rFonts w:ascii="Arial" w:hAnsi="Arial" w:cs="Arial"/>
          <w:sz w:val="20"/>
          <w:szCs w:val="20"/>
          <w:lang w:val="es-ES"/>
        </w:rPr>
        <w:t xml:space="preserve"> </w:t>
      </w:r>
      <w:r w:rsidR="00F50118" w:rsidRPr="000F1969">
        <w:rPr>
          <w:rFonts w:ascii="Arial" w:hAnsi="Arial" w:cs="Arial"/>
          <w:sz w:val="20"/>
          <w:szCs w:val="20"/>
          <w:lang w:val="es-ES_tradnl"/>
        </w:rPr>
        <w:t>Se utiliza en el examen de variedades vegetales para facilitar la evaluación de sus caracteres.  Se lo puede considerar como un dispositivo de medición inteligente (regla avanzada).  El propósito del presente documento es ofrecer orientación sobre el empleo del análisis de imagen para el examen de variedades vegetales.</w:t>
      </w:r>
      <w:r w:rsidR="00627ADA" w:rsidRPr="000F1969">
        <w:rPr>
          <w:rFonts w:ascii="Arial" w:hAnsi="Arial" w:cs="Arial"/>
          <w:sz w:val="20"/>
          <w:szCs w:val="20"/>
          <w:lang w:val="es-ES"/>
        </w:rPr>
        <w:t xml:space="preserve"> </w:t>
      </w:r>
    </w:p>
    <w:p w:rsidR="00F50118" w:rsidRPr="000F1969" w:rsidRDefault="00F50118" w:rsidP="00627ADA">
      <w:pPr>
        <w:rPr>
          <w:rFonts w:cs="Arial"/>
          <w:lang w:val="es-ES"/>
        </w:rPr>
      </w:pPr>
    </w:p>
    <w:p w:rsidR="00F50118" w:rsidRPr="000F1969" w:rsidRDefault="001A55F6"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trike/>
          <w:sz w:val="20"/>
          <w:szCs w:val="20"/>
          <w:highlight w:val="lightGray"/>
          <w:lang w:val="es-ES" w:eastAsia="ja-JP"/>
        </w:rPr>
        <w:t>2.</w:t>
      </w:r>
      <w:r w:rsidRPr="000F1969">
        <w:rPr>
          <w:rFonts w:ascii="Arial" w:eastAsia="MS Mincho" w:hAnsi="Arial" w:cs="Arial" w:hint="eastAsia"/>
          <w:sz w:val="20"/>
          <w:szCs w:val="20"/>
          <w:highlight w:val="lightGray"/>
          <w:u w:val="single"/>
          <w:lang w:val="es-ES" w:eastAsia="ja-JP"/>
        </w:rPr>
        <w:t>4.</w:t>
      </w:r>
      <w:r w:rsidRPr="000F1969">
        <w:rPr>
          <w:rFonts w:ascii="Arial" w:eastAsia="MS Mincho" w:hAnsi="Arial" w:cs="Arial"/>
          <w:sz w:val="20"/>
          <w:szCs w:val="20"/>
          <w:lang w:val="es-ES" w:eastAsia="ja-JP"/>
        </w:rPr>
        <w:tab/>
      </w:r>
      <w:r w:rsidR="00F50118" w:rsidRPr="000F1969">
        <w:rPr>
          <w:rFonts w:ascii="Arial" w:hAnsi="Arial" w:cs="Arial"/>
          <w:sz w:val="20"/>
          <w:szCs w:val="20"/>
          <w:lang w:val="es-ES_tradnl"/>
        </w:rPr>
        <w:t>El análisis de imagen se puede utilizar de manera totalmente automática o semiautomática.</w:t>
      </w:r>
      <w:r w:rsidR="00627ADA" w:rsidRPr="000F1969">
        <w:rPr>
          <w:rFonts w:ascii="Arial" w:hAnsi="Arial" w:cs="Arial"/>
          <w:sz w:val="20"/>
          <w:szCs w:val="20"/>
          <w:lang w:val="es-ES"/>
        </w:rPr>
        <w:t xml:space="preserve"> </w:t>
      </w:r>
      <w:r w:rsidRPr="000F1969">
        <w:rPr>
          <w:rFonts w:ascii="Arial" w:hAnsi="Arial" w:cs="Arial"/>
          <w:sz w:val="20"/>
          <w:szCs w:val="20"/>
          <w:lang w:val="es-ES"/>
        </w:rPr>
        <w:t xml:space="preserve"> </w:t>
      </w:r>
      <w:r w:rsidR="00F50118" w:rsidRPr="000F1969">
        <w:rPr>
          <w:rFonts w:ascii="Arial" w:hAnsi="Arial" w:cs="Arial"/>
          <w:sz w:val="20"/>
          <w:szCs w:val="20"/>
          <w:lang w:val="es-ES_tradnl"/>
        </w:rPr>
        <w:t xml:space="preserve">En la modalidad totalmente automática, el experto solo registra imágenes de partes de la planta con una cámara o un escáner y la computadora calcula automáticamente los caracteres relevantes sin interferencia humana.  En la modalidad semiautomática, la computadora muestra las imágenes en una pantalla y el usuario puede interactuar con el </w:t>
      </w:r>
      <w:r w:rsidR="00F50118" w:rsidRPr="000F1969">
        <w:rPr>
          <w:rFonts w:ascii="Arial" w:hAnsi="Arial" w:cs="Arial"/>
          <w:i/>
          <w:sz w:val="20"/>
          <w:szCs w:val="20"/>
          <w:lang w:val="es-ES_tradnl"/>
        </w:rPr>
        <w:t>software</w:t>
      </w:r>
      <w:r w:rsidR="00F50118" w:rsidRPr="000F1969">
        <w:rPr>
          <w:rFonts w:ascii="Arial" w:hAnsi="Arial" w:cs="Arial"/>
          <w:sz w:val="20"/>
          <w:szCs w:val="20"/>
          <w:lang w:val="es-ES_tradnl"/>
        </w:rPr>
        <w:t xml:space="preserve"> para medir partes específicas de la planta, por ejemplo, haciendo doble clic con un ratón.</w:t>
      </w:r>
    </w:p>
    <w:p w:rsidR="00F50118" w:rsidRPr="000F1969" w:rsidRDefault="00F50118" w:rsidP="00627ADA">
      <w:pPr>
        <w:rPr>
          <w:rFonts w:cs="Arial"/>
          <w:lang w:val="es-ES"/>
        </w:rPr>
      </w:pPr>
    </w:p>
    <w:p w:rsidR="00F50118" w:rsidRPr="000F1969" w:rsidRDefault="00F50118" w:rsidP="00627ADA">
      <w:pPr>
        <w:rPr>
          <w:rFonts w:cs="Arial"/>
          <w:lang w:val="es-ES"/>
        </w:rPr>
      </w:pPr>
    </w:p>
    <w:p w:rsidR="00F50118" w:rsidRPr="000F1969" w:rsidRDefault="00F50118" w:rsidP="009F39F5">
      <w:pPr>
        <w:pStyle w:val="Heading1"/>
        <w:rPr>
          <w:color w:val="auto"/>
          <w:lang w:val="es-ES"/>
        </w:rPr>
      </w:pPr>
      <w:r w:rsidRPr="000F1969">
        <w:rPr>
          <w:color w:val="auto"/>
        </w:rPr>
        <w:t>REGISTRO DE IMÁGENES:  CALIBRACIÓN Y NORMALIZACIÓN</w:t>
      </w:r>
    </w:p>
    <w:p w:rsidR="00F50118" w:rsidRPr="000F1969" w:rsidRDefault="00F50118" w:rsidP="00627ADA">
      <w:pPr>
        <w:rPr>
          <w:rFonts w:cs="Arial"/>
          <w:lang w:val="es-ES"/>
        </w:rPr>
      </w:pPr>
    </w:p>
    <w:p w:rsidR="00F50118" w:rsidRPr="000F1969" w:rsidRDefault="0029235F" w:rsidP="00F50118">
      <w:pPr>
        <w:rPr>
          <w:rFonts w:cs="Arial"/>
          <w:lang w:val="es-ES"/>
        </w:rPr>
      </w:pPr>
      <w:r w:rsidRPr="000F1969">
        <w:rPr>
          <w:rFonts w:cs="Arial" w:hint="eastAsia"/>
          <w:strike/>
          <w:highlight w:val="lightGray"/>
          <w:lang w:val="es-ES" w:eastAsia="ja-JP"/>
        </w:rPr>
        <w:t>3.</w:t>
      </w:r>
      <w:r w:rsidRPr="000F1969">
        <w:rPr>
          <w:rFonts w:cs="Arial" w:hint="eastAsia"/>
          <w:highlight w:val="lightGray"/>
          <w:u w:val="single"/>
          <w:lang w:val="es-ES" w:eastAsia="ja-JP"/>
        </w:rPr>
        <w:t>5.</w:t>
      </w:r>
      <w:r w:rsidRPr="000F1969">
        <w:rPr>
          <w:rFonts w:cs="Arial"/>
          <w:lang w:val="es-ES" w:eastAsia="ja-JP"/>
        </w:rPr>
        <w:tab/>
      </w:r>
      <w:r w:rsidR="00F50118" w:rsidRPr="000F1969">
        <w:rPr>
          <w:rFonts w:cs="Arial"/>
          <w:lang w:val="es-ES_tradnl"/>
        </w:rPr>
        <w:t>Un aspecto importante que se debe considerar cuando se registran y analizan imágenes digitales es la normalización y la calibración.</w:t>
      </w:r>
      <w:r w:rsidR="00627ADA" w:rsidRPr="000F1969">
        <w:rPr>
          <w:rFonts w:cs="Arial"/>
          <w:lang w:val="es-ES"/>
        </w:rPr>
        <w:t xml:space="preserve"> </w:t>
      </w:r>
      <w:r w:rsidRPr="000F1969">
        <w:rPr>
          <w:rFonts w:cs="Arial"/>
          <w:lang w:val="es-ES"/>
        </w:rPr>
        <w:t xml:space="preserve"> </w:t>
      </w:r>
      <w:r w:rsidR="00F50118" w:rsidRPr="000F1969">
        <w:rPr>
          <w:rFonts w:cs="Arial"/>
          <w:lang w:val="es-ES_tradnl"/>
        </w:rPr>
        <w:t xml:space="preserve">La normalización se efectúa, en la medida de lo posible, utilizando el mismo equipo (iluminación, cámara, ajustes de la cámara, lente, perspectiva y distancia entre la cámara y el objeto) para todos los registros.  Es importante constatar que los registros se efectúen conforme a un protocolo establecido, ya que es posible que el </w:t>
      </w:r>
      <w:r w:rsidR="00F50118" w:rsidRPr="000F1969">
        <w:rPr>
          <w:rFonts w:cs="Arial"/>
          <w:i/>
          <w:lang w:val="es-ES_tradnl"/>
        </w:rPr>
        <w:t>software</w:t>
      </w:r>
      <w:r w:rsidR="00F50118" w:rsidRPr="000F1969">
        <w:rPr>
          <w:rFonts w:cs="Arial"/>
          <w:lang w:val="es-ES_tradnl"/>
        </w:rPr>
        <w:t xml:space="preserve"> se base en ello.  Por ejemplo, puede que las vainas deban orientarse horizontalmente en las imágenes, con el pico apuntando hacia la izquierda.  Es necesario calibrar el sistema para que los registros sean independientes, en la medida de lo posible, de cualquier condición variable, corrigiendo por las variaciones, por ejemplo de tamaño o de color.</w:t>
      </w:r>
      <w:r w:rsidR="00627ADA" w:rsidRPr="000F1969">
        <w:rPr>
          <w:rFonts w:cs="Arial"/>
          <w:lang w:val="es-ES"/>
        </w:rPr>
        <w:t xml:space="preserve"> </w:t>
      </w:r>
    </w:p>
    <w:p w:rsidR="00F50118" w:rsidRPr="000F1969" w:rsidRDefault="00F50118" w:rsidP="00627ADA">
      <w:pPr>
        <w:pStyle w:val="ListParagraph"/>
        <w:spacing w:after="0" w:line="240" w:lineRule="auto"/>
        <w:ind w:left="0"/>
        <w:jc w:val="both"/>
        <w:rPr>
          <w:rFonts w:ascii="Arial" w:hAnsi="Arial" w:cs="Arial"/>
          <w:sz w:val="20"/>
          <w:szCs w:val="20"/>
          <w:lang w:val="es-ES"/>
        </w:rPr>
      </w:pPr>
    </w:p>
    <w:p w:rsidR="00F50118" w:rsidRPr="000F1969" w:rsidRDefault="00BE4BDD" w:rsidP="00F50118">
      <w:pPr>
        <w:pStyle w:val="ListParagraph"/>
        <w:spacing w:after="0" w:line="240" w:lineRule="auto"/>
        <w:ind w:left="0"/>
        <w:jc w:val="both"/>
        <w:rPr>
          <w:rFonts w:ascii="Arial" w:hAnsi="Arial" w:cs="Arial"/>
          <w:sz w:val="20"/>
          <w:szCs w:val="20"/>
          <w:lang w:val="es-ES"/>
        </w:rPr>
      </w:pPr>
      <w:r w:rsidRPr="000F1969">
        <w:rPr>
          <w:rFonts w:cs="Arial"/>
          <w:strike/>
          <w:highlight w:val="lightGray"/>
          <w:lang w:val="es-ES"/>
        </w:rPr>
        <w:lastRenderedPageBreak/>
        <w:t>5.</w:t>
      </w:r>
      <w:r w:rsidRPr="000F1969">
        <w:rPr>
          <w:rFonts w:eastAsia="MS Mincho" w:cs="Arial" w:hint="eastAsia"/>
          <w:highlight w:val="lightGray"/>
          <w:u w:val="single"/>
          <w:lang w:val="es-ES" w:eastAsia="ja-JP"/>
        </w:rPr>
        <w:t>6.</w:t>
      </w:r>
      <w:r w:rsidRPr="000F1969">
        <w:rPr>
          <w:rFonts w:cs="Arial"/>
          <w:lang w:val="es-ES"/>
        </w:rPr>
        <w:t xml:space="preserve">  </w:t>
      </w:r>
      <w:r w:rsidRPr="000F1969">
        <w:rPr>
          <w:rFonts w:eastAsia="MS Mincho" w:cs="Arial" w:hint="eastAsia"/>
          <w:lang w:val="es-ES" w:eastAsia="ja-JP"/>
        </w:rPr>
        <w:t xml:space="preserve"> </w:t>
      </w:r>
      <w:r w:rsidRPr="000F1969">
        <w:rPr>
          <w:rFonts w:eastAsia="MS Mincho" w:cs="Arial" w:hint="eastAsia"/>
          <w:lang w:val="es-ES" w:eastAsia="ja-JP"/>
        </w:rPr>
        <w:tab/>
      </w:r>
      <w:r w:rsidR="00E303E1" w:rsidRPr="000F1969">
        <w:rPr>
          <w:rFonts w:ascii="Arial" w:eastAsia="Times New Roman" w:hAnsi="Arial"/>
          <w:sz w:val="20"/>
          <w:highlight w:val="lightGray"/>
          <w:u w:val="single"/>
          <w:lang w:val="es-ES" w:eastAsia="es-ES"/>
        </w:rPr>
        <w:t>Es necesario calibrar el tamaño.  Dado que la unidad de medida de las imágenes es el píxel, es preciso establecer una relación entre los píxeles de la imagen y los milímetros</w:t>
      </w:r>
      <w:r w:rsidRPr="000F1969">
        <w:rPr>
          <w:rFonts w:ascii="Arial" w:hAnsi="Arial" w:cs="Arial"/>
          <w:strike/>
          <w:sz w:val="20"/>
          <w:szCs w:val="20"/>
          <w:highlight w:val="lightGray"/>
          <w:lang w:val="es-ES"/>
        </w:rPr>
        <w:t xml:space="preserve">: </w:t>
      </w:r>
      <w:r w:rsidR="00407AE1" w:rsidRPr="000F1969">
        <w:rPr>
          <w:rFonts w:ascii="Arial" w:hAnsi="Arial"/>
          <w:strike/>
          <w:sz w:val="20"/>
          <w:highlight w:val="lightGray"/>
          <w:lang w:val="es-ES"/>
        </w:rPr>
        <w:t>para evaluar la longitud, por ejemplo de una semilla, es necesario conocer el tamaño de un píxel (elemento de la imagen digital) en la realidad (p. ej., mm/píxel), ya que la computadora mide todos los objetos de una imagen en píxeles</w:t>
      </w:r>
      <w:r w:rsidRPr="000F1969">
        <w:rPr>
          <w:rFonts w:ascii="Arial" w:hAnsi="Arial" w:cs="Arial"/>
          <w:sz w:val="20"/>
          <w:szCs w:val="20"/>
          <w:lang w:val="es-ES"/>
        </w:rPr>
        <w:t>.</w:t>
      </w:r>
      <w:r w:rsidR="00627ADA" w:rsidRPr="000F1969">
        <w:rPr>
          <w:rFonts w:ascii="Arial" w:hAnsi="Arial" w:cs="Arial"/>
          <w:sz w:val="20"/>
          <w:szCs w:val="20"/>
          <w:lang w:val="es-ES"/>
        </w:rPr>
        <w:t xml:space="preserve"> </w:t>
      </w:r>
      <w:r w:rsidR="000D54E4" w:rsidRPr="000F1969">
        <w:rPr>
          <w:rFonts w:ascii="Arial" w:hAnsi="Arial" w:cs="Arial"/>
          <w:sz w:val="20"/>
          <w:szCs w:val="20"/>
          <w:lang w:val="es-ES"/>
        </w:rPr>
        <w:t xml:space="preserve"> </w:t>
      </w:r>
      <w:r w:rsidR="00F50118" w:rsidRPr="000F1969">
        <w:rPr>
          <w:rFonts w:ascii="Arial" w:hAnsi="Arial" w:cs="Arial"/>
          <w:sz w:val="20"/>
          <w:szCs w:val="20"/>
          <w:lang w:val="es-ES_tradnl"/>
        </w:rPr>
        <w:t xml:space="preserve">Una manera habitual de hacer esta calibración es incluir, en cada imagen registrada, una regla colocada a la misma distancia de la cámara que la parte de planta que se desea registrar.  De este modo, el usuario puede relacionar el tamaño de la regla con el número de píxeles y hacer manualmente la calibración.  No obstante, la manera preferida de hacerlo es utilizar un objeto de dimensiones conocidas (como por ejemplo una moneda), que el </w:t>
      </w:r>
      <w:r w:rsidR="00F50118" w:rsidRPr="000F1969">
        <w:rPr>
          <w:rFonts w:ascii="Arial" w:hAnsi="Arial" w:cs="Arial"/>
          <w:i/>
          <w:sz w:val="20"/>
          <w:szCs w:val="20"/>
          <w:lang w:val="es-ES_tradnl"/>
        </w:rPr>
        <w:t>software</w:t>
      </w:r>
      <w:r w:rsidR="00F50118" w:rsidRPr="000F1969">
        <w:rPr>
          <w:rFonts w:ascii="Arial" w:hAnsi="Arial" w:cs="Arial"/>
          <w:sz w:val="20"/>
          <w:szCs w:val="20"/>
          <w:lang w:val="es-ES_tradnl"/>
        </w:rPr>
        <w:t xml:space="preserve"> pueda analizar automáticamente y luego emplear para una calibración de tamaño implícita.  Una moneda también permite comprobar si los píxeles son cuadrados (es decir, si la relación entre las dimensiones de cada píxel es de 1:1).  El objeto de referencia debe estar siempre tan cerca del objeto de calibración y tan lejos de la cámara como sea necesario para reducir al mínimo el efecto de la variación del aumento con la distancia.  Como alternativa, para minimizar este efecto se puede utilizar una lente telecéntrica.</w:t>
      </w:r>
      <w:r w:rsidR="00627ADA" w:rsidRPr="000F1969">
        <w:rPr>
          <w:rFonts w:ascii="Arial" w:hAnsi="Arial" w:cs="Arial"/>
          <w:sz w:val="20"/>
          <w:szCs w:val="20"/>
          <w:lang w:val="es-ES"/>
        </w:rPr>
        <w:t xml:space="preserve"> </w:t>
      </w:r>
    </w:p>
    <w:p w:rsidR="00F50118" w:rsidRPr="000F1969" w:rsidRDefault="00F50118" w:rsidP="00627ADA">
      <w:pPr>
        <w:pStyle w:val="ListParagraph"/>
        <w:spacing w:after="0" w:line="240" w:lineRule="auto"/>
        <w:ind w:left="0"/>
        <w:jc w:val="both"/>
        <w:rPr>
          <w:rFonts w:ascii="Arial" w:hAnsi="Arial" w:cs="Arial"/>
          <w:sz w:val="20"/>
          <w:szCs w:val="20"/>
          <w:lang w:val="es-ES"/>
        </w:rPr>
      </w:pPr>
    </w:p>
    <w:p w:rsidR="00F50118" w:rsidRPr="000F1969" w:rsidRDefault="00AA2A55" w:rsidP="00F50118">
      <w:pPr>
        <w:rPr>
          <w:rFonts w:cs="Arial"/>
          <w:lang w:val="es-ES"/>
        </w:rPr>
      </w:pPr>
      <w:r w:rsidRPr="000F1969">
        <w:rPr>
          <w:rFonts w:cs="Arial" w:hint="eastAsia"/>
          <w:strike/>
          <w:highlight w:val="lightGray"/>
          <w:lang w:val="es-ES" w:eastAsia="ja-JP"/>
        </w:rPr>
        <w:t>4.</w:t>
      </w:r>
      <w:r w:rsidRPr="000F1969">
        <w:rPr>
          <w:rFonts w:cs="Arial" w:hint="eastAsia"/>
          <w:highlight w:val="lightGray"/>
          <w:u w:val="single"/>
          <w:lang w:val="es-ES" w:eastAsia="ja-JP"/>
        </w:rPr>
        <w:t>7.</w:t>
      </w:r>
      <w:r w:rsidRPr="000F1969">
        <w:rPr>
          <w:rFonts w:cs="Arial"/>
          <w:lang w:val="es-ES" w:eastAsia="ja-JP"/>
        </w:rPr>
        <w:tab/>
      </w:r>
      <w:r w:rsidR="00E303E1" w:rsidRPr="000F1969">
        <w:rPr>
          <w:highlight w:val="lightGray"/>
          <w:u w:val="single"/>
          <w:lang w:val="es-ES" w:eastAsia="es-ES"/>
        </w:rPr>
        <w:t>También es necesario</w:t>
      </w:r>
      <w:r w:rsidR="00E303E1" w:rsidRPr="000F1969">
        <w:rPr>
          <w:lang w:val="es-ES" w:eastAsia="es-ES"/>
        </w:rPr>
        <w:t xml:space="preserve"> calibrar la iluminación</w:t>
      </w:r>
      <w:r w:rsidR="00EE107F" w:rsidRPr="000F1969">
        <w:rPr>
          <w:rFonts w:cs="Arial"/>
          <w:lang w:val="es-ES"/>
        </w:rPr>
        <w:t xml:space="preserve">: </w:t>
      </w:r>
      <w:r w:rsidR="00F50118" w:rsidRPr="000F1969">
        <w:rPr>
          <w:rFonts w:cs="Arial"/>
          <w:lang w:val="es-ES_tradnl"/>
        </w:rPr>
        <w:t xml:space="preserve"> es preciso segmentar la imagen en el objeto y el fondo.</w:t>
      </w:r>
      <w:r w:rsidR="00627ADA" w:rsidRPr="000F1969">
        <w:rPr>
          <w:rFonts w:cs="Arial"/>
          <w:lang w:val="es-ES"/>
        </w:rPr>
        <w:t xml:space="preserve"> </w:t>
      </w:r>
      <w:r w:rsidRPr="000F1969">
        <w:rPr>
          <w:rFonts w:cs="Arial"/>
          <w:lang w:val="es-ES"/>
        </w:rPr>
        <w:t xml:space="preserve"> </w:t>
      </w:r>
      <w:r w:rsidR="00F50118" w:rsidRPr="000F1969">
        <w:rPr>
          <w:rFonts w:cs="Arial"/>
          <w:lang w:val="es-ES_tradnl"/>
        </w:rPr>
        <w:t>Una manera simple y habitual de hacerlo es establecer un umbral (</w:t>
      </w:r>
      <w:r w:rsidR="00F50118" w:rsidRPr="000F1969">
        <w:rPr>
          <w:rFonts w:cs="Arial"/>
          <w:i/>
          <w:lang w:val="es-ES_tradnl"/>
        </w:rPr>
        <w:t>thresholding</w:t>
      </w:r>
      <w:r w:rsidR="00F50118" w:rsidRPr="000F1969">
        <w:rPr>
          <w:rFonts w:cs="Arial"/>
          <w:lang w:val="es-ES_tradnl"/>
        </w:rPr>
        <w:t>):  un píxel con un valor (gris) superior a cierto umbral se considera un píxel del objeto y otro inferior al umbral, un píxel del fondo (o viceversa).</w:t>
      </w:r>
      <w:r w:rsidR="00627ADA" w:rsidRPr="000F1969">
        <w:rPr>
          <w:rFonts w:cs="Arial"/>
          <w:lang w:val="es-ES"/>
        </w:rPr>
        <w:t xml:space="preserve"> </w:t>
      </w:r>
      <w:r w:rsidRPr="000F1969">
        <w:rPr>
          <w:rFonts w:cs="Arial"/>
          <w:lang w:val="es-ES"/>
        </w:rPr>
        <w:t xml:space="preserve"> </w:t>
      </w:r>
      <w:r w:rsidR="00F50118" w:rsidRPr="000F1969">
        <w:rPr>
          <w:rFonts w:cs="Arial"/>
          <w:lang w:val="es-ES_tradnl"/>
        </w:rPr>
        <w:t>Si la iluminación no es constante, es posible que la segmentación no sea óptima para todas las imágenes y que parte de los píxeles se asignen a una clase (objeto/fondo) errónea, aun cuando el valor establecido como umbral se determine de manera automática.</w:t>
      </w:r>
      <w:r w:rsidR="00627ADA" w:rsidRPr="000F1969">
        <w:rPr>
          <w:rFonts w:cs="Arial"/>
          <w:lang w:val="es-ES"/>
        </w:rPr>
        <w:t xml:space="preserve"> </w:t>
      </w:r>
      <w:r w:rsidRPr="000F1969">
        <w:rPr>
          <w:rFonts w:cs="Arial"/>
          <w:lang w:val="es-ES"/>
        </w:rPr>
        <w:t xml:space="preserve"> </w:t>
      </w:r>
      <w:r w:rsidR="00F50118" w:rsidRPr="000F1969">
        <w:rPr>
          <w:rFonts w:cs="Arial"/>
          <w:lang w:val="es-ES_tradnl"/>
        </w:rPr>
        <w:t>En consecuencia, es posible que las mediciones sean erróneas.  Por lo tanto, se aconseja comprobar los resultados de la segmentación examinando rápidamente las imágenes binarias segmentadas.</w:t>
      </w:r>
      <w:r w:rsidR="00627ADA" w:rsidRPr="000F1969">
        <w:rPr>
          <w:rFonts w:cs="Arial"/>
          <w:lang w:val="es-ES"/>
        </w:rPr>
        <w:t xml:space="preserve"> </w:t>
      </w:r>
    </w:p>
    <w:p w:rsidR="00F50118" w:rsidRPr="000F1969" w:rsidRDefault="00F50118" w:rsidP="00627ADA">
      <w:pPr>
        <w:pStyle w:val="ListParagraph"/>
        <w:spacing w:after="0" w:line="240" w:lineRule="auto"/>
        <w:ind w:left="0"/>
        <w:jc w:val="both"/>
        <w:rPr>
          <w:rFonts w:ascii="Arial" w:eastAsia="MS Mincho" w:hAnsi="Arial" w:cs="Arial"/>
          <w:sz w:val="20"/>
          <w:szCs w:val="20"/>
          <w:lang w:val="es-ES" w:eastAsia="ja-JP"/>
        </w:rPr>
      </w:pPr>
    </w:p>
    <w:p w:rsidR="00F50118" w:rsidRPr="000F1969" w:rsidRDefault="00AA2A55"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trike/>
          <w:sz w:val="20"/>
          <w:szCs w:val="20"/>
          <w:highlight w:val="lightGray"/>
          <w:lang w:val="es-ES" w:eastAsia="ja-JP"/>
        </w:rPr>
        <w:t>5.</w:t>
      </w:r>
      <w:r w:rsidRPr="000F1969">
        <w:rPr>
          <w:rFonts w:ascii="Arial" w:eastAsia="MS Mincho" w:hAnsi="Arial" w:cs="Arial" w:hint="eastAsia"/>
          <w:sz w:val="20"/>
          <w:szCs w:val="20"/>
          <w:highlight w:val="lightGray"/>
          <w:u w:val="single"/>
          <w:lang w:val="es-ES" w:eastAsia="ja-JP"/>
        </w:rPr>
        <w:t>8.</w:t>
      </w:r>
      <w:r w:rsidRPr="000F1969">
        <w:rPr>
          <w:rFonts w:ascii="Arial" w:eastAsia="MS Mincho" w:hAnsi="Arial" w:cs="Arial"/>
          <w:sz w:val="20"/>
          <w:szCs w:val="20"/>
          <w:lang w:val="es-ES" w:eastAsia="ja-JP"/>
        </w:rPr>
        <w:tab/>
      </w:r>
      <w:r w:rsidR="00F50118" w:rsidRPr="000F1969">
        <w:rPr>
          <w:rFonts w:ascii="Arial" w:hAnsi="Arial" w:cs="Arial"/>
          <w:sz w:val="20"/>
          <w:szCs w:val="20"/>
          <w:lang w:val="es-ES_tradnl"/>
        </w:rPr>
        <w:t>En muchas situaciones, solo se necesita una silueta o contorno del material vegetal, por ejemplo para examinar el tamaño y la forma.</w:t>
      </w:r>
      <w:r w:rsidR="00627ADA" w:rsidRPr="000F1969">
        <w:rPr>
          <w:rFonts w:ascii="Arial" w:hAnsi="Arial" w:cs="Arial"/>
          <w:sz w:val="20"/>
          <w:szCs w:val="20"/>
          <w:lang w:val="es-ES"/>
        </w:rPr>
        <w:t xml:space="preserve"> </w:t>
      </w:r>
      <w:r w:rsidRPr="000F1969">
        <w:rPr>
          <w:rFonts w:ascii="Arial" w:hAnsi="Arial" w:cs="Arial"/>
          <w:sz w:val="20"/>
          <w:szCs w:val="20"/>
          <w:lang w:val="es-ES"/>
        </w:rPr>
        <w:t xml:space="preserve"> </w:t>
      </w:r>
      <w:r w:rsidR="00F50118" w:rsidRPr="000F1969">
        <w:rPr>
          <w:rFonts w:ascii="Arial" w:hAnsi="Arial" w:cs="Arial"/>
          <w:sz w:val="20"/>
          <w:szCs w:val="20"/>
          <w:lang w:val="es-ES_tradnl"/>
        </w:rPr>
        <w:t>En estos casos, con frecuencia es aconsejable utilizar iluminación de fondo, por ejemplo mediante una cajeta de iluminación.  La iluminación de fondo aumenta el contraste entre el fondo y el objeto y hace que el resultado de la segmentación dependa mucho menos del valor umbral.</w:t>
      </w:r>
      <w:r w:rsidR="00627ADA" w:rsidRPr="000F1969">
        <w:rPr>
          <w:rFonts w:ascii="Arial" w:hAnsi="Arial" w:cs="Arial"/>
          <w:sz w:val="20"/>
          <w:szCs w:val="20"/>
          <w:lang w:val="es-ES"/>
        </w:rPr>
        <w:t xml:space="preserve"> </w:t>
      </w:r>
    </w:p>
    <w:p w:rsidR="00F50118" w:rsidRPr="000F1969" w:rsidRDefault="00F50118" w:rsidP="00627ADA">
      <w:pPr>
        <w:pStyle w:val="ListParagraph"/>
        <w:spacing w:after="0" w:line="240" w:lineRule="auto"/>
        <w:ind w:left="0"/>
        <w:jc w:val="both"/>
        <w:rPr>
          <w:rFonts w:ascii="Arial" w:hAnsi="Arial" w:cs="Arial"/>
          <w:sz w:val="20"/>
          <w:szCs w:val="20"/>
          <w:lang w:val="es-ES"/>
        </w:rPr>
      </w:pPr>
    </w:p>
    <w:p w:rsidR="00F50118" w:rsidRPr="000F1969" w:rsidRDefault="00AA2A55"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9.</w:t>
      </w:r>
      <w:r w:rsidRPr="000F1969">
        <w:rPr>
          <w:rFonts w:ascii="Arial" w:eastAsia="MS Mincho" w:hAnsi="Arial" w:cs="Arial" w:hint="eastAsia"/>
          <w:sz w:val="20"/>
          <w:szCs w:val="20"/>
          <w:lang w:val="es-ES" w:eastAsia="ja-JP"/>
        </w:rPr>
        <w:tab/>
      </w:r>
      <w:r w:rsidR="00EE107F" w:rsidRPr="000F1969">
        <w:rPr>
          <w:rFonts w:ascii="Arial" w:hAnsi="Arial" w:cs="Arial"/>
          <w:sz w:val="20"/>
          <w:szCs w:val="20"/>
          <w:lang w:val="es-ES"/>
        </w:rPr>
        <w:t>Se debe comprobar que</w:t>
      </w:r>
      <w:r w:rsidR="00407AE1" w:rsidRPr="000F1969">
        <w:rPr>
          <w:rFonts w:ascii="Arial" w:hAnsi="Arial" w:cs="Arial"/>
          <w:sz w:val="20"/>
          <w:szCs w:val="20"/>
          <w:lang w:val="es-ES"/>
        </w:rPr>
        <w:t xml:space="preserve"> la luz </w:t>
      </w:r>
      <w:r w:rsidR="00EE107F" w:rsidRPr="000F1969">
        <w:rPr>
          <w:rFonts w:ascii="Arial" w:hAnsi="Arial" w:cs="Arial"/>
          <w:sz w:val="20"/>
          <w:szCs w:val="20"/>
          <w:lang w:val="es-ES"/>
        </w:rPr>
        <w:t>se distribuya de manera homogénea en la imagen</w:t>
      </w:r>
      <w:r w:rsidR="00627ADA" w:rsidRPr="000F1969">
        <w:rPr>
          <w:rFonts w:ascii="Arial" w:hAnsi="Arial" w:cs="Arial"/>
          <w:sz w:val="20"/>
          <w:szCs w:val="20"/>
          <w:lang w:val="es-ES"/>
        </w:rPr>
        <w:t xml:space="preserve">. </w:t>
      </w:r>
      <w:r w:rsidRPr="000F1969">
        <w:rPr>
          <w:rFonts w:ascii="Arial" w:hAnsi="Arial" w:cs="Arial"/>
          <w:sz w:val="20"/>
          <w:szCs w:val="20"/>
          <w:lang w:val="es-ES"/>
        </w:rPr>
        <w:t xml:space="preserve"> </w:t>
      </w:r>
      <w:r w:rsidR="00F50118" w:rsidRPr="000F1969">
        <w:rPr>
          <w:rFonts w:ascii="Arial" w:hAnsi="Arial" w:cs="Arial"/>
          <w:sz w:val="20"/>
          <w:szCs w:val="20"/>
          <w:lang w:val="es-ES_tradnl"/>
        </w:rPr>
        <w:t>Las partes más oscuras de la imagen pueden dar lugar a una segmentación errónea y, por lo tanto, a mediciones incorrectas y no comparables, en especial cuando se registran varios objetos en la misma imagen.</w:t>
      </w:r>
      <w:r w:rsidR="00627ADA" w:rsidRPr="000F1969">
        <w:rPr>
          <w:rFonts w:ascii="Arial" w:hAnsi="Arial" w:cs="Arial"/>
          <w:sz w:val="20"/>
          <w:szCs w:val="20"/>
          <w:lang w:val="es-ES"/>
        </w:rPr>
        <w:t xml:space="preserve"> </w:t>
      </w:r>
    </w:p>
    <w:p w:rsidR="00F50118" w:rsidRPr="000F1969" w:rsidRDefault="00F5303B" w:rsidP="00627ADA">
      <w:pPr>
        <w:pStyle w:val="ListParagraph"/>
        <w:spacing w:after="0" w:line="240" w:lineRule="auto"/>
        <w:ind w:left="0"/>
        <w:jc w:val="both"/>
        <w:rPr>
          <w:rFonts w:ascii="Arial" w:hAnsi="Arial" w:cs="Arial"/>
          <w:sz w:val="20"/>
          <w:szCs w:val="20"/>
          <w:lang w:val="es-ES"/>
        </w:rPr>
      </w:pPr>
      <w:r w:rsidRPr="000F1969">
        <w:rPr>
          <w:rFonts w:cs="Arial"/>
          <w:noProof/>
          <w:lang w:val="en-US" w:eastAsia="en-US"/>
        </w:rPr>
        <w:drawing>
          <wp:anchor distT="0" distB="0" distL="114300" distR="114300" simplePos="0" relativeHeight="251658240" behindDoc="1" locked="0" layoutInCell="1" allowOverlap="1" wp14:anchorId="7A04CA46" wp14:editId="24D0D5BE">
            <wp:simplePos x="0" y="0"/>
            <wp:positionH relativeFrom="column">
              <wp:posOffset>3908425</wp:posOffset>
            </wp:positionH>
            <wp:positionV relativeFrom="paragraph">
              <wp:posOffset>99060</wp:posOffset>
            </wp:positionV>
            <wp:extent cx="2231390" cy="2047875"/>
            <wp:effectExtent l="0" t="0" r="0" b="9525"/>
            <wp:wrapTight wrapText="bothSides">
              <wp:wrapPolygon edited="0">
                <wp:start x="0" y="0"/>
                <wp:lineTo x="0" y="21500"/>
                <wp:lineTo x="21391" y="21500"/>
                <wp:lineTo x="21391" y="0"/>
                <wp:lineTo x="0" y="0"/>
              </wp:wrapPolygon>
            </wp:wrapTight>
            <wp:docPr id="3" name="Picture 3" descr="https://encrypted-tbn2.gstatic.com/images?q=tbn:ANd9GcSmGKb25OSBjPFf9ut-dzfqH8aP7HNNgaVKKVs8GUFUPMGxHTXRy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SmGKb25OSBjPFf9ut-dzfqH8aP7HNNgaVKKVs8GUFUPMGxHTXRy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1390" cy="2047875"/>
                    </a:xfrm>
                    <a:prstGeom prst="rect">
                      <a:avLst/>
                    </a:prstGeom>
                    <a:noFill/>
                    <a:ln>
                      <a:noFill/>
                    </a:ln>
                  </pic:spPr>
                </pic:pic>
              </a:graphicData>
            </a:graphic>
          </wp:anchor>
        </w:drawing>
      </w:r>
    </w:p>
    <w:p w:rsidR="00F50118" w:rsidRPr="000F1969" w:rsidRDefault="00AA2A55"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10.</w:t>
      </w:r>
      <w:r w:rsidRPr="000F1969">
        <w:rPr>
          <w:rFonts w:ascii="Arial" w:eastAsia="MS Mincho" w:hAnsi="Arial" w:cs="Arial"/>
          <w:sz w:val="20"/>
          <w:szCs w:val="20"/>
          <w:lang w:val="es-ES" w:eastAsia="ja-JP"/>
        </w:rPr>
        <w:tab/>
      </w:r>
      <w:r w:rsidR="00F50118" w:rsidRPr="000F1969">
        <w:rPr>
          <w:rFonts w:ascii="Arial" w:hAnsi="Arial" w:cs="Arial"/>
          <w:sz w:val="20"/>
          <w:szCs w:val="20"/>
          <w:lang w:val="es-ES_tradnl"/>
        </w:rPr>
        <w:t>Para los colores y los patrones (variegación o encarnado) es esencial que la iluminación se realice correctamente y que se compruebe con regularidad, preferiblemente para cada imagen.</w:t>
      </w:r>
      <w:r w:rsidR="00627ADA" w:rsidRPr="000F1969">
        <w:rPr>
          <w:rFonts w:ascii="Arial" w:hAnsi="Arial" w:cs="Arial"/>
          <w:sz w:val="20"/>
          <w:szCs w:val="20"/>
          <w:lang w:val="es-ES"/>
        </w:rPr>
        <w:t xml:space="preserve"> </w:t>
      </w:r>
      <w:r w:rsidRPr="000F1969">
        <w:rPr>
          <w:rFonts w:ascii="Arial" w:hAnsi="Arial" w:cs="Arial"/>
          <w:sz w:val="20"/>
          <w:szCs w:val="20"/>
          <w:lang w:val="es-ES"/>
        </w:rPr>
        <w:t xml:space="preserve"> </w:t>
      </w:r>
      <w:r w:rsidR="00F50118" w:rsidRPr="000F1969">
        <w:rPr>
          <w:rFonts w:ascii="Arial" w:hAnsi="Arial" w:cs="Arial"/>
          <w:sz w:val="20"/>
          <w:szCs w:val="20"/>
          <w:lang w:val="es-ES_tradnl"/>
        </w:rPr>
        <w:t>En ese caso, la iluminación puede calibrarse registrando en la imagen (parte de) una carta de colores normalizada.  Se dispone de algoritmos especiales para corregir los cambios de color debidos a condiciones de iluminación diferentes, pero en muchas situaciones esta corrección causa cierta pérdida de precisión.</w:t>
      </w:r>
      <w:r w:rsidR="00627ADA" w:rsidRPr="000F1969">
        <w:rPr>
          <w:rFonts w:ascii="Arial" w:hAnsi="Arial" w:cs="Arial"/>
          <w:sz w:val="20"/>
          <w:szCs w:val="20"/>
          <w:lang w:val="es-ES"/>
        </w:rPr>
        <w:t xml:space="preserve"> </w:t>
      </w:r>
    </w:p>
    <w:p w:rsidR="00F50118" w:rsidRPr="000F1969" w:rsidRDefault="00F50118" w:rsidP="00627ADA">
      <w:pPr>
        <w:pStyle w:val="ListParagraph"/>
        <w:spacing w:after="0" w:line="240" w:lineRule="auto"/>
        <w:ind w:left="0"/>
        <w:jc w:val="both"/>
        <w:rPr>
          <w:rFonts w:ascii="Arial" w:hAnsi="Arial" w:cs="Arial"/>
          <w:sz w:val="20"/>
          <w:szCs w:val="20"/>
          <w:lang w:val="es-ES"/>
        </w:rPr>
      </w:pPr>
    </w:p>
    <w:p w:rsidR="00F50118" w:rsidRPr="000F1969" w:rsidRDefault="00F50118" w:rsidP="00627ADA">
      <w:pPr>
        <w:rPr>
          <w:rFonts w:cs="Arial"/>
          <w:lang w:val="es-ES"/>
        </w:rPr>
      </w:pPr>
    </w:p>
    <w:p w:rsidR="00F50118" w:rsidRDefault="00F50118" w:rsidP="00627ADA">
      <w:pPr>
        <w:pStyle w:val="ListParagraph"/>
        <w:spacing w:after="0" w:line="240" w:lineRule="auto"/>
        <w:ind w:left="0"/>
        <w:jc w:val="both"/>
        <w:rPr>
          <w:rFonts w:ascii="Arial" w:hAnsi="Arial" w:cs="Arial"/>
          <w:sz w:val="20"/>
          <w:szCs w:val="20"/>
          <w:lang w:val="es-ES"/>
        </w:rPr>
      </w:pPr>
    </w:p>
    <w:p w:rsidR="00F43864" w:rsidRDefault="00F43864" w:rsidP="00627ADA">
      <w:pPr>
        <w:pStyle w:val="ListParagraph"/>
        <w:spacing w:after="0" w:line="240" w:lineRule="auto"/>
        <w:ind w:left="0"/>
        <w:jc w:val="both"/>
        <w:rPr>
          <w:rFonts w:ascii="Arial" w:hAnsi="Arial" w:cs="Arial"/>
          <w:sz w:val="20"/>
          <w:szCs w:val="20"/>
          <w:lang w:val="es-ES"/>
        </w:rPr>
      </w:pPr>
    </w:p>
    <w:p w:rsidR="00F43864" w:rsidRPr="000F1969" w:rsidRDefault="00F43864" w:rsidP="00627ADA">
      <w:pPr>
        <w:pStyle w:val="ListParagraph"/>
        <w:spacing w:after="0" w:line="240" w:lineRule="auto"/>
        <w:ind w:left="0"/>
        <w:jc w:val="both"/>
        <w:rPr>
          <w:rFonts w:ascii="Arial" w:hAnsi="Arial" w:cs="Arial"/>
          <w:sz w:val="20"/>
          <w:szCs w:val="20"/>
          <w:lang w:val="es-ES"/>
        </w:rPr>
      </w:pPr>
    </w:p>
    <w:p w:rsidR="00F50118" w:rsidRPr="000F1969" w:rsidRDefault="00F50118" w:rsidP="00627ADA">
      <w:pPr>
        <w:pStyle w:val="ListParagraph"/>
        <w:spacing w:after="0" w:line="240" w:lineRule="auto"/>
        <w:ind w:left="0"/>
        <w:jc w:val="both"/>
        <w:rPr>
          <w:rFonts w:ascii="Arial" w:hAnsi="Arial" w:cs="Arial"/>
          <w:sz w:val="20"/>
          <w:szCs w:val="20"/>
          <w:lang w:val="es-ES"/>
        </w:rPr>
      </w:pPr>
    </w:p>
    <w:p w:rsidR="00F50118" w:rsidRPr="000F1969" w:rsidRDefault="00F50118" w:rsidP="00627ADA">
      <w:pPr>
        <w:rPr>
          <w:rFonts w:cs="Arial"/>
          <w:lang w:val="es-ES"/>
        </w:rPr>
      </w:pPr>
    </w:p>
    <w:p w:rsidR="00F50118" w:rsidRPr="000F1969" w:rsidRDefault="00562D21"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11.</w:t>
      </w:r>
      <w:r w:rsidRPr="000F1969">
        <w:rPr>
          <w:rFonts w:ascii="Arial" w:eastAsia="MS Mincho" w:hAnsi="Arial" w:cs="Arial"/>
          <w:sz w:val="20"/>
          <w:szCs w:val="20"/>
          <w:lang w:val="es-ES" w:eastAsia="ja-JP"/>
        </w:rPr>
        <w:tab/>
      </w:r>
      <w:r w:rsidR="00407AE1" w:rsidRPr="000F1969">
        <w:rPr>
          <w:rFonts w:ascii="Arial" w:hAnsi="Arial"/>
          <w:sz w:val="20"/>
          <w:lang w:val="es-ES"/>
        </w:rPr>
        <w:t xml:space="preserve">La fuente de luz tiene una gran incidencia en el color observado de la imagen.  En especial para el color, es importante el tipo de fuente de luz.  En muchos casos, el color y la intensidad cambian durante el calentamiento de la lámpara </w:t>
      </w:r>
      <w:r w:rsidR="00407AE1" w:rsidRPr="000F1969">
        <w:rPr>
          <w:rFonts w:ascii="Arial" w:hAnsi="Arial"/>
          <w:strike/>
          <w:sz w:val="20"/>
          <w:highlight w:val="lightGray"/>
          <w:lang w:val="es-ES"/>
        </w:rPr>
        <w:t>y</w:t>
      </w:r>
      <w:r w:rsidR="00407AE1" w:rsidRPr="000F1969">
        <w:rPr>
          <w:rFonts w:ascii="Arial" w:hAnsi="Arial"/>
          <w:sz w:val="20"/>
          <w:lang w:val="es-ES"/>
        </w:rPr>
        <w:t xml:space="preserve">, por lo </w:t>
      </w:r>
      <w:r w:rsidR="00876B08" w:rsidRPr="000F1969">
        <w:rPr>
          <w:rFonts w:ascii="Arial" w:hAnsi="Arial"/>
          <w:sz w:val="20"/>
          <w:highlight w:val="lightGray"/>
          <w:u w:val="single"/>
          <w:lang w:val="es-ES"/>
        </w:rPr>
        <w:t>que ésta debe estar lo suficientemente caliente</w:t>
      </w:r>
      <w:r w:rsidR="00876B08" w:rsidRPr="000F1969">
        <w:rPr>
          <w:rFonts w:ascii="Arial" w:hAnsi="Arial"/>
          <w:sz w:val="20"/>
          <w:lang w:val="es-ES"/>
        </w:rPr>
        <w:t xml:space="preserve"> </w:t>
      </w:r>
      <w:r w:rsidR="00407AE1" w:rsidRPr="000F1969">
        <w:rPr>
          <w:rFonts w:ascii="Arial" w:hAnsi="Arial"/>
          <w:strike/>
          <w:sz w:val="20"/>
          <w:highlight w:val="lightGray"/>
          <w:lang w:val="es-ES"/>
        </w:rPr>
        <w:t>tanto, se recomienda encenderla aproximadamente 15 minutos</w:t>
      </w:r>
      <w:r w:rsidR="00407AE1" w:rsidRPr="000F1969">
        <w:rPr>
          <w:rFonts w:ascii="Arial" w:hAnsi="Arial"/>
          <w:sz w:val="20"/>
          <w:lang w:val="es-ES"/>
        </w:rPr>
        <w:t xml:space="preserve"> antes de empezar a registrar.  Si se emplean tubos fluorescentes, es preciso </w:t>
      </w:r>
      <w:r w:rsidR="00876B08" w:rsidRPr="000F1969">
        <w:rPr>
          <w:rFonts w:ascii="Arial" w:hAnsi="Arial"/>
          <w:sz w:val="20"/>
          <w:highlight w:val="lightGray"/>
          <w:u w:val="single"/>
          <w:lang w:val="es-ES"/>
        </w:rPr>
        <w:t>comprobar</w:t>
      </w:r>
      <w:r w:rsidR="00876B08" w:rsidRPr="000F1969">
        <w:rPr>
          <w:rFonts w:ascii="Arial" w:hAnsi="Arial"/>
          <w:sz w:val="20"/>
          <w:u w:val="single"/>
          <w:lang w:val="es-ES"/>
        </w:rPr>
        <w:t xml:space="preserve"> </w:t>
      </w:r>
      <w:r w:rsidR="00407AE1" w:rsidRPr="000F1969">
        <w:rPr>
          <w:rFonts w:ascii="Arial" w:hAnsi="Arial"/>
          <w:strike/>
          <w:sz w:val="20"/>
          <w:highlight w:val="lightGray"/>
          <w:lang w:val="es-ES"/>
        </w:rPr>
        <w:t>constatar</w:t>
      </w:r>
      <w:r w:rsidR="00407AE1" w:rsidRPr="000F1969">
        <w:rPr>
          <w:rFonts w:ascii="Arial" w:hAnsi="Arial"/>
          <w:sz w:val="20"/>
          <w:lang w:val="es-ES"/>
        </w:rPr>
        <w:t xml:space="preserve"> con regularidad </w:t>
      </w:r>
      <w:r w:rsidR="00876B08" w:rsidRPr="000F1969">
        <w:rPr>
          <w:rFonts w:ascii="Arial" w:hAnsi="Arial"/>
          <w:sz w:val="20"/>
          <w:highlight w:val="lightGray"/>
          <w:u w:val="single"/>
          <w:lang w:val="es-ES"/>
        </w:rPr>
        <w:t>que</w:t>
      </w:r>
      <w:r w:rsidR="00876B08" w:rsidRPr="000F1969">
        <w:rPr>
          <w:rFonts w:ascii="Arial" w:hAnsi="Arial"/>
          <w:sz w:val="20"/>
          <w:u w:val="single"/>
          <w:lang w:val="es-ES"/>
        </w:rPr>
        <w:t xml:space="preserve"> </w:t>
      </w:r>
      <w:r w:rsidR="00407AE1" w:rsidRPr="000F1969">
        <w:rPr>
          <w:rFonts w:ascii="Arial" w:hAnsi="Arial"/>
          <w:sz w:val="20"/>
          <w:highlight w:val="lightGray"/>
          <w:lang w:val="es-ES"/>
        </w:rPr>
        <w:t>si</w:t>
      </w:r>
      <w:r w:rsidR="00407AE1" w:rsidRPr="000F1969">
        <w:rPr>
          <w:rFonts w:ascii="Arial" w:hAnsi="Arial"/>
          <w:sz w:val="20"/>
          <w:lang w:val="es-ES"/>
        </w:rPr>
        <w:t xml:space="preserve"> conservan, aproximadamente, la misma intensidad y el color, ya que es posible que cambien con bastante rapidez con el paso del tiempo.  </w:t>
      </w:r>
      <w:r w:rsidR="00407AE1" w:rsidRPr="000F1969">
        <w:rPr>
          <w:rFonts w:ascii="Arial" w:hAnsi="Arial"/>
          <w:strike/>
          <w:sz w:val="20"/>
          <w:highlight w:val="lightGray"/>
          <w:lang w:val="es-ES"/>
        </w:rPr>
        <w:t>Para la notificación se puede utilizar un</w:t>
      </w:r>
      <w:r w:rsidR="00407AE1" w:rsidRPr="000F1969">
        <w:rPr>
          <w:rFonts w:ascii="Arial" w:hAnsi="Arial"/>
          <w:strike/>
          <w:sz w:val="20"/>
          <w:lang w:val="es-ES"/>
        </w:rPr>
        <w:t xml:space="preserve"> </w:t>
      </w:r>
      <w:r w:rsidR="00407AE1" w:rsidRPr="000F1969">
        <w:rPr>
          <w:rFonts w:ascii="Arial" w:hAnsi="Arial"/>
          <w:sz w:val="20"/>
          <w:highlight w:val="lightGray"/>
          <w:u w:val="single"/>
          <w:lang w:val="es-ES"/>
        </w:rPr>
        <w:t xml:space="preserve">Se pueden emplear </w:t>
      </w:r>
      <w:r w:rsidR="00876B08" w:rsidRPr="000F1969">
        <w:rPr>
          <w:rFonts w:ascii="Arial" w:hAnsi="Arial"/>
          <w:sz w:val="20"/>
          <w:highlight w:val="lightGray"/>
          <w:u w:val="single"/>
          <w:lang w:val="es-ES"/>
        </w:rPr>
        <w:t>con</w:t>
      </w:r>
      <w:r w:rsidR="00407AE1" w:rsidRPr="000F1969">
        <w:rPr>
          <w:rFonts w:ascii="Arial" w:hAnsi="Arial"/>
          <w:sz w:val="20"/>
          <w:highlight w:val="lightGray"/>
          <w:u w:val="single"/>
          <w:lang w:val="es-ES"/>
        </w:rPr>
        <w:t xml:space="preserve"> es</w:t>
      </w:r>
      <w:r w:rsidR="00876B08" w:rsidRPr="000F1969">
        <w:rPr>
          <w:rFonts w:ascii="Arial" w:hAnsi="Arial"/>
          <w:sz w:val="20"/>
          <w:highlight w:val="lightGray"/>
          <w:u w:val="single"/>
          <w:lang w:val="es-ES"/>
        </w:rPr>
        <w:t>e</w:t>
      </w:r>
      <w:r w:rsidR="00407AE1" w:rsidRPr="000F1969">
        <w:rPr>
          <w:rFonts w:ascii="Arial" w:hAnsi="Arial"/>
          <w:sz w:val="20"/>
          <w:highlight w:val="lightGray"/>
          <w:u w:val="single"/>
          <w:lang w:val="es-ES"/>
        </w:rPr>
        <w:t xml:space="preserve"> fin</w:t>
      </w:r>
      <w:r w:rsidR="00407AE1" w:rsidRPr="000F1969">
        <w:rPr>
          <w:rFonts w:ascii="Arial" w:hAnsi="Arial"/>
          <w:sz w:val="20"/>
          <w:lang w:val="es-ES"/>
        </w:rPr>
        <w:t xml:space="preserve"> gráfico</w:t>
      </w:r>
      <w:r w:rsidR="00407AE1" w:rsidRPr="000F1969">
        <w:rPr>
          <w:rFonts w:ascii="Arial" w:hAnsi="Arial"/>
          <w:sz w:val="20"/>
          <w:highlight w:val="lightGray"/>
          <w:u w:val="single"/>
          <w:lang w:val="es-ES"/>
        </w:rPr>
        <w:t>s</w:t>
      </w:r>
      <w:r w:rsidR="00407AE1" w:rsidRPr="000F1969">
        <w:rPr>
          <w:rFonts w:ascii="Arial" w:hAnsi="Arial"/>
          <w:sz w:val="20"/>
          <w:lang w:val="es-ES"/>
        </w:rPr>
        <w:t xml:space="preserve"> de calibración</w:t>
      </w:r>
      <w:r w:rsidR="00F50118" w:rsidRPr="000F1969">
        <w:rPr>
          <w:rFonts w:ascii="Arial" w:hAnsi="Arial" w:cs="Arial"/>
          <w:sz w:val="20"/>
          <w:szCs w:val="20"/>
          <w:lang w:val="es-ES_tradnl"/>
        </w:rPr>
        <w:t>.</w:t>
      </w:r>
      <w:r w:rsidR="00627ADA" w:rsidRPr="000F1969">
        <w:rPr>
          <w:rFonts w:ascii="Arial" w:hAnsi="Arial" w:cs="Arial"/>
          <w:sz w:val="20"/>
          <w:szCs w:val="20"/>
          <w:lang w:val="es-ES"/>
        </w:rPr>
        <w:t xml:space="preserve"> </w:t>
      </w:r>
    </w:p>
    <w:p w:rsidR="00F50118" w:rsidRPr="000F1969" w:rsidRDefault="00F50118" w:rsidP="00627ADA">
      <w:pPr>
        <w:pStyle w:val="ListParagraph"/>
        <w:spacing w:after="0" w:line="240" w:lineRule="auto"/>
        <w:ind w:left="0"/>
        <w:jc w:val="both"/>
        <w:rPr>
          <w:rFonts w:ascii="Arial" w:eastAsia="MS Mincho" w:hAnsi="Arial" w:cs="Arial"/>
          <w:sz w:val="20"/>
          <w:szCs w:val="20"/>
          <w:lang w:val="es-ES" w:eastAsia="ja-JP"/>
        </w:rPr>
      </w:pPr>
    </w:p>
    <w:p w:rsidR="00F50118" w:rsidRPr="000F1969" w:rsidRDefault="00627ADA" w:rsidP="00627ADA">
      <w:pPr>
        <w:jc w:val="left"/>
        <w:rPr>
          <w:rFonts w:cs="Arial"/>
          <w:u w:val="single"/>
          <w:lang w:val="es-ES" w:eastAsia="ja-JP"/>
        </w:rPr>
      </w:pPr>
      <w:r w:rsidRPr="000F1969">
        <w:rPr>
          <w:rFonts w:cs="Arial"/>
          <w:u w:val="single"/>
          <w:lang w:val="es-ES" w:eastAsia="ja-JP"/>
        </w:rPr>
        <w:br w:type="page"/>
      </w:r>
    </w:p>
    <w:p w:rsidR="00F50118" w:rsidRPr="000F1969" w:rsidRDefault="0052540B" w:rsidP="00F50118">
      <w:pPr>
        <w:pStyle w:val="ListParagraph"/>
        <w:spacing w:after="0" w:line="240" w:lineRule="auto"/>
        <w:ind w:left="0"/>
        <w:jc w:val="both"/>
        <w:rPr>
          <w:rFonts w:ascii="Arial" w:eastAsia="MS Mincho" w:hAnsi="Arial" w:cs="Arial"/>
          <w:sz w:val="20"/>
          <w:szCs w:val="20"/>
          <w:lang w:val="es-ES" w:eastAsia="ja-JP"/>
        </w:rPr>
      </w:pPr>
      <w:r w:rsidRPr="000F1969">
        <w:rPr>
          <w:rFonts w:ascii="Arial" w:eastAsia="MS Mincho" w:hAnsi="Arial" w:cs="Arial" w:hint="eastAsia"/>
          <w:sz w:val="20"/>
          <w:szCs w:val="20"/>
          <w:highlight w:val="lightGray"/>
          <w:u w:val="single"/>
          <w:lang w:val="es-ES" w:eastAsia="ja-JP"/>
        </w:rPr>
        <w:lastRenderedPageBreak/>
        <w:t>12.</w:t>
      </w:r>
      <w:r w:rsidRPr="000F1969">
        <w:rPr>
          <w:rFonts w:ascii="Arial" w:eastAsia="MS Mincho" w:hAnsi="Arial" w:cs="Arial" w:hint="eastAsia"/>
          <w:strike/>
          <w:sz w:val="20"/>
          <w:szCs w:val="20"/>
          <w:highlight w:val="lightGray"/>
          <w:lang w:val="es-ES" w:eastAsia="ja-JP"/>
        </w:rPr>
        <w:t>10.</w:t>
      </w:r>
      <w:r w:rsidRPr="000F1969">
        <w:rPr>
          <w:rFonts w:ascii="Arial" w:eastAsia="MS Mincho" w:hAnsi="Arial" w:cs="Arial" w:hint="eastAsia"/>
          <w:strike/>
          <w:sz w:val="20"/>
          <w:szCs w:val="20"/>
          <w:lang w:val="es-ES" w:eastAsia="ja-JP"/>
        </w:rPr>
        <w:tab/>
      </w:r>
      <w:r w:rsidR="00876B08" w:rsidRPr="000F1969">
        <w:rPr>
          <w:rFonts w:ascii="Arial" w:hAnsi="Arial"/>
          <w:sz w:val="20"/>
          <w:lang w:val="es-ES"/>
        </w:rPr>
        <w:t>En especial, cuando se registran objetos brillantes como las manzanas o ciertas flores, es preciso tener en cuenta la reflexión especular</w:t>
      </w:r>
      <w:r w:rsidRPr="000F1969">
        <w:rPr>
          <w:rFonts w:ascii="Arial" w:hAnsi="Arial" w:cs="Arial"/>
          <w:sz w:val="20"/>
          <w:szCs w:val="20"/>
          <w:lang w:val="es-ES"/>
        </w:rPr>
        <w:t xml:space="preserve">.  </w:t>
      </w:r>
      <w:r w:rsidR="00F50118" w:rsidRPr="000F1969">
        <w:rPr>
          <w:rFonts w:ascii="Arial" w:hAnsi="Arial" w:cs="Arial"/>
          <w:sz w:val="20"/>
          <w:szCs w:val="20"/>
          <w:lang w:val="es-ES"/>
        </w:rPr>
        <w:t>Las mediciones de objetos con manchas especulares no son  fiables.  En ese caso, es preciso procurar una iluminación uniforme e indirecta, mediante cajetas de</w:t>
      </w:r>
      <w:r w:rsidR="00F50118" w:rsidRPr="000F1969">
        <w:rPr>
          <w:rFonts w:ascii="Arial" w:hAnsi="Arial" w:cs="Arial"/>
          <w:sz w:val="20"/>
          <w:szCs w:val="20"/>
          <w:lang w:val="es-ES_tradnl"/>
        </w:rPr>
        <w:t xml:space="preserve"> iluminación especiales </w:t>
      </w:r>
      <w:r w:rsidR="00F50118" w:rsidRPr="000F1969">
        <w:rPr>
          <w:rFonts w:ascii="Arial" w:hAnsi="Arial" w:cs="Arial"/>
          <w:strike/>
          <w:sz w:val="20"/>
          <w:szCs w:val="20"/>
          <w:highlight w:val="lightGray"/>
          <w:lang w:val="es-ES_tradnl"/>
        </w:rPr>
        <w:t>como la que se muestra a continuación</w:t>
      </w:r>
      <w:r w:rsidR="00F50118" w:rsidRPr="000F1969">
        <w:rPr>
          <w:rFonts w:ascii="Arial" w:hAnsi="Arial" w:cs="Arial"/>
          <w:sz w:val="20"/>
          <w:szCs w:val="20"/>
          <w:lang w:val="es-ES_tradnl"/>
        </w:rPr>
        <w:t>.</w:t>
      </w:r>
    </w:p>
    <w:p w:rsidR="00F50118" w:rsidRPr="000F1969" w:rsidRDefault="00F50118" w:rsidP="00627ADA">
      <w:pPr>
        <w:pStyle w:val="ListParagraph"/>
        <w:spacing w:after="0" w:line="240" w:lineRule="auto"/>
        <w:ind w:left="0"/>
        <w:jc w:val="both"/>
        <w:rPr>
          <w:rFonts w:ascii="Arial" w:eastAsia="MS Mincho" w:hAnsi="Arial" w:cs="Arial"/>
          <w:sz w:val="20"/>
          <w:szCs w:val="20"/>
          <w:lang w:val="es-ES" w:eastAsia="ja-JP"/>
        </w:rPr>
      </w:pPr>
    </w:p>
    <w:p w:rsidR="00F50118" w:rsidRPr="000F1969" w:rsidRDefault="00627ADA" w:rsidP="00627ADA">
      <w:pPr>
        <w:pStyle w:val="ListParagraph"/>
        <w:spacing w:after="0" w:line="240" w:lineRule="auto"/>
        <w:ind w:left="0"/>
        <w:jc w:val="both"/>
        <w:rPr>
          <w:rFonts w:ascii="Arial" w:eastAsia="MS Mincho" w:hAnsi="Arial" w:cs="Arial"/>
          <w:sz w:val="20"/>
          <w:szCs w:val="20"/>
          <w:lang w:val="en-US" w:eastAsia="ja-JP"/>
        </w:rPr>
      </w:pPr>
      <w:r w:rsidRPr="000F1969">
        <w:rPr>
          <w:rFonts w:ascii="Arial" w:hAnsi="Arial" w:cs="Arial"/>
          <w:noProof/>
          <w:sz w:val="20"/>
          <w:szCs w:val="20"/>
          <w:lang w:val="en-US" w:eastAsia="en-US"/>
        </w:rPr>
        <w:drawing>
          <wp:inline distT="0" distB="0" distL="0" distR="0" wp14:anchorId="591C66A7" wp14:editId="319AFA7F">
            <wp:extent cx="2143125" cy="2143125"/>
            <wp:effectExtent l="0" t="0" r="9525" b="9525"/>
            <wp:docPr id="5" name="Picture 5" descr="https://encrypted-tbn2.gstatic.com/images?q=tbn:ANd9GcS2SbolBgEGpa4DoW3bOqrh1gd9HnqXzlgUjm2SvukOfXd5zV7gX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2.gstatic.com/images?q=tbn:ANd9GcS2SbolBgEGpa4DoW3bOqrh1gd9HnqXzlgUjm2SvukOfXd5zV7gX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F50118" w:rsidRPr="000F1969" w:rsidRDefault="00F50118" w:rsidP="00627ADA">
      <w:pPr>
        <w:pStyle w:val="ListParagraph"/>
        <w:spacing w:after="0" w:line="240" w:lineRule="auto"/>
        <w:ind w:left="0"/>
        <w:jc w:val="both"/>
        <w:rPr>
          <w:rFonts w:ascii="Arial" w:eastAsia="MS Mincho" w:hAnsi="Arial" w:cs="Arial"/>
          <w:sz w:val="20"/>
          <w:szCs w:val="20"/>
          <w:lang w:val="en-US" w:eastAsia="ja-JP"/>
        </w:rPr>
      </w:pPr>
    </w:p>
    <w:p w:rsidR="00F50118" w:rsidRPr="000F1969" w:rsidRDefault="00F50118" w:rsidP="00627ADA">
      <w:pPr>
        <w:pStyle w:val="ListParagraph"/>
        <w:spacing w:after="0" w:line="240" w:lineRule="auto"/>
        <w:ind w:left="0"/>
        <w:jc w:val="both"/>
        <w:rPr>
          <w:rFonts w:ascii="Arial" w:eastAsia="MS Mincho" w:hAnsi="Arial" w:cs="Arial"/>
          <w:sz w:val="20"/>
          <w:szCs w:val="20"/>
          <w:lang w:val="en-US" w:eastAsia="ja-JP"/>
        </w:rPr>
      </w:pPr>
    </w:p>
    <w:p w:rsidR="00F50118" w:rsidRPr="000F1969" w:rsidRDefault="00F50118" w:rsidP="00627ADA">
      <w:pPr>
        <w:pStyle w:val="ListParagraph"/>
        <w:spacing w:after="0" w:line="240" w:lineRule="auto"/>
        <w:ind w:left="0"/>
        <w:jc w:val="both"/>
        <w:rPr>
          <w:rFonts w:ascii="Arial" w:eastAsia="MS Mincho" w:hAnsi="Arial" w:cs="Arial"/>
          <w:sz w:val="20"/>
          <w:szCs w:val="20"/>
          <w:u w:val="single"/>
          <w:lang w:val="en-US" w:eastAsia="ja-JP"/>
        </w:rPr>
      </w:pPr>
    </w:p>
    <w:p w:rsidR="00F50118" w:rsidRPr="000F1969" w:rsidRDefault="0029130D"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13.</w:t>
      </w:r>
      <w:r w:rsidRPr="000F1969">
        <w:rPr>
          <w:rFonts w:ascii="Arial" w:eastAsia="MS Mincho" w:hAnsi="Arial" w:cs="Arial" w:hint="eastAsia"/>
          <w:strike/>
          <w:sz w:val="20"/>
          <w:szCs w:val="20"/>
          <w:highlight w:val="lightGray"/>
          <w:lang w:val="es-ES" w:eastAsia="ja-JP"/>
        </w:rPr>
        <w:t>11.</w:t>
      </w:r>
      <w:r w:rsidRPr="000F1969">
        <w:rPr>
          <w:rFonts w:ascii="Arial" w:eastAsia="MS Mincho" w:hAnsi="Arial" w:cs="Arial" w:hint="eastAsia"/>
          <w:sz w:val="20"/>
          <w:szCs w:val="20"/>
          <w:lang w:val="es-ES" w:eastAsia="ja-JP"/>
        </w:rPr>
        <w:tab/>
      </w:r>
      <w:r w:rsidR="00876B08" w:rsidRPr="000F1969">
        <w:rPr>
          <w:rFonts w:ascii="Arial" w:hAnsi="Arial"/>
          <w:sz w:val="20"/>
          <w:lang w:val="es-ES"/>
        </w:rPr>
        <w:t>Para registrar las imágenes se pueden utilizar tanto cámaras como escáneres (color).  La opción depende de la aplicación y la preferencia del usuario.  En el examen corriente de variedades vegetales todavía no se utilizan otros sistemas más avanzados como las cámaras 3D o las cámaras hiperespectrales</w:t>
      </w:r>
      <w:r w:rsidR="00F50118" w:rsidRPr="000F1969">
        <w:rPr>
          <w:rFonts w:ascii="Arial" w:hAnsi="Arial" w:cs="Arial"/>
          <w:sz w:val="20"/>
          <w:szCs w:val="20"/>
          <w:lang w:val="es-ES_tradnl"/>
        </w:rPr>
        <w:t>.</w:t>
      </w:r>
      <w:r w:rsidR="00627ADA" w:rsidRPr="000F1969">
        <w:rPr>
          <w:rFonts w:ascii="Arial" w:hAnsi="Arial" w:cs="Arial"/>
          <w:sz w:val="20"/>
          <w:szCs w:val="20"/>
          <w:lang w:val="es-ES"/>
        </w:rPr>
        <w:t xml:space="preserve"> </w:t>
      </w:r>
    </w:p>
    <w:p w:rsidR="00F50118" w:rsidRPr="000F1969" w:rsidRDefault="00F50118" w:rsidP="00627ADA">
      <w:pPr>
        <w:pStyle w:val="ListParagraph"/>
        <w:spacing w:after="0" w:line="240" w:lineRule="auto"/>
        <w:ind w:left="0"/>
        <w:jc w:val="both"/>
        <w:rPr>
          <w:rFonts w:ascii="Arial" w:hAnsi="Arial" w:cs="Arial"/>
          <w:sz w:val="20"/>
          <w:szCs w:val="20"/>
          <w:lang w:val="es-ES"/>
        </w:rPr>
      </w:pPr>
    </w:p>
    <w:p w:rsidR="00F50118" w:rsidRPr="000F1969" w:rsidRDefault="00F50118" w:rsidP="00627ADA">
      <w:pPr>
        <w:pStyle w:val="ListParagraph"/>
        <w:spacing w:after="0" w:line="240" w:lineRule="auto"/>
        <w:ind w:left="0"/>
        <w:jc w:val="both"/>
        <w:rPr>
          <w:rFonts w:ascii="Arial" w:hAnsi="Arial" w:cs="Arial"/>
          <w:sz w:val="20"/>
          <w:szCs w:val="20"/>
          <w:lang w:val="es-ES"/>
        </w:rPr>
      </w:pPr>
    </w:p>
    <w:p w:rsidR="00F50118" w:rsidRPr="000F1969" w:rsidRDefault="00F50118" w:rsidP="00F50118">
      <w:pPr>
        <w:rPr>
          <w:lang w:val="es-ES"/>
        </w:rPr>
      </w:pPr>
      <w:r w:rsidRPr="000F1969">
        <w:rPr>
          <w:lang w:val="es-ES_tradnl"/>
        </w:rPr>
        <w:t>ANÁLISIS DE CARACTERES ESTÁNDAR DE LA UPOV</w:t>
      </w:r>
    </w:p>
    <w:p w:rsidR="00F50118" w:rsidRPr="000F1969" w:rsidRDefault="00F50118" w:rsidP="00627ADA">
      <w:pPr>
        <w:rPr>
          <w:rFonts w:cs="Arial"/>
          <w:lang w:val="es-ES"/>
        </w:rPr>
      </w:pPr>
    </w:p>
    <w:p w:rsidR="00F50118" w:rsidRPr="000F1969" w:rsidRDefault="0029130D"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14.</w:t>
      </w:r>
      <w:r w:rsidRPr="000F1969">
        <w:rPr>
          <w:rFonts w:ascii="Arial" w:eastAsia="MS Mincho" w:hAnsi="Arial" w:cs="Arial" w:hint="eastAsia"/>
          <w:strike/>
          <w:sz w:val="20"/>
          <w:szCs w:val="20"/>
          <w:highlight w:val="lightGray"/>
          <w:lang w:val="es-ES" w:eastAsia="ja-JP"/>
        </w:rPr>
        <w:t>12.</w:t>
      </w:r>
      <w:r w:rsidRPr="000F1969">
        <w:rPr>
          <w:rFonts w:ascii="Arial" w:eastAsia="MS Mincho" w:hAnsi="Arial" w:cs="Arial"/>
          <w:strike/>
          <w:sz w:val="20"/>
          <w:szCs w:val="20"/>
          <w:lang w:val="es-ES" w:eastAsia="ja-JP"/>
        </w:rPr>
        <w:tab/>
      </w:r>
      <w:r w:rsidR="00876B08" w:rsidRPr="000F1969">
        <w:rPr>
          <w:rFonts w:ascii="Arial" w:hAnsi="Arial"/>
          <w:sz w:val="20"/>
          <w:lang w:val="es-ES"/>
        </w:rPr>
        <w:t>En general, el análisis de imagen se utiliza para automatizar la medición de los caracteres descritos en las directrices de la UPOV.  En ese caso, el propósito es reemplazar una medición manual por una medición informática.  Este reemplazo exige una calibración complementaria a la calibración del registro de la imagen.  Luego se puede cotejar si las mediciones obtenidas concuerdan con las mediciones manuales, por ejemplo, mediante un gráfico de dispersión de la medición manual en función de la medición informática, con una línea de regresión y la línea y=x</w:t>
      </w:r>
      <w:r w:rsidR="00F50118" w:rsidRPr="000F1969">
        <w:rPr>
          <w:rFonts w:ascii="Arial" w:hAnsi="Arial" w:cs="Arial"/>
          <w:sz w:val="20"/>
          <w:szCs w:val="20"/>
          <w:lang w:val="es-ES_tradnl"/>
        </w:rPr>
        <w:t>.</w:t>
      </w:r>
    </w:p>
    <w:p w:rsidR="008742C5" w:rsidRPr="000F1969" w:rsidRDefault="008742C5" w:rsidP="00F50118">
      <w:pPr>
        <w:pStyle w:val="ListParagraph"/>
        <w:spacing w:after="0" w:line="240" w:lineRule="auto"/>
        <w:ind w:left="0"/>
        <w:jc w:val="both"/>
        <w:rPr>
          <w:rFonts w:ascii="Arial" w:hAnsi="Arial" w:cs="Arial"/>
          <w:sz w:val="20"/>
          <w:szCs w:val="20"/>
          <w:lang w:val="es-ES"/>
        </w:rPr>
      </w:pPr>
    </w:p>
    <w:p w:rsidR="00F50118" w:rsidRPr="000F1969" w:rsidRDefault="0029130D"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15.</w:t>
      </w:r>
      <w:r w:rsidRPr="000F1969">
        <w:rPr>
          <w:rFonts w:ascii="Arial" w:eastAsia="MS Mincho" w:hAnsi="Arial" w:cs="Arial" w:hint="eastAsia"/>
          <w:strike/>
          <w:sz w:val="20"/>
          <w:szCs w:val="20"/>
          <w:highlight w:val="lightGray"/>
          <w:lang w:val="es-ES" w:eastAsia="ja-JP"/>
        </w:rPr>
        <w:t>13.</w:t>
      </w:r>
      <w:r w:rsidRPr="000F1969">
        <w:rPr>
          <w:rFonts w:ascii="Arial" w:eastAsia="MS Mincho" w:hAnsi="Arial" w:cs="Arial"/>
          <w:sz w:val="20"/>
          <w:szCs w:val="20"/>
          <w:lang w:val="es-ES" w:eastAsia="ja-JP"/>
        </w:rPr>
        <w:tab/>
      </w:r>
      <w:r w:rsidR="00590F5E" w:rsidRPr="000F1969">
        <w:rPr>
          <w:rFonts w:ascii="Arial" w:hAnsi="Arial"/>
          <w:sz w:val="20"/>
          <w:lang w:val="es-ES"/>
        </w:rPr>
        <w:t xml:space="preserve">En algunos casos, el análisis de imagen exige una definición más precisa y matemática del carácter que la que necesitan los expertos humanos.  Por ejemplo, la longitud de la vaina se puede redefinir como la longitud del eje medial de la vaina, sin incluir el pedúnculo.  Cuando esto sucede, es especialmente importante comprobar las diferencias de comportamiento entre los diferentes genotipos (sesgo).  La medida puede ser exactamente la misma para algunos genotipos y, en cambio, otros pueden presentar una diferencia sistemática.  Un buen ejemplo es la determinación de la altura del bulbo de la cebolla (van der Heijden, Vossepoel and Polder, 1996), en la que se definió el extremo superior del bulbo como el punto de inflexión del “hombro”.  Siempre que se conozca y se justifique el cambio o la mejora de la definición, no representa un problema.  En general, es aconsejable consultar a los expertos en cultivos para redefinir un carácter y </w:t>
      </w:r>
      <w:r w:rsidR="00590F5E" w:rsidRPr="000F1969">
        <w:rPr>
          <w:rFonts w:ascii="Arial" w:hAnsi="Arial"/>
          <w:strike/>
          <w:sz w:val="20"/>
          <w:highlight w:val="lightGray"/>
          <w:lang w:val="es-ES"/>
        </w:rPr>
        <w:t>a la UPOV</w:t>
      </w:r>
      <w:r w:rsidR="00590F5E" w:rsidRPr="000F1969">
        <w:rPr>
          <w:rFonts w:ascii="Arial" w:hAnsi="Arial"/>
          <w:sz w:val="20"/>
          <w:lang w:val="es-ES"/>
        </w:rPr>
        <w:t xml:space="preserve"> si fuera necesario modificar ligeramente la directriz</w:t>
      </w:r>
      <w:r w:rsidR="00F50118" w:rsidRPr="000F1969">
        <w:rPr>
          <w:rFonts w:ascii="Arial" w:hAnsi="Arial" w:cs="Arial"/>
          <w:sz w:val="20"/>
          <w:szCs w:val="20"/>
          <w:lang w:val="es-ES_tradnl"/>
        </w:rPr>
        <w:t>.</w:t>
      </w:r>
      <w:r w:rsidR="00627ADA" w:rsidRPr="000F1969">
        <w:rPr>
          <w:rFonts w:ascii="Arial" w:hAnsi="Arial" w:cs="Arial"/>
          <w:sz w:val="20"/>
          <w:szCs w:val="20"/>
          <w:lang w:val="es-ES"/>
        </w:rPr>
        <w:t xml:space="preserve"> </w:t>
      </w:r>
    </w:p>
    <w:p w:rsidR="00F50118" w:rsidRPr="000F1969" w:rsidRDefault="00F50118" w:rsidP="00627ADA">
      <w:pPr>
        <w:pStyle w:val="ListParagraph"/>
        <w:spacing w:after="0" w:line="240" w:lineRule="auto"/>
        <w:ind w:left="0"/>
        <w:jc w:val="both"/>
        <w:rPr>
          <w:rFonts w:ascii="Arial" w:hAnsi="Arial" w:cs="Arial"/>
          <w:sz w:val="20"/>
          <w:szCs w:val="20"/>
          <w:lang w:val="es-ES"/>
        </w:rPr>
      </w:pPr>
    </w:p>
    <w:p w:rsidR="00F50118" w:rsidRPr="000F1969" w:rsidRDefault="0029130D"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16.</w:t>
      </w:r>
      <w:r w:rsidRPr="000F1969">
        <w:rPr>
          <w:rFonts w:ascii="Arial" w:eastAsia="MS Mincho" w:hAnsi="Arial" w:cs="Arial" w:hint="eastAsia"/>
          <w:strike/>
          <w:sz w:val="20"/>
          <w:szCs w:val="20"/>
          <w:highlight w:val="lightGray"/>
          <w:lang w:val="es-ES" w:eastAsia="ja-JP"/>
        </w:rPr>
        <w:t>14.</w:t>
      </w:r>
      <w:r w:rsidRPr="000F1969">
        <w:rPr>
          <w:rFonts w:ascii="Arial" w:eastAsia="MS Mincho" w:hAnsi="Arial" w:cs="Arial"/>
          <w:sz w:val="20"/>
          <w:szCs w:val="20"/>
          <w:lang w:val="es-ES" w:eastAsia="ja-JP"/>
        </w:rPr>
        <w:tab/>
      </w:r>
      <w:r w:rsidR="00CF332E" w:rsidRPr="000F1969">
        <w:rPr>
          <w:rFonts w:ascii="Arial" w:hAnsi="Arial" w:cs="Arial"/>
          <w:sz w:val="20"/>
          <w:szCs w:val="20"/>
          <w:lang w:val="es-ES"/>
        </w:rPr>
        <w:t>En ocasiones el objeto consta de diferentes partes que se deben medir por separado, por ejemplo, la vaina, el pico y el pedúnculo de la vaina de una judía común.  Para hacerlo se necesita un algoritmo especial que separe las diferentes partes (distinguir el pedúnculo y el pico de la vaina) y este algoritmo se debe probar exhaustivamente en un gran número de genotipos de la colección de referencia, para estar seguros de que su aplicación sea fiable en todo el intervalo de expresión</w:t>
      </w:r>
      <w:r w:rsidR="00F50118" w:rsidRPr="000F1969">
        <w:rPr>
          <w:rFonts w:ascii="Arial" w:hAnsi="Arial" w:cs="Arial"/>
          <w:sz w:val="20"/>
          <w:szCs w:val="20"/>
          <w:lang w:val="es-ES_tradnl"/>
        </w:rPr>
        <w:t>.</w:t>
      </w:r>
      <w:r w:rsidR="00627ADA" w:rsidRPr="000F1969">
        <w:rPr>
          <w:rFonts w:ascii="Arial" w:hAnsi="Arial" w:cs="Arial"/>
          <w:sz w:val="20"/>
          <w:szCs w:val="20"/>
          <w:lang w:val="es-ES"/>
        </w:rPr>
        <w:t xml:space="preserve"> </w:t>
      </w:r>
    </w:p>
    <w:p w:rsidR="00F50118" w:rsidRPr="000F1969" w:rsidRDefault="00F50118" w:rsidP="00627ADA">
      <w:pPr>
        <w:rPr>
          <w:rFonts w:cs="Arial"/>
          <w:lang w:val="es-ES"/>
        </w:rPr>
      </w:pPr>
    </w:p>
    <w:p w:rsidR="00F50118" w:rsidRPr="000F1969" w:rsidRDefault="0029130D"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17.</w:t>
      </w:r>
      <w:r w:rsidRPr="000F1969">
        <w:rPr>
          <w:rFonts w:ascii="Arial" w:eastAsia="MS Mincho" w:hAnsi="Arial" w:cs="Arial" w:hint="eastAsia"/>
          <w:strike/>
          <w:sz w:val="20"/>
          <w:szCs w:val="20"/>
          <w:highlight w:val="lightGray"/>
          <w:lang w:val="es-ES" w:eastAsia="ja-JP"/>
        </w:rPr>
        <w:t>15.</w:t>
      </w:r>
      <w:r w:rsidRPr="000F1969">
        <w:rPr>
          <w:rFonts w:ascii="Arial" w:eastAsia="MS Mincho" w:hAnsi="Arial" w:cs="Arial" w:hint="eastAsia"/>
          <w:sz w:val="20"/>
          <w:szCs w:val="20"/>
          <w:lang w:val="es-ES" w:eastAsia="ja-JP"/>
        </w:rPr>
        <w:tab/>
      </w:r>
      <w:r w:rsidR="00CF332E" w:rsidRPr="000F1969">
        <w:rPr>
          <w:rFonts w:ascii="Arial" w:hAnsi="Arial"/>
          <w:sz w:val="20"/>
          <w:lang w:val="es-ES"/>
        </w:rPr>
        <w:t xml:space="preserve">El análisis de imagen también permite medir caracteres de forma;  pero, en general, su uso se limita a los caracteres ya incluidos en la directriz, como por ejemplo, la forma como </w:t>
      </w:r>
      <w:r w:rsidR="00CF332E" w:rsidRPr="000F1969">
        <w:rPr>
          <w:rFonts w:ascii="Arial" w:hAnsi="Arial"/>
          <w:strike/>
          <w:sz w:val="20"/>
          <w:highlight w:val="lightGray"/>
          <w:lang w:val="es-ES"/>
        </w:rPr>
        <w:t>relaciónn</w:t>
      </w:r>
      <w:r w:rsidR="00CF332E" w:rsidRPr="000F1969">
        <w:rPr>
          <w:rFonts w:ascii="Arial" w:hAnsi="Arial"/>
          <w:sz w:val="20"/>
          <w:highlight w:val="lightGray"/>
          <w:lang w:val="es-ES"/>
        </w:rPr>
        <w:t xml:space="preserve"> relación</w:t>
      </w:r>
      <w:r w:rsidR="00CF332E" w:rsidRPr="000F1969">
        <w:rPr>
          <w:rFonts w:ascii="Arial" w:hAnsi="Arial"/>
          <w:sz w:val="20"/>
          <w:lang w:val="es-ES"/>
        </w:rPr>
        <w:t xml:space="preserve"> entre la longitud y la anchura.</w:t>
      </w:r>
    </w:p>
    <w:p w:rsidR="00F50118" w:rsidRPr="000F1969" w:rsidRDefault="00F50118" w:rsidP="00627ADA">
      <w:pPr>
        <w:pStyle w:val="ListParagraph"/>
        <w:jc w:val="both"/>
        <w:rPr>
          <w:rFonts w:ascii="Arial" w:hAnsi="Arial" w:cs="Arial"/>
          <w:sz w:val="20"/>
          <w:szCs w:val="20"/>
          <w:lang w:val="es-ES"/>
        </w:rPr>
      </w:pPr>
    </w:p>
    <w:p w:rsidR="00F50118" w:rsidRPr="000F1969" w:rsidRDefault="0029130D"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18.</w:t>
      </w:r>
      <w:r w:rsidRPr="000F1969">
        <w:rPr>
          <w:rFonts w:ascii="Arial" w:eastAsia="MS Mincho" w:hAnsi="Arial" w:cs="Arial" w:hint="eastAsia"/>
          <w:strike/>
          <w:sz w:val="20"/>
          <w:szCs w:val="20"/>
          <w:highlight w:val="lightGray"/>
          <w:lang w:val="es-ES" w:eastAsia="ja-JP"/>
        </w:rPr>
        <w:t>16.</w:t>
      </w:r>
      <w:r w:rsidRPr="000F1969">
        <w:rPr>
          <w:rFonts w:ascii="Arial" w:eastAsia="MS Mincho" w:hAnsi="Arial" w:cs="Arial" w:hint="eastAsia"/>
          <w:sz w:val="20"/>
          <w:szCs w:val="20"/>
          <w:lang w:val="es-ES" w:eastAsia="ja-JP"/>
        </w:rPr>
        <w:tab/>
      </w:r>
      <w:r w:rsidR="00F50118" w:rsidRPr="000F1969">
        <w:rPr>
          <w:rFonts w:ascii="Arial" w:hAnsi="Arial" w:cs="Arial"/>
          <w:sz w:val="20"/>
          <w:szCs w:val="20"/>
          <w:lang w:val="es-ES_tradnl"/>
        </w:rPr>
        <w:t>Aunque el color es un carácter estándar de la UPOV y se puede medir mediante análisis de imagen, no es frecuente su uso para este fin.</w:t>
      </w:r>
      <w:r w:rsidRPr="000F1969">
        <w:rPr>
          <w:rFonts w:ascii="Arial" w:hAnsi="Arial" w:cs="Arial"/>
          <w:sz w:val="20"/>
          <w:szCs w:val="20"/>
          <w:lang w:val="es-ES_tradnl"/>
        </w:rPr>
        <w:t xml:space="preserve"> </w:t>
      </w:r>
      <w:r w:rsidR="00627ADA" w:rsidRPr="000F1969">
        <w:rPr>
          <w:rFonts w:ascii="Arial" w:hAnsi="Arial" w:cs="Arial"/>
          <w:sz w:val="20"/>
          <w:szCs w:val="20"/>
          <w:lang w:val="es-ES"/>
        </w:rPr>
        <w:t xml:space="preserve"> </w:t>
      </w:r>
      <w:r w:rsidR="00F50118" w:rsidRPr="000F1969">
        <w:rPr>
          <w:rFonts w:ascii="Arial" w:hAnsi="Arial" w:cs="Arial"/>
          <w:strike/>
          <w:sz w:val="20"/>
          <w:szCs w:val="20"/>
          <w:highlight w:val="lightGray"/>
          <w:lang w:val="es-ES_tradnl"/>
        </w:rPr>
        <w:t>Las mediciones de color por medio de análisis de imagen se describen en el documento TWC/24/15 “Image Analysis of Ornamentals, with Emphasis to Rose and Alstroemeria” (Análisis de imagen de las variedades ornamentales, con énfasis en el rosal y la alstroemeria).</w:t>
      </w:r>
      <w:r w:rsidR="00F50118" w:rsidRPr="000F1969">
        <w:rPr>
          <w:rFonts w:ascii="Arial" w:hAnsi="Arial" w:cs="Arial"/>
          <w:sz w:val="20"/>
          <w:szCs w:val="20"/>
          <w:lang w:val="es-ES_tradnl"/>
        </w:rPr>
        <w:t xml:space="preserve">  En la </w:t>
      </w:r>
      <w:r w:rsidR="00F50118" w:rsidRPr="000F1969">
        <w:rPr>
          <w:rFonts w:ascii="Arial" w:hAnsi="Arial" w:cs="Arial"/>
          <w:sz w:val="20"/>
          <w:szCs w:val="20"/>
          <w:lang w:val="es-ES_tradnl"/>
        </w:rPr>
        <w:lastRenderedPageBreak/>
        <w:t>mayoría de los casos, los expertos en cultivos se siguen basando en la observación visual con cartas de colores RHS.</w:t>
      </w:r>
      <w:r w:rsidR="00627ADA" w:rsidRPr="000F1969">
        <w:rPr>
          <w:rFonts w:ascii="Arial" w:hAnsi="Arial" w:cs="Arial"/>
          <w:sz w:val="20"/>
          <w:szCs w:val="20"/>
          <w:lang w:val="es-ES"/>
        </w:rPr>
        <w:t xml:space="preserve"> </w:t>
      </w:r>
    </w:p>
    <w:p w:rsidR="00F50118" w:rsidRPr="000F1969" w:rsidRDefault="00F50118" w:rsidP="009F39F5">
      <w:pPr>
        <w:pStyle w:val="Heading1"/>
        <w:rPr>
          <w:color w:val="auto"/>
        </w:rPr>
      </w:pPr>
    </w:p>
    <w:p w:rsidR="00F50118" w:rsidRPr="000F1969" w:rsidRDefault="00F50118" w:rsidP="00F50118">
      <w:pPr>
        <w:rPr>
          <w:lang w:val="es-ES"/>
        </w:rPr>
      </w:pPr>
      <w:r w:rsidRPr="000F1969">
        <w:rPr>
          <w:lang w:val="es-ES_tradnl"/>
        </w:rPr>
        <w:t>ANÁLISIS DE CARACTERES NO ESTÁNDAR</w:t>
      </w:r>
    </w:p>
    <w:p w:rsidR="00F50118" w:rsidRPr="000F1969" w:rsidRDefault="00F50118" w:rsidP="00627ADA">
      <w:pPr>
        <w:pStyle w:val="ListParagraph"/>
        <w:spacing w:after="0" w:line="240" w:lineRule="auto"/>
        <w:ind w:left="0"/>
        <w:jc w:val="both"/>
        <w:rPr>
          <w:rFonts w:ascii="Arial" w:eastAsia="MS Mincho" w:hAnsi="Arial" w:cs="Arial"/>
          <w:sz w:val="20"/>
          <w:szCs w:val="20"/>
          <w:lang w:val="es-ES" w:eastAsia="ja-JP"/>
        </w:rPr>
      </w:pPr>
    </w:p>
    <w:p w:rsidR="00F50118" w:rsidRPr="000F1969" w:rsidRDefault="008742C5"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19.</w:t>
      </w:r>
      <w:r w:rsidRPr="00781F6B">
        <w:rPr>
          <w:rFonts w:ascii="Arial" w:eastAsia="MS Mincho" w:hAnsi="Arial" w:cs="Arial" w:hint="eastAsia"/>
          <w:strike/>
          <w:sz w:val="20"/>
          <w:szCs w:val="20"/>
          <w:highlight w:val="lightGray"/>
          <w:lang w:val="es-ES" w:eastAsia="ja-JP"/>
        </w:rPr>
        <w:t>17</w:t>
      </w:r>
      <w:r w:rsidRPr="000F1969">
        <w:rPr>
          <w:rFonts w:ascii="Arial" w:eastAsia="MS Mincho" w:hAnsi="Arial" w:cs="Arial"/>
          <w:sz w:val="20"/>
          <w:szCs w:val="20"/>
          <w:lang w:val="es-ES" w:eastAsia="ja-JP"/>
        </w:rPr>
        <w:tab/>
      </w:r>
      <w:r w:rsidR="00CF332E" w:rsidRPr="000F1969">
        <w:rPr>
          <w:rFonts w:ascii="Arial" w:hAnsi="Arial"/>
          <w:sz w:val="20"/>
          <w:lang w:val="es-ES"/>
        </w:rPr>
        <w:t>Además de los caracteres estándar, el análisis de imagen ofrece la posibilidad de evaluar caracteres más complejos que pueden ser más difíciles de observar visualmente o de medir.  Por ejemplo, la distribución total de la forma de una cebolla se puede describir mediante la anchura de la cebolla para las diferentes posiciones del eje de longitud, la cobertura del suelo por el follaje se puede observar con más precisión que por medio de una observación visual, la resistencia a las enfermedades se puede determinar midiendo la superficie infectada de una hoja o la curvatura del perímetro de las hojas se puede determinar evaluando la finura del follaje</w:t>
      </w:r>
      <w:r w:rsidR="00F50118" w:rsidRPr="000F1969">
        <w:rPr>
          <w:rFonts w:ascii="Arial" w:hAnsi="Arial" w:cs="Arial"/>
          <w:sz w:val="20"/>
          <w:szCs w:val="20"/>
          <w:lang w:val="es-ES_tradnl"/>
        </w:rPr>
        <w:t>.</w:t>
      </w:r>
      <w:r w:rsidR="00627ADA" w:rsidRPr="000F1969">
        <w:rPr>
          <w:rFonts w:ascii="Arial" w:hAnsi="Arial" w:cs="Arial"/>
          <w:sz w:val="20"/>
          <w:szCs w:val="20"/>
          <w:lang w:val="es-ES"/>
        </w:rPr>
        <w:t xml:space="preserve"> </w:t>
      </w:r>
    </w:p>
    <w:p w:rsidR="00F50118" w:rsidRPr="000F1969" w:rsidRDefault="00F50118" w:rsidP="00627ADA">
      <w:pPr>
        <w:pStyle w:val="ListParagraph"/>
        <w:spacing w:after="0" w:line="240" w:lineRule="auto"/>
        <w:ind w:left="0"/>
        <w:jc w:val="both"/>
        <w:rPr>
          <w:rFonts w:ascii="Arial" w:hAnsi="Arial" w:cs="Arial"/>
          <w:sz w:val="20"/>
          <w:szCs w:val="20"/>
          <w:lang w:val="es-ES"/>
        </w:rPr>
      </w:pPr>
    </w:p>
    <w:p w:rsidR="00F50118" w:rsidRPr="000F1969" w:rsidRDefault="00F50118" w:rsidP="00627ADA">
      <w:pPr>
        <w:pStyle w:val="ListParagraph"/>
        <w:spacing w:after="0" w:line="240" w:lineRule="auto"/>
        <w:ind w:left="0"/>
        <w:jc w:val="both"/>
        <w:rPr>
          <w:rFonts w:ascii="Arial" w:eastAsia="MS Mincho" w:hAnsi="Arial" w:cs="Arial"/>
          <w:sz w:val="20"/>
          <w:szCs w:val="20"/>
          <w:lang w:val="es-ES" w:eastAsia="ja-JP"/>
        </w:rPr>
      </w:pPr>
    </w:p>
    <w:p w:rsidR="00F50118" w:rsidRPr="000F1969" w:rsidRDefault="00F50118" w:rsidP="009F39F5">
      <w:pPr>
        <w:pStyle w:val="Heading1"/>
        <w:rPr>
          <w:color w:val="auto"/>
        </w:rPr>
      </w:pPr>
      <w:r w:rsidRPr="000F1969">
        <w:rPr>
          <w:color w:val="auto"/>
        </w:rPr>
        <w:t>CONCLUSIONES</w:t>
      </w:r>
    </w:p>
    <w:p w:rsidR="00F50118" w:rsidRPr="000F1969" w:rsidRDefault="00F50118" w:rsidP="00627ADA">
      <w:pPr>
        <w:rPr>
          <w:rFonts w:cs="Arial"/>
          <w:lang w:val="es-ES"/>
        </w:rPr>
      </w:pPr>
    </w:p>
    <w:p w:rsidR="00F50118" w:rsidRPr="000F1969" w:rsidRDefault="008742C5"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20.</w:t>
      </w:r>
      <w:r w:rsidRPr="000F1969">
        <w:rPr>
          <w:rFonts w:ascii="Arial" w:eastAsia="MS Mincho" w:hAnsi="Arial" w:cs="Arial" w:hint="eastAsia"/>
          <w:strike/>
          <w:sz w:val="20"/>
          <w:szCs w:val="20"/>
          <w:highlight w:val="lightGray"/>
          <w:lang w:val="es-ES" w:eastAsia="ja-JP"/>
        </w:rPr>
        <w:t>18.</w:t>
      </w:r>
      <w:r w:rsidRPr="000F1969">
        <w:rPr>
          <w:rFonts w:ascii="Arial" w:eastAsia="MS Mincho" w:hAnsi="Arial" w:cs="Arial" w:hint="eastAsia"/>
          <w:sz w:val="20"/>
          <w:szCs w:val="20"/>
          <w:lang w:val="es-ES" w:eastAsia="ja-JP"/>
        </w:rPr>
        <w:tab/>
      </w:r>
      <w:r w:rsidR="00CF332E" w:rsidRPr="000F1969">
        <w:rPr>
          <w:rFonts w:ascii="Arial" w:hAnsi="Arial"/>
          <w:sz w:val="20"/>
          <w:lang w:val="es-ES"/>
        </w:rPr>
        <w:t xml:space="preserve">El análisis de imagen se emplea para tomar mediciones y para automatizar, al menos en parte, la evaluación de caracteres.  Exige una definición correcta y precisa de los caracteres, la informatización con </w:t>
      </w:r>
      <w:r w:rsidR="00CF332E" w:rsidRPr="000F1969">
        <w:rPr>
          <w:rFonts w:ascii="Arial" w:hAnsi="Arial"/>
          <w:i/>
          <w:sz w:val="20"/>
          <w:lang w:val="es-ES"/>
        </w:rPr>
        <w:t>software</w:t>
      </w:r>
      <w:r w:rsidR="00CF332E" w:rsidRPr="000F1969">
        <w:rPr>
          <w:rFonts w:ascii="Arial" w:hAnsi="Arial"/>
          <w:sz w:val="20"/>
          <w:lang w:val="es-ES"/>
        </w:rPr>
        <w:t xml:space="preserve"> existente o desarrollado especialmente, una preparación adecuada de las muestras, el  contraste con los procedimientos existentes, una calibración esmerada y una normalización.  Por lo tanto, con frecuencia se necesita una inversión que solo puede ser rentable, en comparación con la evaluación manual de los caracteres, si afecta a un número considerable de mediciones o a mediciones que son dificultosas y llevan tiempo al examinador.  Para los caracteres de órganos de pequeño tamaño (como por ejemplo el tamaño de las semillas) el análisis de imagen es más preciso y fiable</w:t>
      </w:r>
      <w:r w:rsidR="00F50118" w:rsidRPr="000F1969">
        <w:rPr>
          <w:rFonts w:ascii="Arial" w:hAnsi="Arial" w:cs="Arial"/>
          <w:sz w:val="20"/>
          <w:szCs w:val="20"/>
          <w:lang w:val="es-ES_tradnl"/>
        </w:rPr>
        <w:t>.</w:t>
      </w:r>
      <w:r w:rsidR="00627ADA" w:rsidRPr="000F1969">
        <w:rPr>
          <w:rFonts w:ascii="Arial" w:hAnsi="Arial" w:cs="Arial"/>
          <w:sz w:val="20"/>
          <w:szCs w:val="20"/>
          <w:lang w:val="es-ES"/>
        </w:rPr>
        <w:t xml:space="preserve"> </w:t>
      </w:r>
    </w:p>
    <w:p w:rsidR="00F50118" w:rsidRPr="000F1969" w:rsidRDefault="00F50118" w:rsidP="00627ADA">
      <w:pPr>
        <w:rPr>
          <w:rFonts w:cs="Arial"/>
          <w:lang w:val="es-ES"/>
        </w:rPr>
      </w:pPr>
    </w:p>
    <w:p w:rsidR="00F50118" w:rsidRPr="000F1969" w:rsidRDefault="008742C5"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21.</w:t>
      </w:r>
      <w:r w:rsidRPr="000F1969">
        <w:rPr>
          <w:rFonts w:ascii="Arial" w:eastAsia="MS Mincho" w:hAnsi="Arial" w:cs="Arial" w:hint="eastAsia"/>
          <w:strike/>
          <w:sz w:val="20"/>
          <w:szCs w:val="20"/>
          <w:highlight w:val="lightGray"/>
          <w:lang w:val="es-ES" w:eastAsia="ja-JP"/>
        </w:rPr>
        <w:t>19.</w:t>
      </w:r>
      <w:r w:rsidR="00CF332E" w:rsidRPr="000F1969">
        <w:rPr>
          <w:rFonts w:ascii="Arial" w:hAnsi="Arial"/>
          <w:sz w:val="20"/>
          <w:lang w:val="es-ES"/>
        </w:rPr>
        <w:t xml:space="preserve"> El análisis de imagen ofrece la posibilidad de almacenar información:  las imágenes se pueden registrar y analizar en otro momento, para evitar que haya períodos de intenso trabajo, y pueden utilizarse en una etapa posterior para comparar variedades, por ejemplo, en caso de duda</w:t>
      </w:r>
      <w:r w:rsidR="00F50118" w:rsidRPr="000F1969">
        <w:rPr>
          <w:rFonts w:ascii="Arial" w:hAnsi="Arial" w:cs="Arial"/>
          <w:sz w:val="20"/>
          <w:szCs w:val="20"/>
          <w:lang w:val="es-ES_tradnl"/>
        </w:rPr>
        <w:t>.</w:t>
      </w:r>
      <w:r w:rsidR="00627ADA" w:rsidRPr="000F1969">
        <w:rPr>
          <w:rFonts w:ascii="Arial" w:hAnsi="Arial" w:cs="Arial"/>
          <w:sz w:val="20"/>
          <w:szCs w:val="20"/>
          <w:lang w:val="es-ES"/>
        </w:rPr>
        <w:t xml:space="preserve"> </w:t>
      </w:r>
    </w:p>
    <w:p w:rsidR="00F50118" w:rsidRPr="000F1969" w:rsidRDefault="00F50118" w:rsidP="00627ADA">
      <w:pPr>
        <w:pStyle w:val="ListParagraph"/>
        <w:spacing w:after="0" w:line="240" w:lineRule="auto"/>
        <w:ind w:left="0"/>
        <w:jc w:val="both"/>
        <w:rPr>
          <w:rFonts w:ascii="Arial" w:eastAsia="MS Mincho" w:hAnsi="Arial" w:cs="Arial"/>
          <w:sz w:val="20"/>
          <w:szCs w:val="20"/>
          <w:u w:val="single"/>
          <w:lang w:val="es-ES" w:eastAsia="ja-JP"/>
        </w:rPr>
      </w:pPr>
    </w:p>
    <w:p w:rsidR="00F50118" w:rsidRPr="000F1969" w:rsidRDefault="008742C5" w:rsidP="00F50118">
      <w:pPr>
        <w:pStyle w:val="ListParagraph"/>
        <w:spacing w:after="0" w:line="240" w:lineRule="auto"/>
        <w:ind w:left="0"/>
        <w:jc w:val="both"/>
        <w:rPr>
          <w:rFonts w:ascii="Arial" w:hAnsi="Arial" w:cs="Arial"/>
          <w:sz w:val="20"/>
          <w:szCs w:val="20"/>
          <w:lang w:val="es-ES"/>
        </w:rPr>
      </w:pPr>
      <w:r w:rsidRPr="000F1969">
        <w:rPr>
          <w:rFonts w:ascii="Arial" w:eastAsia="MS Mincho" w:hAnsi="Arial" w:cs="Arial" w:hint="eastAsia"/>
          <w:sz w:val="20"/>
          <w:szCs w:val="20"/>
          <w:highlight w:val="lightGray"/>
          <w:u w:val="single"/>
          <w:lang w:val="es-ES" w:eastAsia="ja-JP"/>
        </w:rPr>
        <w:t>22.</w:t>
      </w:r>
      <w:r w:rsidRPr="000F1969">
        <w:rPr>
          <w:rFonts w:ascii="Arial" w:eastAsia="MS Mincho" w:hAnsi="Arial" w:cs="Arial" w:hint="eastAsia"/>
          <w:strike/>
          <w:sz w:val="20"/>
          <w:szCs w:val="20"/>
          <w:highlight w:val="lightGray"/>
          <w:lang w:val="es-ES" w:eastAsia="ja-JP"/>
        </w:rPr>
        <w:t>20.</w:t>
      </w:r>
      <w:r w:rsidRPr="000F1969">
        <w:rPr>
          <w:rFonts w:ascii="Arial" w:eastAsia="MS Mincho" w:hAnsi="Arial" w:cs="Arial" w:hint="eastAsia"/>
          <w:sz w:val="20"/>
          <w:szCs w:val="20"/>
          <w:lang w:val="es-ES" w:eastAsia="ja-JP"/>
        </w:rPr>
        <w:tab/>
      </w:r>
      <w:r w:rsidR="00CF332E" w:rsidRPr="000F1969">
        <w:rPr>
          <w:rFonts w:ascii="Arial" w:hAnsi="Arial"/>
          <w:sz w:val="20"/>
          <w:lang w:val="es-ES"/>
        </w:rPr>
        <w:t>En la actualidad se utiliza principalmente para los caracteres de tamaño y for</w:t>
      </w:r>
      <w:bookmarkStart w:id="5" w:name="_GoBack"/>
      <w:bookmarkEnd w:id="5"/>
      <w:r w:rsidR="00CF332E" w:rsidRPr="000F1969">
        <w:rPr>
          <w:rFonts w:ascii="Arial" w:hAnsi="Arial"/>
          <w:sz w:val="20"/>
          <w:lang w:val="es-ES"/>
        </w:rPr>
        <w:t>ma, pero en el futuro será posible utilizarlo para una gama más amplia de caracteres</w:t>
      </w:r>
      <w:r w:rsidR="00F50118" w:rsidRPr="000F1969">
        <w:rPr>
          <w:rFonts w:ascii="Arial" w:hAnsi="Arial" w:cs="Arial"/>
          <w:sz w:val="20"/>
          <w:szCs w:val="20"/>
          <w:lang w:val="es-ES_tradnl"/>
        </w:rPr>
        <w:t>.</w:t>
      </w:r>
      <w:r w:rsidR="00627ADA" w:rsidRPr="000F1969">
        <w:rPr>
          <w:rFonts w:ascii="Arial" w:hAnsi="Arial" w:cs="Arial"/>
          <w:sz w:val="20"/>
          <w:szCs w:val="20"/>
          <w:lang w:val="es-ES"/>
        </w:rPr>
        <w:t xml:space="preserve"> </w:t>
      </w:r>
      <w:r w:rsidR="00627ADA" w:rsidRPr="000F1969">
        <w:rPr>
          <w:rFonts w:hint="eastAsia"/>
          <w:lang w:val="es-ES" w:eastAsia="ja-JP"/>
        </w:rPr>
        <w:t xml:space="preserve"> </w:t>
      </w:r>
    </w:p>
    <w:p w:rsidR="00F50118" w:rsidRPr="000F1969" w:rsidRDefault="00F50118" w:rsidP="00627ADA">
      <w:pPr>
        <w:pStyle w:val="ListParagraph"/>
        <w:spacing w:after="0" w:line="240" w:lineRule="auto"/>
        <w:ind w:left="0"/>
        <w:jc w:val="both"/>
        <w:rPr>
          <w:rFonts w:ascii="Arial" w:eastAsia="MS Mincho" w:hAnsi="Arial" w:cs="Arial"/>
          <w:sz w:val="20"/>
          <w:szCs w:val="20"/>
          <w:lang w:val="es-ES" w:eastAsia="ja-JP"/>
        </w:rPr>
      </w:pPr>
    </w:p>
    <w:p w:rsidR="00F50118" w:rsidRPr="000F1969" w:rsidRDefault="00F50118" w:rsidP="00627ADA">
      <w:pPr>
        <w:pStyle w:val="ListParagraph"/>
        <w:spacing w:after="0" w:line="240" w:lineRule="auto"/>
        <w:ind w:left="0"/>
        <w:jc w:val="both"/>
        <w:rPr>
          <w:rFonts w:ascii="Arial" w:eastAsia="MS Mincho" w:hAnsi="Arial" w:cs="Arial"/>
          <w:sz w:val="20"/>
          <w:szCs w:val="20"/>
          <w:lang w:val="es-ES" w:eastAsia="ja-JP"/>
        </w:rPr>
      </w:pPr>
    </w:p>
    <w:p w:rsidR="00F50118" w:rsidRPr="000F1969" w:rsidRDefault="00F50118" w:rsidP="00627ADA">
      <w:pPr>
        <w:pStyle w:val="ListParagraph"/>
        <w:spacing w:after="0" w:line="240" w:lineRule="auto"/>
        <w:ind w:left="0"/>
        <w:jc w:val="both"/>
        <w:rPr>
          <w:rFonts w:ascii="Arial" w:eastAsia="MS Mincho" w:hAnsi="Arial" w:cs="Arial"/>
          <w:sz w:val="20"/>
          <w:szCs w:val="20"/>
          <w:lang w:val="es-ES" w:eastAsia="ja-JP"/>
        </w:rPr>
      </w:pPr>
    </w:p>
    <w:p w:rsidR="00F50118" w:rsidRPr="000F1969" w:rsidRDefault="00F50118" w:rsidP="009F39F5">
      <w:pPr>
        <w:pStyle w:val="Heading1"/>
        <w:rPr>
          <w:color w:val="auto"/>
          <w:lang w:val="en-GB"/>
        </w:rPr>
      </w:pPr>
      <w:r w:rsidRPr="000F1969">
        <w:rPr>
          <w:color w:val="auto"/>
          <w:lang w:val="en-GB"/>
        </w:rPr>
        <w:t>BIBLIOGRAFÍA</w:t>
      </w:r>
    </w:p>
    <w:p w:rsidR="00F50118" w:rsidRPr="000F1969" w:rsidRDefault="00F50118" w:rsidP="00627ADA">
      <w:pPr>
        <w:keepNext/>
        <w:rPr>
          <w:rFonts w:cs="Arial"/>
        </w:rPr>
      </w:pPr>
    </w:p>
    <w:p w:rsidR="00F50118" w:rsidRPr="000F1969" w:rsidRDefault="006201D6" w:rsidP="00627ADA">
      <w:pPr>
        <w:keepNext/>
        <w:rPr>
          <w:rFonts w:cs="Arial"/>
          <w:noProof/>
        </w:rPr>
      </w:pPr>
      <w:r w:rsidRPr="000F1969">
        <w:rPr>
          <w:rFonts w:cs="Arial"/>
        </w:rPr>
        <w:fldChar w:fldCharType="begin"/>
      </w:r>
      <w:r w:rsidR="00627ADA" w:rsidRPr="000F1969">
        <w:rPr>
          <w:rFonts w:cs="Arial"/>
        </w:rPr>
        <w:instrText xml:space="preserve"> ADDIN EN.REFLIST </w:instrText>
      </w:r>
      <w:r w:rsidRPr="000F1969">
        <w:rPr>
          <w:rFonts w:cs="Arial"/>
        </w:rPr>
        <w:fldChar w:fldCharType="separate"/>
      </w:r>
      <w:bookmarkStart w:id="6" w:name="_ENREF_1"/>
      <w:r w:rsidR="00627ADA" w:rsidRPr="000F1969">
        <w:rPr>
          <w:rFonts w:cs="Arial"/>
          <w:noProof/>
        </w:rPr>
        <w:t xml:space="preserve">van der Heijden, G., A. M. Vossepoel &amp; G. Polder (1996) Measuring onion cultivars with image analysis using inflection points. </w:t>
      </w:r>
      <w:r w:rsidR="00627ADA" w:rsidRPr="000F1969">
        <w:rPr>
          <w:rFonts w:cs="Arial"/>
          <w:i/>
          <w:noProof/>
        </w:rPr>
        <w:t>Euphytica,</w:t>
      </w:r>
      <w:r w:rsidR="00627ADA" w:rsidRPr="000F1969">
        <w:rPr>
          <w:rFonts w:cs="Arial"/>
          <w:noProof/>
        </w:rPr>
        <w:t xml:space="preserve"> 87</w:t>
      </w:r>
      <w:r w:rsidR="00627ADA" w:rsidRPr="000F1969">
        <w:rPr>
          <w:rFonts w:cs="Arial"/>
          <w:b/>
          <w:noProof/>
        </w:rPr>
        <w:t>,</w:t>
      </w:r>
      <w:r w:rsidR="00627ADA" w:rsidRPr="000F1969">
        <w:rPr>
          <w:rFonts w:cs="Arial"/>
          <w:noProof/>
        </w:rPr>
        <w:t xml:space="preserve"> 19-31.</w:t>
      </w:r>
      <w:bookmarkEnd w:id="6"/>
    </w:p>
    <w:p w:rsidR="00F50118" w:rsidRPr="000F1969" w:rsidRDefault="00F50118" w:rsidP="00627ADA">
      <w:pPr>
        <w:keepNext/>
        <w:rPr>
          <w:rFonts w:cs="Arial"/>
          <w:noProof/>
        </w:rPr>
      </w:pPr>
    </w:p>
    <w:p w:rsidR="00F50118" w:rsidRPr="000F1969" w:rsidRDefault="006201D6" w:rsidP="00627ADA">
      <w:pPr>
        <w:jc w:val="left"/>
        <w:rPr>
          <w:snapToGrid w:val="0"/>
          <w:lang w:val="es-ES_tradnl"/>
        </w:rPr>
      </w:pPr>
      <w:r w:rsidRPr="000F1969">
        <w:rPr>
          <w:rFonts w:cs="Arial"/>
        </w:rPr>
        <w:fldChar w:fldCharType="end"/>
      </w:r>
    </w:p>
    <w:p w:rsidR="00F50118" w:rsidRPr="000F1969" w:rsidRDefault="00F50118" w:rsidP="00905020">
      <w:pPr>
        <w:rPr>
          <w:snapToGrid w:val="0"/>
          <w:lang w:val="es-ES_tradnl"/>
        </w:rPr>
      </w:pPr>
    </w:p>
    <w:p w:rsidR="00F50118" w:rsidRPr="000F1969" w:rsidRDefault="00F50118" w:rsidP="007F4BB2">
      <w:pPr>
        <w:jc w:val="right"/>
        <w:rPr>
          <w:snapToGrid w:val="0"/>
          <w:lang w:val="es-ES_tradnl"/>
        </w:rPr>
      </w:pPr>
    </w:p>
    <w:p w:rsidR="00F50118" w:rsidRPr="000F1969" w:rsidRDefault="00F50118" w:rsidP="00F50118">
      <w:pPr>
        <w:jc w:val="right"/>
        <w:rPr>
          <w:snapToGrid w:val="0"/>
          <w:lang w:val="es-ES_tradnl"/>
        </w:rPr>
      </w:pPr>
      <w:r w:rsidRPr="000F1969">
        <w:rPr>
          <w:snapToGrid w:val="0"/>
          <w:lang w:val="es-ES_tradnl"/>
        </w:rPr>
        <w:t xml:space="preserve">[Fin </w:t>
      </w:r>
      <w:r w:rsidR="00F43864">
        <w:rPr>
          <w:snapToGrid w:val="0"/>
          <w:lang w:val="es-ES_tradnl"/>
        </w:rPr>
        <w:t xml:space="preserve">del anexo y </w:t>
      </w:r>
      <w:r w:rsidRPr="000F1969">
        <w:rPr>
          <w:snapToGrid w:val="0"/>
          <w:lang w:val="es-ES_tradnl"/>
        </w:rPr>
        <w:t>del documento]</w:t>
      </w:r>
    </w:p>
    <w:p w:rsidR="007F4BB2" w:rsidRPr="000F1969" w:rsidRDefault="007F4BB2" w:rsidP="007F4BB2">
      <w:pPr>
        <w:jc w:val="right"/>
        <w:rPr>
          <w:snapToGrid w:val="0"/>
          <w:lang w:val="es-ES_tradnl"/>
        </w:rPr>
      </w:pPr>
    </w:p>
    <w:sectPr w:rsidR="007F4BB2" w:rsidRPr="000F1969" w:rsidSect="000C1BB1">
      <w:headerReference w:type="default" r:id="rId12"/>
      <w:headerReference w:type="first" r:id="rId13"/>
      <w:footerReference w:type="first" r:id="rId14"/>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EF2" w:rsidRDefault="00912EF2" w:rsidP="00F45372">
      <w:r>
        <w:separator/>
      </w:r>
    </w:p>
    <w:p w:rsidR="00912EF2" w:rsidRDefault="00912EF2" w:rsidP="00F45372"/>
    <w:p w:rsidR="00912EF2" w:rsidRDefault="00912EF2" w:rsidP="00F45372"/>
  </w:endnote>
  <w:endnote w:type="continuationSeparator" w:id="0">
    <w:p w:rsidR="00912EF2" w:rsidRDefault="00912EF2" w:rsidP="00F45372">
      <w:r>
        <w:separator/>
      </w:r>
    </w:p>
    <w:p w:rsidR="00912EF2" w:rsidRPr="00970020" w:rsidRDefault="00912EF2">
      <w:pPr>
        <w:pStyle w:val="Footer"/>
        <w:spacing w:after="60"/>
        <w:rPr>
          <w:sz w:val="18"/>
          <w:lang w:val="fr-CH"/>
        </w:rPr>
      </w:pPr>
      <w:r w:rsidRPr="00970020">
        <w:rPr>
          <w:sz w:val="18"/>
          <w:lang w:val="fr-CH"/>
        </w:rPr>
        <w:t>[Suite de la note de la page précédente]</w:t>
      </w:r>
    </w:p>
    <w:p w:rsidR="00912EF2" w:rsidRPr="00970020" w:rsidRDefault="00912EF2" w:rsidP="00F45372">
      <w:pPr>
        <w:rPr>
          <w:lang w:val="fr-CH"/>
        </w:rPr>
      </w:pPr>
    </w:p>
    <w:p w:rsidR="00912EF2" w:rsidRPr="00970020" w:rsidRDefault="00912EF2" w:rsidP="00F45372">
      <w:pPr>
        <w:rPr>
          <w:lang w:val="fr-CH"/>
        </w:rPr>
      </w:pPr>
    </w:p>
  </w:endnote>
  <w:endnote w:type="continuationNotice" w:id="1">
    <w:p w:rsidR="00912EF2" w:rsidRPr="00970020" w:rsidRDefault="00912EF2" w:rsidP="00F45372">
      <w:pPr>
        <w:rPr>
          <w:lang w:val="fr-CH"/>
        </w:rPr>
      </w:pPr>
      <w:r w:rsidRPr="00970020">
        <w:rPr>
          <w:lang w:val="fr-CH"/>
        </w:rPr>
        <w:t>[Suite de la note page suivante]</w:t>
      </w:r>
    </w:p>
    <w:p w:rsidR="00912EF2" w:rsidRPr="00970020" w:rsidRDefault="00912EF2" w:rsidP="00F45372">
      <w:pPr>
        <w:rPr>
          <w:lang w:val="fr-CH"/>
        </w:rPr>
      </w:pPr>
    </w:p>
    <w:p w:rsidR="00912EF2" w:rsidRPr="00970020" w:rsidRDefault="00912EF2" w:rsidP="00F45372">
      <w:pPr>
        <w:rPr>
          <w:lang w:val="fr-CH"/>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002F73" w:rsidRDefault="008A1693" w:rsidP="00002F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EF2" w:rsidRDefault="00912EF2" w:rsidP="00F45372">
      <w:r>
        <w:separator/>
      </w:r>
    </w:p>
  </w:footnote>
  <w:footnote w:type="continuationSeparator" w:id="0">
    <w:p w:rsidR="00912EF2" w:rsidRDefault="00912EF2" w:rsidP="00F45372">
      <w:r>
        <w:separator/>
      </w:r>
    </w:p>
  </w:footnote>
  <w:footnote w:type="continuationNotice" w:id="1">
    <w:p w:rsidR="00912EF2" w:rsidRPr="00905020" w:rsidRDefault="00912EF2" w:rsidP="00905020">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7ADA" w:rsidRPr="006510E8" w:rsidRDefault="00F50118" w:rsidP="0056689D">
    <w:pPr>
      <w:pStyle w:val="Header"/>
      <w:rPr>
        <w:rStyle w:val="PageNumber"/>
        <w:color w:val="auto"/>
        <w:lang w:val="en-US"/>
      </w:rPr>
    </w:pPr>
    <w:r w:rsidRPr="006510E8">
      <w:rPr>
        <w:rStyle w:val="PageNumber"/>
        <w:color w:val="auto"/>
      </w:rPr>
      <w:t>TC/51/21</w:t>
    </w:r>
  </w:p>
  <w:p w:rsidR="00627ADA" w:rsidRPr="006510E8" w:rsidRDefault="000C1BB1" w:rsidP="0056689D">
    <w:pPr>
      <w:pStyle w:val="Header"/>
      <w:rPr>
        <w:color w:val="auto"/>
      </w:rPr>
    </w:pPr>
    <w:r w:rsidRPr="006510E8">
      <w:rPr>
        <w:color w:val="auto"/>
      </w:rPr>
      <w:t>página</w:t>
    </w:r>
    <w:r w:rsidR="00627ADA" w:rsidRPr="006510E8">
      <w:rPr>
        <w:color w:val="auto"/>
      </w:rPr>
      <w:t xml:space="preserve"> </w:t>
    </w:r>
    <w:r w:rsidR="006201D6" w:rsidRPr="006510E8">
      <w:rPr>
        <w:rStyle w:val="PageNumber"/>
        <w:color w:val="auto"/>
        <w:lang w:val="en-US"/>
      </w:rPr>
      <w:fldChar w:fldCharType="begin"/>
    </w:r>
    <w:r w:rsidR="00627ADA" w:rsidRPr="006510E8">
      <w:rPr>
        <w:rStyle w:val="PageNumber"/>
        <w:color w:val="auto"/>
        <w:lang w:val="en-US"/>
      </w:rPr>
      <w:instrText xml:space="preserve"> PAGE </w:instrText>
    </w:r>
    <w:r w:rsidR="006201D6" w:rsidRPr="006510E8">
      <w:rPr>
        <w:rStyle w:val="PageNumber"/>
        <w:color w:val="auto"/>
        <w:lang w:val="en-US"/>
      </w:rPr>
      <w:fldChar w:fldCharType="separate"/>
    </w:r>
    <w:r w:rsidR="00781F6B">
      <w:rPr>
        <w:rStyle w:val="PageNumber"/>
        <w:noProof/>
        <w:color w:val="auto"/>
        <w:lang w:val="en-US"/>
      </w:rPr>
      <w:t>3</w:t>
    </w:r>
    <w:r w:rsidR="006201D6" w:rsidRPr="006510E8">
      <w:rPr>
        <w:rStyle w:val="PageNumber"/>
        <w:color w:val="auto"/>
        <w:lang w:val="en-US"/>
      </w:rPr>
      <w:fldChar w:fldCharType="end"/>
    </w:r>
  </w:p>
  <w:p w:rsidR="00627ADA" w:rsidRPr="006510E8" w:rsidRDefault="00627ADA"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1693" w:rsidRPr="00F6592A" w:rsidRDefault="00F50118" w:rsidP="0056689D">
    <w:pPr>
      <w:pStyle w:val="Header"/>
      <w:rPr>
        <w:rStyle w:val="PageNumber"/>
        <w:color w:val="auto"/>
      </w:rPr>
    </w:pPr>
    <w:r w:rsidRPr="00F6592A">
      <w:rPr>
        <w:rStyle w:val="PageNumber"/>
        <w:color w:val="auto"/>
      </w:rPr>
      <w:t>TC/51/21</w:t>
    </w:r>
  </w:p>
  <w:p w:rsidR="008A1693" w:rsidRPr="00F6592A" w:rsidRDefault="000C1BB1" w:rsidP="0056689D">
    <w:pPr>
      <w:pStyle w:val="Header"/>
      <w:rPr>
        <w:color w:val="auto"/>
      </w:rPr>
    </w:pPr>
    <w:r w:rsidRPr="00F6592A">
      <w:rPr>
        <w:color w:val="auto"/>
      </w:rPr>
      <w:t xml:space="preserve">Anexo, </w:t>
    </w:r>
    <w:r w:rsidR="008A1693" w:rsidRPr="00F6592A">
      <w:rPr>
        <w:color w:val="auto"/>
      </w:rPr>
      <w:t xml:space="preserve">página </w:t>
    </w:r>
    <w:r w:rsidR="006201D6" w:rsidRPr="00F6592A">
      <w:rPr>
        <w:rStyle w:val="PageNumber"/>
        <w:color w:val="auto"/>
      </w:rPr>
      <w:fldChar w:fldCharType="begin"/>
    </w:r>
    <w:r w:rsidR="008A1693" w:rsidRPr="00F6592A">
      <w:rPr>
        <w:rStyle w:val="PageNumber"/>
        <w:color w:val="auto"/>
      </w:rPr>
      <w:instrText xml:space="preserve"> PAGE </w:instrText>
    </w:r>
    <w:r w:rsidR="006201D6" w:rsidRPr="00F6592A">
      <w:rPr>
        <w:rStyle w:val="PageNumber"/>
        <w:color w:val="auto"/>
      </w:rPr>
      <w:fldChar w:fldCharType="separate"/>
    </w:r>
    <w:r w:rsidR="00781F6B">
      <w:rPr>
        <w:rStyle w:val="PageNumber"/>
        <w:noProof/>
        <w:color w:val="auto"/>
      </w:rPr>
      <w:t>4</w:t>
    </w:r>
    <w:r w:rsidR="006201D6" w:rsidRPr="00F6592A">
      <w:rPr>
        <w:rStyle w:val="PageNumber"/>
        <w:color w:val="auto"/>
      </w:rPr>
      <w:fldChar w:fldCharType="end"/>
    </w:r>
  </w:p>
  <w:p w:rsidR="008A1693" w:rsidRPr="00F6592A" w:rsidRDefault="008A1693" w:rsidP="00F45372">
    <w:pPr>
      <w:rPr>
        <w:lang w:val="es-ES_tradnl"/>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1BB1" w:rsidRPr="006A436F" w:rsidRDefault="000C1BB1" w:rsidP="0056689D">
    <w:pPr>
      <w:pStyle w:val="Header"/>
      <w:rPr>
        <w:color w:val="auto"/>
      </w:rPr>
    </w:pPr>
    <w:r w:rsidRPr="006A436F">
      <w:rPr>
        <w:color w:val="auto"/>
      </w:rPr>
      <w:t>TC/51/21</w:t>
    </w:r>
  </w:p>
  <w:p w:rsidR="00002F73" w:rsidRPr="006A436F" w:rsidRDefault="00002F73" w:rsidP="0056689D">
    <w:pPr>
      <w:pStyle w:val="Header"/>
      <w:rPr>
        <w:color w:val="auto"/>
      </w:rPr>
    </w:pPr>
  </w:p>
  <w:p w:rsidR="000C1BB1" w:rsidRPr="006A436F" w:rsidRDefault="000C1BB1" w:rsidP="0056689D">
    <w:pPr>
      <w:pStyle w:val="Header"/>
      <w:rPr>
        <w:color w:val="auto"/>
      </w:rPr>
    </w:pPr>
    <w:r w:rsidRPr="006A436F">
      <w:rPr>
        <w:color w:val="auto"/>
      </w:rPr>
      <w:t>ANEXO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092B0F"/>
    <w:multiLevelType w:val="hybridMultilevel"/>
    <w:tmpl w:val="62969500"/>
    <w:lvl w:ilvl="0" w:tplc="0409000F">
      <w:start w:val="1"/>
      <w:numFmt w:val="decimal"/>
      <w:lvlText w:val="%1."/>
      <w:lvlJc w:val="left"/>
      <w:pPr>
        <w:ind w:left="975" w:hanging="705"/>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UPOV\Meetings|UPOV\Other|UPOV\Publications|UPOV\Technical Guidelines|WorkspaceSTS\EN-ES\UPOV\Meetings|WorkspaceSTS\EN-ES\UPOV\Other|WorkspaceSTS\EN-ES\UPOV\Publications|WorkspaceSTS\EN-ES\UPOV\Technical Guidelines|WorkspaceSTS\EN-ES\UPOV\TGP_7"/>
    <w:docVar w:name="TextBaseURL" w:val="empty"/>
    <w:docVar w:name="UILng" w:val="en"/>
  </w:docVars>
  <w:rsids>
    <w:rsidRoot w:val="00A37E25"/>
    <w:rsid w:val="00002F73"/>
    <w:rsid w:val="00004949"/>
    <w:rsid w:val="00010CF3"/>
    <w:rsid w:val="00011E27"/>
    <w:rsid w:val="000148BC"/>
    <w:rsid w:val="00024AB8"/>
    <w:rsid w:val="00030854"/>
    <w:rsid w:val="00036028"/>
    <w:rsid w:val="00044642"/>
    <w:rsid w:val="000446B9"/>
    <w:rsid w:val="00047E21"/>
    <w:rsid w:val="00085505"/>
    <w:rsid w:val="000C1BB1"/>
    <w:rsid w:val="000C7021"/>
    <w:rsid w:val="000D54E4"/>
    <w:rsid w:val="000D6BBC"/>
    <w:rsid w:val="000D7780"/>
    <w:rsid w:val="000E5E26"/>
    <w:rsid w:val="000F1969"/>
    <w:rsid w:val="00105929"/>
    <w:rsid w:val="001131D5"/>
    <w:rsid w:val="00141DB8"/>
    <w:rsid w:val="001479AA"/>
    <w:rsid w:val="0017474A"/>
    <w:rsid w:val="001758C6"/>
    <w:rsid w:val="00184D5D"/>
    <w:rsid w:val="00190C8F"/>
    <w:rsid w:val="001A50DB"/>
    <w:rsid w:val="001A55F6"/>
    <w:rsid w:val="001C139B"/>
    <w:rsid w:val="001E3D32"/>
    <w:rsid w:val="0021332C"/>
    <w:rsid w:val="00213982"/>
    <w:rsid w:val="00235267"/>
    <w:rsid w:val="0024416D"/>
    <w:rsid w:val="00266E18"/>
    <w:rsid w:val="002800A0"/>
    <w:rsid w:val="002801B3"/>
    <w:rsid w:val="00281060"/>
    <w:rsid w:val="0029130D"/>
    <w:rsid w:val="0029235F"/>
    <w:rsid w:val="002940E8"/>
    <w:rsid w:val="002A6E50"/>
    <w:rsid w:val="002C256A"/>
    <w:rsid w:val="002C347D"/>
    <w:rsid w:val="002C4E0C"/>
    <w:rsid w:val="00305A7F"/>
    <w:rsid w:val="003152FE"/>
    <w:rsid w:val="00320AE8"/>
    <w:rsid w:val="00327436"/>
    <w:rsid w:val="00340FC2"/>
    <w:rsid w:val="00344BD6"/>
    <w:rsid w:val="0035528D"/>
    <w:rsid w:val="00361821"/>
    <w:rsid w:val="00366D8A"/>
    <w:rsid w:val="00370631"/>
    <w:rsid w:val="0039066F"/>
    <w:rsid w:val="003B5DDC"/>
    <w:rsid w:val="003D227C"/>
    <w:rsid w:val="003D2B4D"/>
    <w:rsid w:val="003D7E71"/>
    <w:rsid w:val="003F4A38"/>
    <w:rsid w:val="00407AE1"/>
    <w:rsid w:val="00444A88"/>
    <w:rsid w:val="00450646"/>
    <w:rsid w:val="00451873"/>
    <w:rsid w:val="00474DA4"/>
    <w:rsid w:val="00482247"/>
    <w:rsid w:val="004A66BF"/>
    <w:rsid w:val="004D047D"/>
    <w:rsid w:val="004F1D89"/>
    <w:rsid w:val="004F305A"/>
    <w:rsid w:val="00512164"/>
    <w:rsid w:val="005175C3"/>
    <w:rsid w:val="00520297"/>
    <w:rsid w:val="0052540B"/>
    <w:rsid w:val="005338F9"/>
    <w:rsid w:val="0054281C"/>
    <w:rsid w:val="0055268D"/>
    <w:rsid w:val="00557BFD"/>
    <w:rsid w:val="00562D21"/>
    <w:rsid w:val="0056689D"/>
    <w:rsid w:val="005733E2"/>
    <w:rsid w:val="00576BE4"/>
    <w:rsid w:val="00576BF0"/>
    <w:rsid w:val="00590F5E"/>
    <w:rsid w:val="005A400A"/>
    <w:rsid w:val="00612379"/>
    <w:rsid w:val="0061555F"/>
    <w:rsid w:val="006201D6"/>
    <w:rsid w:val="00625523"/>
    <w:rsid w:val="00627ADA"/>
    <w:rsid w:val="00641200"/>
    <w:rsid w:val="006510E8"/>
    <w:rsid w:val="00687EB4"/>
    <w:rsid w:val="006A1ECF"/>
    <w:rsid w:val="006A2ADA"/>
    <w:rsid w:val="006A436F"/>
    <w:rsid w:val="006B17D2"/>
    <w:rsid w:val="006C224E"/>
    <w:rsid w:val="006D780A"/>
    <w:rsid w:val="006E7AB9"/>
    <w:rsid w:val="00732DEC"/>
    <w:rsid w:val="00735BD5"/>
    <w:rsid w:val="00743923"/>
    <w:rsid w:val="00744B85"/>
    <w:rsid w:val="00753A37"/>
    <w:rsid w:val="007556F6"/>
    <w:rsid w:val="00760EEF"/>
    <w:rsid w:val="00777EE5"/>
    <w:rsid w:val="00781F6B"/>
    <w:rsid w:val="00784836"/>
    <w:rsid w:val="0079023E"/>
    <w:rsid w:val="007A2854"/>
    <w:rsid w:val="007D0B9D"/>
    <w:rsid w:val="007D19B0"/>
    <w:rsid w:val="007F498F"/>
    <w:rsid w:val="007F4BB2"/>
    <w:rsid w:val="0080679D"/>
    <w:rsid w:val="008108B0"/>
    <w:rsid w:val="00811B20"/>
    <w:rsid w:val="0082296E"/>
    <w:rsid w:val="00824099"/>
    <w:rsid w:val="00867AC1"/>
    <w:rsid w:val="008742C5"/>
    <w:rsid w:val="00874A59"/>
    <w:rsid w:val="00876B08"/>
    <w:rsid w:val="008A1693"/>
    <w:rsid w:val="008A743F"/>
    <w:rsid w:val="008A7F6D"/>
    <w:rsid w:val="008C0970"/>
    <w:rsid w:val="008D2CF7"/>
    <w:rsid w:val="008D3729"/>
    <w:rsid w:val="008D6042"/>
    <w:rsid w:val="00900C26"/>
    <w:rsid w:val="0090197F"/>
    <w:rsid w:val="00905020"/>
    <w:rsid w:val="00906DDC"/>
    <w:rsid w:val="00912EF2"/>
    <w:rsid w:val="00934E09"/>
    <w:rsid w:val="00936253"/>
    <w:rsid w:val="0095100A"/>
    <w:rsid w:val="00952DD4"/>
    <w:rsid w:val="00970020"/>
    <w:rsid w:val="00970FED"/>
    <w:rsid w:val="00994CBA"/>
    <w:rsid w:val="00997029"/>
    <w:rsid w:val="009D0081"/>
    <w:rsid w:val="009D4265"/>
    <w:rsid w:val="009D690D"/>
    <w:rsid w:val="009E65B6"/>
    <w:rsid w:val="009F39F5"/>
    <w:rsid w:val="00A13C6F"/>
    <w:rsid w:val="00A37B04"/>
    <w:rsid w:val="00A37E25"/>
    <w:rsid w:val="00A42AC3"/>
    <w:rsid w:val="00A430CF"/>
    <w:rsid w:val="00A47CDB"/>
    <w:rsid w:val="00A54309"/>
    <w:rsid w:val="00A63D5D"/>
    <w:rsid w:val="00AA2A55"/>
    <w:rsid w:val="00AA65E7"/>
    <w:rsid w:val="00AB2B93"/>
    <w:rsid w:val="00AB7E5B"/>
    <w:rsid w:val="00AE0EF1"/>
    <w:rsid w:val="00B07301"/>
    <w:rsid w:val="00B224DE"/>
    <w:rsid w:val="00B84BBD"/>
    <w:rsid w:val="00BA43FB"/>
    <w:rsid w:val="00BB181C"/>
    <w:rsid w:val="00BC127D"/>
    <w:rsid w:val="00BC1FE6"/>
    <w:rsid w:val="00BE4BDD"/>
    <w:rsid w:val="00C061B6"/>
    <w:rsid w:val="00C13808"/>
    <w:rsid w:val="00C2446C"/>
    <w:rsid w:val="00C36AE5"/>
    <w:rsid w:val="00C41F17"/>
    <w:rsid w:val="00C5791C"/>
    <w:rsid w:val="00C66290"/>
    <w:rsid w:val="00C72B7A"/>
    <w:rsid w:val="00C973F2"/>
    <w:rsid w:val="00CA774A"/>
    <w:rsid w:val="00CC11B0"/>
    <w:rsid w:val="00CF332E"/>
    <w:rsid w:val="00CF7E36"/>
    <w:rsid w:val="00D261C5"/>
    <w:rsid w:val="00D321B5"/>
    <w:rsid w:val="00D3708D"/>
    <w:rsid w:val="00D40426"/>
    <w:rsid w:val="00D44425"/>
    <w:rsid w:val="00D57C96"/>
    <w:rsid w:val="00D72C4D"/>
    <w:rsid w:val="00D91203"/>
    <w:rsid w:val="00D95174"/>
    <w:rsid w:val="00DA4685"/>
    <w:rsid w:val="00DA6F36"/>
    <w:rsid w:val="00DB596E"/>
    <w:rsid w:val="00DC00EA"/>
    <w:rsid w:val="00E303E1"/>
    <w:rsid w:val="00E50918"/>
    <w:rsid w:val="00E72D49"/>
    <w:rsid w:val="00E7593C"/>
    <w:rsid w:val="00E7678A"/>
    <w:rsid w:val="00E935F1"/>
    <w:rsid w:val="00E94A81"/>
    <w:rsid w:val="00E97C0B"/>
    <w:rsid w:val="00EA1FFB"/>
    <w:rsid w:val="00EA4821"/>
    <w:rsid w:val="00EA5245"/>
    <w:rsid w:val="00EB048E"/>
    <w:rsid w:val="00EB681A"/>
    <w:rsid w:val="00EE107F"/>
    <w:rsid w:val="00EE34DF"/>
    <w:rsid w:val="00EF2F89"/>
    <w:rsid w:val="00F1237A"/>
    <w:rsid w:val="00F22CBD"/>
    <w:rsid w:val="00F43864"/>
    <w:rsid w:val="00F45372"/>
    <w:rsid w:val="00F50118"/>
    <w:rsid w:val="00F5303B"/>
    <w:rsid w:val="00F560F7"/>
    <w:rsid w:val="00F56D2C"/>
    <w:rsid w:val="00F6334D"/>
    <w:rsid w:val="00F6592A"/>
    <w:rsid w:val="00F722DF"/>
    <w:rsid w:val="00F77B84"/>
    <w:rsid w:val="00FA49AB"/>
    <w:rsid w:val="00FE39C7"/>
    <w:rsid w:val="00FE7248"/>
    <w:rsid w:val="00FF041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9F39F5"/>
    <w:pPr>
      <w:keepNext/>
      <w:jc w:val="both"/>
      <w:outlineLvl w:val="0"/>
    </w:pPr>
    <w:rPr>
      <w:rFonts w:ascii="Arial" w:hAnsi="Arial"/>
      <w:caps/>
      <w:color w:val="808080"/>
      <w:lang w:val="es-ES_tradnl"/>
    </w:rPr>
  </w:style>
  <w:style w:type="paragraph" w:styleId="Heading2">
    <w:name w:val="heading 2"/>
    <w:next w:val="Normal"/>
    <w:autoRedefine/>
    <w:qFormat/>
    <w:rsid w:val="001E3D32"/>
    <w:pPr>
      <w:keepNext/>
      <w:jc w:val="both"/>
      <w:outlineLvl w:val="1"/>
    </w:pPr>
    <w:rPr>
      <w:rFonts w:ascii="Arial" w:hAnsi="Arial"/>
      <w:color w:val="808080"/>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56689D"/>
    <w:pPr>
      <w:tabs>
        <w:tab w:val="center" w:pos="4536"/>
        <w:tab w:val="right" w:pos="9072"/>
      </w:tabs>
      <w:jc w:val="center"/>
    </w:pPr>
    <w:rPr>
      <w:rFonts w:ascii="Arial" w:hAnsi="Arial"/>
      <w:color w:val="808080"/>
      <w:lang w:val="es-ES_tradnl" w:eastAsia="ja-JP"/>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627ADA"/>
    <w:pPr>
      <w:spacing w:after="200" w:line="276" w:lineRule="auto"/>
      <w:ind w:left="720"/>
      <w:contextualSpacing/>
      <w:jc w:val="left"/>
    </w:pPr>
    <w:rPr>
      <w:rFonts w:ascii="Calibri" w:eastAsiaTheme="minorEastAsia" w:hAnsi="Calibri"/>
      <w:sz w:val="22"/>
      <w:szCs w:val="22"/>
      <w:lang w:val="en-GB" w:eastAsia="en-GB"/>
    </w:rPr>
  </w:style>
  <w:style w:type="character" w:customStyle="1" w:styleId="HeaderChar">
    <w:name w:val="Header Char"/>
    <w:basedOn w:val="DefaultParagraphFont"/>
    <w:link w:val="Header"/>
    <w:uiPriority w:val="99"/>
    <w:rsid w:val="0056689D"/>
    <w:rPr>
      <w:rFonts w:ascii="Arial" w:hAnsi="Arial"/>
      <w:color w:val="808080"/>
      <w:lang w:val="es-ES_tradnl"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4685"/>
    <w:pPr>
      <w:jc w:val="both"/>
    </w:pPr>
    <w:rPr>
      <w:rFonts w:ascii="Arial" w:hAnsi="Arial"/>
    </w:rPr>
  </w:style>
  <w:style w:type="paragraph" w:styleId="Heading1">
    <w:name w:val="heading 1"/>
    <w:next w:val="Normal"/>
    <w:autoRedefine/>
    <w:qFormat/>
    <w:rsid w:val="009F39F5"/>
    <w:pPr>
      <w:keepNext/>
      <w:jc w:val="both"/>
      <w:outlineLvl w:val="0"/>
    </w:pPr>
    <w:rPr>
      <w:rFonts w:ascii="Arial" w:hAnsi="Arial"/>
      <w:caps/>
      <w:color w:val="808080"/>
      <w:lang w:val="es-ES_tradnl"/>
    </w:rPr>
  </w:style>
  <w:style w:type="paragraph" w:styleId="Heading2">
    <w:name w:val="heading 2"/>
    <w:next w:val="Normal"/>
    <w:autoRedefine/>
    <w:qFormat/>
    <w:rsid w:val="001E3D32"/>
    <w:pPr>
      <w:keepNext/>
      <w:jc w:val="both"/>
      <w:outlineLvl w:val="1"/>
    </w:pPr>
    <w:rPr>
      <w:rFonts w:ascii="Arial" w:hAnsi="Arial"/>
      <w:color w:val="808080"/>
      <w:u w:val="single"/>
    </w:rPr>
  </w:style>
  <w:style w:type="paragraph" w:styleId="Heading3">
    <w:name w:val="heading 3"/>
    <w:next w:val="Normal"/>
    <w:autoRedefine/>
    <w:qFormat/>
    <w:rsid w:val="00370631"/>
    <w:pPr>
      <w:keepNext/>
      <w:jc w:val="both"/>
      <w:outlineLvl w:val="2"/>
    </w:pPr>
    <w:rPr>
      <w:rFonts w:ascii="Arial" w:hAnsi="Arial"/>
      <w:i/>
    </w:rPr>
  </w:style>
  <w:style w:type="paragraph" w:styleId="Heading4">
    <w:name w:val="heading 4"/>
    <w:next w:val="Normal"/>
    <w:autoRedefine/>
    <w:qFormat/>
    <w:rsid w:val="00370631"/>
    <w:pPr>
      <w:keepNext/>
      <w:ind w:left="567"/>
      <w:jc w:val="both"/>
      <w:outlineLvl w:val="3"/>
    </w:pPr>
    <w:rPr>
      <w:rFonts w:ascii="Arial" w:hAnsi="Arial"/>
      <w:u w:val="single"/>
      <w:lang w:val="fr-FR"/>
    </w:rPr>
  </w:style>
  <w:style w:type="paragraph" w:styleId="Heading5">
    <w:name w:val="heading 5"/>
    <w:next w:val="Normal"/>
    <w:autoRedefine/>
    <w:qFormat/>
    <w:rsid w:val="00370631"/>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autoRedefine/>
    <w:uiPriority w:val="99"/>
    <w:rsid w:val="0056689D"/>
    <w:pPr>
      <w:tabs>
        <w:tab w:val="center" w:pos="4536"/>
        <w:tab w:val="right" w:pos="9072"/>
      </w:tabs>
      <w:jc w:val="center"/>
    </w:pPr>
    <w:rPr>
      <w:rFonts w:ascii="Arial" w:hAnsi="Arial"/>
      <w:color w:val="808080"/>
      <w:lang w:val="es-ES_tradnl" w:eastAsia="ja-JP"/>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612379"/>
    <w:pPr>
      <w:spacing w:line="280" w:lineRule="exact"/>
      <w:ind w:left="1361"/>
    </w:pPr>
  </w:style>
  <w:style w:type="paragraph" w:customStyle="1" w:styleId="DecisionParagraphs">
    <w:name w:val="DecisionParagraphs"/>
    <w:basedOn w:val="Normal"/>
    <w:rsid w:val="00905020"/>
    <w:pPr>
      <w:tabs>
        <w:tab w:val="left" w:pos="5387"/>
      </w:tabs>
      <w:ind w:left="4820"/>
    </w:pPr>
    <w:rPr>
      <w:i/>
    </w:rPr>
  </w:style>
  <w:style w:type="paragraph" w:styleId="FootnoteText">
    <w:name w:val="footnote text"/>
    <w:autoRedefine/>
    <w:rsid w:val="009D690D"/>
    <w:pPr>
      <w:spacing w:before="60"/>
      <w:ind w:left="567" w:hanging="567"/>
      <w:jc w:val="both"/>
    </w:pPr>
    <w:rPr>
      <w:rFonts w:ascii="Arial" w:hAnsi="Arial"/>
      <w:sz w:val="16"/>
    </w:rPr>
  </w:style>
  <w:style w:type="character" w:styleId="FootnoteReference">
    <w:name w:val="footnote reference"/>
    <w:basedOn w:val="DefaultParagraphFont"/>
    <w:semiHidden/>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266E18"/>
  </w:style>
  <w:style w:type="paragraph" w:customStyle="1" w:styleId="StyleDocoriginalNotBold">
    <w:name w:val="Style Doc_original + Not Bold"/>
    <w:basedOn w:val="Docoriginal"/>
    <w:link w:val="StyleDocoriginalNotBoldChar"/>
    <w:autoRedefine/>
    <w:rsid w:val="00D3708D"/>
    <w:pPr>
      <w:ind w:left="1589"/>
      <w:jc w:val="left"/>
    </w:pPr>
  </w:style>
  <w:style w:type="paragraph" w:customStyle="1" w:styleId="upove">
    <w:name w:val="upov_e"/>
    <w:basedOn w:val="TitreUpov"/>
    <w:rsid w:val="00D3708D"/>
    <w:rPr>
      <w:bCs/>
      <w:spacing w:val="8"/>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576BE4"/>
    <w:pPr>
      <w:spacing w:after="120" w:line="340" w:lineRule="atLeast"/>
      <w:jc w:val="right"/>
    </w:pPr>
    <w:rPr>
      <w:b/>
      <w:bCs/>
      <w:sz w:val="56"/>
    </w:rPr>
  </w:style>
  <w:style w:type="paragraph" w:customStyle="1" w:styleId="LogoUPOV">
    <w:name w:val="LogoUPOV"/>
    <w:basedOn w:val="Normal"/>
    <w:rsid w:val="00576BE4"/>
    <w:pPr>
      <w:spacing w:before="720"/>
      <w:jc w:val="center"/>
    </w:pPr>
  </w:style>
  <w:style w:type="paragraph" w:customStyle="1" w:styleId="Sessiontc">
    <w:name w:val="Session_tc"/>
    <w:basedOn w:val="StyleSessionAllcaps"/>
    <w:rsid w:val="00D3708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905020"/>
    <w:pPr>
      <w:keepNext/>
      <w:keepLines/>
      <w:spacing w:before="180" w:after="120"/>
      <w:jc w:val="left"/>
    </w:pPr>
    <w:rPr>
      <w:caps/>
      <w:noProof/>
      <w:snapToGrid w:val="0"/>
      <w:u w:val="single"/>
    </w:rPr>
  </w:style>
  <w:style w:type="paragraph" w:customStyle="1" w:styleId="pldetails">
    <w:name w:val="pldetails"/>
    <w:basedOn w:val="Normal"/>
    <w:rsid w:val="00905020"/>
    <w:pPr>
      <w:keepLines/>
      <w:spacing w:before="60" w:after="60"/>
      <w:jc w:val="left"/>
    </w:pPr>
    <w:rPr>
      <w:noProof/>
      <w:snapToGrid w:val="0"/>
    </w:rPr>
  </w:style>
  <w:style w:type="paragraph" w:customStyle="1" w:styleId="plheading">
    <w:name w:val="plheading"/>
    <w:basedOn w:val="Normal"/>
    <w:rsid w:val="00905020"/>
    <w:pPr>
      <w:keepNext/>
      <w:spacing w:before="480" w:after="120"/>
      <w:jc w:val="center"/>
    </w:pPr>
    <w:rPr>
      <w:caps/>
      <w:snapToGrid w:val="0"/>
      <w:u w:val="single"/>
    </w:rPr>
  </w:style>
  <w:style w:type="paragraph" w:customStyle="1" w:styleId="Sessiontcplacedate">
    <w:name w:val="Session_tc_place_date"/>
    <w:basedOn w:val="SessionMeetingPlace"/>
    <w:rsid w:val="00D3708D"/>
    <w:pPr>
      <w:spacing w:before="240"/>
    </w:pPr>
  </w:style>
  <w:style w:type="paragraph" w:customStyle="1" w:styleId="Titleofdoc0">
    <w:name w:val="Title_of_doc"/>
    <w:basedOn w:val="TitleofDoc"/>
    <w:rsid w:val="00D3708D"/>
    <w:pPr>
      <w:spacing w:before="600"/>
    </w:pPr>
  </w:style>
  <w:style w:type="paragraph" w:customStyle="1" w:styleId="preparedby1">
    <w:name w:val="prepared_by"/>
    <w:basedOn w:val="preparedby0"/>
    <w:rsid w:val="00D3708D"/>
    <w:pPr>
      <w:spacing w:before="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2940E8"/>
    <w:pPr>
      <w:spacing w:before="480"/>
      <w:ind w:left="567" w:hanging="567"/>
      <w:jc w:val="right"/>
    </w:pPr>
    <w:rPr>
      <w:rFonts w:ascii="Arial" w:hAnsi="Arial"/>
    </w:rPr>
  </w:style>
  <w:style w:type="character" w:customStyle="1" w:styleId="DocoriginalChar">
    <w:name w:val="Doc_original Char"/>
    <w:basedOn w:val="CodeChar"/>
    <w:link w:val="Docoriginal"/>
    <w:rsid w:val="00612379"/>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D3708D"/>
    <w:rPr>
      <w:rFonts w:ascii="Arial" w:hAnsi="Arial"/>
      <w:b/>
      <w:bCs/>
      <w:spacing w:val="10"/>
      <w:lang w:val="en-US" w:eastAsia="en-US" w:bidi="ar-SA"/>
    </w:rPr>
  </w:style>
  <w:style w:type="paragraph" w:customStyle="1" w:styleId="StyleDocnumber">
    <w:name w:val="Style Doc_number"/>
    <w:basedOn w:val="Docoriginal"/>
    <w:rsid w:val="00D3708D"/>
    <w:pPr>
      <w:ind w:left="1589"/>
    </w:pPr>
  </w:style>
  <w:style w:type="paragraph" w:customStyle="1" w:styleId="StyleDocoriginal">
    <w:name w:val="Style Doc_original"/>
    <w:basedOn w:val="Docoriginal"/>
    <w:link w:val="StyleDocoriginalChar"/>
    <w:rsid w:val="00D3708D"/>
    <w:rPr>
      <w:spacing w:val="0"/>
    </w:rPr>
  </w:style>
  <w:style w:type="character" w:customStyle="1" w:styleId="StyleDocoriginalChar">
    <w:name w:val="Style Doc_original Char"/>
    <w:basedOn w:val="DocoriginalChar"/>
    <w:link w:val="StyleDocoriginal"/>
    <w:rsid w:val="00D3708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StyleStyleDocoriginalNotBoldNotBoldChar"/>
    <w:rsid w:val="00281060"/>
    <w:rPr>
      <w:rFonts w:ascii="Arial" w:hAnsi="Arial"/>
      <w:b/>
      <w:bCs/>
      <w:spacing w:val="10"/>
      <w:lang w:val="en-US" w:eastAsia="en-US" w:bidi="ar-SA"/>
    </w:rPr>
  </w:style>
  <w:style w:type="character" w:customStyle="1" w:styleId="StyleDoclangBold">
    <w:name w:val="Style Doc_lang + Bold"/>
    <w:basedOn w:val="Doclang"/>
    <w:rsid w:val="00281060"/>
    <w:rPr>
      <w:rFonts w:ascii="Arial" w:hAnsi="Arial"/>
      <w:b/>
      <w:bCs/>
      <w:sz w:val="20"/>
      <w:lang w:val="en-US"/>
    </w:rPr>
  </w:style>
  <w:style w:type="paragraph" w:styleId="TOC2">
    <w:name w:val="toc 2"/>
    <w:next w:val="Normal"/>
    <w:autoRedefine/>
    <w:semiHidden/>
    <w:rsid w:val="00370631"/>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370631"/>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rsid w:val="00905020"/>
    <w:rPr>
      <w:rFonts w:ascii="Arial" w:hAnsi="Arial"/>
      <w:color w:val="0000FF"/>
      <w:u w:val="single"/>
    </w:rPr>
  </w:style>
  <w:style w:type="paragraph" w:styleId="TOC4">
    <w:name w:val="toc 4"/>
    <w:next w:val="Normal"/>
    <w:autoRedefine/>
    <w:semiHidden/>
    <w:rsid w:val="00370631"/>
    <w:pPr>
      <w:tabs>
        <w:tab w:val="right" w:leader="dot" w:pos="9639"/>
      </w:tabs>
      <w:spacing w:before="120"/>
      <w:ind w:left="738" w:right="851" w:hanging="284"/>
    </w:pPr>
    <w:rPr>
      <w:rFonts w:ascii="Arial" w:hAnsi="Arial"/>
      <w:i/>
      <w:sz w:val="18"/>
      <w:lang w:val="fr-FR"/>
    </w:rPr>
  </w:style>
  <w:style w:type="paragraph" w:styleId="TOC1">
    <w:name w:val="toc 1"/>
    <w:next w:val="Normal"/>
    <w:autoRedefine/>
    <w:semiHidden/>
    <w:rsid w:val="00370631"/>
    <w:pPr>
      <w:tabs>
        <w:tab w:val="right" w:leader="dot" w:pos="9639"/>
      </w:tabs>
      <w:contextualSpacing/>
      <w:jc w:val="center"/>
    </w:pPr>
    <w:rPr>
      <w:rFonts w:ascii="Arial" w:hAnsi="Arial"/>
      <w:caps/>
    </w:rPr>
  </w:style>
  <w:style w:type="paragraph" w:styleId="TOC5">
    <w:name w:val="toc 5"/>
    <w:next w:val="Normal"/>
    <w:autoRedefine/>
    <w:semiHidden/>
    <w:rsid w:val="00370631"/>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1479AA"/>
    <w:rPr>
      <w:rFonts w:ascii="Tahoma" w:hAnsi="Tahoma" w:cs="Tahoma"/>
      <w:sz w:val="16"/>
      <w:szCs w:val="16"/>
    </w:rPr>
  </w:style>
  <w:style w:type="character" w:customStyle="1" w:styleId="BalloonTextChar">
    <w:name w:val="Balloon Text Char"/>
    <w:basedOn w:val="DefaultParagraphFont"/>
    <w:link w:val="BalloonText"/>
    <w:rsid w:val="001479AA"/>
    <w:rPr>
      <w:rFonts w:ascii="Tahoma" w:hAnsi="Tahoma" w:cs="Tahoma"/>
      <w:sz w:val="16"/>
      <w:szCs w:val="16"/>
    </w:rPr>
  </w:style>
  <w:style w:type="paragraph" w:styleId="ListParagraph">
    <w:name w:val="List Paragraph"/>
    <w:basedOn w:val="Normal"/>
    <w:uiPriority w:val="34"/>
    <w:qFormat/>
    <w:rsid w:val="00627ADA"/>
    <w:pPr>
      <w:spacing w:after="200" w:line="276" w:lineRule="auto"/>
      <w:ind w:left="720"/>
      <w:contextualSpacing/>
      <w:jc w:val="left"/>
    </w:pPr>
    <w:rPr>
      <w:rFonts w:ascii="Calibri" w:eastAsiaTheme="minorEastAsia" w:hAnsi="Calibri"/>
      <w:sz w:val="22"/>
      <w:szCs w:val="22"/>
      <w:lang w:val="en-GB" w:eastAsia="en-GB"/>
    </w:rPr>
  </w:style>
  <w:style w:type="character" w:customStyle="1" w:styleId="HeaderChar">
    <w:name w:val="Header Char"/>
    <w:basedOn w:val="DefaultParagraphFont"/>
    <w:link w:val="Header"/>
    <w:uiPriority w:val="99"/>
    <w:rsid w:val="0056689D"/>
    <w:rPr>
      <w:rFonts w:ascii="Arial" w:hAnsi="Arial"/>
      <w:color w:val="808080"/>
      <w:lang w:val="es-ES_tradnl"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3545</Words>
  <Characters>19060</Characters>
  <Application>Microsoft Office Word</Application>
  <DocSecurity>0</DocSecurity>
  <Lines>158</Lines>
  <Paragraphs>45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TC/50</vt:lpstr>
      <vt:lpstr>TC/50</vt:lpstr>
    </vt:vector>
  </TitlesOfParts>
  <Company>UPOV</Company>
  <LinksUpToDate>false</LinksUpToDate>
  <CharactersWithSpaces>22560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TC/50</dc:title>
  <dc:creator>CEVALLOS DUQUE Nilo</dc:creator>
  <cp:lastModifiedBy>LONG Victoria</cp:lastModifiedBy>
  <cp:revision>12</cp:revision>
  <cp:lastPrinted>2011-12-19T06:47:00Z</cp:lastPrinted>
  <dcterms:created xsi:type="dcterms:W3CDTF">2015-02-13T11:22:00Z</dcterms:created>
  <dcterms:modified xsi:type="dcterms:W3CDTF">2015-02-27T08:20:00Z</dcterms:modified>
</cp:coreProperties>
</file>