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B1AA7" w14:paraId="6003B8AA" w14:textId="77777777" w:rsidTr="00EB4E9C">
        <w:tc>
          <w:tcPr>
            <w:tcW w:w="6522" w:type="dxa"/>
          </w:tcPr>
          <w:p w14:paraId="1057D341" w14:textId="77777777" w:rsidR="00DC3802" w:rsidRPr="002B1AA7" w:rsidRDefault="00DC3802" w:rsidP="00AC2883">
            <w:r w:rsidRPr="002B1AA7">
              <w:drawing>
                <wp:inline distT="0" distB="0" distL="0" distR="0" wp14:anchorId="4FD9A3FB" wp14:editId="6B74AB2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4501A0A" w14:textId="5E197023" w:rsidR="000125F8" w:rsidRPr="002B1AA7" w:rsidRDefault="00FA5092">
            <w:pPr>
              <w:pStyle w:val="Lettrine"/>
            </w:pPr>
            <w:r w:rsidRPr="002B1AA7">
              <w:t>S</w:t>
            </w:r>
          </w:p>
        </w:tc>
      </w:tr>
      <w:tr w:rsidR="00DC3802" w:rsidRPr="002B1AA7" w14:paraId="521F1A11" w14:textId="77777777" w:rsidTr="00645CA8">
        <w:trPr>
          <w:trHeight w:val="219"/>
        </w:trPr>
        <w:tc>
          <w:tcPr>
            <w:tcW w:w="6522" w:type="dxa"/>
          </w:tcPr>
          <w:p w14:paraId="09D03318" w14:textId="18F1F533" w:rsidR="000125F8" w:rsidRPr="002B1AA7" w:rsidRDefault="00593DBC">
            <w:pPr>
              <w:pStyle w:val="upove"/>
            </w:pPr>
            <w:r w:rsidRPr="002B1AA7">
              <w:t>Unión Internacional para la Protección de las Obtenciones Vegetales</w:t>
            </w:r>
          </w:p>
        </w:tc>
        <w:tc>
          <w:tcPr>
            <w:tcW w:w="3117" w:type="dxa"/>
          </w:tcPr>
          <w:p w14:paraId="1344D153" w14:textId="77777777" w:rsidR="00DC3802" w:rsidRPr="002B1AA7" w:rsidRDefault="00DC3802" w:rsidP="00DA4973"/>
        </w:tc>
      </w:tr>
    </w:tbl>
    <w:p w14:paraId="0E37F1DE" w14:textId="77777777" w:rsidR="00DC3802" w:rsidRPr="002B1AA7" w:rsidRDefault="00DC3802" w:rsidP="00DC3802"/>
    <w:p w14:paraId="13469683" w14:textId="77777777" w:rsidR="008F1F48" w:rsidRPr="002B1AA7"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2B1AA7" w14:paraId="68086EEE" w14:textId="77777777" w:rsidTr="00B1137E">
        <w:tc>
          <w:tcPr>
            <w:tcW w:w="6512" w:type="dxa"/>
          </w:tcPr>
          <w:p w14:paraId="1608D04C" w14:textId="77777777" w:rsidR="000125F8" w:rsidRPr="002B1AA7" w:rsidRDefault="00593DBC">
            <w:pPr>
              <w:pStyle w:val="Sessiontc"/>
              <w:spacing w:line="240" w:lineRule="auto"/>
            </w:pPr>
            <w:r w:rsidRPr="002B1AA7">
              <w:t>Comité Administrativo y Jurídico</w:t>
            </w:r>
          </w:p>
          <w:p w14:paraId="6B2BA9A1" w14:textId="77777777" w:rsidR="000125F8" w:rsidRPr="002B1AA7" w:rsidRDefault="00593DBC">
            <w:pPr>
              <w:pStyle w:val="Sessiontcplacedate"/>
            </w:pPr>
            <w:r w:rsidRPr="002B1AA7">
              <w:t>Octogésima primera sesión</w:t>
            </w:r>
          </w:p>
          <w:p w14:paraId="05178445" w14:textId="77777777" w:rsidR="000125F8" w:rsidRPr="002B1AA7" w:rsidRDefault="00593DBC">
            <w:pPr>
              <w:pStyle w:val="Sessiontcplacedate"/>
              <w:rPr>
                <w:sz w:val="22"/>
              </w:rPr>
            </w:pPr>
            <w:r w:rsidRPr="002B1AA7">
              <w:t>Ginebra, 23 de octubre de 2024</w:t>
            </w:r>
          </w:p>
        </w:tc>
        <w:tc>
          <w:tcPr>
            <w:tcW w:w="3127" w:type="dxa"/>
          </w:tcPr>
          <w:p w14:paraId="723A0B6D" w14:textId="77777777" w:rsidR="000125F8" w:rsidRPr="002B1AA7" w:rsidRDefault="0074077F">
            <w:pPr>
              <w:pStyle w:val="Doccode"/>
              <w:rPr>
                <w:lang w:val="es-ES_tradnl"/>
              </w:rPr>
            </w:pPr>
            <w:r w:rsidRPr="002B1AA7">
              <w:rPr>
                <w:lang w:val="es-ES_tradnl"/>
              </w:rPr>
              <w:t>CAJ/81/6</w:t>
            </w:r>
          </w:p>
          <w:p w14:paraId="37D555ED" w14:textId="77777777" w:rsidR="000125F8" w:rsidRPr="002B1AA7" w:rsidRDefault="00593DBC">
            <w:pPr>
              <w:pStyle w:val="Docoriginal"/>
            </w:pPr>
            <w:r w:rsidRPr="002B1AA7">
              <w:t>Original:</w:t>
            </w:r>
            <w:r w:rsidRPr="002B1AA7">
              <w:rPr>
                <w:b w:val="0"/>
                <w:spacing w:val="0"/>
              </w:rPr>
              <w:t xml:space="preserve">  Inglés</w:t>
            </w:r>
          </w:p>
          <w:p w14:paraId="0E4E2C5C" w14:textId="7AA01E6B" w:rsidR="000125F8" w:rsidRPr="002B1AA7" w:rsidRDefault="00593DBC">
            <w:pPr>
              <w:pStyle w:val="Docoriginal"/>
            </w:pPr>
            <w:r w:rsidRPr="002B1AA7">
              <w:t xml:space="preserve">Fecha:  </w:t>
            </w:r>
            <w:r w:rsidR="005B2F1F" w:rsidRPr="002B1AA7">
              <w:rPr>
                <w:b w:val="0"/>
                <w:spacing w:val="0"/>
              </w:rPr>
              <w:t>1</w:t>
            </w:r>
            <w:r w:rsidR="002B1AA7" w:rsidRPr="002B1AA7">
              <w:rPr>
                <w:b w:val="0"/>
                <w:spacing w:val="0"/>
              </w:rPr>
              <w:t>9</w:t>
            </w:r>
            <w:r w:rsidR="005B2F1F" w:rsidRPr="002B1AA7">
              <w:rPr>
                <w:b w:val="0"/>
                <w:spacing w:val="0"/>
              </w:rPr>
              <w:t xml:space="preserve"> </w:t>
            </w:r>
            <w:r w:rsidRPr="002B1AA7">
              <w:rPr>
                <w:b w:val="0"/>
                <w:spacing w:val="0"/>
              </w:rPr>
              <w:t xml:space="preserve">de </w:t>
            </w:r>
            <w:r w:rsidR="00902588" w:rsidRPr="002B1AA7">
              <w:rPr>
                <w:b w:val="0"/>
                <w:spacing w:val="0"/>
              </w:rPr>
              <w:t xml:space="preserve">agosto </w:t>
            </w:r>
            <w:r w:rsidRPr="002B1AA7">
              <w:rPr>
                <w:b w:val="0"/>
                <w:spacing w:val="0"/>
              </w:rPr>
              <w:t>de 2024</w:t>
            </w:r>
          </w:p>
        </w:tc>
      </w:tr>
    </w:tbl>
    <w:p w14:paraId="2694926E" w14:textId="752404D4" w:rsidR="000125F8" w:rsidRPr="002B1AA7" w:rsidRDefault="00593DBC">
      <w:pPr>
        <w:pStyle w:val="Titleofdoc0"/>
      </w:pPr>
      <w:r w:rsidRPr="002B1AA7">
        <w:t xml:space="preserve">Informe </w:t>
      </w:r>
      <w:r w:rsidR="007C7D1D" w:rsidRPr="002B1AA7">
        <w:t>sobre el Grupo de trabajo sobre orientaciones relativas a los agricultores a pequeña escala en un marco privado y con fines no comerciales (WG-SHF)</w:t>
      </w:r>
    </w:p>
    <w:p w14:paraId="2CC24401" w14:textId="734B239A" w:rsidR="000125F8" w:rsidRPr="002B1AA7" w:rsidRDefault="00593DBC">
      <w:pPr>
        <w:pStyle w:val="preparedby1"/>
        <w:jc w:val="left"/>
      </w:pPr>
      <w:r w:rsidRPr="002B1AA7">
        <w:t>Documento preparado por la Oficina de la Uni</w:t>
      </w:r>
      <w:r w:rsidR="00FA5092" w:rsidRPr="002B1AA7">
        <w:t>ó</w:t>
      </w:r>
      <w:r w:rsidRPr="002B1AA7">
        <w:t>n</w:t>
      </w:r>
    </w:p>
    <w:p w14:paraId="33B79D20" w14:textId="0EDBC8DD" w:rsidR="000125F8" w:rsidRPr="002B1AA7" w:rsidRDefault="00593DBC">
      <w:pPr>
        <w:pStyle w:val="Disclaimer"/>
        <w:rPr>
          <w:lang w:val="es-ES_tradnl"/>
        </w:rPr>
      </w:pPr>
      <w:r w:rsidRPr="002B1AA7">
        <w:rPr>
          <w:lang w:val="es-ES_tradnl"/>
        </w:rPr>
        <w:t xml:space="preserve">Descargo de responsabilidad: el presente documento no constituye un documento de </w:t>
      </w:r>
      <w:r w:rsidR="00FA5092" w:rsidRPr="002B1AA7">
        <w:rPr>
          <w:lang w:val="es-ES_tradnl"/>
        </w:rPr>
        <w:t>política</w:t>
      </w:r>
      <w:r w:rsidRPr="002B1AA7">
        <w:rPr>
          <w:lang w:val="es-ES_tradnl"/>
        </w:rPr>
        <w:t xml:space="preserve"> u orientaci</w:t>
      </w:r>
      <w:r w:rsidR="00FA5092" w:rsidRPr="002B1AA7">
        <w:rPr>
          <w:lang w:val="es-ES_tradnl"/>
        </w:rPr>
        <w:t>ó</w:t>
      </w:r>
      <w:r w:rsidRPr="002B1AA7">
        <w:rPr>
          <w:lang w:val="es-ES_tradnl"/>
        </w:rPr>
        <w:t>n de la UPOV.</w:t>
      </w:r>
      <w:r w:rsidR="00FA5092" w:rsidRPr="002B1AA7">
        <w:rPr>
          <w:lang w:val="es-ES_tradnl"/>
        </w:rPr>
        <w:t xml:space="preserve"> </w:t>
      </w:r>
      <w:r w:rsidR="00FA5092" w:rsidRPr="002B1AA7">
        <w:rPr>
          <w:lang w:val="es-ES_tradnl"/>
        </w:rPr>
        <w:br/>
      </w:r>
      <w:r w:rsidR="00FA5092" w:rsidRPr="002B1AA7">
        <w:rPr>
          <w:lang w:val="es-ES_tradnl"/>
        </w:rPr>
        <w:br/>
        <w:t>Este documento se ha generado mediante traducción automática y no puede garantizarse su exactitud. Por lo tanto, el texto en el idioma original es la única versión auténtica.</w:t>
      </w:r>
    </w:p>
    <w:p w14:paraId="2613A866" w14:textId="77777777" w:rsidR="000125F8" w:rsidRPr="002B1AA7" w:rsidRDefault="00593DBC">
      <w:pPr>
        <w:pStyle w:val="Heading1"/>
        <w:rPr>
          <w:rFonts w:cs="Arial"/>
          <w:snapToGrid w:val="0"/>
          <w:lang w:val="es-ES_tradnl"/>
        </w:rPr>
      </w:pPr>
      <w:bookmarkStart w:id="0" w:name="_Toc174453282"/>
      <w:r w:rsidRPr="002B1AA7">
        <w:rPr>
          <w:rFonts w:cs="Arial"/>
          <w:snapToGrid w:val="0"/>
          <w:lang w:val="es-ES_tradnl"/>
        </w:rPr>
        <w:t>RESUMEN</w:t>
      </w:r>
      <w:bookmarkEnd w:id="0"/>
    </w:p>
    <w:p w14:paraId="5B300760" w14:textId="77777777" w:rsidR="00927CBD" w:rsidRPr="002B1AA7" w:rsidRDefault="00927CBD" w:rsidP="00B27EF8">
      <w:pPr>
        <w:rPr>
          <w:rStyle w:val="CommentReference"/>
        </w:rPr>
      </w:pPr>
    </w:p>
    <w:p w14:paraId="5C97E22A" w14:textId="2EF48B18" w:rsidR="000125F8" w:rsidRPr="002B1AA7" w:rsidRDefault="00593DBC">
      <w:pPr>
        <w:rPr>
          <w:rFonts w:cs="Arial"/>
        </w:rPr>
      </w:pPr>
      <w:r w:rsidRPr="002B1AA7">
        <w:rPr>
          <w:rFonts w:cs="Arial"/>
          <w:snapToGrid w:val="0"/>
        </w:rPr>
        <w:fldChar w:fldCharType="begin"/>
      </w:r>
      <w:r w:rsidRPr="002B1AA7">
        <w:rPr>
          <w:rFonts w:cs="Arial"/>
          <w:snapToGrid w:val="0"/>
        </w:rPr>
        <w:instrText xml:space="preserve"> AUTONUM  </w:instrText>
      </w:r>
      <w:r w:rsidRPr="002B1AA7">
        <w:rPr>
          <w:rFonts w:cs="Arial"/>
          <w:snapToGrid w:val="0"/>
        </w:rPr>
        <w:fldChar w:fldCharType="end"/>
      </w:r>
      <w:r w:rsidRPr="002B1AA7">
        <w:rPr>
          <w:rFonts w:cs="Arial"/>
          <w:snapToGrid w:val="0"/>
        </w:rPr>
        <w:t xml:space="preserve"> </w:t>
      </w:r>
      <w:r w:rsidRPr="002B1AA7">
        <w:rPr>
          <w:rFonts w:cs="Arial"/>
          <w:snapToGrid w:val="0"/>
        </w:rPr>
        <w:tab/>
      </w:r>
      <w:r w:rsidR="00A144CB" w:rsidRPr="002B1AA7">
        <w:rPr>
          <w:rFonts w:cs="Arial"/>
        </w:rPr>
        <w:t xml:space="preserve">Este </w:t>
      </w:r>
      <w:r w:rsidRPr="002B1AA7">
        <w:rPr>
          <w:rFonts w:cs="Arial"/>
        </w:rPr>
        <w:t xml:space="preserve">informe resume las novedades relativas a la labor del Grupo de trabajo </w:t>
      </w:r>
      <w:r w:rsidR="00ED72B8" w:rsidRPr="002B1AA7">
        <w:rPr>
          <w:rFonts w:cs="Arial"/>
        </w:rPr>
        <w:t>sobre orientaciones relativas a los agricultores a pequeña escala en un marco privado y con fines no comerciales (WG-SHF)</w:t>
      </w:r>
      <w:r w:rsidRPr="002B1AA7">
        <w:rPr>
          <w:rFonts w:cs="Arial"/>
        </w:rPr>
        <w:t xml:space="preserve">, incluidas sus </w:t>
      </w:r>
      <w:r w:rsidR="002B1AA7" w:rsidRPr="002B1AA7">
        <w:rPr>
          <w:rFonts w:cs="Arial"/>
        </w:rPr>
        <w:t>cuarta y quinta</w:t>
      </w:r>
      <w:r w:rsidR="002B1AA7" w:rsidRPr="002B1AA7">
        <w:rPr>
          <w:rFonts w:cs="Arial"/>
        </w:rPr>
        <w:t xml:space="preserve"> </w:t>
      </w:r>
      <w:r w:rsidRPr="002B1AA7">
        <w:rPr>
          <w:rFonts w:cs="Arial"/>
        </w:rPr>
        <w:t>reuniones.</w:t>
      </w:r>
    </w:p>
    <w:p w14:paraId="49CC3B80" w14:textId="77777777" w:rsidR="00B27EF8" w:rsidRPr="002B1AA7" w:rsidRDefault="00B27EF8" w:rsidP="00B27EF8">
      <w:pPr>
        <w:rPr>
          <w:rFonts w:cs="Arial"/>
        </w:rPr>
      </w:pPr>
    </w:p>
    <w:p w14:paraId="3B1379F6" w14:textId="21783DDB" w:rsidR="000125F8" w:rsidRPr="002B1AA7" w:rsidRDefault="00593DBC">
      <w:pPr>
        <w:rPr>
          <w:rFonts w:cs="Arial"/>
        </w:rPr>
      </w:pPr>
      <w:r w:rsidRPr="002B1AA7">
        <w:rPr>
          <w:rFonts w:cs="Arial"/>
          <w:snapToGrid w:val="0"/>
        </w:rPr>
        <w:fldChar w:fldCharType="begin"/>
      </w:r>
      <w:r w:rsidRPr="002B1AA7">
        <w:rPr>
          <w:rFonts w:cs="Arial"/>
          <w:snapToGrid w:val="0"/>
        </w:rPr>
        <w:instrText xml:space="preserve"> AUTONUM  </w:instrText>
      </w:r>
      <w:r w:rsidRPr="002B1AA7">
        <w:rPr>
          <w:rFonts w:cs="Arial"/>
          <w:snapToGrid w:val="0"/>
        </w:rPr>
        <w:fldChar w:fldCharType="end"/>
      </w:r>
      <w:r w:rsidRPr="002B1AA7">
        <w:rPr>
          <w:rFonts w:cs="Arial"/>
          <w:snapToGrid w:val="0"/>
        </w:rPr>
        <w:tab/>
      </w:r>
      <w:r w:rsidRPr="002B1AA7">
        <w:rPr>
          <w:rFonts w:cs="Arial"/>
        </w:rPr>
        <w:t xml:space="preserve">En su cuarta reunión, el WG-SHF acordó recopilar información que sirviera de base para elaborar orientaciones relativas </w:t>
      </w:r>
      <w:r w:rsidR="00ED72B8" w:rsidRPr="002B1AA7">
        <w:rPr>
          <w:rFonts w:cs="Arial"/>
        </w:rPr>
        <w:t>a los agricultores a pequeña escala en un marco privado y con fines no comerciales</w:t>
      </w:r>
      <w:r w:rsidRPr="002B1AA7">
        <w:rPr>
          <w:rFonts w:cs="Arial"/>
        </w:rPr>
        <w:t xml:space="preserve">. Se encargó a la Oficina de la Unión que enviara una circular a los miembros del WG-SHF para identificar las preguntas y a quién debían dirigirse. En su quinta reunión, el WG-SHF acordó que la Oficina de la Unión enviaría cuatro preguntas a todos los miembros de la UPOV en relación con </w:t>
      </w:r>
      <w:r w:rsidR="00A144CB" w:rsidRPr="002B1AA7">
        <w:rPr>
          <w:rFonts w:cs="Arial"/>
        </w:rPr>
        <w:t xml:space="preserve">la </w:t>
      </w:r>
      <w:r w:rsidRPr="002B1AA7">
        <w:rPr>
          <w:rFonts w:cs="Arial"/>
        </w:rPr>
        <w:t xml:space="preserve">excepción sobre actos realizados en un marco privado y con fines no comerciales </w:t>
      </w:r>
      <w:r w:rsidR="00A144CB" w:rsidRPr="002B1AA7">
        <w:rPr>
          <w:rFonts w:cs="Arial"/>
        </w:rPr>
        <w:t xml:space="preserve">(Artículo 15.1)i) del Acta de 1991 del Convenio de la UPOV). </w:t>
      </w:r>
    </w:p>
    <w:p w14:paraId="753AB1BF" w14:textId="77777777" w:rsidR="00B27EF8" w:rsidRPr="002B1AA7" w:rsidRDefault="00B27EF8" w:rsidP="007068FE">
      <w:pPr>
        <w:rPr>
          <w:rFonts w:cs="Arial"/>
        </w:rPr>
      </w:pPr>
    </w:p>
    <w:p w14:paraId="67C1F55B" w14:textId="2E368462" w:rsidR="000125F8" w:rsidRPr="002B1AA7" w:rsidRDefault="00593DBC">
      <w:pPr>
        <w:rPr>
          <w:rFonts w:eastAsiaTheme="minorEastAsia" w:cs="Arial"/>
          <w:snapToGrid w:val="0"/>
        </w:rPr>
      </w:pPr>
      <w:r w:rsidRPr="002B1AA7">
        <w:rPr>
          <w:rFonts w:cs="Arial"/>
        </w:rPr>
        <w:fldChar w:fldCharType="begin"/>
      </w:r>
      <w:r w:rsidRPr="002B1AA7">
        <w:rPr>
          <w:rFonts w:cs="Arial"/>
        </w:rPr>
        <w:instrText xml:space="preserve"> AUTONUM  </w:instrText>
      </w:r>
      <w:r w:rsidRPr="002B1AA7">
        <w:rPr>
          <w:rFonts w:cs="Arial"/>
        </w:rPr>
        <w:fldChar w:fldCharType="end"/>
      </w:r>
      <w:r w:rsidR="002B1AA7">
        <w:rPr>
          <w:rFonts w:cs="Arial"/>
        </w:rPr>
        <w:tab/>
      </w:r>
      <w:r w:rsidRPr="002B1AA7">
        <w:rPr>
          <w:rFonts w:cs="Arial"/>
        </w:rPr>
        <w:t xml:space="preserve">Se invita al CAJ a tomar nota de las novedades relativas a </w:t>
      </w:r>
      <w:r w:rsidR="002B1AA7">
        <w:rPr>
          <w:rFonts w:cs="Arial"/>
        </w:rPr>
        <w:t>la labor</w:t>
      </w:r>
      <w:r w:rsidRPr="002B1AA7">
        <w:rPr>
          <w:rFonts w:cs="Arial"/>
        </w:rPr>
        <w:t xml:space="preserve"> del WG-SHF, de las que se informa en el presente documento.</w:t>
      </w:r>
    </w:p>
    <w:p w14:paraId="16EE7F66" w14:textId="77777777" w:rsidR="007068FE" w:rsidRPr="002B1AA7" w:rsidRDefault="007068FE" w:rsidP="007068FE">
      <w:pPr>
        <w:rPr>
          <w:rFonts w:cs="Arial"/>
          <w:spacing w:val="-2"/>
          <w:highlight w:val="yellow"/>
        </w:rPr>
      </w:pPr>
    </w:p>
    <w:p w14:paraId="569A2FA4" w14:textId="77777777" w:rsidR="000125F8" w:rsidRPr="002B1AA7" w:rsidRDefault="00593DBC">
      <w:pPr>
        <w:spacing w:after="120"/>
        <w:rPr>
          <w:rFonts w:cs="Arial"/>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t>La estructura de este documento es la siguiente:</w:t>
      </w:r>
    </w:p>
    <w:sdt>
      <w:sdtPr>
        <w:rPr>
          <w:rFonts w:ascii="Calibri" w:eastAsiaTheme="minorHAnsi" w:hAnsi="Calibri" w:cs="Arial"/>
          <w:caps w:val="0"/>
          <w:sz w:val="22"/>
          <w:szCs w:val="22"/>
          <w:lang w:val="es-ES_tradnl"/>
        </w:rPr>
        <w:id w:val="-454788501"/>
        <w:docPartObj>
          <w:docPartGallery w:val="Table of Contents"/>
          <w:docPartUnique/>
        </w:docPartObj>
      </w:sdtPr>
      <w:sdtEndPr>
        <w:rPr>
          <w:rFonts w:ascii="Arial" w:eastAsia="Times New Roman" w:hAnsi="Arial"/>
          <w:sz w:val="20"/>
          <w:szCs w:val="20"/>
        </w:rPr>
      </w:sdtEndPr>
      <w:sdtContent>
        <w:p w14:paraId="3664BB62" w14:textId="710982B2" w:rsidR="00ED72B8" w:rsidRPr="002B1AA7" w:rsidRDefault="00593DBC">
          <w:pPr>
            <w:pStyle w:val="TOC1"/>
            <w:rPr>
              <w:rFonts w:asciiTheme="minorHAnsi" w:eastAsiaTheme="minorEastAsia" w:hAnsiTheme="minorHAnsi" w:cstheme="minorBidi"/>
              <w:caps w:val="0"/>
              <w:kern w:val="2"/>
              <w:sz w:val="24"/>
              <w:szCs w:val="24"/>
              <w:lang w:val="es-ES_tradnl" w:eastAsia="zh-TW"/>
              <w14:ligatures w14:val="standardContextual"/>
            </w:rPr>
          </w:pPr>
          <w:r w:rsidRPr="002B1AA7">
            <w:rPr>
              <w:rFonts w:cs="Arial"/>
              <w:lang w:val="es-ES_tradnl"/>
            </w:rPr>
            <w:fldChar w:fldCharType="begin"/>
          </w:r>
          <w:r w:rsidRPr="002B1AA7">
            <w:rPr>
              <w:rFonts w:cs="Arial"/>
              <w:lang w:val="es-ES_tradnl"/>
            </w:rPr>
            <w:instrText xml:space="preserve"> TOC \o "1-3" \h \z \u </w:instrText>
          </w:r>
          <w:r w:rsidRPr="002B1AA7">
            <w:rPr>
              <w:rFonts w:cs="Arial"/>
              <w:lang w:val="es-ES_tradnl"/>
            </w:rPr>
            <w:fldChar w:fldCharType="separate"/>
          </w:r>
          <w:hyperlink w:anchor="_Toc174453282" w:history="1">
            <w:r w:rsidR="00ED72B8" w:rsidRPr="002B1AA7">
              <w:rPr>
                <w:rStyle w:val="Hyperlink"/>
                <w:rFonts w:cs="Arial"/>
                <w:snapToGrid w:val="0"/>
                <w:lang w:val="es-ES_tradnl"/>
              </w:rPr>
              <w:t>RESUMEN</w:t>
            </w:r>
            <w:r w:rsidR="00ED72B8" w:rsidRPr="002B1AA7">
              <w:rPr>
                <w:webHidden/>
                <w:lang w:val="es-ES_tradnl"/>
              </w:rPr>
              <w:tab/>
            </w:r>
            <w:r w:rsidR="00ED72B8" w:rsidRPr="002B1AA7">
              <w:rPr>
                <w:webHidden/>
                <w:lang w:val="es-ES_tradnl"/>
              </w:rPr>
              <w:fldChar w:fldCharType="begin"/>
            </w:r>
            <w:r w:rsidR="00ED72B8" w:rsidRPr="002B1AA7">
              <w:rPr>
                <w:webHidden/>
                <w:lang w:val="es-ES_tradnl"/>
              </w:rPr>
              <w:instrText xml:space="preserve"> PAGEREF _Toc174453282 \h </w:instrText>
            </w:r>
            <w:r w:rsidR="00ED72B8" w:rsidRPr="002B1AA7">
              <w:rPr>
                <w:webHidden/>
                <w:lang w:val="es-ES_tradnl"/>
              </w:rPr>
            </w:r>
            <w:r w:rsidR="00ED72B8" w:rsidRPr="002B1AA7">
              <w:rPr>
                <w:webHidden/>
                <w:lang w:val="es-ES_tradnl"/>
              </w:rPr>
              <w:fldChar w:fldCharType="separate"/>
            </w:r>
            <w:r w:rsidR="00ED72B8" w:rsidRPr="002B1AA7">
              <w:rPr>
                <w:webHidden/>
                <w:lang w:val="es-ES_tradnl"/>
              </w:rPr>
              <w:t>1</w:t>
            </w:r>
            <w:r w:rsidR="00ED72B8" w:rsidRPr="002B1AA7">
              <w:rPr>
                <w:webHidden/>
                <w:lang w:val="es-ES_tradnl"/>
              </w:rPr>
              <w:fldChar w:fldCharType="end"/>
            </w:r>
          </w:hyperlink>
        </w:p>
        <w:p w14:paraId="517579A4" w14:textId="40C7EAE9" w:rsidR="00ED72B8" w:rsidRPr="002B1AA7" w:rsidRDefault="00531481">
          <w:pPr>
            <w:pStyle w:val="TOC1"/>
            <w:rPr>
              <w:rFonts w:asciiTheme="minorHAnsi" w:eastAsiaTheme="minorEastAsia" w:hAnsiTheme="minorHAnsi" w:cstheme="minorBidi"/>
              <w:caps w:val="0"/>
              <w:kern w:val="2"/>
              <w:sz w:val="24"/>
              <w:szCs w:val="24"/>
              <w:lang w:val="es-ES_tradnl" w:eastAsia="zh-TW"/>
              <w14:ligatures w14:val="standardContextual"/>
            </w:rPr>
          </w:pPr>
          <w:hyperlink w:anchor="_Toc174453283" w:history="1">
            <w:r w:rsidR="00ED72B8" w:rsidRPr="002B1AA7">
              <w:rPr>
                <w:rStyle w:val="Hyperlink"/>
                <w:rFonts w:cs="Arial"/>
                <w:lang w:val="es-ES_tradnl"/>
              </w:rPr>
              <w:t>ANTECEDENTES</w:t>
            </w:r>
            <w:r w:rsidR="00ED72B8" w:rsidRPr="002B1AA7">
              <w:rPr>
                <w:webHidden/>
                <w:lang w:val="es-ES_tradnl"/>
              </w:rPr>
              <w:tab/>
            </w:r>
            <w:r w:rsidR="00ED72B8" w:rsidRPr="002B1AA7">
              <w:rPr>
                <w:webHidden/>
                <w:lang w:val="es-ES_tradnl"/>
              </w:rPr>
              <w:fldChar w:fldCharType="begin"/>
            </w:r>
            <w:r w:rsidR="00ED72B8" w:rsidRPr="002B1AA7">
              <w:rPr>
                <w:webHidden/>
                <w:lang w:val="es-ES_tradnl"/>
              </w:rPr>
              <w:instrText xml:space="preserve"> PAGEREF _Toc174453283 \h </w:instrText>
            </w:r>
            <w:r w:rsidR="00ED72B8" w:rsidRPr="002B1AA7">
              <w:rPr>
                <w:webHidden/>
                <w:lang w:val="es-ES_tradnl"/>
              </w:rPr>
            </w:r>
            <w:r w:rsidR="00ED72B8" w:rsidRPr="002B1AA7">
              <w:rPr>
                <w:webHidden/>
                <w:lang w:val="es-ES_tradnl"/>
              </w:rPr>
              <w:fldChar w:fldCharType="separate"/>
            </w:r>
            <w:r w:rsidR="00ED72B8" w:rsidRPr="002B1AA7">
              <w:rPr>
                <w:webHidden/>
                <w:lang w:val="es-ES_tradnl"/>
              </w:rPr>
              <w:t>2</w:t>
            </w:r>
            <w:r w:rsidR="00ED72B8" w:rsidRPr="002B1AA7">
              <w:rPr>
                <w:webHidden/>
                <w:lang w:val="es-ES_tradnl"/>
              </w:rPr>
              <w:fldChar w:fldCharType="end"/>
            </w:r>
          </w:hyperlink>
        </w:p>
        <w:p w14:paraId="22C8621F" w14:textId="1216D696" w:rsidR="00ED72B8" w:rsidRPr="002B1AA7" w:rsidRDefault="00531481">
          <w:pPr>
            <w:pStyle w:val="TOC1"/>
            <w:rPr>
              <w:rFonts w:asciiTheme="minorHAnsi" w:eastAsiaTheme="minorEastAsia" w:hAnsiTheme="minorHAnsi" w:cstheme="minorBidi"/>
              <w:caps w:val="0"/>
              <w:kern w:val="2"/>
              <w:sz w:val="24"/>
              <w:szCs w:val="24"/>
              <w:lang w:val="es-ES_tradnl" w:eastAsia="zh-TW"/>
              <w14:ligatures w14:val="standardContextual"/>
            </w:rPr>
          </w:pPr>
          <w:hyperlink w:anchor="_Toc174453284" w:history="1">
            <w:r w:rsidR="00ED72B8" w:rsidRPr="002B1AA7">
              <w:rPr>
                <w:rStyle w:val="Hyperlink"/>
                <w:rFonts w:cs="Arial"/>
                <w:lang w:val="es-ES_tradnl"/>
              </w:rPr>
              <w:t>Cuarta reunión del WG-SHF (25 de octubre de 2023)</w:t>
            </w:r>
            <w:r w:rsidR="00ED72B8" w:rsidRPr="002B1AA7">
              <w:rPr>
                <w:webHidden/>
                <w:lang w:val="es-ES_tradnl"/>
              </w:rPr>
              <w:tab/>
            </w:r>
            <w:r w:rsidR="00ED72B8" w:rsidRPr="002B1AA7">
              <w:rPr>
                <w:webHidden/>
                <w:lang w:val="es-ES_tradnl"/>
              </w:rPr>
              <w:fldChar w:fldCharType="begin"/>
            </w:r>
            <w:r w:rsidR="00ED72B8" w:rsidRPr="002B1AA7">
              <w:rPr>
                <w:webHidden/>
                <w:lang w:val="es-ES_tradnl"/>
              </w:rPr>
              <w:instrText xml:space="preserve"> PAGEREF _Toc174453284 \h </w:instrText>
            </w:r>
            <w:r w:rsidR="00ED72B8" w:rsidRPr="002B1AA7">
              <w:rPr>
                <w:webHidden/>
                <w:lang w:val="es-ES_tradnl"/>
              </w:rPr>
            </w:r>
            <w:r w:rsidR="00ED72B8" w:rsidRPr="002B1AA7">
              <w:rPr>
                <w:webHidden/>
                <w:lang w:val="es-ES_tradnl"/>
              </w:rPr>
              <w:fldChar w:fldCharType="separate"/>
            </w:r>
            <w:r w:rsidR="00ED72B8" w:rsidRPr="002B1AA7">
              <w:rPr>
                <w:webHidden/>
                <w:lang w:val="es-ES_tradnl"/>
              </w:rPr>
              <w:t>2</w:t>
            </w:r>
            <w:r w:rsidR="00ED72B8" w:rsidRPr="002B1AA7">
              <w:rPr>
                <w:webHidden/>
                <w:lang w:val="es-ES_tradnl"/>
              </w:rPr>
              <w:fldChar w:fldCharType="end"/>
            </w:r>
          </w:hyperlink>
        </w:p>
        <w:p w14:paraId="7C68F50F" w14:textId="77E58546" w:rsidR="00ED72B8" w:rsidRPr="002B1AA7" w:rsidRDefault="00531481">
          <w:pPr>
            <w:pStyle w:val="TOC1"/>
            <w:rPr>
              <w:rFonts w:asciiTheme="minorHAnsi" w:eastAsiaTheme="minorEastAsia" w:hAnsiTheme="minorHAnsi" w:cstheme="minorBidi"/>
              <w:caps w:val="0"/>
              <w:kern w:val="2"/>
              <w:sz w:val="24"/>
              <w:szCs w:val="24"/>
              <w:lang w:val="es-ES_tradnl" w:eastAsia="zh-TW"/>
              <w14:ligatures w14:val="standardContextual"/>
            </w:rPr>
          </w:pPr>
          <w:hyperlink w:anchor="_Toc174453285" w:history="1">
            <w:r w:rsidR="00ED72B8" w:rsidRPr="002B1AA7">
              <w:rPr>
                <w:rStyle w:val="Hyperlink"/>
                <w:rFonts w:cs="Arial"/>
                <w:lang w:val="es-ES_tradnl"/>
              </w:rPr>
              <w:t>Quinta reunión del WG-SHF (22 de marzo de 2024)</w:t>
            </w:r>
            <w:r w:rsidR="00ED72B8" w:rsidRPr="002B1AA7">
              <w:rPr>
                <w:webHidden/>
                <w:lang w:val="es-ES_tradnl"/>
              </w:rPr>
              <w:tab/>
            </w:r>
            <w:r w:rsidR="00ED72B8" w:rsidRPr="002B1AA7">
              <w:rPr>
                <w:webHidden/>
                <w:lang w:val="es-ES_tradnl"/>
              </w:rPr>
              <w:fldChar w:fldCharType="begin"/>
            </w:r>
            <w:r w:rsidR="00ED72B8" w:rsidRPr="002B1AA7">
              <w:rPr>
                <w:webHidden/>
                <w:lang w:val="es-ES_tradnl"/>
              </w:rPr>
              <w:instrText xml:space="preserve"> PAGEREF _Toc174453285 \h </w:instrText>
            </w:r>
            <w:r w:rsidR="00ED72B8" w:rsidRPr="002B1AA7">
              <w:rPr>
                <w:webHidden/>
                <w:lang w:val="es-ES_tradnl"/>
              </w:rPr>
            </w:r>
            <w:r w:rsidR="00ED72B8" w:rsidRPr="002B1AA7">
              <w:rPr>
                <w:webHidden/>
                <w:lang w:val="es-ES_tradnl"/>
              </w:rPr>
              <w:fldChar w:fldCharType="separate"/>
            </w:r>
            <w:r w:rsidR="00ED72B8" w:rsidRPr="002B1AA7">
              <w:rPr>
                <w:webHidden/>
                <w:lang w:val="es-ES_tradnl"/>
              </w:rPr>
              <w:t>2</w:t>
            </w:r>
            <w:r w:rsidR="00ED72B8" w:rsidRPr="002B1AA7">
              <w:rPr>
                <w:webHidden/>
                <w:lang w:val="es-ES_tradnl"/>
              </w:rPr>
              <w:fldChar w:fldCharType="end"/>
            </w:r>
          </w:hyperlink>
        </w:p>
        <w:p w14:paraId="618E2A52" w14:textId="6263D43F" w:rsidR="00ED72B8" w:rsidRPr="002B1AA7" w:rsidRDefault="00531481">
          <w:pPr>
            <w:pStyle w:val="TOC1"/>
            <w:rPr>
              <w:rFonts w:asciiTheme="minorHAnsi" w:eastAsiaTheme="minorEastAsia" w:hAnsiTheme="minorHAnsi" w:cstheme="minorBidi"/>
              <w:caps w:val="0"/>
              <w:kern w:val="2"/>
              <w:sz w:val="24"/>
              <w:szCs w:val="24"/>
              <w:lang w:val="es-ES_tradnl" w:eastAsia="zh-TW"/>
              <w14:ligatures w14:val="standardContextual"/>
            </w:rPr>
          </w:pPr>
          <w:hyperlink w:anchor="_Toc174453286" w:history="1">
            <w:r w:rsidR="00ED72B8" w:rsidRPr="002B1AA7">
              <w:rPr>
                <w:rStyle w:val="Hyperlink"/>
                <w:rFonts w:cs="Arial"/>
                <w:lang w:val="es-ES_tradnl"/>
              </w:rPr>
              <w:t>Sexta reunión del WG-SHF (23 de octubre de 2024)</w:t>
            </w:r>
            <w:r w:rsidR="00ED72B8" w:rsidRPr="002B1AA7">
              <w:rPr>
                <w:webHidden/>
                <w:lang w:val="es-ES_tradnl"/>
              </w:rPr>
              <w:tab/>
            </w:r>
            <w:r w:rsidR="00ED72B8" w:rsidRPr="002B1AA7">
              <w:rPr>
                <w:webHidden/>
                <w:lang w:val="es-ES_tradnl"/>
              </w:rPr>
              <w:fldChar w:fldCharType="begin"/>
            </w:r>
            <w:r w:rsidR="00ED72B8" w:rsidRPr="002B1AA7">
              <w:rPr>
                <w:webHidden/>
                <w:lang w:val="es-ES_tradnl"/>
              </w:rPr>
              <w:instrText xml:space="preserve"> PAGEREF _Toc174453286 \h </w:instrText>
            </w:r>
            <w:r w:rsidR="00ED72B8" w:rsidRPr="002B1AA7">
              <w:rPr>
                <w:webHidden/>
                <w:lang w:val="es-ES_tradnl"/>
              </w:rPr>
            </w:r>
            <w:r w:rsidR="00ED72B8" w:rsidRPr="002B1AA7">
              <w:rPr>
                <w:webHidden/>
                <w:lang w:val="es-ES_tradnl"/>
              </w:rPr>
              <w:fldChar w:fldCharType="separate"/>
            </w:r>
            <w:r w:rsidR="00ED72B8" w:rsidRPr="002B1AA7">
              <w:rPr>
                <w:webHidden/>
                <w:lang w:val="es-ES_tradnl"/>
              </w:rPr>
              <w:t>3</w:t>
            </w:r>
            <w:r w:rsidR="00ED72B8" w:rsidRPr="002B1AA7">
              <w:rPr>
                <w:webHidden/>
                <w:lang w:val="es-ES_tradnl"/>
              </w:rPr>
              <w:fldChar w:fldCharType="end"/>
            </w:r>
          </w:hyperlink>
        </w:p>
        <w:p w14:paraId="7A93FDBB" w14:textId="0D84A791" w:rsidR="000125F8" w:rsidRPr="002B1AA7" w:rsidRDefault="00593DBC" w:rsidP="002B1AA7">
          <w:pPr>
            <w:keepNext/>
            <w:tabs>
              <w:tab w:val="left" w:pos="990"/>
            </w:tabs>
            <w:spacing w:before="120"/>
            <w:ind w:left="990" w:right="283" w:hanging="990"/>
            <w:jc w:val="left"/>
            <w:rPr>
              <w:rFonts w:cs="Arial"/>
              <w:caps/>
            </w:rPr>
          </w:pPr>
          <w:r w:rsidRPr="002B1AA7">
            <w:rPr>
              <w:rFonts w:cs="Arial"/>
              <w:caps/>
            </w:rPr>
            <w:fldChar w:fldCharType="end"/>
          </w:r>
          <w:r w:rsidRPr="002B1AA7">
            <w:rPr>
              <w:rFonts w:cs="Arial"/>
              <w:caps/>
            </w:rPr>
            <w:t xml:space="preserve">ANEXO </w:t>
          </w:r>
          <w:r w:rsidRPr="002B1AA7">
            <w:rPr>
              <w:rFonts w:cs="Arial"/>
              <w:caps/>
            </w:rPr>
            <w:tab/>
          </w:r>
          <w:r w:rsidR="002B1AA7">
            <w:rPr>
              <w:rFonts w:cs="Arial"/>
              <w:caps/>
            </w:rPr>
            <w:t>M</w:t>
          </w:r>
          <w:r w:rsidR="00ED72B8" w:rsidRPr="002B1AA7">
            <w:rPr>
              <w:rFonts w:cs="Arial"/>
              <w:caps/>
            </w:rPr>
            <w:t>ANDATO Y COMPOSICIÓN DEL GRUPO DE TRABAJO SOBRE ORIENTACIONES RELATIVAS A LOS AGRICULTORES A PEQUEÑA ESCALA EN UN MARCO PRIVADO Y CON FINES NO COMERCIALES</w:t>
          </w:r>
          <w:r w:rsidRPr="002B1AA7">
            <w:rPr>
              <w:rFonts w:cs="Arial"/>
              <w:caps/>
            </w:rPr>
            <w:t xml:space="preserve"> (WG</w:t>
          </w:r>
          <w:r w:rsidR="00ED72B8" w:rsidRPr="002B1AA7">
            <w:rPr>
              <w:rFonts w:cs="Arial"/>
              <w:caps/>
            </w:rPr>
            <w:t>-</w:t>
          </w:r>
          <w:r w:rsidRPr="002B1AA7">
            <w:rPr>
              <w:rFonts w:cs="Arial"/>
              <w:caps/>
            </w:rPr>
            <w:t>SHF)</w:t>
          </w:r>
        </w:p>
      </w:sdtContent>
    </w:sdt>
    <w:p w14:paraId="1A79F608" w14:textId="77777777" w:rsidR="007068FE" w:rsidRPr="002B1AA7" w:rsidRDefault="007068FE" w:rsidP="007068FE">
      <w:pPr>
        <w:rPr>
          <w:rFonts w:cs="Arial"/>
          <w:highlight w:val="yellow"/>
        </w:rPr>
      </w:pPr>
    </w:p>
    <w:p w14:paraId="53E05790" w14:textId="77777777" w:rsidR="007068FE" w:rsidRPr="002B1AA7" w:rsidRDefault="007068FE" w:rsidP="007068FE">
      <w:pPr>
        <w:rPr>
          <w:rFonts w:cs="Arial"/>
          <w:caps/>
        </w:rPr>
      </w:pPr>
    </w:p>
    <w:p w14:paraId="608C142A" w14:textId="77777777" w:rsidR="000125F8" w:rsidRPr="002B1AA7" w:rsidRDefault="00593DBC" w:rsidP="00B41A87">
      <w:pPr>
        <w:pStyle w:val="Heading1"/>
        <w:keepNext w:val="0"/>
        <w:rPr>
          <w:rFonts w:cs="Arial"/>
          <w:lang w:val="es-ES_tradnl"/>
        </w:rPr>
      </w:pPr>
      <w:bookmarkStart w:id="1" w:name="_Toc174453283"/>
      <w:r w:rsidRPr="002B1AA7">
        <w:rPr>
          <w:rFonts w:cs="Arial"/>
          <w:lang w:val="es-ES_tradnl"/>
        </w:rPr>
        <w:t>ANTECEDENTES</w:t>
      </w:r>
      <w:bookmarkEnd w:id="1"/>
    </w:p>
    <w:p w14:paraId="78EE7BD3" w14:textId="77777777" w:rsidR="007068FE" w:rsidRPr="002B1AA7" w:rsidRDefault="007068FE" w:rsidP="00B41A87">
      <w:pPr>
        <w:rPr>
          <w:rFonts w:cs="Arial"/>
        </w:rPr>
      </w:pPr>
    </w:p>
    <w:p w14:paraId="7011556B" w14:textId="48F6C16B" w:rsidR="000125F8" w:rsidRPr="002B1AA7" w:rsidRDefault="00593DBC" w:rsidP="00B41A87">
      <w:pPr>
        <w:rPr>
          <w:rFonts w:eastAsiaTheme="minorEastAsia" w:cs="Arial"/>
        </w:rPr>
      </w:pPr>
      <w:r w:rsidRPr="002B1AA7">
        <w:rPr>
          <w:rFonts w:eastAsiaTheme="minorEastAsia" w:cs="Arial"/>
        </w:rPr>
        <w:fldChar w:fldCharType="begin"/>
      </w:r>
      <w:r w:rsidRPr="002B1AA7">
        <w:rPr>
          <w:rFonts w:eastAsiaTheme="minorEastAsia" w:cs="Arial"/>
        </w:rPr>
        <w:instrText xml:space="preserve"> AUTONUM  </w:instrText>
      </w:r>
      <w:r w:rsidRPr="002B1AA7">
        <w:rPr>
          <w:rFonts w:eastAsiaTheme="minorEastAsia" w:cs="Arial"/>
        </w:rPr>
        <w:fldChar w:fldCharType="end"/>
      </w:r>
      <w:r w:rsidRPr="002B1AA7">
        <w:rPr>
          <w:rFonts w:eastAsiaTheme="minorEastAsia" w:cs="Arial"/>
        </w:rPr>
        <w:tab/>
        <w:t xml:space="preserve">En su tercera reunión, el WG-SHF acordó, en aras de la claridad y la transparencia, que la labor del WG-SHF se comunicaría al Comité Administrativo y Jurídico (véase el documento CAJ/80/4 "Revisión de las </w:t>
      </w:r>
      <w:r w:rsidR="00B41A87">
        <w:rPr>
          <w:rFonts w:eastAsiaTheme="minorEastAsia" w:cs="Arial"/>
        </w:rPr>
        <w:t>‘</w:t>
      </w:r>
      <w:r w:rsidRPr="002B1AA7">
        <w:rPr>
          <w:rFonts w:eastAsiaTheme="minorEastAsia" w:cs="Arial"/>
        </w:rPr>
        <w:t>Notas explicativas sobre las excepciones al derecho de obtentor con arreglo al Acta de 1991 del Convenio de la UPOV</w:t>
      </w:r>
      <w:r w:rsidR="00B41A87">
        <w:rPr>
          <w:rFonts w:eastAsiaTheme="minorEastAsia" w:cs="Arial"/>
        </w:rPr>
        <w:t>’</w:t>
      </w:r>
      <w:r w:rsidRPr="002B1AA7">
        <w:rPr>
          <w:rFonts w:eastAsiaTheme="minorEastAsia" w:cs="Arial"/>
        </w:rPr>
        <w:t>") y al Comité Consultivo, en sus sesiones de octubre, con la petición de que se invite al Comité Consultivo a aprobar la labor expuesta en el párrafo 10 del documento CC/101/10, en particular en relación con la habilitación del WG-SHF para examinar todas las FAQ existentes que guarden relación con los pequeños agricultores y los agricultores de subsistencia.</w:t>
      </w:r>
    </w:p>
    <w:p w14:paraId="6406EF2B" w14:textId="77777777" w:rsidR="007068FE" w:rsidRPr="002B1AA7" w:rsidRDefault="007068FE" w:rsidP="00B41A87">
      <w:pPr>
        <w:rPr>
          <w:rFonts w:cs="Arial"/>
        </w:rPr>
      </w:pPr>
    </w:p>
    <w:p w14:paraId="791223DA" w14:textId="3D66F7B1" w:rsidR="000125F8" w:rsidRPr="002B1AA7" w:rsidRDefault="00593DBC">
      <w:pPr>
        <w:rPr>
          <w:rFonts w:cs="Arial"/>
          <w:snapToGrid w:val="0"/>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r>
      <w:r w:rsidRPr="002B1AA7">
        <w:rPr>
          <w:rFonts w:cs="Arial"/>
          <w:snapToGrid w:val="0"/>
        </w:rPr>
        <w:t>Los términos de referencia para el WG-SHF, se reproducen en el Anexo de este documento.</w:t>
      </w:r>
    </w:p>
    <w:p w14:paraId="47F65D3A" w14:textId="77777777" w:rsidR="007068FE" w:rsidRPr="00B41A87" w:rsidRDefault="007068FE" w:rsidP="00B41A87"/>
    <w:p w14:paraId="51635DCD" w14:textId="77777777" w:rsidR="007068FE" w:rsidRPr="00B41A87" w:rsidRDefault="007068FE" w:rsidP="00B41A87"/>
    <w:p w14:paraId="6C12523E" w14:textId="77777777" w:rsidR="000125F8" w:rsidRPr="002B1AA7" w:rsidRDefault="00593DBC">
      <w:pPr>
        <w:pStyle w:val="Heading1"/>
        <w:rPr>
          <w:rFonts w:cs="Arial"/>
          <w:lang w:val="es-ES_tradnl"/>
        </w:rPr>
      </w:pPr>
      <w:bookmarkStart w:id="2" w:name="_Toc174453284"/>
      <w:r w:rsidRPr="002B1AA7">
        <w:rPr>
          <w:rFonts w:cs="Arial"/>
          <w:lang w:val="es-ES_tradnl"/>
        </w:rPr>
        <w:t>Cuarta reunión del WG-SHF (25 de octubre de 2023)</w:t>
      </w:r>
      <w:bookmarkEnd w:id="2"/>
    </w:p>
    <w:p w14:paraId="15EA0D63" w14:textId="77777777" w:rsidR="007068FE" w:rsidRPr="002B1AA7" w:rsidRDefault="007068FE" w:rsidP="00B41A87">
      <w:pPr>
        <w:keepNext/>
        <w:rPr>
          <w:rFonts w:cs="Arial"/>
        </w:rPr>
      </w:pPr>
    </w:p>
    <w:p w14:paraId="4F1041FE" w14:textId="323928A1" w:rsidR="000125F8" w:rsidRPr="002B1AA7" w:rsidRDefault="00593DBC">
      <w:pPr>
        <w:rPr>
          <w:rFonts w:cs="Arial"/>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t>El WG-SHF, en su cuarta reunión, celebrada en Ginebra el 25 de octubre de 2023, examinó el documento WG</w:t>
      </w:r>
      <w:r w:rsidR="00B41A87">
        <w:rPr>
          <w:rFonts w:cs="Arial"/>
        </w:rPr>
        <w:noBreakHyphen/>
      </w:r>
      <w:r w:rsidRPr="002B1AA7">
        <w:rPr>
          <w:rFonts w:cs="Arial"/>
        </w:rPr>
        <w:t>SHF/4/2 "Posible revisión de las FAQ".</w:t>
      </w:r>
    </w:p>
    <w:p w14:paraId="3DC07B80" w14:textId="77777777" w:rsidR="007068FE" w:rsidRPr="002B1AA7" w:rsidRDefault="007068FE" w:rsidP="007068FE">
      <w:pPr>
        <w:rPr>
          <w:rFonts w:cs="Arial"/>
        </w:rPr>
      </w:pPr>
    </w:p>
    <w:p w14:paraId="1C4EA941" w14:textId="7868EAE6" w:rsidR="000125F8" w:rsidRPr="002B1AA7" w:rsidRDefault="00593DBC">
      <w:pPr>
        <w:rPr>
          <w:rFonts w:cs="Arial"/>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t>Los documentos y el informe de la tercera reunión del WG-SHF están disponibles en: https:</w:t>
      </w:r>
      <w:hyperlink r:id="rId9" w:history="1">
        <w:r w:rsidRPr="002B1AA7">
          <w:rPr>
            <w:rStyle w:val="Hyperlink"/>
          </w:rPr>
          <w:t>//www.upov.int/meetings/es/details.jsp?meeting_id=77810.</w:t>
        </w:r>
      </w:hyperlink>
    </w:p>
    <w:p w14:paraId="10BFEE98" w14:textId="77777777" w:rsidR="007068FE" w:rsidRPr="002B1AA7" w:rsidRDefault="007068FE" w:rsidP="007068FE">
      <w:pPr>
        <w:rPr>
          <w:rFonts w:cs="Arial"/>
        </w:rPr>
      </w:pPr>
    </w:p>
    <w:p w14:paraId="2E30F7BD" w14:textId="77777777" w:rsidR="000125F8" w:rsidRPr="002B1AA7" w:rsidRDefault="00593DBC">
      <w:pPr>
        <w:keepNext/>
        <w:rPr>
          <w:rFonts w:cs="Arial"/>
        </w:rPr>
      </w:pPr>
      <w:r w:rsidRPr="002B1AA7">
        <w:rPr>
          <w:rFonts w:cs="Arial"/>
          <w:spacing w:val="-2"/>
        </w:rPr>
        <w:fldChar w:fldCharType="begin"/>
      </w:r>
      <w:r w:rsidRPr="002B1AA7">
        <w:rPr>
          <w:rFonts w:cs="Arial"/>
          <w:spacing w:val="-2"/>
        </w:rPr>
        <w:instrText xml:space="preserve"> AUTONUM  </w:instrText>
      </w:r>
      <w:r w:rsidRPr="002B1AA7">
        <w:rPr>
          <w:rFonts w:cs="Arial"/>
          <w:spacing w:val="-2"/>
        </w:rPr>
        <w:fldChar w:fldCharType="end"/>
      </w:r>
      <w:r w:rsidRPr="002B1AA7">
        <w:rPr>
          <w:rFonts w:cs="Arial"/>
          <w:spacing w:val="-2"/>
        </w:rPr>
        <w:tab/>
        <w:t xml:space="preserve">El informe de la cuarta reunión contiene las siguientes conclusiones </w:t>
      </w:r>
      <w:r w:rsidRPr="002B1AA7">
        <w:rPr>
          <w:rFonts w:cs="Arial"/>
        </w:rPr>
        <w:t xml:space="preserve">(véase el documento WG-SHF/4/3 "Informe", párrafos 11 a 15):  </w:t>
      </w:r>
    </w:p>
    <w:p w14:paraId="279CE22E" w14:textId="77777777" w:rsidR="007068FE" w:rsidRPr="002B1AA7" w:rsidRDefault="007068FE" w:rsidP="007068FE">
      <w:pPr>
        <w:keepNext/>
        <w:rPr>
          <w:rFonts w:cs="Arial"/>
          <w:spacing w:val="-2"/>
        </w:rPr>
      </w:pPr>
    </w:p>
    <w:p w14:paraId="69E87222" w14:textId="201BB898" w:rsidR="000125F8" w:rsidRPr="002B1AA7" w:rsidRDefault="00593DBC" w:rsidP="00B41A87">
      <w:pPr>
        <w:ind w:left="567" w:right="567"/>
        <w:rPr>
          <w:rFonts w:cs="Arial"/>
          <w:sz w:val="18"/>
          <w:szCs w:val="18"/>
        </w:rPr>
      </w:pPr>
      <w:r w:rsidRPr="002B1AA7">
        <w:rPr>
          <w:rFonts w:cs="Arial"/>
          <w:sz w:val="18"/>
          <w:szCs w:val="18"/>
        </w:rPr>
        <w:t>"11.</w:t>
      </w:r>
      <w:r w:rsidRPr="002B1AA7">
        <w:rPr>
          <w:rFonts w:cs="Arial"/>
          <w:sz w:val="18"/>
          <w:szCs w:val="18"/>
        </w:rPr>
        <w:tab/>
        <w:t xml:space="preserve">El </w:t>
      </w:r>
      <w:r w:rsidR="00A60E84" w:rsidRPr="002B1AA7">
        <w:rPr>
          <w:rFonts w:cs="Arial"/>
          <w:sz w:val="18"/>
          <w:szCs w:val="18"/>
        </w:rPr>
        <w:t>WG-SHF llegó a la conclusión de que la recopilación de información sería útil para sentar las bases de la elaboración de orientaciones relativas a los pequeños agricultores en relación con el uso privado y no comercial.</w:t>
      </w:r>
    </w:p>
    <w:p w14:paraId="156F82B5" w14:textId="77777777" w:rsidR="007068FE" w:rsidRPr="002B1AA7" w:rsidRDefault="007068FE" w:rsidP="00B41A87">
      <w:pPr>
        <w:ind w:left="567" w:right="567"/>
        <w:rPr>
          <w:rFonts w:cs="Arial"/>
          <w:snapToGrid w:val="0"/>
          <w:sz w:val="18"/>
          <w:szCs w:val="18"/>
        </w:rPr>
      </w:pPr>
    </w:p>
    <w:p w14:paraId="73E9953C" w14:textId="18439D92" w:rsidR="007068FE" w:rsidRPr="002B1AA7" w:rsidRDefault="00593DBC" w:rsidP="00B41A87">
      <w:pPr>
        <w:ind w:left="567" w:right="567"/>
        <w:rPr>
          <w:rFonts w:cs="Arial"/>
          <w:snapToGrid w:val="0"/>
          <w:sz w:val="18"/>
          <w:szCs w:val="18"/>
        </w:rPr>
      </w:pPr>
      <w:r w:rsidRPr="002B1AA7">
        <w:rPr>
          <w:rFonts w:cs="Arial"/>
          <w:snapToGrid w:val="0"/>
          <w:sz w:val="18"/>
          <w:szCs w:val="18"/>
        </w:rPr>
        <w:t>12.</w:t>
      </w:r>
      <w:r w:rsidRPr="002B1AA7">
        <w:rPr>
          <w:rFonts w:cs="Arial"/>
          <w:snapToGrid w:val="0"/>
          <w:sz w:val="18"/>
          <w:szCs w:val="18"/>
        </w:rPr>
        <w:tab/>
      </w:r>
      <w:r w:rsidR="00A60E84" w:rsidRPr="002B1AA7">
        <w:rPr>
          <w:rFonts w:cs="Arial"/>
          <w:snapToGrid w:val="0"/>
          <w:sz w:val="18"/>
          <w:szCs w:val="18"/>
        </w:rPr>
        <w:t>WG-SHF acordó que la Oficina de la Unión enviase una circular a los miembros del WG-SHF con la petición de que identificasen las preguntas y a quién debían dirigirse, con el fin de recopilar información para que el WG-SHF continuase su trabajo.  Basándose en las respuestas a la circular, la Oficina de la Unión prepararía un cuestionario para que el WG-SHF lo examinara en su próxima reunión</w:t>
      </w:r>
    </w:p>
    <w:p w14:paraId="341A9D74" w14:textId="77777777" w:rsidR="00A60E84" w:rsidRPr="002B1AA7" w:rsidRDefault="00A60E84" w:rsidP="00B41A87">
      <w:pPr>
        <w:ind w:left="567" w:right="567"/>
        <w:rPr>
          <w:rFonts w:cs="Arial"/>
          <w:snapToGrid w:val="0"/>
          <w:sz w:val="18"/>
          <w:szCs w:val="18"/>
        </w:rPr>
      </w:pPr>
    </w:p>
    <w:p w14:paraId="5305F8B3" w14:textId="4DBF0A90" w:rsidR="000125F8" w:rsidRPr="002B1AA7" w:rsidRDefault="00593DBC" w:rsidP="00B41A87">
      <w:pPr>
        <w:ind w:left="567" w:right="567"/>
        <w:rPr>
          <w:rFonts w:cs="Arial"/>
          <w:snapToGrid w:val="0"/>
          <w:sz w:val="18"/>
          <w:szCs w:val="18"/>
        </w:rPr>
      </w:pPr>
      <w:r w:rsidRPr="002B1AA7">
        <w:rPr>
          <w:rFonts w:cs="Arial"/>
          <w:snapToGrid w:val="0"/>
          <w:sz w:val="18"/>
          <w:szCs w:val="18"/>
        </w:rPr>
        <w:t>14.</w:t>
      </w:r>
      <w:r w:rsidRPr="002B1AA7">
        <w:rPr>
          <w:rFonts w:cs="Arial"/>
          <w:snapToGrid w:val="0"/>
          <w:sz w:val="18"/>
          <w:szCs w:val="18"/>
        </w:rPr>
        <w:tab/>
        <w:t>El WG-SHF acordó pedir al Comité Consultivo que acoja favorablemente la propuesta de reunir más</w:t>
      </w:r>
      <w:r w:rsidR="00B41A87">
        <w:rPr>
          <w:rFonts w:cs="Arial"/>
          <w:snapToGrid w:val="0"/>
          <w:sz w:val="18"/>
          <w:szCs w:val="18"/>
        </w:rPr>
        <w:t xml:space="preserve"> </w:t>
      </w:r>
      <w:r w:rsidRPr="002B1AA7">
        <w:rPr>
          <w:rFonts w:cs="Arial"/>
          <w:snapToGrid w:val="0"/>
          <w:sz w:val="18"/>
          <w:szCs w:val="18"/>
        </w:rPr>
        <w:t>información e invitar al WG-SHF a finalizar el trabajo que se le ha encomendado.</w:t>
      </w:r>
    </w:p>
    <w:p w14:paraId="2722C624" w14:textId="77777777" w:rsidR="007068FE" w:rsidRPr="002B1AA7" w:rsidRDefault="007068FE" w:rsidP="00B41A87">
      <w:pPr>
        <w:ind w:left="567" w:right="567"/>
        <w:rPr>
          <w:rFonts w:cs="Arial"/>
          <w:snapToGrid w:val="0"/>
          <w:sz w:val="18"/>
          <w:szCs w:val="18"/>
        </w:rPr>
      </w:pPr>
    </w:p>
    <w:p w14:paraId="7C18281E" w14:textId="77777777" w:rsidR="000125F8" w:rsidRPr="002B1AA7" w:rsidRDefault="00593DBC" w:rsidP="00B41A87">
      <w:pPr>
        <w:ind w:left="567" w:right="567"/>
        <w:rPr>
          <w:rFonts w:cs="Arial"/>
          <w:snapToGrid w:val="0"/>
          <w:sz w:val="18"/>
          <w:szCs w:val="18"/>
        </w:rPr>
      </w:pPr>
      <w:r w:rsidRPr="002B1AA7">
        <w:rPr>
          <w:rFonts w:cs="Arial"/>
          <w:snapToGrid w:val="0"/>
          <w:sz w:val="18"/>
          <w:szCs w:val="18"/>
        </w:rPr>
        <w:t>15.</w:t>
      </w:r>
      <w:r w:rsidRPr="002B1AA7">
        <w:rPr>
          <w:rFonts w:cs="Arial"/>
          <w:snapToGrid w:val="0"/>
          <w:sz w:val="18"/>
          <w:szCs w:val="18"/>
        </w:rPr>
        <w:tab/>
        <w:t>El WG-SHF señaló que el Presidente del WG-SHF hará un informe al Comité Consultivo sobre el trabajo del WG-SHF, con una petición para que el Comité Consultivo apruebe el trabajo del WG-SHF".</w:t>
      </w:r>
    </w:p>
    <w:p w14:paraId="45C80D52" w14:textId="77777777" w:rsidR="007068FE" w:rsidRPr="002B1AA7" w:rsidRDefault="007068FE" w:rsidP="007068FE">
      <w:pPr>
        <w:rPr>
          <w:rFonts w:cs="Arial"/>
          <w:highlight w:val="yellow"/>
        </w:rPr>
      </w:pPr>
    </w:p>
    <w:p w14:paraId="26B3D789" w14:textId="77777777" w:rsidR="007068FE" w:rsidRPr="002B1AA7" w:rsidRDefault="007068FE" w:rsidP="007068FE">
      <w:pPr>
        <w:tabs>
          <w:tab w:val="left" w:pos="2680"/>
        </w:tabs>
        <w:rPr>
          <w:rFonts w:cs="Arial"/>
          <w:highlight w:val="yellow"/>
        </w:rPr>
      </w:pPr>
    </w:p>
    <w:p w14:paraId="5C6066F4" w14:textId="77777777" w:rsidR="000125F8" w:rsidRPr="002B1AA7" w:rsidRDefault="00593DBC">
      <w:pPr>
        <w:pStyle w:val="Heading1"/>
        <w:rPr>
          <w:rFonts w:cs="Arial"/>
          <w:lang w:val="es-ES_tradnl"/>
        </w:rPr>
      </w:pPr>
      <w:bookmarkStart w:id="3" w:name="_Toc174453285"/>
      <w:r w:rsidRPr="002B1AA7">
        <w:rPr>
          <w:rFonts w:cs="Arial"/>
          <w:lang w:val="es-ES_tradnl"/>
        </w:rPr>
        <w:t>Quinta reunión del WG-SHF (22 de marzo de 2024)</w:t>
      </w:r>
      <w:bookmarkEnd w:id="3"/>
    </w:p>
    <w:p w14:paraId="795A83B7" w14:textId="77777777" w:rsidR="007068FE" w:rsidRPr="002B1AA7" w:rsidRDefault="007068FE" w:rsidP="007068FE">
      <w:pPr>
        <w:keepNext/>
        <w:rPr>
          <w:rFonts w:cs="Arial"/>
        </w:rPr>
      </w:pPr>
    </w:p>
    <w:p w14:paraId="207C04F5" w14:textId="35051985" w:rsidR="000125F8" w:rsidRPr="002B1AA7" w:rsidRDefault="00593DBC">
      <w:pPr>
        <w:keepLines/>
        <w:rPr>
          <w:rFonts w:cs="Arial"/>
        </w:rPr>
      </w:pPr>
      <w:r w:rsidRPr="002B1AA7">
        <w:rPr>
          <w:rFonts w:eastAsiaTheme="minorEastAsia" w:cs="Arial"/>
        </w:rPr>
        <w:fldChar w:fldCharType="begin"/>
      </w:r>
      <w:r w:rsidRPr="002B1AA7">
        <w:rPr>
          <w:rFonts w:eastAsiaTheme="minorEastAsia" w:cs="Arial"/>
        </w:rPr>
        <w:instrText xml:space="preserve"> AUTONUM  </w:instrText>
      </w:r>
      <w:r w:rsidRPr="002B1AA7">
        <w:rPr>
          <w:rFonts w:eastAsiaTheme="minorEastAsia" w:cs="Arial"/>
        </w:rPr>
        <w:fldChar w:fldCharType="end"/>
      </w:r>
      <w:r w:rsidRPr="002B1AA7">
        <w:rPr>
          <w:rFonts w:eastAsiaTheme="minorEastAsia" w:cs="Arial"/>
        </w:rPr>
        <w:tab/>
      </w:r>
      <w:r w:rsidRPr="002B1AA7">
        <w:rPr>
          <w:rFonts w:cs="Arial"/>
        </w:rPr>
        <w:t>El WG-SHF, en su quinta reunión, celebrada en Ginebra el 22 de marzo de 2024, consideró el documento WG</w:t>
      </w:r>
      <w:r w:rsidR="00B41A87">
        <w:rPr>
          <w:rFonts w:cs="Arial"/>
        </w:rPr>
        <w:noBreakHyphen/>
      </w:r>
      <w:r w:rsidRPr="002B1AA7">
        <w:rPr>
          <w:rFonts w:cs="Arial"/>
        </w:rPr>
        <w:t xml:space="preserve">SHF/5/2 Rev. "Propuestas de los miembros del WG-SHF sobre preguntas para recopilar información para que el WG-SHF continúe su trabajo y a quién deben dirigirse las preguntas".  </w:t>
      </w:r>
    </w:p>
    <w:p w14:paraId="50D7000C" w14:textId="77777777" w:rsidR="007068FE" w:rsidRPr="002B1AA7" w:rsidRDefault="007068FE" w:rsidP="007068FE">
      <w:pPr>
        <w:rPr>
          <w:rFonts w:cs="Arial"/>
          <w:highlight w:val="yellow"/>
        </w:rPr>
      </w:pPr>
    </w:p>
    <w:p w14:paraId="6329AC6A" w14:textId="77777777" w:rsidR="000125F8" w:rsidRPr="002B1AA7" w:rsidRDefault="00593DBC">
      <w:pPr>
        <w:rPr>
          <w:rFonts w:cs="Arial"/>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t xml:space="preserve">Los documentos de la quinta reunión del WG-SHF están disponibles en: </w:t>
      </w:r>
      <w:hyperlink r:id="rId10" w:history="1">
        <w:r w:rsidRPr="002B1AA7">
          <w:rPr>
            <w:rStyle w:val="Hyperlink"/>
          </w:rPr>
          <w:t xml:space="preserve">https://www.upov.int/meetings/en/details.jsp?meeting_id=80844. </w:t>
        </w:r>
      </w:hyperlink>
    </w:p>
    <w:p w14:paraId="50C85977" w14:textId="77777777" w:rsidR="007068FE" w:rsidRPr="002B1AA7" w:rsidRDefault="007068FE" w:rsidP="007068FE">
      <w:pPr>
        <w:rPr>
          <w:rFonts w:cs="Arial"/>
        </w:rPr>
      </w:pPr>
    </w:p>
    <w:p w14:paraId="311D06D8" w14:textId="77777777" w:rsidR="000125F8" w:rsidRPr="002B1AA7" w:rsidRDefault="00593DBC">
      <w:pPr>
        <w:keepNext/>
        <w:rPr>
          <w:rFonts w:cs="Arial"/>
        </w:rPr>
      </w:pPr>
      <w:r w:rsidRPr="002B1AA7">
        <w:rPr>
          <w:rFonts w:cs="Arial"/>
          <w:spacing w:val="-2"/>
        </w:rPr>
        <w:fldChar w:fldCharType="begin"/>
      </w:r>
      <w:r w:rsidRPr="002B1AA7">
        <w:rPr>
          <w:rFonts w:cs="Arial"/>
          <w:spacing w:val="-2"/>
        </w:rPr>
        <w:instrText xml:space="preserve"> AUTONUM  </w:instrText>
      </w:r>
      <w:r w:rsidRPr="002B1AA7">
        <w:rPr>
          <w:rFonts w:cs="Arial"/>
          <w:spacing w:val="-2"/>
        </w:rPr>
        <w:fldChar w:fldCharType="end"/>
      </w:r>
      <w:r w:rsidRPr="002B1AA7">
        <w:rPr>
          <w:rFonts w:cs="Arial"/>
          <w:spacing w:val="-2"/>
        </w:rPr>
        <w:tab/>
        <w:t xml:space="preserve">El informe de la quinta reunión contiene las siguientes conclusiones </w:t>
      </w:r>
      <w:r w:rsidRPr="002B1AA7">
        <w:rPr>
          <w:rFonts w:cs="Arial"/>
        </w:rPr>
        <w:t xml:space="preserve">(véase el documento WG-SHF/5/3 "Informe", párrafos 32 y 33):  </w:t>
      </w:r>
    </w:p>
    <w:p w14:paraId="419C536D" w14:textId="77777777" w:rsidR="007068FE" w:rsidRPr="002B1AA7" w:rsidRDefault="007068FE" w:rsidP="007068FE">
      <w:pPr>
        <w:rPr>
          <w:rFonts w:cs="Arial"/>
        </w:rPr>
      </w:pPr>
    </w:p>
    <w:p w14:paraId="253956F7" w14:textId="77777777" w:rsidR="000125F8" w:rsidRPr="002B1AA7" w:rsidRDefault="00593DBC" w:rsidP="00B41A87">
      <w:pPr>
        <w:ind w:left="567" w:right="567"/>
        <w:rPr>
          <w:rFonts w:cs="Arial"/>
          <w:sz w:val="18"/>
          <w:szCs w:val="18"/>
        </w:rPr>
      </w:pPr>
      <w:r w:rsidRPr="002B1AA7">
        <w:rPr>
          <w:rFonts w:cs="Arial"/>
          <w:sz w:val="18"/>
          <w:szCs w:val="18"/>
        </w:rPr>
        <w:t>"32.</w:t>
      </w:r>
      <w:r w:rsidRPr="002B1AA7">
        <w:rPr>
          <w:rFonts w:cs="Arial"/>
          <w:sz w:val="18"/>
          <w:szCs w:val="18"/>
        </w:rPr>
        <w:tab/>
        <w:t xml:space="preserve">Los miembros del WG-SHF intercambiaron opiniones sobre los destinatarios y las preguntas que debían plantearse.  El WG-SHF acordó que se enviaran las siguientes preguntas a todos los miembros de la UPOV: </w:t>
      </w:r>
    </w:p>
    <w:p w14:paraId="23C9F775" w14:textId="77777777" w:rsidR="007068FE" w:rsidRPr="002B1AA7" w:rsidRDefault="007068FE" w:rsidP="00B41A87">
      <w:pPr>
        <w:ind w:right="567"/>
      </w:pPr>
    </w:p>
    <w:p w14:paraId="1627000D" w14:textId="77777777" w:rsidR="000125F8" w:rsidRPr="002B1AA7" w:rsidRDefault="00593DBC" w:rsidP="00B41A87">
      <w:pPr>
        <w:pStyle w:val="ListParagraph"/>
        <w:numPr>
          <w:ilvl w:val="0"/>
          <w:numId w:val="2"/>
        </w:numPr>
        <w:ind w:right="567"/>
        <w:jc w:val="both"/>
        <w:rPr>
          <w:rFonts w:ascii="Arial" w:hAnsi="Arial" w:cs="Arial"/>
          <w:i/>
          <w:iCs/>
          <w:sz w:val="18"/>
          <w:szCs w:val="18"/>
        </w:rPr>
      </w:pPr>
      <w:r w:rsidRPr="002B1AA7">
        <w:rPr>
          <w:rFonts w:ascii="Arial" w:hAnsi="Arial" w:cs="Arial"/>
          <w:i/>
          <w:iCs/>
          <w:sz w:val="18"/>
          <w:szCs w:val="18"/>
        </w:rPr>
        <w:t xml:space="preserve">¿Su país/organización intergubernamental aplica la excepción "actos realizados en privado y con fines no comerciales"? En caso afirmativo, ¿cómo se aplica? </w:t>
      </w:r>
    </w:p>
    <w:p w14:paraId="71399D34" w14:textId="77777777" w:rsidR="007068FE" w:rsidRPr="002B1AA7" w:rsidRDefault="007068FE" w:rsidP="00B41A87">
      <w:pPr>
        <w:ind w:left="1134" w:right="567"/>
        <w:rPr>
          <w:rFonts w:cs="Arial"/>
          <w:i/>
          <w:iCs/>
          <w:sz w:val="18"/>
          <w:szCs w:val="18"/>
        </w:rPr>
      </w:pPr>
    </w:p>
    <w:p w14:paraId="4A50D3B8" w14:textId="77777777" w:rsidR="000125F8" w:rsidRPr="002B1AA7" w:rsidRDefault="00593DBC" w:rsidP="00B41A87">
      <w:pPr>
        <w:pStyle w:val="ListParagraph"/>
        <w:numPr>
          <w:ilvl w:val="0"/>
          <w:numId w:val="2"/>
        </w:numPr>
        <w:ind w:right="567"/>
        <w:jc w:val="both"/>
        <w:rPr>
          <w:rFonts w:ascii="Arial" w:hAnsi="Arial" w:cs="Arial"/>
          <w:i/>
          <w:iCs/>
          <w:sz w:val="18"/>
          <w:szCs w:val="18"/>
        </w:rPr>
      </w:pPr>
      <w:r w:rsidRPr="002B1AA7">
        <w:rPr>
          <w:rFonts w:ascii="Arial" w:hAnsi="Arial" w:cs="Arial"/>
          <w:i/>
          <w:iCs/>
          <w:sz w:val="18"/>
          <w:szCs w:val="18"/>
        </w:rPr>
        <w:t>En relación con esta excepción, ¿existen definiciones para el siguiente término: "actos realizados en privado y con fines no comerciales"?</w:t>
      </w:r>
    </w:p>
    <w:p w14:paraId="19D70F31" w14:textId="77777777" w:rsidR="007068FE" w:rsidRPr="002B1AA7" w:rsidRDefault="007068FE" w:rsidP="00B41A87">
      <w:pPr>
        <w:ind w:left="1134" w:right="567"/>
        <w:rPr>
          <w:rFonts w:cs="Arial"/>
          <w:i/>
          <w:iCs/>
          <w:sz w:val="18"/>
          <w:szCs w:val="18"/>
        </w:rPr>
      </w:pPr>
    </w:p>
    <w:p w14:paraId="6A6E7A01" w14:textId="77777777" w:rsidR="000125F8" w:rsidRPr="002B1AA7" w:rsidRDefault="00593DBC" w:rsidP="00B41A87">
      <w:pPr>
        <w:pStyle w:val="ListParagraph"/>
        <w:numPr>
          <w:ilvl w:val="0"/>
          <w:numId w:val="2"/>
        </w:numPr>
        <w:ind w:right="567"/>
        <w:jc w:val="both"/>
        <w:rPr>
          <w:rFonts w:ascii="Arial" w:hAnsi="Arial" w:cs="Arial"/>
          <w:i/>
          <w:iCs/>
          <w:sz w:val="18"/>
          <w:szCs w:val="18"/>
        </w:rPr>
      </w:pPr>
      <w:r w:rsidRPr="002B1AA7">
        <w:rPr>
          <w:rFonts w:ascii="Arial" w:hAnsi="Arial" w:cs="Arial"/>
          <w:i/>
          <w:iCs/>
          <w:sz w:val="18"/>
          <w:szCs w:val="18"/>
        </w:rPr>
        <w:t xml:space="preserve">Especifique la legislación/normativa y la jurisprudencia relativas a esta excepción. </w:t>
      </w:r>
    </w:p>
    <w:p w14:paraId="2B4B62D7" w14:textId="77777777" w:rsidR="007068FE" w:rsidRPr="002B1AA7" w:rsidRDefault="007068FE" w:rsidP="00B41A87">
      <w:pPr>
        <w:ind w:left="1134" w:right="567"/>
        <w:rPr>
          <w:rFonts w:cs="Arial"/>
          <w:i/>
          <w:iCs/>
          <w:sz w:val="18"/>
          <w:szCs w:val="18"/>
        </w:rPr>
      </w:pPr>
    </w:p>
    <w:p w14:paraId="061B89DB" w14:textId="77777777" w:rsidR="000125F8" w:rsidRPr="002B1AA7" w:rsidRDefault="00593DBC" w:rsidP="00B41A87">
      <w:pPr>
        <w:pStyle w:val="ListParagraph"/>
        <w:numPr>
          <w:ilvl w:val="0"/>
          <w:numId w:val="2"/>
        </w:numPr>
        <w:ind w:right="567"/>
        <w:jc w:val="both"/>
        <w:rPr>
          <w:rFonts w:ascii="Arial" w:hAnsi="Arial" w:cs="Arial"/>
          <w:i/>
          <w:iCs/>
          <w:sz w:val="18"/>
          <w:szCs w:val="18"/>
        </w:rPr>
      </w:pPr>
      <w:r w:rsidRPr="002B1AA7">
        <w:rPr>
          <w:rFonts w:ascii="Arial" w:hAnsi="Arial" w:cs="Arial"/>
          <w:i/>
          <w:iCs/>
          <w:sz w:val="18"/>
          <w:szCs w:val="18"/>
        </w:rPr>
        <w:t>¿Existen dificultades u oportunidades para aplicar esta excepción en su jurisdicción? Explíquelo.</w:t>
      </w:r>
    </w:p>
    <w:p w14:paraId="13E803A2" w14:textId="77777777" w:rsidR="007068FE" w:rsidRPr="002B1AA7" w:rsidRDefault="007068FE" w:rsidP="00B41A87">
      <w:pPr>
        <w:ind w:right="567"/>
      </w:pPr>
    </w:p>
    <w:p w14:paraId="46E01B11" w14:textId="48F6B3CF" w:rsidR="000125F8" w:rsidRPr="002B1AA7" w:rsidRDefault="00593DBC" w:rsidP="00B41A87">
      <w:pPr>
        <w:ind w:left="567" w:right="567"/>
        <w:rPr>
          <w:rFonts w:cs="Arial"/>
          <w:sz w:val="18"/>
          <w:szCs w:val="18"/>
        </w:rPr>
      </w:pPr>
      <w:r w:rsidRPr="002B1AA7">
        <w:rPr>
          <w:rFonts w:cs="Arial"/>
          <w:sz w:val="18"/>
          <w:szCs w:val="18"/>
        </w:rPr>
        <w:t>33.</w:t>
      </w:r>
      <w:r w:rsidRPr="002B1AA7">
        <w:rPr>
          <w:rFonts w:cs="Arial"/>
          <w:sz w:val="18"/>
          <w:szCs w:val="18"/>
        </w:rPr>
        <w:tab/>
        <w:t>El WG-SHF acordó que el resumen de las intervenciones de los miembros del WG-SHF realizadas durante la reunión sobre la posible organización de un seminario relativo a los asuntos debatidos, quedaría reflejado en el informe. El WG-SHF acord</w:t>
      </w:r>
      <w:r w:rsidR="00B41A87">
        <w:rPr>
          <w:rFonts w:cs="Arial"/>
          <w:sz w:val="18"/>
          <w:szCs w:val="18"/>
        </w:rPr>
        <w:t>ó</w:t>
      </w:r>
      <w:r w:rsidRPr="002B1AA7">
        <w:rPr>
          <w:rFonts w:cs="Arial"/>
          <w:sz w:val="18"/>
          <w:szCs w:val="18"/>
        </w:rPr>
        <w:t xml:space="preserve"> adem</w:t>
      </w:r>
      <w:r w:rsidR="00B41A87">
        <w:rPr>
          <w:rFonts w:cs="Arial"/>
          <w:sz w:val="18"/>
          <w:szCs w:val="18"/>
        </w:rPr>
        <w:t>á</w:t>
      </w:r>
      <w:r w:rsidRPr="002B1AA7">
        <w:rPr>
          <w:rFonts w:cs="Arial"/>
          <w:sz w:val="18"/>
          <w:szCs w:val="18"/>
        </w:rPr>
        <w:t>s que la Oficina de la Uni</w:t>
      </w:r>
      <w:r w:rsidR="00B41A87">
        <w:rPr>
          <w:rFonts w:cs="Arial"/>
          <w:sz w:val="18"/>
          <w:szCs w:val="18"/>
        </w:rPr>
        <w:t>ó</w:t>
      </w:r>
      <w:r w:rsidRPr="002B1AA7">
        <w:rPr>
          <w:rFonts w:cs="Arial"/>
          <w:sz w:val="18"/>
          <w:szCs w:val="18"/>
        </w:rPr>
        <w:t>n preparar</w:t>
      </w:r>
      <w:r w:rsidR="00B41A87">
        <w:rPr>
          <w:rFonts w:cs="Arial"/>
          <w:sz w:val="18"/>
          <w:szCs w:val="18"/>
        </w:rPr>
        <w:t>ía</w:t>
      </w:r>
      <w:r w:rsidRPr="002B1AA7">
        <w:rPr>
          <w:rFonts w:cs="Arial"/>
          <w:sz w:val="18"/>
          <w:szCs w:val="18"/>
        </w:rPr>
        <w:t xml:space="preserve"> un documento para la sexta reuni</w:t>
      </w:r>
      <w:r w:rsidR="00B41A87">
        <w:rPr>
          <w:rFonts w:cs="Arial"/>
          <w:sz w:val="18"/>
          <w:szCs w:val="18"/>
        </w:rPr>
        <w:t>ó</w:t>
      </w:r>
      <w:r w:rsidRPr="002B1AA7">
        <w:rPr>
          <w:rFonts w:cs="Arial"/>
          <w:sz w:val="18"/>
          <w:szCs w:val="18"/>
        </w:rPr>
        <w:t>n del WG-SHF con el resumen de dichas intervenciones y corresponder</w:t>
      </w:r>
      <w:r w:rsidR="00B41A87">
        <w:rPr>
          <w:rFonts w:cs="Arial"/>
          <w:sz w:val="18"/>
          <w:szCs w:val="18"/>
        </w:rPr>
        <w:t>á</w:t>
      </w:r>
      <w:r w:rsidRPr="002B1AA7">
        <w:rPr>
          <w:rFonts w:cs="Arial"/>
          <w:sz w:val="18"/>
          <w:szCs w:val="18"/>
        </w:rPr>
        <w:t xml:space="preserve"> al WG-SHF decidir si debe hacerse alguna recomendaci</w:t>
      </w:r>
      <w:r w:rsidR="00B41A87">
        <w:rPr>
          <w:rFonts w:cs="Arial"/>
          <w:sz w:val="18"/>
          <w:szCs w:val="18"/>
        </w:rPr>
        <w:t>ó</w:t>
      </w:r>
      <w:r w:rsidRPr="002B1AA7">
        <w:rPr>
          <w:rFonts w:cs="Arial"/>
          <w:sz w:val="18"/>
          <w:szCs w:val="18"/>
        </w:rPr>
        <w:t>n sobre un seminario al Comit</w:t>
      </w:r>
      <w:r w:rsidR="00B41A87">
        <w:rPr>
          <w:rFonts w:cs="Arial"/>
          <w:sz w:val="18"/>
          <w:szCs w:val="18"/>
        </w:rPr>
        <w:t>é</w:t>
      </w:r>
      <w:r w:rsidRPr="002B1AA7">
        <w:rPr>
          <w:rFonts w:cs="Arial"/>
          <w:sz w:val="18"/>
          <w:szCs w:val="18"/>
        </w:rPr>
        <w:t xml:space="preserve"> Consultivo. "</w:t>
      </w:r>
    </w:p>
    <w:p w14:paraId="1E7B4461" w14:textId="77777777" w:rsidR="007068FE" w:rsidRPr="002B1AA7" w:rsidRDefault="007068FE" w:rsidP="007068FE">
      <w:pPr>
        <w:rPr>
          <w:rFonts w:cs="Arial"/>
        </w:rPr>
      </w:pPr>
    </w:p>
    <w:p w14:paraId="79FAF19C" w14:textId="77777777" w:rsidR="007068FE" w:rsidRPr="002B1AA7" w:rsidRDefault="007068FE" w:rsidP="007068FE">
      <w:pPr>
        <w:rPr>
          <w:rFonts w:cs="Arial"/>
        </w:rPr>
      </w:pPr>
    </w:p>
    <w:p w14:paraId="2B13EC9A" w14:textId="77777777" w:rsidR="000125F8" w:rsidRPr="002B1AA7" w:rsidRDefault="00593DBC">
      <w:pPr>
        <w:pStyle w:val="Heading1"/>
        <w:rPr>
          <w:rFonts w:cs="Arial"/>
          <w:lang w:val="es-ES_tradnl"/>
        </w:rPr>
      </w:pPr>
      <w:bookmarkStart w:id="4" w:name="_Toc174453286"/>
      <w:r w:rsidRPr="002B1AA7">
        <w:rPr>
          <w:rFonts w:cs="Arial"/>
          <w:lang w:val="es-ES_tradnl"/>
        </w:rPr>
        <w:lastRenderedPageBreak/>
        <w:t>Sexta reunión del WG-SHF (23 de octubre de 2024)</w:t>
      </w:r>
      <w:bookmarkEnd w:id="4"/>
    </w:p>
    <w:p w14:paraId="36689E65" w14:textId="77777777" w:rsidR="007068FE" w:rsidRPr="002B1AA7" w:rsidRDefault="007068FE" w:rsidP="00B41A87">
      <w:pPr>
        <w:keepNext/>
        <w:rPr>
          <w:rFonts w:cs="Arial"/>
        </w:rPr>
      </w:pPr>
    </w:p>
    <w:p w14:paraId="66916959" w14:textId="23C16D54" w:rsidR="000125F8" w:rsidRPr="00531481" w:rsidRDefault="00593DBC" w:rsidP="00531481">
      <w:pPr>
        <w:rPr>
          <w:spacing w:val="-2"/>
        </w:rPr>
      </w:pPr>
      <w:r w:rsidRPr="00531481">
        <w:rPr>
          <w:rFonts w:cs="Arial"/>
          <w:spacing w:val="-2"/>
        </w:rPr>
        <w:fldChar w:fldCharType="begin"/>
      </w:r>
      <w:r w:rsidRPr="00531481">
        <w:rPr>
          <w:rFonts w:cs="Arial"/>
          <w:spacing w:val="-2"/>
        </w:rPr>
        <w:instrText xml:space="preserve"> AUTONUM  </w:instrText>
      </w:r>
      <w:r w:rsidRPr="00531481">
        <w:rPr>
          <w:rFonts w:cs="Arial"/>
          <w:spacing w:val="-2"/>
        </w:rPr>
        <w:fldChar w:fldCharType="end"/>
      </w:r>
      <w:r w:rsidRPr="00531481">
        <w:rPr>
          <w:rFonts w:cs="Arial"/>
          <w:spacing w:val="-2"/>
        </w:rPr>
        <w:tab/>
        <w:t xml:space="preserve">La sexta reunión del WG-SHF se celebrará en formato híbrido, el 23 de octubre de 2024.  </w:t>
      </w:r>
      <w:r w:rsidR="00B406C1" w:rsidRPr="00531481">
        <w:rPr>
          <w:rFonts w:cs="Arial"/>
          <w:spacing w:val="-2"/>
        </w:rPr>
        <w:t xml:space="preserve">Los documentos del WG-SHF/6 estarán </w:t>
      </w:r>
      <w:r w:rsidR="00B406C1" w:rsidRPr="00531481">
        <w:rPr>
          <w:spacing w:val="-2"/>
        </w:rPr>
        <w:t xml:space="preserve">disponibles en: </w:t>
      </w:r>
      <w:hyperlink r:id="rId11" w:history="1">
        <w:r w:rsidRPr="00531481">
          <w:rPr>
            <w:rStyle w:val="Hyperlink"/>
            <w:spacing w:val="-2"/>
          </w:rPr>
          <w:t xml:space="preserve">https://www.upov.int/meetings/es/details.jsp?meeting_id=83694. </w:t>
        </w:r>
      </w:hyperlink>
    </w:p>
    <w:p w14:paraId="7383614E" w14:textId="77777777" w:rsidR="00EF2DBD" w:rsidRPr="002B1AA7" w:rsidRDefault="00EF2DBD" w:rsidP="007068FE">
      <w:pPr>
        <w:rPr>
          <w:spacing w:val="-6"/>
        </w:rPr>
      </w:pPr>
    </w:p>
    <w:p w14:paraId="1238F5B5" w14:textId="77777777" w:rsidR="000125F8" w:rsidRPr="002B1AA7" w:rsidRDefault="00593DBC">
      <w:pPr>
        <w:pStyle w:val="DecisionParagraphs"/>
        <w:rPr>
          <w:rFonts w:cs="Arial"/>
        </w:rPr>
      </w:pPr>
      <w:r w:rsidRPr="002B1AA7">
        <w:rPr>
          <w:rFonts w:cs="Arial"/>
        </w:rPr>
        <w:fldChar w:fldCharType="begin"/>
      </w:r>
      <w:r w:rsidRPr="002B1AA7">
        <w:rPr>
          <w:rFonts w:cs="Arial"/>
        </w:rPr>
        <w:instrText xml:space="preserve"> AUTONUM  </w:instrText>
      </w:r>
      <w:r w:rsidRPr="002B1AA7">
        <w:rPr>
          <w:rFonts w:cs="Arial"/>
        </w:rPr>
        <w:fldChar w:fldCharType="end"/>
      </w:r>
      <w:r w:rsidRPr="002B1AA7">
        <w:rPr>
          <w:rFonts w:cs="Arial"/>
        </w:rPr>
        <w:tab/>
        <w:t>Se invita al CAJ a tomar nota de las novedades relativas a los trabajos del WG-SHF, de las que se informa en el presente documento.</w:t>
      </w:r>
    </w:p>
    <w:p w14:paraId="2E36EAB6" w14:textId="77777777" w:rsidR="007068FE" w:rsidRDefault="007068FE" w:rsidP="007068FE">
      <w:pPr>
        <w:pStyle w:val="DecisionParagraphs"/>
        <w:rPr>
          <w:rFonts w:cs="Arial"/>
        </w:rPr>
      </w:pPr>
    </w:p>
    <w:p w14:paraId="6A787A73" w14:textId="77777777" w:rsidR="00531481" w:rsidRDefault="00531481" w:rsidP="007068FE">
      <w:pPr>
        <w:pStyle w:val="DecisionParagraphs"/>
        <w:rPr>
          <w:rFonts w:cs="Arial"/>
        </w:rPr>
      </w:pPr>
    </w:p>
    <w:p w14:paraId="7DCE3F13" w14:textId="77777777" w:rsidR="00531481" w:rsidRPr="002B1AA7" w:rsidRDefault="00531481" w:rsidP="007068FE">
      <w:pPr>
        <w:pStyle w:val="DecisionParagraphs"/>
        <w:rPr>
          <w:rFonts w:cs="Arial"/>
        </w:rPr>
      </w:pPr>
    </w:p>
    <w:p w14:paraId="0BD70650" w14:textId="77777777" w:rsidR="000125F8" w:rsidRPr="002B1AA7" w:rsidRDefault="00593DBC">
      <w:pPr>
        <w:jc w:val="right"/>
        <w:rPr>
          <w:rFonts w:cs="Arial"/>
          <w:spacing w:val="-2"/>
        </w:rPr>
      </w:pPr>
      <w:r w:rsidRPr="002B1AA7">
        <w:rPr>
          <w:rFonts w:cs="Arial"/>
          <w:spacing w:val="-2"/>
        </w:rPr>
        <w:t>[Sigue el anexo]</w:t>
      </w:r>
    </w:p>
    <w:p w14:paraId="5319D565" w14:textId="77777777" w:rsidR="007068FE" w:rsidRPr="002B1AA7" w:rsidRDefault="007068FE" w:rsidP="007068FE">
      <w:pPr>
        <w:jc w:val="right"/>
        <w:rPr>
          <w:rFonts w:cs="Arial"/>
          <w:spacing w:val="-2"/>
        </w:rPr>
        <w:sectPr w:rsidR="007068FE" w:rsidRPr="002B1AA7" w:rsidSect="00B41A87">
          <w:headerReference w:type="default" r:id="rId12"/>
          <w:pgSz w:w="11907" w:h="16840" w:code="9"/>
          <w:pgMar w:top="510" w:right="1134" w:bottom="993" w:left="1134" w:header="510" w:footer="680" w:gutter="0"/>
          <w:pgNumType w:start="1"/>
          <w:cols w:space="720"/>
          <w:titlePg/>
        </w:sectPr>
      </w:pPr>
    </w:p>
    <w:p w14:paraId="211C7596" w14:textId="77777777" w:rsidR="007068FE" w:rsidRPr="002B1AA7" w:rsidRDefault="007068FE" w:rsidP="007068FE">
      <w:pPr>
        <w:rPr>
          <w:rFonts w:cs="Arial"/>
        </w:rPr>
      </w:pPr>
    </w:p>
    <w:p w14:paraId="6DA166E5" w14:textId="77777777" w:rsidR="007C7D1D" w:rsidRPr="002B1AA7" w:rsidRDefault="007C7D1D" w:rsidP="007C7D1D">
      <w:pPr>
        <w:jc w:val="center"/>
        <w:rPr>
          <w:rFonts w:cs="Arial"/>
        </w:rPr>
      </w:pPr>
      <w:r w:rsidRPr="002B1AA7">
        <w:rPr>
          <w:rFonts w:cs="Arial"/>
        </w:rPr>
        <w:t>M</w:t>
      </w:r>
      <w:bookmarkStart w:id="5" w:name="_Hlk174453305"/>
      <w:r w:rsidRPr="002B1AA7">
        <w:rPr>
          <w:rFonts w:cs="Arial"/>
        </w:rPr>
        <w:t xml:space="preserve">ANDATO Y COMPOSICIÓN DEL GRUPO DE TRABAJO </w:t>
      </w:r>
      <w:r w:rsidRPr="002B1AA7">
        <w:rPr>
          <w:rFonts w:cs="Arial"/>
        </w:rPr>
        <w:br/>
        <w:t xml:space="preserve">SOBRE ORIENTACIONES RELATIVAS A LOS AGRICULTORES A PEQUEÑA ESCALA </w:t>
      </w:r>
      <w:r w:rsidRPr="002B1AA7">
        <w:rPr>
          <w:rFonts w:cs="Arial"/>
        </w:rPr>
        <w:br/>
        <w:t>EN UN MARCO PRIVADO Y CON FINES NO COMERCIALES</w:t>
      </w:r>
      <w:bookmarkEnd w:id="5"/>
      <w:r w:rsidRPr="002B1AA7">
        <w:rPr>
          <w:rFonts w:cs="Arial"/>
        </w:rPr>
        <w:t xml:space="preserve"> (WG-SHF)</w:t>
      </w:r>
    </w:p>
    <w:p w14:paraId="63F54BC3" w14:textId="77777777" w:rsidR="007C7D1D" w:rsidRPr="002B1AA7" w:rsidRDefault="007C7D1D" w:rsidP="007C7D1D">
      <w:pPr>
        <w:jc w:val="center"/>
        <w:rPr>
          <w:rFonts w:cs="Arial"/>
        </w:rPr>
      </w:pPr>
    </w:p>
    <w:p w14:paraId="54685952" w14:textId="77777777" w:rsidR="007C7D1D" w:rsidRPr="002B1AA7" w:rsidRDefault="007C7D1D" w:rsidP="007C7D1D">
      <w:pPr>
        <w:jc w:val="center"/>
        <w:rPr>
          <w:rFonts w:cs="Arial"/>
        </w:rPr>
      </w:pPr>
    </w:p>
    <w:p w14:paraId="423784B1" w14:textId="77777777" w:rsidR="007C7D1D" w:rsidRPr="002B1AA7" w:rsidRDefault="007C7D1D" w:rsidP="007C7D1D">
      <w:pPr>
        <w:autoSpaceDE w:val="0"/>
        <w:autoSpaceDN w:val="0"/>
        <w:adjustRightInd w:val="0"/>
        <w:rPr>
          <w:rFonts w:cs="Arial"/>
          <w:snapToGrid w:val="0"/>
          <w:spacing w:val="-2"/>
        </w:rPr>
      </w:pPr>
      <w:r w:rsidRPr="002B1AA7">
        <w:rPr>
          <w:rFonts w:eastAsiaTheme="minorEastAsia" w:cs="Arial"/>
          <w:spacing w:val="-4"/>
        </w:rPr>
        <w:t xml:space="preserve">El Comité Consultivo, en su nonagésima octava sesión, celebrada por medios electrónicos el 28 de octubre de 2021, </w:t>
      </w:r>
      <w:r w:rsidRPr="002B1AA7">
        <w:rPr>
          <w:rFonts w:cs="Arial"/>
          <w:lang w:eastAsia="fr-FR"/>
        </w:rPr>
        <w:t xml:space="preserve">decidió </w:t>
      </w:r>
      <w:r w:rsidRPr="002B1AA7">
        <w:rPr>
          <w:rFonts w:cs="Arial"/>
        </w:rPr>
        <w:t xml:space="preserve">crear un grupo de trabajo para ofrecer orientaciones relativas a los agricultores a pequeña escala en un marco privado y con fines no comerciales </w:t>
      </w:r>
      <w:r w:rsidRPr="002B1AA7">
        <w:rPr>
          <w:rFonts w:cs="Arial"/>
          <w:lang w:eastAsia="fr-FR"/>
        </w:rPr>
        <w:t xml:space="preserve">(WG-SHF) </w:t>
      </w:r>
      <w:r w:rsidRPr="002B1AA7">
        <w:rPr>
          <w:rFonts w:eastAsiaTheme="minorEastAsia" w:cs="Arial"/>
          <w:spacing w:val="-4"/>
        </w:rPr>
        <w:t xml:space="preserve">y acordó que el mandato del Grupo de Trabajo fuera aprobado por el Comité Consultivo por correspondencia (véase el documento </w:t>
      </w:r>
      <w:hyperlink r:id="rId13" w:history="1">
        <w:r w:rsidRPr="002B1AA7">
          <w:rPr>
            <w:rStyle w:val="Hyperlink"/>
            <w:rFonts w:eastAsiaTheme="minorEastAsia" w:cs="Arial"/>
            <w:spacing w:val="-4"/>
          </w:rPr>
          <w:t>C/55/18</w:t>
        </w:r>
      </w:hyperlink>
      <w:r w:rsidRPr="002B1AA7">
        <w:rPr>
          <w:rFonts w:eastAsiaTheme="minorEastAsia" w:cs="Arial"/>
          <w:spacing w:val="-4"/>
        </w:rPr>
        <w:t xml:space="preserve"> “Informe”, párrafo 19).</w:t>
      </w:r>
      <w:r w:rsidRPr="002B1AA7">
        <w:rPr>
          <w:rFonts w:cs="Arial"/>
        </w:rPr>
        <w:t xml:space="preserve"> El Comité Consultivo ha aprobado por correspondencia, el 19 de diciembre de 2021, </w:t>
      </w:r>
      <w:r w:rsidRPr="002B1AA7">
        <w:rPr>
          <w:rFonts w:eastAsiaTheme="minorEastAsia" w:cs="Arial"/>
          <w:spacing w:val="-4"/>
        </w:rPr>
        <w:t xml:space="preserve">el mandato del Grupo de Trabajo </w:t>
      </w:r>
      <w:r w:rsidRPr="002B1AA7">
        <w:rPr>
          <w:rFonts w:cs="Arial"/>
        </w:rPr>
        <w:t xml:space="preserve">(véase </w:t>
      </w:r>
      <w:r w:rsidRPr="002B1AA7">
        <w:rPr>
          <w:rFonts w:cs="Arial"/>
          <w:i/>
        </w:rPr>
        <w:t>infra</w:t>
      </w:r>
      <w:r w:rsidRPr="002B1AA7">
        <w:rPr>
          <w:rFonts w:cs="Arial"/>
        </w:rPr>
        <w:t xml:space="preserve"> “Mandato”).</w:t>
      </w:r>
    </w:p>
    <w:p w14:paraId="66EA5556" w14:textId="77777777" w:rsidR="007C7D1D" w:rsidRPr="002B1AA7" w:rsidRDefault="007C7D1D" w:rsidP="007C7D1D">
      <w:pPr>
        <w:rPr>
          <w:rFonts w:cs="Arial"/>
          <w:snapToGrid w:val="0"/>
          <w:spacing w:val="-2"/>
        </w:rPr>
      </w:pPr>
    </w:p>
    <w:p w14:paraId="46D8B8AE" w14:textId="77777777" w:rsidR="007C7D1D" w:rsidRPr="002B1AA7" w:rsidRDefault="007C7D1D" w:rsidP="007C7D1D">
      <w:pPr>
        <w:rPr>
          <w:rFonts w:cs="Arial"/>
        </w:rPr>
      </w:pPr>
      <w:r w:rsidRPr="002B1AA7">
        <w:rPr>
          <w:rFonts w:cs="Arial"/>
        </w:rPr>
        <w:t xml:space="preserve">En su nonagésima octava sesión, el Comité Consultivo acordó que el WG-SHF esté compuesto por los miembros de la Unión y los observadores ante el Consejo que respondan a una circular expresando su interés en formar parte del WG-SHF (véase el documento </w:t>
      </w:r>
      <w:hyperlink r:id="rId14" w:history="1">
        <w:r w:rsidRPr="002B1AA7">
          <w:rPr>
            <w:rStyle w:val="Hyperlink"/>
            <w:rFonts w:cs="Arial"/>
          </w:rPr>
          <w:t>C/55/18</w:t>
        </w:r>
      </w:hyperlink>
      <w:r w:rsidRPr="002B1AA7">
        <w:rPr>
          <w:rFonts w:cs="Arial"/>
        </w:rPr>
        <w:t xml:space="preserve"> “Informe”, párrafo 19). En la circular E</w:t>
      </w:r>
      <w:r w:rsidRPr="002B1AA7">
        <w:rPr>
          <w:rFonts w:cs="Arial"/>
        </w:rPr>
        <w:noBreakHyphen/>
        <w:t xml:space="preserve">21/230 de 19 de noviembre de 2021 se invitó a los miembros de la Unión y a los observadores ante el Consejo a expresar su interés por ser miembros del WG-SHF a más tardar el 19 de diciembre de 2021 (véase </w:t>
      </w:r>
      <w:r w:rsidRPr="002B1AA7">
        <w:rPr>
          <w:rFonts w:cs="Arial"/>
          <w:i/>
        </w:rPr>
        <w:t>infra</w:t>
      </w:r>
      <w:r w:rsidRPr="002B1AA7">
        <w:rPr>
          <w:rFonts w:cs="Arial"/>
        </w:rPr>
        <w:t xml:space="preserve"> “Composición”).</w:t>
      </w:r>
    </w:p>
    <w:p w14:paraId="0331CF65" w14:textId="77777777" w:rsidR="007C7D1D" w:rsidRPr="002B1AA7" w:rsidRDefault="007C7D1D" w:rsidP="007C7D1D">
      <w:pPr>
        <w:rPr>
          <w:rFonts w:cs="Arial"/>
        </w:rPr>
      </w:pPr>
    </w:p>
    <w:p w14:paraId="28EE038D" w14:textId="77777777" w:rsidR="007C7D1D" w:rsidRPr="002B1AA7" w:rsidRDefault="007C7D1D" w:rsidP="007C7D1D">
      <w:pPr>
        <w:rPr>
          <w:rFonts w:cs="Arial"/>
        </w:rPr>
      </w:pPr>
    </w:p>
    <w:p w14:paraId="4E0AF1FF" w14:textId="77777777" w:rsidR="007C7D1D" w:rsidRPr="002B1AA7" w:rsidRDefault="007C7D1D" w:rsidP="007C7D1D">
      <w:pPr>
        <w:rPr>
          <w:rFonts w:cs="Arial"/>
          <w:u w:val="single"/>
        </w:rPr>
      </w:pPr>
      <w:r w:rsidRPr="002B1AA7">
        <w:rPr>
          <w:rFonts w:cs="Arial"/>
          <w:u w:val="single"/>
        </w:rPr>
        <w:t>MANDATO Y COMPOSICIÓN DEL WG-SHF</w:t>
      </w:r>
    </w:p>
    <w:p w14:paraId="14F28FD7" w14:textId="77777777" w:rsidR="007C7D1D" w:rsidRPr="002B1AA7" w:rsidRDefault="007C7D1D" w:rsidP="007C7D1D">
      <w:pPr>
        <w:tabs>
          <w:tab w:val="left" w:pos="284"/>
          <w:tab w:val="left" w:pos="851"/>
        </w:tabs>
        <w:autoSpaceDE w:val="0"/>
        <w:autoSpaceDN w:val="0"/>
        <w:adjustRightInd w:val="0"/>
        <w:rPr>
          <w:rFonts w:cs="Arial"/>
          <w:i/>
        </w:rPr>
      </w:pPr>
    </w:p>
    <w:p w14:paraId="3884FA88" w14:textId="77777777" w:rsidR="007C7D1D" w:rsidRPr="002B1AA7" w:rsidRDefault="007C7D1D" w:rsidP="007C7D1D">
      <w:pPr>
        <w:rPr>
          <w:rFonts w:cs="Arial"/>
        </w:rPr>
      </w:pPr>
    </w:p>
    <w:p w14:paraId="608BFB8F" w14:textId="77777777" w:rsidR="007C7D1D" w:rsidRPr="002B1AA7" w:rsidRDefault="007C7D1D" w:rsidP="007C7D1D">
      <w:pPr>
        <w:rPr>
          <w:rFonts w:cs="Arial"/>
        </w:rPr>
      </w:pPr>
      <w:r w:rsidRPr="002B1AA7">
        <w:rPr>
          <w:rFonts w:cs="Arial"/>
        </w:rPr>
        <w:t xml:space="preserve">FINALIDAD: </w:t>
      </w:r>
    </w:p>
    <w:p w14:paraId="753E9A14" w14:textId="77777777" w:rsidR="007C7D1D" w:rsidRPr="002B1AA7" w:rsidRDefault="007C7D1D" w:rsidP="007C7D1D">
      <w:pPr>
        <w:contextualSpacing/>
        <w:rPr>
          <w:rFonts w:cs="Arial"/>
        </w:rPr>
      </w:pPr>
    </w:p>
    <w:p w14:paraId="7DA9D824" w14:textId="77777777" w:rsidR="007C7D1D" w:rsidRPr="002B1AA7" w:rsidRDefault="007C7D1D" w:rsidP="007C7D1D">
      <w:pPr>
        <w:contextualSpacing/>
        <w:rPr>
          <w:rFonts w:cs="Arial"/>
        </w:rPr>
      </w:pPr>
      <w:r w:rsidRPr="002B1AA7">
        <w:rPr>
          <w:rFonts w:cs="Arial"/>
        </w:rPr>
        <w:t>La finalidad del WG-SHF es elaborar orientaciones relativas a los agricultores a pequeña escala en un marco privado y con fines no comerciales, que servirían de base para una versión revisada de las “Notas explicativas sobre las excepciones al derecho de obtentor con arreglo al Acta de 1991 del Convenio de la UPOV” y una versión revisada de las preguntas frecuentes sobre las excepciones al derecho de obtentor.</w:t>
      </w:r>
    </w:p>
    <w:p w14:paraId="77D5C60D" w14:textId="77777777" w:rsidR="007C7D1D" w:rsidRPr="002B1AA7" w:rsidRDefault="007C7D1D" w:rsidP="007C7D1D">
      <w:pPr>
        <w:rPr>
          <w:rFonts w:cs="Arial"/>
        </w:rPr>
      </w:pPr>
    </w:p>
    <w:p w14:paraId="5F1BCCFE" w14:textId="77777777" w:rsidR="007C7D1D" w:rsidRPr="002B1AA7" w:rsidRDefault="007C7D1D" w:rsidP="007C7D1D">
      <w:pPr>
        <w:rPr>
          <w:rFonts w:cs="Arial"/>
        </w:rPr>
      </w:pPr>
    </w:p>
    <w:p w14:paraId="4894183F" w14:textId="77777777" w:rsidR="007C7D1D" w:rsidRPr="002B1AA7" w:rsidRDefault="007C7D1D" w:rsidP="007C7D1D">
      <w:pPr>
        <w:rPr>
          <w:rFonts w:cs="Arial"/>
        </w:rPr>
      </w:pPr>
      <w:r w:rsidRPr="002B1AA7">
        <w:rPr>
          <w:rFonts w:cs="Arial"/>
        </w:rPr>
        <w:t>COMPOSICIÓN:</w:t>
      </w:r>
    </w:p>
    <w:p w14:paraId="7472F8E8" w14:textId="77777777" w:rsidR="007C7D1D" w:rsidRPr="002B1AA7" w:rsidRDefault="007C7D1D" w:rsidP="007C7D1D">
      <w:pPr>
        <w:rPr>
          <w:rFonts w:cs="Arial"/>
        </w:rPr>
      </w:pPr>
    </w:p>
    <w:p w14:paraId="79C3DC2E" w14:textId="77777777" w:rsidR="007C7D1D" w:rsidRPr="002B1AA7" w:rsidRDefault="007C7D1D" w:rsidP="007C7D1D">
      <w:pPr>
        <w:rPr>
          <w:rFonts w:cs="Arial"/>
        </w:rPr>
      </w:pPr>
      <w:r w:rsidRPr="002B1AA7">
        <w:rPr>
          <w:rFonts w:cs="Arial"/>
        </w:rPr>
        <w:t>a)</w:t>
      </w:r>
      <w:r w:rsidRPr="002B1AA7">
        <w:rPr>
          <w:rFonts w:cs="Arial"/>
        </w:rPr>
        <w:tab/>
        <w:t xml:space="preserve">los miembros de la Unión y los observadores ante el Consejo que han expresado interés en formar parte del WG-SHF en respuesta a la circular E-21/230 de 19 de noviembre de 2021: </w:t>
      </w:r>
    </w:p>
    <w:p w14:paraId="69E2D34F" w14:textId="77777777" w:rsidR="007C7D1D" w:rsidRPr="002B1AA7" w:rsidRDefault="007C7D1D" w:rsidP="007C7D1D">
      <w:pPr>
        <w:rPr>
          <w:rFonts w:cs="Arial"/>
        </w:rPr>
      </w:pPr>
    </w:p>
    <w:p w14:paraId="3DD16E9E" w14:textId="77777777" w:rsidR="007C7D1D" w:rsidRPr="002B1AA7" w:rsidRDefault="007C7D1D" w:rsidP="007C7D1D">
      <w:pPr>
        <w:ind w:left="540"/>
        <w:rPr>
          <w:rFonts w:cs="Arial"/>
          <w:spacing w:val="-2"/>
        </w:rPr>
      </w:pPr>
      <w:r w:rsidRPr="002B1AA7">
        <w:rPr>
          <w:rFonts w:cs="Arial"/>
          <w:spacing w:val="-2"/>
        </w:rPr>
        <w:t xml:space="preserve">Argentina, Austria, Bélgica, Canadá, Chile, Colombia, Estados Unidos de América, Francia, Ghana, Japón, México, Noruega, Países Bajos, Reino Unido, República Checa, Suiza, Túnez, Unión Europea, </w:t>
      </w:r>
      <w:proofErr w:type="spellStart"/>
      <w:r w:rsidRPr="002B1AA7">
        <w:rPr>
          <w:rFonts w:cs="Arial"/>
          <w:spacing w:val="-2"/>
        </w:rPr>
        <w:t>Zimbabwe</w:t>
      </w:r>
      <w:proofErr w:type="spellEnd"/>
      <w:r w:rsidRPr="002B1AA7">
        <w:rPr>
          <w:rFonts w:cs="Arial"/>
          <w:spacing w:val="-2"/>
        </w:rPr>
        <w:t xml:space="preserve">, Centro del Sur, </w:t>
      </w:r>
      <w:proofErr w:type="spellStart"/>
      <w:r w:rsidRPr="002B1AA7">
        <w:rPr>
          <w:rFonts w:cs="Arial"/>
          <w:i/>
          <w:spacing w:val="-2"/>
        </w:rPr>
        <w:t>African</w:t>
      </w:r>
      <w:proofErr w:type="spellEnd"/>
      <w:r w:rsidRPr="002B1AA7">
        <w:rPr>
          <w:rFonts w:cs="Arial"/>
          <w:i/>
          <w:spacing w:val="-2"/>
        </w:rPr>
        <w:t xml:space="preserve"> </w:t>
      </w:r>
      <w:proofErr w:type="spellStart"/>
      <w:r w:rsidRPr="002B1AA7">
        <w:rPr>
          <w:rFonts w:cs="Arial"/>
          <w:i/>
          <w:spacing w:val="-2"/>
        </w:rPr>
        <w:t>Seed</w:t>
      </w:r>
      <w:proofErr w:type="spellEnd"/>
      <w:r w:rsidRPr="002B1AA7">
        <w:rPr>
          <w:rFonts w:cs="Arial"/>
          <w:i/>
          <w:spacing w:val="-2"/>
        </w:rPr>
        <w:t xml:space="preserve"> </w:t>
      </w:r>
      <w:proofErr w:type="spellStart"/>
      <w:r w:rsidRPr="002B1AA7">
        <w:rPr>
          <w:rFonts w:cs="Arial"/>
          <w:i/>
          <w:spacing w:val="-2"/>
        </w:rPr>
        <w:t>Trade</w:t>
      </w:r>
      <w:proofErr w:type="spellEnd"/>
      <w:r w:rsidRPr="002B1AA7">
        <w:rPr>
          <w:rFonts w:cs="Arial"/>
          <w:i/>
          <w:spacing w:val="-2"/>
        </w:rPr>
        <w:t xml:space="preserve"> </w:t>
      </w:r>
      <w:proofErr w:type="spellStart"/>
      <w:r w:rsidRPr="002B1AA7">
        <w:rPr>
          <w:rFonts w:cs="Arial"/>
          <w:i/>
          <w:spacing w:val="-2"/>
        </w:rPr>
        <w:t>Association</w:t>
      </w:r>
      <w:proofErr w:type="spellEnd"/>
      <w:r w:rsidRPr="002B1AA7">
        <w:rPr>
          <w:rFonts w:cs="Arial"/>
          <w:spacing w:val="-2"/>
        </w:rPr>
        <w:t xml:space="preserve"> (AFSTA) (Asociación Africana de Comercio de Semillas), </w:t>
      </w:r>
      <w:r w:rsidRPr="002B1AA7">
        <w:rPr>
          <w:rFonts w:cs="Arial"/>
          <w:i/>
          <w:spacing w:val="-2"/>
        </w:rPr>
        <w:t xml:space="preserve">Asia and </w:t>
      </w:r>
      <w:proofErr w:type="spellStart"/>
      <w:r w:rsidRPr="002B1AA7">
        <w:rPr>
          <w:rFonts w:cs="Arial"/>
          <w:i/>
          <w:spacing w:val="-2"/>
        </w:rPr>
        <w:t>Pacific</w:t>
      </w:r>
      <w:proofErr w:type="spellEnd"/>
      <w:r w:rsidRPr="002B1AA7">
        <w:rPr>
          <w:rFonts w:cs="Arial"/>
          <w:i/>
          <w:spacing w:val="-2"/>
        </w:rPr>
        <w:t xml:space="preserve"> </w:t>
      </w:r>
      <w:proofErr w:type="spellStart"/>
      <w:r w:rsidRPr="002B1AA7">
        <w:rPr>
          <w:rFonts w:cs="Arial"/>
          <w:i/>
          <w:spacing w:val="-2"/>
        </w:rPr>
        <w:t>Seed</w:t>
      </w:r>
      <w:proofErr w:type="spellEnd"/>
      <w:r w:rsidRPr="002B1AA7">
        <w:rPr>
          <w:rFonts w:cs="Arial"/>
          <w:i/>
          <w:spacing w:val="-2"/>
        </w:rPr>
        <w:t xml:space="preserve"> </w:t>
      </w:r>
      <w:proofErr w:type="spellStart"/>
      <w:r w:rsidRPr="002B1AA7">
        <w:rPr>
          <w:rFonts w:cs="Arial"/>
          <w:i/>
          <w:spacing w:val="-2"/>
        </w:rPr>
        <w:t>Association</w:t>
      </w:r>
      <w:proofErr w:type="spellEnd"/>
      <w:r w:rsidRPr="002B1AA7">
        <w:rPr>
          <w:rFonts w:cs="Arial"/>
          <w:spacing w:val="-2"/>
        </w:rPr>
        <w:t xml:space="preserve"> (APSA) (Asociación de Semillas de Asia y el Pacífico), Asociación de Semillas de las Américas (SAA), </w:t>
      </w:r>
      <w:proofErr w:type="spellStart"/>
      <w:r w:rsidRPr="002B1AA7">
        <w:rPr>
          <w:rFonts w:cs="Arial"/>
          <w:i/>
          <w:spacing w:val="-2"/>
        </w:rPr>
        <w:t>Association</w:t>
      </w:r>
      <w:proofErr w:type="spellEnd"/>
      <w:r w:rsidRPr="002B1AA7">
        <w:rPr>
          <w:rFonts w:cs="Arial"/>
          <w:i/>
          <w:spacing w:val="-2"/>
        </w:rPr>
        <w:t xml:space="preserve"> </w:t>
      </w:r>
      <w:proofErr w:type="spellStart"/>
      <w:r w:rsidRPr="002B1AA7">
        <w:rPr>
          <w:rFonts w:cs="Arial"/>
          <w:i/>
          <w:spacing w:val="-2"/>
        </w:rPr>
        <w:t>for</w:t>
      </w:r>
      <w:proofErr w:type="spellEnd"/>
      <w:r w:rsidRPr="002B1AA7">
        <w:rPr>
          <w:rFonts w:cs="Arial"/>
          <w:i/>
          <w:spacing w:val="-2"/>
        </w:rPr>
        <w:t xml:space="preserve"> </w:t>
      </w:r>
      <w:proofErr w:type="spellStart"/>
      <w:r w:rsidRPr="002B1AA7">
        <w:rPr>
          <w:rFonts w:cs="Arial"/>
          <w:i/>
          <w:spacing w:val="-2"/>
        </w:rPr>
        <w:t>Plant</w:t>
      </w:r>
      <w:proofErr w:type="spellEnd"/>
      <w:r w:rsidRPr="002B1AA7">
        <w:rPr>
          <w:rFonts w:cs="Arial"/>
          <w:i/>
          <w:spacing w:val="-2"/>
        </w:rPr>
        <w:t xml:space="preserve"> </w:t>
      </w:r>
      <w:proofErr w:type="spellStart"/>
      <w:r w:rsidRPr="002B1AA7">
        <w:rPr>
          <w:rFonts w:cs="Arial"/>
          <w:i/>
          <w:spacing w:val="-2"/>
        </w:rPr>
        <w:t>Breeding</w:t>
      </w:r>
      <w:proofErr w:type="spellEnd"/>
      <w:r w:rsidRPr="002B1AA7">
        <w:rPr>
          <w:rFonts w:cs="Arial"/>
          <w:i/>
          <w:spacing w:val="-2"/>
        </w:rPr>
        <w:t xml:space="preserve"> </w:t>
      </w:r>
      <w:proofErr w:type="spellStart"/>
      <w:r w:rsidRPr="002B1AA7">
        <w:rPr>
          <w:rFonts w:cs="Arial"/>
          <w:i/>
          <w:spacing w:val="-2"/>
        </w:rPr>
        <w:t>for</w:t>
      </w:r>
      <w:proofErr w:type="spellEnd"/>
      <w:r w:rsidRPr="002B1AA7">
        <w:rPr>
          <w:rFonts w:cs="Arial"/>
          <w:i/>
          <w:spacing w:val="-2"/>
        </w:rPr>
        <w:t xml:space="preserve"> </w:t>
      </w:r>
      <w:proofErr w:type="spellStart"/>
      <w:r w:rsidRPr="002B1AA7">
        <w:rPr>
          <w:rFonts w:cs="Arial"/>
          <w:i/>
          <w:spacing w:val="-2"/>
        </w:rPr>
        <w:t>the</w:t>
      </w:r>
      <w:proofErr w:type="spellEnd"/>
      <w:r w:rsidRPr="002B1AA7">
        <w:rPr>
          <w:rFonts w:cs="Arial"/>
          <w:i/>
          <w:spacing w:val="-2"/>
        </w:rPr>
        <w:t xml:space="preserve"> Benefit of </w:t>
      </w:r>
      <w:proofErr w:type="spellStart"/>
      <w:r w:rsidRPr="002B1AA7">
        <w:rPr>
          <w:rFonts w:cs="Arial"/>
          <w:i/>
          <w:spacing w:val="-2"/>
        </w:rPr>
        <w:t>Society</w:t>
      </w:r>
      <w:proofErr w:type="spellEnd"/>
      <w:r w:rsidRPr="002B1AA7">
        <w:rPr>
          <w:rFonts w:cs="Arial"/>
          <w:i/>
          <w:spacing w:val="-2"/>
        </w:rPr>
        <w:t xml:space="preserve"> </w:t>
      </w:r>
      <w:r w:rsidRPr="002B1AA7">
        <w:rPr>
          <w:rFonts w:cs="Arial"/>
          <w:spacing w:val="-2"/>
        </w:rPr>
        <w:t xml:space="preserve">(APBREBES), Comunidad Internacional de </w:t>
      </w:r>
      <w:proofErr w:type="spellStart"/>
      <w:r w:rsidRPr="002B1AA7">
        <w:rPr>
          <w:rFonts w:cs="Arial"/>
          <w:spacing w:val="-2"/>
        </w:rPr>
        <w:t>Fitomejoradores</w:t>
      </w:r>
      <w:proofErr w:type="spellEnd"/>
      <w:r w:rsidRPr="002B1AA7">
        <w:rPr>
          <w:rFonts w:cs="Arial"/>
          <w:spacing w:val="-2"/>
        </w:rPr>
        <w:t xml:space="preserve"> de Plantas Hortícolas de Reproducción Asexuada (CIOPORA), Coordinadora Europea Vía Campesina (ECVC), </w:t>
      </w:r>
      <w:proofErr w:type="spellStart"/>
      <w:r w:rsidRPr="002B1AA7">
        <w:rPr>
          <w:rFonts w:cs="Arial"/>
          <w:i/>
          <w:spacing w:val="-2"/>
        </w:rPr>
        <w:t>CropLife</w:t>
      </w:r>
      <w:proofErr w:type="spellEnd"/>
      <w:r w:rsidRPr="002B1AA7">
        <w:rPr>
          <w:rFonts w:cs="Arial"/>
          <w:i/>
          <w:spacing w:val="-2"/>
        </w:rPr>
        <w:t xml:space="preserve"> International</w:t>
      </w:r>
      <w:r w:rsidRPr="002B1AA7">
        <w:rPr>
          <w:rFonts w:cs="Arial"/>
          <w:spacing w:val="-2"/>
        </w:rPr>
        <w:t xml:space="preserve">, </w:t>
      </w:r>
      <w:proofErr w:type="spellStart"/>
      <w:r w:rsidRPr="002B1AA7">
        <w:rPr>
          <w:rFonts w:cs="Arial"/>
          <w:spacing w:val="-2"/>
        </w:rPr>
        <w:t>Euroseeds</w:t>
      </w:r>
      <w:proofErr w:type="spellEnd"/>
      <w:r w:rsidRPr="002B1AA7">
        <w:rPr>
          <w:rFonts w:cs="Arial"/>
          <w:spacing w:val="-2"/>
        </w:rPr>
        <w:t xml:space="preserve"> y </w:t>
      </w:r>
      <w:r w:rsidRPr="002B1AA7">
        <w:rPr>
          <w:rFonts w:cs="Arial"/>
          <w:i/>
          <w:spacing w:val="-2"/>
        </w:rPr>
        <w:t xml:space="preserve">International </w:t>
      </w:r>
      <w:proofErr w:type="spellStart"/>
      <w:r w:rsidRPr="002B1AA7">
        <w:rPr>
          <w:rFonts w:cs="Arial"/>
          <w:i/>
          <w:spacing w:val="-2"/>
        </w:rPr>
        <w:t>Seed</w:t>
      </w:r>
      <w:proofErr w:type="spellEnd"/>
      <w:r w:rsidRPr="002B1AA7">
        <w:rPr>
          <w:rFonts w:cs="Arial"/>
          <w:i/>
          <w:spacing w:val="-2"/>
        </w:rPr>
        <w:t xml:space="preserve"> </w:t>
      </w:r>
      <w:proofErr w:type="spellStart"/>
      <w:r w:rsidRPr="002B1AA7">
        <w:rPr>
          <w:rFonts w:cs="Arial"/>
          <w:i/>
          <w:spacing w:val="-2"/>
        </w:rPr>
        <w:t>Federation</w:t>
      </w:r>
      <w:proofErr w:type="spellEnd"/>
      <w:r w:rsidRPr="002B1AA7">
        <w:rPr>
          <w:rFonts w:cs="Arial"/>
          <w:spacing w:val="-2"/>
        </w:rPr>
        <w:t xml:space="preserve"> (ISF).</w:t>
      </w:r>
    </w:p>
    <w:p w14:paraId="268D72F9" w14:textId="77777777" w:rsidR="007C7D1D" w:rsidRPr="002B1AA7" w:rsidRDefault="007C7D1D" w:rsidP="007C7D1D">
      <w:pPr>
        <w:ind w:left="540"/>
        <w:rPr>
          <w:rFonts w:cs="Arial"/>
          <w:spacing w:val="-2"/>
        </w:rPr>
      </w:pPr>
    </w:p>
    <w:p w14:paraId="1B80908D" w14:textId="77777777" w:rsidR="007C7D1D" w:rsidRPr="002B1AA7" w:rsidRDefault="007C7D1D" w:rsidP="007C7D1D">
      <w:pPr>
        <w:rPr>
          <w:rFonts w:cs="Arial"/>
        </w:rPr>
      </w:pPr>
      <w:r w:rsidRPr="002B1AA7">
        <w:rPr>
          <w:rFonts w:cs="Arial"/>
        </w:rPr>
        <w:t>b)</w:t>
      </w:r>
      <w:r w:rsidRPr="002B1AA7">
        <w:rPr>
          <w:rFonts w:cs="Arial"/>
        </w:rPr>
        <w:tab/>
        <w:t>cuando lo deseen, los demás miembros de la Unión tendrán la facultad de participar en las reuniones del WG-SHF;</w:t>
      </w:r>
    </w:p>
    <w:p w14:paraId="2E363FC0" w14:textId="77777777" w:rsidR="007C7D1D" w:rsidRPr="002B1AA7" w:rsidRDefault="007C7D1D" w:rsidP="007C7D1D">
      <w:pPr>
        <w:rPr>
          <w:rFonts w:cs="Arial"/>
        </w:rPr>
      </w:pPr>
    </w:p>
    <w:p w14:paraId="72386A03" w14:textId="77777777" w:rsidR="007C7D1D" w:rsidRPr="002B1AA7" w:rsidRDefault="007C7D1D" w:rsidP="007C7D1D">
      <w:pPr>
        <w:rPr>
          <w:rFonts w:cs="Arial"/>
        </w:rPr>
      </w:pPr>
      <w:r w:rsidRPr="002B1AA7">
        <w:rPr>
          <w:rFonts w:cs="Arial"/>
        </w:rPr>
        <w:t>c)</w:t>
      </w:r>
      <w:r w:rsidRPr="002B1AA7">
        <w:rPr>
          <w:rFonts w:cs="Arial"/>
        </w:rPr>
        <w:tab/>
        <w:t>los miembros del proyecto “Opciones de interpretación del concepto de uso privado y no comercial previsto en el Artículo 15.1).i) del Acta de 1991 del Convenio de la UPOV” (</w:t>
      </w:r>
      <w:proofErr w:type="spellStart"/>
      <w:r w:rsidRPr="002B1AA7">
        <w:rPr>
          <w:rFonts w:cs="Arial"/>
        </w:rPr>
        <w:t>Euroseeds</w:t>
      </w:r>
      <w:proofErr w:type="spellEnd"/>
      <w:r w:rsidRPr="002B1AA7">
        <w:rPr>
          <w:rFonts w:cs="Arial"/>
        </w:rPr>
        <w:t xml:space="preserve">, </w:t>
      </w:r>
      <w:proofErr w:type="spellStart"/>
      <w:r w:rsidRPr="002B1AA7">
        <w:rPr>
          <w:rFonts w:cs="Arial"/>
        </w:rPr>
        <w:t>Plantum</w:t>
      </w:r>
      <w:proofErr w:type="spellEnd"/>
      <w:r w:rsidRPr="002B1AA7">
        <w:rPr>
          <w:rFonts w:cs="Arial"/>
        </w:rPr>
        <w:t xml:space="preserve"> y Oxfam: “equipo del proyecto”) estarán invitados a participar en la primera reunión del WG-SHF. Se podrán formular invitaciones ad hoc al equipo del proyecto a fin de que asista a otras reuniones del WG-SHF, cuando el WG</w:t>
      </w:r>
      <w:r w:rsidRPr="002B1AA7">
        <w:rPr>
          <w:rFonts w:cs="Arial"/>
        </w:rPr>
        <w:noBreakHyphen/>
        <w:t>SHF lo considere adecuado; y</w:t>
      </w:r>
    </w:p>
    <w:p w14:paraId="7947D6F1" w14:textId="77777777" w:rsidR="007C7D1D" w:rsidRPr="002B1AA7" w:rsidRDefault="007C7D1D" w:rsidP="007C7D1D">
      <w:pPr>
        <w:rPr>
          <w:rFonts w:cs="Arial"/>
        </w:rPr>
      </w:pPr>
    </w:p>
    <w:p w14:paraId="540DE472" w14:textId="77777777" w:rsidR="007C7D1D" w:rsidRPr="002B1AA7" w:rsidRDefault="007C7D1D" w:rsidP="007C7D1D">
      <w:pPr>
        <w:rPr>
          <w:rFonts w:cs="Arial"/>
        </w:rPr>
      </w:pPr>
      <w:r w:rsidRPr="002B1AA7">
        <w:rPr>
          <w:rFonts w:cs="Arial"/>
        </w:rPr>
        <w:t>d)</w:t>
      </w:r>
      <w:r w:rsidRPr="002B1AA7">
        <w:rPr>
          <w:rFonts w:cs="Arial"/>
        </w:rPr>
        <w:tab/>
        <w:t>las reuniones serán presididas por el Presidente del Consejo.</w:t>
      </w:r>
    </w:p>
    <w:p w14:paraId="3401BDDC" w14:textId="77777777" w:rsidR="007C7D1D" w:rsidRPr="002B1AA7" w:rsidRDefault="007C7D1D" w:rsidP="007C7D1D">
      <w:pPr>
        <w:keepNext/>
        <w:keepLines/>
        <w:tabs>
          <w:tab w:val="left" w:pos="5450"/>
        </w:tabs>
        <w:spacing w:before="600"/>
        <w:rPr>
          <w:rFonts w:cs="Arial"/>
          <w:i/>
        </w:rPr>
      </w:pPr>
      <w:r w:rsidRPr="002B1AA7">
        <w:rPr>
          <w:rFonts w:cs="Arial"/>
          <w:i/>
        </w:rPr>
        <w:lastRenderedPageBreak/>
        <w:t>MODUS OPERANDI:</w:t>
      </w:r>
    </w:p>
    <w:p w14:paraId="41DD6F99" w14:textId="77777777" w:rsidR="007C7D1D" w:rsidRPr="002B1AA7" w:rsidRDefault="007C7D1D" w:rsidP="007C7D1D">
      <w:pPr>
        <w:keepNext/>
        <w:keepLines/>
        <w:rPr>
          <w:rFonts w:cs="Arial"/>
          <w:u w:val="single"/>
        </w:rPr>
      </w:pPr>
    </w:p>
    <w:p w14:paraId="670F0FC7" w14:textId="77777777" w:rsidR="007C7D1D" w:rsidRPr="002B1AA7" w:rsidRDefault="007C7D1D" w:rsidP="007C7D1D">
      <w:pPr>
        <w:keepNext/>
        <w:keepLines/>
        <w:ind w:firstLine="540"/>
        <w:rPr>
          <w:rFonts w:cs="Arial"/>
        </w:rPr>
      </w:pPr>
      <w:r w:rsidRPr="002B1AA7">
        <w:rPr>
          <w:rFonts w:cs="Arial"/>
        </w:rPr>
        <w:t>a)</w:t>
      </w:r>
      <w:r w:rsidRPr="002B1AA7">
        <w:rPr>
          <w:rFonts w:cs="Arial"/>
        </w:rPr>
        <w:tab/>
        <w:t xml:space="preserve">el análisis de las contribuciones del compendio con las respuestas a la circular E-20/246 de la UPOV y un informe con sugerencias preparado por el equipo del proyecto, junto con la Oficina de la Unión, se utilizarán como base inicial para los debates sobre la elaboración de orientaciones relativas a los agricultores a pequeña escala en un marco privado y con fines no comerciales; </w:t>
      </w:r>
    </w:p>
    <w:p w14:paraId="47DD4545" w14:textId="77777777" w:rsidR="007C7D1D" w:rsidRPr="002B1AA7" w:rsidRDefault="007C7D1D" w:rsidP="007C7D1D">
      <w:pPr>
        <w:rPr>
          <w:rFonts w:cs="Arial"/>
        </w:rPr>
      </w:pPr>
    </w:p>
    <w:p w14:paraId="0EB74B33" w14:textId="77777777" w:rsidR="007C7D1D" w:rsidRPr="002B1AA7" w:rsidRDefault="007C7D1D" w:rsidP="007C7D1D">
      <w:pPr>
        <w:ind w:firstLine="540"/>
        <w:rPr>
          <w:rFonts w:cs="Arial"/>
        </w:rPr>
      </w:pPr>
      <w:r w:rsidRPr="002B1AA7">
        <w:rPr>
          <w:rFonts w:cs="Arial"/>
        </w:rPr>
        <w:t>b)</w:t>
      </w:r>
      <w:r w:rsidRPr="002B1AA7">
        <w:rPr>
          <w:rFonts w:cs="Arial"/>
        </w:rPr>
        <w:tab/>
        <w:t>el WG-SHF celebrará reuniones, presenciales o electrónicas, en el período y con la frecuencia necesarios conforme a lo que acuerde el WG-SHF, para cumplir con su mandato;</w:t>
      </w:r>
    </w:p>
    <w:p w14:paraId="28CCA2EB" w14:textId="77777777" w:rsidR="007C7D1D" w:rsidRPr="002B1AA7" w:rsidRDefault="007C7D1D" w:rsidP="007C7D1D">
      <w:pPr>
        <w:rPr>
          <w:rFonts w:cs="Arial"/>
        </w:rPr>
      </w:pPr>
    </w:p>
    <w:p w14:paraId="4D92DE79" w14:textId="77777777" w:rsidR="007C7D1D" w:rsidRPr="002B1AA7" w:rsidRDefault="007C7D1D" w:rsidP="007C7D1D">
      <w:pPr>
        <w:ind w:firstLine="540"/>
        <w:rPr>
          <w:rFonts w:cs="Arial"/>
        </w:rPr>
      </w:pPr>
      <w:r w:rsidRPr="002B1AA7">
        <w:rPr>
          <w:rFonts w:cs="Arial"/>
        </w:rPr>
        <w:t>c)</w:t>
      </w:r>
      <w:r w:rsidRPr="002B1AA7">
        <w:rPr>
          <w:rFonts w:cs="Arial"/>
        </w:rPr>
        <w:tab/>
        <w:t>el WG-SHF proporcionará orientación para elaborar un proyecto de revisión del documento UPOV/EXN/EXC, que preparará el Comité Administrativo y Jurídico, y la revisión de las preguntas frecuentes sobre las excepciones al derecho de obtentor, que preparará la Oficina de la Unión;</w:t>
      </w:r>
    </w:p>
    <w:p w14:paraId="166D9E47" w14:textId="77777777" w:rsidR="007C7D1D" w:rsidRPr="002B1AA7" w:rsidRDefault="007C7D1D" w:rsidP="007C7D1D">
      <w:pPr>
        <w:rPr>
          <w:rFonts w:cs="Arial"/>
        </w:rPr>
      </w:pPr>
    </w:p>
    <w:p w14:paraId="065DC6DD" w14:textId="77777777" w:rsidR="007C7D1D" w:rsidRPr="002B1AA7" w:rsidRDefault="007C7D1D" w:rsidP="007C7D1D">
      <w:pPr>
        <w:ind w:firstLine="540"/>
        <w:rPr>
          <w:rFonts w:cs="Arial"/>
        </w:rPr>
      </w:pPr>
      <w:r w:rsidRPr="002B1AA7">
        <w:rPr>
          <w:rFonts w:cs="Arial"/>
        </w:rPr>
        <w:t>d)</w:t>
      </w:r>
      <w:r w:rsidRPr="002B1AA7">
        <w:rPr>
          <w:rFonts w:cs="Arial"/>
        </w:rPr>
        <w:tab/>
        <w:t>el WG-SHF informará al Comité Consultivo de la marcha de su labor y solicitará orientación adicional al Comité Consultivo, según proceda; y</w:t>
      </w:r>
    </w:p>
    <w:p w14:paraId="56A2C12F" w14:textId="77777777" w:rsidR="007C7D1D" w:rsidRPr="002B1AA7" w:rsidRDefault="007C7D1D" w:rsidP="007C7D1D">
      <w:pPr>
        <w:rPr>
          <w:rFonts w:cs="Arial"/>
        </w:rPr>
      </w:pPr>
    </w:p>
    <w:p w14:paraId="3CDA0B0E" w14:textId="77777777" w:rsidR="007C7D1D" w:rsidRPr="002B1AA7" w:rsidRDefault="007C7D1D" w:rsidP="007C7D1D">
      <w:pPr>
        <w:ind w:firstLine="540"/>
        <w:rPr>
          <w:rFonts w:cs="Arial"/>
        </w:rPr>
      </w:pPr>
      <w:r w:rsidRPr="002B1AA7">
        <w:rPr>
          <w:rFonts w:cs="Arial"/>
        </w:rPr>
        <w:t>e)</w:t>
      </w:r>
      <w:r w:rsidRPr="002B1AA7">
        <w:rPr>
          <w:rFonts w:cs="Arial"/>
        </w:rPr>
        <w:tab/>
        <w:t>los documentos del WG-SHF se pondrán a disposición de los miembros de la Unión y los observadores del Consejo.</w:t>
      </w:r>
    </w:p>
    <w:p w14:paraId="13E6EFE8" w14:textId="77777777" w:rsidR="007C7D1D" w:rsidRPr="002B1AA7" w:rsidRDefault="007C7D1D" w:rsidP="007C7D1D">
      <w:pPr>
        <w:rPr>
          <w:rFonts w:cs="Arial"/>
        </w:rPr>
      </w:pPr>
    </w:p>
    <w:p w14:paraId="4FFBA7C1" w14:textId="77777777" w:rsidR="007C7D1D" w:rsidRPr="002B1AA7" w:rsidRDefault="007C7D1D" w:rsidP="007C7D1D">
      <w:pPr>
        <w:rPr>
          <w:rFonts w:cs="Arial"/>
        </w:rPr>
      </w:pPr>
    </w:p>
    <w:p w14:paraId="045F754D" w14:textId="77777777" w:rsidR="007C7D1D" w:rsidRPr="002B1AA7" w:rsidRDefault="007C7D1D" w:rsidP="007C7D1D">
      <w:pPr>
        <w:shd w:val="clear" w:color="auto" w:fill="FFFFFF"/>
        <w:spacing w:after="150"/>
        <w:rPr>
          <w:rFonts w:cs="Arial"/>
          <w:color w:val="333333"/>
        </w:rPr>
      </w:pPr>
    </w:p>
    <w:p w14:paraId="5D23CACF" w14:textId="77777777" w:rsidR="007C7D1D" w:rsidRPr="002B1AA7" w:rsidRDefault="007C7D1D" w:rsidP="007C7D1D">
      <w:pPr>
        <w:tabs>
          <w:tab w:val="left" w:pos="6361"/>
          <w:tab w:val="right" w:pos="9639"/>
        </w:tabs>
        <w:jc w:val="right"/>
        <w:rPr>
          <w:rFonts w:cs="Arial"/>
        </w:rPr>
      </w:pPr>
      <w:r w:rsidRPr="002B1AA7">
        <w:t>[Final del Anexo y del documento]</w:t>
      </w:r>
    </w:p>
    <w:p w14:paraId="54E177F8" w14:textId="77777777" w:rsidR="00903264" w:rsidRPr="002B1AA7" w:rsidRDefault="00903264">
      <w:pPr>
        <w:jc w:val="left"/>
      </w:pPr>
    </w:p>
    <w:p w14:paraId="68C45ABB" w14:textId="77777777" w:rsidR="00050E16" w:rsidRPr="002B1AA7" w:rsidRDefault="00050E16" w:rsidP="009B440E">
      <w:pPr>
        <w:jc w:val="left"/>
      </w:pPr>
    </w:p>
    <w:sectPr w:rsidR="00050E16" w:rsidRPr="002B1AA7"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44427" w14:textId="77777777" w:rsidR="00932BD9" w:rsidRDefault="00932BD9" w:rsidP="006655D3">
      <w:r>
        <w:separator/>
      </w:r>
    </w:p>
    <w:p w14:paraId="3307869A" w14:textId="77777777" w:rsidR="00932BD9" w:rsidRDefault="00932BD9" w:rsidP="006655D3"/>
    <w:p w14:paraId="42C39424" w14:textId="77777777" w:rsidR="00932BD9" w:rsidRDefault="00932BD9" w:rsidP="006655D3"/>
  </w:endnote>
  <w:endnote w:type="continuationSeparator" w:id="0">
    <w:p w14:paraId="635611D7" w14:textId="77777777" w:rsidR="00932BD9" w:rsidRDefault="00932BD9" w:rsidP="006655D3">
      <w:r>
        <w:separator/>
      </w:r>
    </w:p>
    <w:p w14:paraId="77F759D7" w14:textId="77777777" w:rsidR="000125F8" w:rsidRDefault="00593DBC">
      <w:pPr>
        <w:pStyle w:val="Footer"/>
        <w:spacing w:after="60"/>
        <w:rPr>
          <w:sz w:val="18"/>
          <w:lang w:val="fr-FR"/>
        </w:rPr>
      </w:pPr>
      <w:r w:rsidRPr="00294751">
        <w:rPr>
          <w:sz w:val="18"/>
          <w:lang w:val="fr-FR"/>
        </w:rPr>
        <w:t>[Suite de la note de la page précédente]</w:t>
      </w:r>
    </w:p>
    <w:p w14:paraId="673E8D28" w14:textId="77777777" w:rsidR="00932BD9" w:rsidRPr="00294751" w:rsidRDefault="00932BD9" w:rsidP="006655D3">
      <w:pPr>
        <w:rPr>
          <w:lang w:val="fr-FR"/>
        </w:rPr>
      </w:pPr>
    </w:p>
    <w:p w14:paraId="65BA21B4" w14:textId="77777777" w:rsidR="00932BD9" w:rsidRPr="00294751" w:rsidRDefault="00932BD9" w:rsidP="006655D3">
      <w:pPr>
        <w:rPr>
          <w:lang w:val="fr-FR"/>
        </w:rPr>
      </w:pPr>
    </w:p>
  </w:endnote>
  <w:endnote w:type="continuationNotice" w:id="1">
    <w:p w14:paraId="4C967FA1" w14:textId="77777777" w:rsidR="000125F8" w:rsidRDefault="00593DBC">
      <w:pPr>
        <w:rPr>
          <w:lang w:val="fr-FR"/>
        </w:rPr>
      </w:pPr>
      <w:r w:rsidRPr="00294751">
        <w:rPr>
          <w:lang w:val="fr-FR"/>
        </w:rPr>
        <w:t>[Suite de la note page suivante]</w:t>
      </w:r>
    </w:p>
    <w:p w14:paraId="44AB16A9" w14:textId="77777777" w:rsidR="00932BD9" w:rsidRPr="00294751" w:rsidRDefault="00932BD9" w:rsidP="006655D3">
      <w:pPr>
        <w:rPr>
          <w:lang w:val="fr-FR"/>
        </w:rPr>
      </w:pPr>
    </w:p>
    <w:p w14:paraId="72911CB2"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1E5BD" w14:textId="77777777" w:rsidR="00932BD9" w:rsidRDefault="00932BD9" w:rsidP="006655D3">
      <w:r>
        <w:separator/>
      </w:r>
    </w:p>
  </w:footnote>
  <w:footnote w:type="continuationSeparator" w:id="0">
    <w:p w14:paraId="247DB386" w14:textId="77777777" w:rsidR="00932BD9" w:rsidRDefault="00932BD9" w:rsidP="006655D3">
      <w:r>
        <w:separator/>
      </w:r>
    </w:p>
  </w:footnote>
  <w:footnote w:type="continuationNotice" w:id="1">
    <w:p w14:paraId="55391B0E"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28C32" w14:textId="2E7372F0" w:rsidR="000125F8" w:rsidRDefault="00593DBC">
    <w:pPr>
      <w:pStyle w:val="Header"/>
      <w:rPr>
        <w:lang w:val="fr-CH"/>
      </w:rPr>
    </w:pPr>
    <w:r>
      <w:rPr>
        <w:lang w:val="fr-CH"/>
      </w:rPr>
      <w:t>CAJ/81/6</w:t>
    </w:r>
  </w:p>
  <w:p w14:paraId="6F692C6F" w14:textId="77777777" w:rsidR="000125F8" w:rsidRDefault="00593DBC">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0DA8919" w14:textId="77777777" w:rsidR="007068FE" w:rsidRPr="00C5280D" w:rsidRDefault="007068FE"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64303" w14:textId="77777777" w:rsidR="000125F8" w:rsidRDefault="0074077F">
    <w:pPr>
      <w:pStyle w:val="Header"/>
      <w:rPr>
        <w:rStyle w:val="PageNumber"/>
        <w:lang w:val="en-US"/>
      </w:rPr>
    </w:pPr>
    <w:r>
      <w:rPr>
        <w:rStyle w:val="PageNumber"/>
        <w:lang w:val="en-US"/>
      </w:rPr>
      <w:t>CAJ/81/6</w:t>
    </w:r>
  </w:p>
  <w:p w14:paraId="52959C23" w14:textId="77777777" w:rsidR="000125F8" w:rsidRDefault="00593DBC">
    <w:pPr>
      <w:pStyle w:val="Header"/>
      <w:rPr>
        <w:lang w:val="en-US"/>
      </w:rPr>
    </w:pPr>
    <w:r>
      <w:rPr>
        <w:lang w:val="en-US"/>
      </w:rPr>
      <w:t xml:space="preserve">Anexo, </w:t>
    </w:r>
    <w:r w:rsidR="0004198B" w:rsidRPr="00C5280D">
      <w:rPr>
        <w:lang w:val="en-US"/>
      </w:rPr>
      <w:t xml:space="preserve">página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5093C095"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4CA29" w14:textId="06E8DD03" w:rsidR="000125F8" w:rsidRDefault="00593DBC">
    <w:pPr>
      <w:pStyle w:val="Header"/>
      <w:rPr>
        <w:lang w:val="fr-CH"/>
      </w:rPr>
    </w:pPr>
    <w:r>
      <w:rPr>
        <w:lang w:val="fr-CH"/>
      </w:rPr>
      <w:t>CAJ/81/6</w:t>
    </w:r>
  </w:p>
  <w:p w14:paraId="54DC67A0" w14:textId="77777777" w:rsidR="007068FE" w:rsidRDefault="007068FE" w:rsidP="0004198B">
    <w:pPr>
      <w:pStyle w:val="Header"/>
      <w:rPr>
        <w:lang w:val="fr-CH"/>
      </w:rPr>
    </w:pPr>
  </w:p>
  <w:p w14:paraId="26805213" w14:textId="77777777" w:rsidR="000125F8" w:rsidRDefault="00593DBC">
    <w:pPr>
      <w:pStyle w:val="Header"/>
      <w:rPr>
        <w:lang w:val="fr-CH"/>
      </w:rPr>
    </w:pPr>
    <w:r>
      <w:rPr>
        <w:lang w:val="fr-CH"/>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656DE9"/>
    <w:multiLevelType w:val="hybridMultilevel"/>
    <w:tmpl w:val="6EC278E8"/>
    <w:lvl w:ilvl="0" w:tplc="DB24808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16cid:durableId="846095062">
    <w:abstractNumId w:val="1"/>
  </w:num>
  <w:num w:numId="2" w16cid:durableId="179274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25F8"/>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34E3"/>
    <w:rsid w:val="00114547"/>
    <w:rsid w:val="00141DB8"/>
    <w:rsid w:val="00172084"/>
    <w:rsid w:val="0017474A"/>
    <w:rsid w:val="001758C6"/>
    <w:rsid w:val="00182B99"/>
    <w:rsid w:val="001C0252"/>
    <w:rsid w:val="001C1525"/>
    <w:rsid w:val="001D565A"/>
    <w:rsid w:val="001D7688"/>
    <w:rsid w:val="001F49C6"/>
    <w:rsid w:val="0021332C"/>
    <w:rsid w:val="00213982"/>
    <w:rsid w:val="0024416D"/>
    <w:rsid w:val="00271911"/>
    <w:rsid w:val="00273187"/>
    <w:rsid w:val="002800A0"/>
    <w:rsid w:val="002801B3"/>
    <w:rsid w:val="00281060"/>
    <w:rsid w:val="002813D9"/>
    <w:rsid w:val="00284050"/>
    <w:rsid w:val="00285BD0"/>
    <w:rsid w:val="002940E8"/>
    <w:rsid w:val="00294751"/>
    <w:rsid w:val="002A6E50"/>
    <w:rsid w:val="002B1AA7"/>
    <w:rsid w:val="002B4298"/>
    <w:rsid w:val="002B7A36"/>
    <w:rsid w:val="002C256A"/>
    <w:rsid w:val="002D5226"/>
    <w:rsid w:val="00305A7F"/>
    <w:rsid w:val="00313304"/>
    <w:rsid w:val="003152FE"/>
    <w:rsid w:val="00327436"/>
    <w:rsid w:val="00344BD6"/>
    <w:rsid w:val="0035528D"/>
    <w:rsid w:val="00361821"/>
    <w:rsid w:val="00361E9E"/>
    <w:rsid w:val="003753EE"/>
    <w:rsid w:val="00381792"/>
    <w:rsid w:val="003A0835"/>
    <w:rsid w:val="003A5AAF"/>
    <w:rsid w:val="003B700A"/>
    <w:rsid w:val="003C7FBE"/>
    <w:rsid w:val="003D227C"/>
    <w:rsid w:val="003D2B4D"/>
    <w:rsid w:val="003F37F5"/>
    <w:rsid w:val="003F69DE"/>
    <w:rsid w:val="00444A88"/>
    <w:rsid w:val="00474DA4"/>
    <w:rsid w:val="00476B4D"/>
    <w:rsid w:val="004805FA"/>
    <w:rsid w:val="004935D2"/>
    <w:rsid w:val="0049692C"/>
    <w:rsid w:val="004B1215"/>
    <w:rsid w:val="004D047D"/>
    <w:rsid w:val="004E2144"/>
    <w:rsid w:val="004F1E9E"/>
    <w:rsid w:val="004F305A"/>
    <w:rsid w:val="00512164"/>
    <w:rsid w:val="00520297"/>
    <w:rsid w:val="00531481"/>
    <w:rsid w:val="00532395"/>
    <w:rsid w:val="005338F9"/>
    <w:rsid w:val="0054281C"/>
    <w:rsid w:val="00544581"/>
    <w:rsid w:val="0055268D"/>
    <w:rsid w:val="00575DE2"/>
    <w:rsid w:val="00576BE4"/>
    <w:rsid w:val="005779DB"/>
    <w:rsid w:val="00593DBC"/>
    <w:rsid w:val="005A2A67"/>
    <w:rsid w:val="005A400A"/>
    <w:rsid w:val="005B0C9D"/>
    <w:rsid w:val="005B269D"/>
    <w:rsid w:val="005B2F1F"/>
    <w:rsid w:val="005F7B92"/>
    <w:rsid w:val="00602AF2"/>
    <w:rsid w:val="006040E0"/>
    <w:rsid w:val="00612379"/>
    <w:rsid w:val="006153B6"/>
    <w:rsid w:val="0061555F"/>
    <w:rsid w:val="006245ED"/>
    <w:rsid w:val="00636CA6"/>
    <w:rsid w:val="00641200"/>
    <w:rsid w:val="00645CA8"/>
    <w:rsid w:val="00657051"/>
    <w:rsid w:val="006655D3"/>
    <w:rsid w:val="00667404"/>
    <w:rsid w:val="00687EB4"/>
    <w:rsid w:val="00695C56"/>
    <w:rsid w:val="006A5CDE"/>
    <w:rsid w:val="006A644A"/>
    <w:rsid w:val="006B17D2"/>
    <w:rsid w:val="006C224E"/>
    <w:rsid w:val="006D780A"/>
    <w:rsid w:val="006F10CA"/>
    <w:rsid w:val="007068FE"/>
    <w:rsid w:val="0071271E"/>
    <w:rsid w:val="00732DEC"/>
    <w:rsid w:val="00735BD5"/>
    <w:rsid w:val="0074077F"/>
    <w:rsid w:val="007451EC"/>
    <w:rsid w:val="00751613"/>
    <w:rsid w:val="00753EE9"/>
    <w:rsid w:val="007556F6"/>
    <w:rsid w:val="00760EEF"/>
    <w:rsid w:val="00777EE5"/>
    <w:rsid w:val="00784836"/>
    <w:rsid w:val="0079023E"/>
    <w:rsid w:val="007A2854"/>
    <w:rsid w:val="007C1D92"/>
    <w:rsid w:val="007C4CB9"/>
    <w:rsid w:val="007C7D1D"/>
    <w:rsid w:val="007D0B9D"/>
    <w:rsid w:val="007D19B0"/>
    <w:rsid w:val="007F498F"/>
    <w:rsid w:val="0080679D"/>
    <w:rsid w:val="008108B0"/>
    <w:rsid w:val="00811B20"/>
    <w:rsid w:val="00812609"/>
    <w:rsid w:val="008211B5"/>
    <w:rsid w:val="0082296E"/>
    <w:rsid w:val="00824099"/>
    <w:rsid w:val="00842988"/>
    <w:rsid w:val="00846D7C"/>
    <w:rsid w:val="00867AC1"/>
    <w:rsid w:val="008751DE"/>
    <w:rsid w:val="00890DF8"/>
    <w:rsid w:val="008A0ADE"/>
    <w:rsid w:val="008A743F"/>
    <w:rsid w:val="008C0970"/>
    <w:rsid w:val="008D0BC5"/>
    <w:rsid w:val="008D0F14"/>
    <w:rsid w:val="008D2CF7"/>
    <w:rsid w:val="008F1F48"/>
    <w:rsid w:val="00900C26"/>
    <w:rsid w:val="0090197F"/>
    <w:rsid w:val="00902588"/>
    <w:rsid w:val="00903264"/>
    <w:rsid w:val="00905742"/>
    <w:rsid w:val="00906DDC"/>
    <w:rsid w:val="00927CBD"/>
    <w:rsid w:val="00932BD9"/>
    <w:rsid w:val="00934E09"/>
    <w:rsid w:val="00936253"/>
    <w:rsid w:val="00940D46"/>
    <w:rsid w:val="009413F1"/>
    <w:rsid w:val="00952DD4"/>
    <w:rsid w:val="009561F4"/>
    <w:rsid w:val="00965AE7"/>
    <w:rsid w:val="00970FED"/>
    <w:rsid w:val="00992C2E"/>
    <w:rsid w:val="00992D82"/>
    <w:rsid w:val="00997029"/>
    <w:rsid w:val="009A7339"/>
    <w:rsid w:val="009B440E"/>
    <w:rsid w:val="009D690D"/>
    <w:rsid w:val="009E65B6"/>
    <w:rsid w:val="009F0A51"/>
    <w:rsid w:val="009F41D9"/>
    <w:rsid w:val="009F77CF"/>
    <w:rsid w:val="00A144CB"/>
    <w:rsid w:val="00A24C10"/>
    <w:rsid w:val="00A42AC3"/>
    <w:rsid w:val="00A430CF"/>
    <w:rsid w:val="00A54309"/>
    <w:rsid w:val="00A60E84"/>
    <w:rsid w:val="00A610A9"/>
    <w:rsid w:val="00A80F2A"/>
    <w:rsid w:val="00A96C33"/>
    <w:rsid w:val="00AB2B93"/>
    <w:rsid w:val="00AB530F"/>
    <w:rsid w:val="00AB7E5B"/>
    <w:rsid w:val="00AC2883"/>
    <w:rsid w:val="00AE0EF1"/>
    <w:rsid w:val="00AE2937"/>
    <w:rsid w:val="00B07301"/>
    <w:rsid w:val="00B11F3E"/>
    <w:rsid w:val="00B224DE"/>
    <w:rsid w:val="00B268F9"/>
    <w:rsid w:val="00B27EF8"/>
    <w:rsid w:val="00B324D4"/>
    <w:rsid w:val="00B406C1"/>
    <w:rsid w:val="00B41A87"/>
    <w:rsid w:val="00B46575"/>
    <w:rsid w:val="00B61777"/>
    <w:rsid w:val="00B622E6"/>
    <w:rsid w:val="00B83E82"/>
    <w:rsid w:val="00B84BBD"/>
    <w:rsid w:val="00BA43FB"/>
    <w:rsid w:val="00BC127D"/>
    <w:rsid w:val="00BC1FE6"/>
    <w:rsid w:val="00C061B6"/>
    <w:rsid w:val="00C24378"/>
    <w:rsid w:val="00C2446C"/>
    <w:rsid w:val="00C36AE5"/>
    <w:rsid w:val="00C41F17"/>
    <w:rsid w:val="00C527FA"/>
    <w:rsid w:val="00C5280D"/>
    <w:rsid w:val="00C53EB3"/>
    <w:rsid w:val="00C5791C"/>
    <w:rsid w:val="00C66290"/>
    <w:rsid w:val="00C72B7A"/>
    <w:rsid w:val="00C973F2"/>
    <w:rsid w:val="00CA304C"/>
    <w:rsid w:val="00CA774A"/>
    <w:rsid w:val="00CB4921"/>
    <w:rsid w:val="00CB6E94"/>
    <w:rsid w:val="00CC11B0"/>
    <w:rsid w:val="00CC2841"/>
    <w:rsid w:val="00CF1330"/>
    <w:rsid w:val="00CF7E36"/>
    <w:rsid w:val="00D10075"/>
    <w:rsid w:val="00D3708D"/>
    <w:rsid w:val="00D40426"/>
    <w:rsid w:val="00D556D8"/>
    <w:rsid w:val="00D57C96"/>
    <w:rsid w:val="00D57D18"/>
    <w:rsid w:val="00D70E65"/>
    <w:rsid w:val="00D91203"/>
    <w:rsid w:val="00D95174"/>
    <w:rsid w:val="00DA4973"/>
    <w:rsid w:val="00DA5447"/>
    <w:rsid w:val="00DA6F36"/>
    <w:rsid w:val="00DB596E"/>
    <w:rsid w:val="00DB7773"/>
    <w:rsid w:val="00DC00EA"/>
    <w:rsid w:val="00DC3802"/>
    <w:rsid w:val="00DD6208"/>
    <w:rsid w:val="00DF7E99"/>
    <w:rsid w:val="00E07D87"/>
    <w:rsid w:val="00E1200E"/>
    <w:rsid w:val="00E23286"/>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D72B8"/>
    <w:rsid w:val="00EE34DF"/>
    <w:rsid w:val="00EE7708"/>
    <w:rsid w:val="00EF2DBD"/>
    <w:rsid w:val="00EF2F89"/>
    <w:rsid w:val="00F03E98"/>
    <w:rsid w:val="00F1237A"/>
    <w:rsid w:val="00F22CBD"/>
    <w:rsid w:val="00F272F1"/>
    <w:rsid w:val="00F31412"/>
    <w:rsid w:val="00F45372"/>
    <w:rsid w:val="00F560F7"/>
    <w:rsid w:val="00F6334D"/>
    <w:rsid w:val="00F63599"/>
    <w:rsid w:val="00F71781"/>
    <w:rsid w:val="00F930E3"/>
    <w:rsid w:val="00FA49AB"/>
    <w:rsid w:val="00FA509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39E72"/>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1AA7"/>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7068FE"/>
    <w:rPr>
      <w:rFonts w:ascii="Arial" w:hAnsi="Arial"/>
      <w:u w:val="single"/>
    </w:rPr>
  </w:style>
  <w:style w:type="paragraph" w:styleId="ListParagraph">
    <w:name w:val="List Paragraph"/>
    <w:aliases w:val="auto_list_(i),List Paragraph1"/>
    <w:basedOn w:val="Normal"/>
    <w:link w:val="ListParagraphChar"/>
    <w:uiPriority w:val="34"/>
    <w:qFormat/>
    <w:rsid w:val="007068FE"/>
    <w:pPr>
      <w:ind w:left="720"/>
      <w:contextualSpacing/>
      <w:jc w:val="left"/>
    </w:pPr>
    <w:rPr>
      <w:rFonts w:ascii="Calibri" w:eastAsiaTheme="minorHAnsi" w:hAnsi="Calibri" w:cs="Calibri"/>
      <w:sz w:val="22"/>
      <w:szCs w:val="22"/>
    </w:rPr>
  </w:style>
  <w:style w:type="character" w:customStyle="1" w:styleId="ListParagraphChar">
    <w:name w:val="List Paragraph Char"/>
    <w:aliases w:val="auto_list_(i) Char,List Paragraph1 Char"/>
    <w:basedOn w:val="DefaultParagraphFont"/>
    <w:link w:val="ListParagraph"/>
    <w:uiPriority w:val="34"/>
    <w:rsid w:val="007068FE"/>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6040E0"/>
    <w:rPr>
      <w:color w:val="605E5C"/>
      <w:shd w:val="clear" w:color="auto" w:fill="E1DFDD"/>
    </w:rPr>
  </w:style>
  <w:style w:type="paragraph" w:styleId="Revision">
    <w:name w:val="Revision"/>
    <w:hidden/>
    <w:uiPriority w:val="99"/>
    <w:semiHidden/>
    <w:rsid w:val="00B27EF8"/>
    <w:rPr>
      <w:rFonts w:ascii="Arial" w:hAnsi="Arial"/>
    </w:rPr>
  </w:style>
  <w:style w:type="character" w:styleId="CommentReference">
    <w:name w:val="annotation reference"/>
    <w:basedOn w:val="DefaultParagraphFont"/>
    <w:semiHidden/>
    <w:unhideWhenUsed/>
    <w:rsid w:val="00A144CB"/>
    <w:rPr>
      <w:sz w:val="16"/>
      <w:szCs w:val="16"/>
    </w:rPr>
  </w:style>
  <w:style w:type="paragraph" w:styleId="CommentText">
    <w:name w:val="annotation text"/>
    <w:basedOn w:val="Normal"/>
    <w:link w:val="CommentTextChar"/>
    <w:unhideWhenUsed/>
    <w:rsid w:val="00A144CB"/>
  </w:style>
  <w:style w:type="character" w:customStyle="1" w:styleId="CommentTextChar">
    <w:name w:val="Comment Text Char"/>
    <w:basedOn w:val="DefaultParagraphFont"/>
    <w:link w:val="CommentText"/>
    <w:rsid w:val="00A144CB"/>
    <w:rPr>
      <w:rFonts w:ascii="Arial" w:hAnsi="Arial"/>
    </w:rPr>
  </w:style>
  <w:style w:type="paragraph" w:styleId="CommentSubject">
    <w:name w:val="annotation subject"/>
    <w:basedOn w:val="CommentText"/>
    <w:next w:val="CommentText"/>
    <w:link w:val="CommentSubjectChar"/>
    <w:semiHidden/>
    <w:unhideWhenUsed/>
    <w:rsid w:val="00A144CB"/>
    <w:rPr>
      <w:b/>
      <w:bCs/>
    </w:rPr>
  </w:style>
  <w:style w:type="character" w:customStyle="1" w:styleId="CommentSubjectChar">
    <w:name w:val="Comment Subject Char"/>
    <w:basedOn w:val="CommentTextChar"/>
    <w:link w:val="CommentSubject"/>
    <w:semiHidden/>
    <w:rsid w:val="00A144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435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mdocs/upov/es/c_55/c_55_18.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s/details.jsp?meeting_id=83694.%2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meetings/en/details.jsp?meeting_id=80844" TargetMode="External"/><Relationship Id="rId4" Type="http://schemas.openxmlformats.org/officeDocument/2006/relationships/settings" Target="settings.xml"/><Relationship Id="rId9" Type="http://schemas.openxmlformats.org/officeDocument/2006/relationships/hyperlink" Target="https://www.upov.int/meetings/en/details.jsp?meeting_id=77810" TargetMode="External"/><Relationship Id="rId14" Type="http://schemas.openxmlformats.org/officeDocument/2006/relationships/hyperlink" Target="https://www.upov.int/edocs/mdocs/upov/es/c_55/c_55_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31</TotalTime>
  <Pages>5</Pages>
  <Words>1754</Words>
  <Characters>10199</Characters>
  <Application>Microsoft Office Word</Application>
  <DocSecurity>0</DocSecurity>
  <Lines>231</Lines>
  <Paragraphs>84</Paragraphs>
  <ScaleCrop>false</ScaleCrop>
  <HeadingPairs>
    <vt:vector size="2" baseType="variant">
      <vt:variant>
        <vt:lpstr>Title</vt:lpstr>
      </vt:variant>
      <vt:variant>
        <vt:i4>1</vt:i4>
      </vt:variant>
    </vt:vector>
  </HeadingPairs>
  <TitlesOfParts>
    <vt:vector size="1" baseType="lpstr">
      <vt:lpstr>CAJ/81/6</vt:lpstr>
    </vt:vector>
  </TitlesOfParts>
  <Company>UPOV</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CAJ/81/6</dc:title>
  <dc:creator>SANCHEZ VIZCAINO GOMEZ Rosa Maria</dc:creator>
  <cp:keywords>, docId:293E96E31D9E31C0C80F1B0CE25E5B12</cp:keywords>
  <cp:lastModifiedBy>SANCHEZ VIZCAINO GOMEZ Rosa Maria</cp:lastModifiedBy>
  <cp:revision>11</cp:revision>
  <cp:lastPrinted>2016-11-22T15:41:00Z</cp:lastPrinted>
  <dcterms:created xsi:type="dcterms:W3CDTF">2024-08-13T08:24:00Z</dcterms:created>
  <dcterms:modified xsi:type="dcterms:W3CDTF">2024-08-19T15:43:00Z</dcterms:modified>
</cp:coreProperties>
</file>