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25997" w:rsidRPr="00925997" w14:paraId="63CACF3D" w14:textId="77777777" w:rsidTr="00EB4E9C">
        <w:tc>
          <w:tcPr>
            <w:tcW w:w="6522" w:type="dxa"/>
          </w:tcPr>
          <w:p w14:paraId="354B6E6D" w14:textId="77777777" w:rsidR="00DC3802" w:rsidRPr="00925997" w:rsidRDefault="00DC3802" w:rsidP="00AC2883">
            <w:r w:rsidRPr="00925997">
              <w:rPr>
                <w:noProof/>
                <w:lang w:val="en-US"/>
              </w:rPr>
              <w:drawing>
                <wp:inline distT="0" distB="0" distL="0" distR="0" wp14:anchorId="5DBFB979" wp14:editId="1F3B487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9D82331" w14:textId="77777777" w:rsidR="00DC3802" w:rsidRPr="00925997" w:rsidRDefault="00DC3802" w:rsidP="00AC2883">
            <w:pPr>
              <w:pStyle w:val="Lettrine"/>
            </w:pPr>
            <w:r w:rsidRPr="00925997">
              <w:t>S</w:t>
            </w:r>
          </w:p>
        </w:tc>
      </w:tr>
      <w:tr w:rsidR="00DC3802" w:rsidRPr="00925997" w14:paraId="6001B237" w14:textId="77777777" w:rsidTr="00645CA8">
        <w:trPr>
          <w:trHeight w:val="219"/>
        </w:trPr>
        <w:tc>
          <w:tcPr>
            <w:tcW w:w="6522" w:type="dxa"/>
          </w:tcPr>
          <w:p w14:paraId="767D3917" w14:textId="77777777" w:rsidR="00DC3802" w:rsidRPr="00925997" w:rsidRDefault="00DC3802" w:rsidP="00AC2883">
            <w:pPr>
              <w:pStyle w:val="upove"/>
            </w:pPr>
            <w:r w:rsidRPr="00925997">
              <w:t>Unión Internacional para la Protección de las Obtenciones Vegetales</w:t>
            </w:r>
          </w:p>
        </w:tc>
        <w:tc>
          <w:tcPr>
            <w:tcW w:w="3117" w:type="dxa"/>
          </w:tcPr>
          <w:p w14:paraId="3D0410B5" w14:textId="77777777" w:rsidR="00DC3802" w:rsidRPr="00925997" w:rsidRDefault="00DC3802" w:rsidP="00DA4973"/>
        </w:tc>
      </w:tr>
    </w:tbl>
    <w:p w14:paraId="3C1EC63E" w14:textId="77777777" w:rsidR="00DC3802" w:rsidRPr="00925997" w:rsidRDefault="00DC3802" w:rsidP="00DC3802"/>
    <w:p w14:paraId="03A7FF56" w14:textId="77777777" w:rsidR="008D0F14" w:rsidRPr="00925997" w:rsidRDefault="008D0F14" w:rsidP="008D0F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25997" w:rsidRPr="00925997" w14:paraId="0C9D3976" w14:textId="77777777" w:rsidTr="002A2525">
        <w:tc>
          <w:tcPr>
            <w:tcW w:w="6512" w:type="dxa"/>
          </w:tcPr>
          <w:p w14:paraId="5EFB2C4E" w14:textId="77777777" w:rsidR="008D0F14" w:rsidRPr="00925997" w:rsidRDefault="008D0F14" w:rsidP="002A2525">
            <w:pPr>
              <w:pStyle w:val="Sessiontc"/>
              <w:spacing w:line="240" w:lineRule="auto"/>
            </w:pPr>
            <w:r w:rsidRPr="00925997">
              <w:t>Comité Administrativo y Jurídico</w:t>
            </w:r>
          </w:p>
          <w:p w14:paraId="64DF90AA" w14:textId="77777777" w:rsidR="008D0F14" w:rsidRPr="00925997" w:rsidRDefault="008D0F14" w:rsidP="002A2525">
            <w:pPr>
              <w:pStyle w:val="Sessiontcplacedate"/>
            </w:pPr>
            <w:r w:rsidRPr="00925997">
              <w:t>Septuagésima novena sesión</w:t>
            </w:r>
          </w:p>
          <w:p w14:paraId="6FBDABE9" w14:textId="77777777" w:rsidR="008D0F14" w:rsidRPr="00925997" w:rsidRDefault="008D0F14" w:rsidP="002A2525">
            <w:pPr>
              <w:pStyle w:val="Sessiontcplacedate"/>
              <w:rPr>
                <w:sz w:val="22"/>
              </w:rPr>
            </w:pPr>
            <w:r w:rsidRPr="00925997">
              <w:t>Ginebra, 26 de octubre de 2022</w:t>
            </w:r>
          </w:p>
        </w:tc>
        <w:tc>
          <w:tcPr>
            <w:tcW w:w="3127" w:type="dxa"/>
          </w:tcPr>
          <w:p w14:paraId="5A7907E6" w14:textId="47BCB7E4" w:rsidR="008D0F14" w:rsidRPr="00925997" w:rsidRDefault="003B3C48" w:rsidP="002A2525">
            <w:pPr>
              <w:pStyle w:val="Doccode"/>
            </w:pPr>
            <w:r w:rsidRPr="00925997">
              <w:t>CAJ/79/7</w:t>
            </w:r>
            <w:r w:rsidR="00780507">
              <w:t>.</w:t>
            </w:r>
          </w:p>
          <w:p w14:paraId="7030DEF0" w14:textId="77777777" w:rsidR="008D0F14" w:rsidRPr="00925997" w:rsidRDefault="008D0F14" w:rsidP="002A2525">
            <w:pPr>
              <w:pStyle w:val="Docoriginal"/>
            </w:pPr>
            <w:r w:rsidRPr="00925997">
              <w:t>Original:</w:t>
            </w:r>
            <w:r w:rsidRPr="00925997">
              <w:rPr>
                <w:b w:val="0"/>
              </w:rPr>
              <w:t xml:space="preserve"> inglés</w:t>
            </w:r>
          </w:p>
          <w:p w14:paraId="1DE59BF8" w14:textId="77777777" w:rsidR="008D0F14" w:rsidRPr="00925997" w:rsidRDefault="008D0F14" w:rsidP="003B3C48">
            <w:pPr>
              <w:pStyle w:val="Docoriginal"/>
            </w:pPr>
            <w:r w:rsidRPr="00925997">
              <w:t>Fecha:</w:t>
            </w:r>
            <w:r w:rsidRPr="00925997">
              <w:rPr>
                <w:b w:val="0"/>
              </w:rPr>
              <w:t xml:space="preserve"> </w:t>
            </w:r>
            <w:bookmarkStart w:id="0" w:name="_GoBack"/>
            <w:r w:rsidRPr="00C908D4">
              <w:rPr>
                <w:b w:val="0"/>
                <w:spacing w:val="0"/>
              </w:rPr>
              <w:t>21 de julio de 2022</w:t>
            </w:r>
            <w:bookmarkEnd w:id="0"/>
          </w:p>
        </w:tc>
      </w:tr>
    </w:tbl>
    <w:p w14:paraId="06B21878" w14:textId="369082D2" w:rsidR="008D0F14" w:rsidRPr="00925997" w:rsidRDefault="00194E20" w:rsidP="008D0F14">
      <w:pPr>
        <w:pStyle w:val="Titleofdoc0"/>
      </w:pPr>
      <w:r w:rsidRPr="00194E20">
        <w:t>Medidas para mejorar la cooperación en materia de examen</w:t>
      </w:r>
    </w:p>
    <w:p w14:paraId="79617AB3" w14:textId="77777777" w:rsidR="008D0F14" w:rsidRPr="00925997" w:rsidRDefault="006E2336" w:rsidP="008D0F14">
      <w:pPr>
        <w:pStyle w:val="preparedby1"/>
        <w:jc w:val="left"/>
      </w:pPr>
      <w:r w:rsidRPr="00925997">
        <w:t>Documento preparado por la Oficina de la Unión</w:t>
      </w:r>
    </w:p>
    <w:p w14:paraId="2BAD0D54" w14:textId="77777777" w:rsidR="008D0F14" w:rsidRPr="00925997" w:rsidRDefault="008D0F14" w:rsidP="008D0F14">
      <w:pPr>
        <w:pStyle w:val="Disclaimer"/>
        <w:rPr>
          <w:color w:val="auto"/>
        </w:rPr>
      </w:pPr>
      <w:r w:rsidRPr="00925997">
        <w:rPr>
          <w:color w:val="auto"/>
        </w:rPr>
        <w:t>Descargo de responsabilidad: el presente documento no constituye un documento de política u orientación de la UPOV</w:t>
      </w:r>
    </w:p>
    <w:p w14:paraId="28E5235D" w14:textId="77777777" w:rsidR="003B3C48" w:rsidRPr="00925997" w:rsidRDefault="003B3C48" w:rsidP="00DA22F0">
      <w:pPr>
        <w:pStyle w:val="Heading1"/>
        <w:rPr>
          <w:color w:val="auto"/>
        </w:rPr>
      </w:pPr>
      <w:bookmarkStart w:id="1" w:name="_Toc109944158"/>
      <w:bookmarkStart w:id="2" w:name="_Toc109944166"/>
      <w:r w:rsidRPr="00925997">
        <w:rPr>
          <w:color w:val="auto"/>
        </w:rPr>
        <w:t>RESUMEN</w:t>
      </w:r>
      <w:bookmarkEnd w:id="1"/>
      <w:bookmarkEnd w:id="2"/>
    </w:p>
    <w:p w14:paraId="798A6413" w14:textId="77777777" w:rsidR="003B3C48" w:rsidRPr="00925997" w:rsidRDefault="003B3C48" w:rsidP="003B3C48"/>
    <w:p w14:paraId="4D2E1D12" w14:textId="0E80D983" w:rsidR="003B3C48" w:rsidRPr="00925997" w:rsidRDefault="003B3C48" w:rsidP="003B3C48">
      <w:pPr>
        <w:rPr>
          <w:spacing w:val="-4"/>
        </w:rPr>
      </w:pPr>
      <w:r w:rsidRPr="00925997">
        <w:fldChar w:fldCharType="begin"/>
      </w:r>
      <w:r w:rsidRPr="00925997">
        <w:instrText xml:space="preserve"> AUTONUM  </w:instrText>
      </w:r>
      <w:r w:rsidRPr="00925997">
        <w:fldChar w:fldCharType="end"/>
      </w:r>
      <w:r w:rsidRPr="00925997">
        <w:tab/>
        <w:t>El presente documento tiene por objeto invitar al</w:t>
      </w:r>
      <w:r w:rsidR="00C51B95" w:rsidRPr="00925997">
        <w:t> </w:t>
      </w:r>
      <w:r w:rsidRPr="00925997">
        <w:t>Comité Administrativo y Jurídico (CAJ) a examinar las propuestas relativas a las medidas para superar los obstáculos de política o jurídicos que el</w:t>
      </w:r>
      <w:r w:rsidR="00C51B95" w:rsidRPr="00925997">
        <w:t> </w:t>
      </w:r>
      <w:r w:rsidRPr="00925997">
        <w:t xml:space="preserve">Comité Técnico (TC) ha señalado como impedimentos para la cooperación internacional en el examen DHE. </w:t>
      </w:r>
    </w:p>
    <w:p w14:paraId="7D1E123A" w14:textId="77777777" w:rsidR="003B3C48" w:rsidRPr="00925997" w:rsidRDefault="003B3C48" w:rsidP="003B3C48">
      <w:pPr>
        <w:rPr>
          <w:spacing w:val="-4"/>
        </w:rPr>
      </w:pPr>
    </w:p>
    <w:p w14:paraId="05AE4158" w14:textId="2F1EA514" w:rsidR="003B3C48" w:rsidRPr="00925997" w:rsidRDefault="003B3C48" w:rsidP="003B3C48">
      <w:pPr>
        <w:rPr>
          <w:snapToGrid w:val="0"/>
        </w:rPr>
      </w:pPr>
      <w:r w:rsidRPr="00925997">
        <w:rPr>
          <w:snapToGrid w:val="0"/>
        </w:rPr>
        <w:fldChar w:fldCharType="begin"/>
      </w:r>
      <w:r w:rsidRPr="00925997">
        <w:rPr>
          <w:snapToGrid w:val="0"/>
        </w:rPr>
        <w:instrText xml:space="preserve"> AUTONUM  </w:instrText>
      </w:r>
      <w:r w:rsidRPr="00925997">
        <w:rPr>
          <w:snapToGrid w:val="0"/>
        </w:rPr>
        <w:fldChar w:fldCharType="end"/>
      </w:r>
      <w:r w:rsidRPr="00925997">
        <w:rPr>
          <w:snapToGrid w:val="0"/>
        </w:rPr>
        <w:tab/>
        <w:t>Se invita al</w:t>
      </w:r>
      <w:r w:rsidR="00C51B95" w:rsidRPr="00925997">
        <w:rPr>
          <w:snapToGrid w:val="0"/>
        </w:rPr>
        <w:t> </w:t>
      </w:r>
      <w:r w:rsidRPr="00925997">
        <w:rPr>
          <w:snapToGrid w:val="0"/>
        </w:rPr>
        <w:t>CAJ a:</w:t>
      </w:r>
    </w:p>
    <w:p w14:paraId="090D93A1" w14:textId="77777777" w:rsidR="00786E03" w:rsidRPr="00925997" w:rsidRDefault="00786E03" w:rsidP="003B3C48">
      <w:pPr>
        <w:rPr>
          <w:snapToGrid w:val="0"/>
        </w:rPr>
      </w:pPr>
    </w:p>
    <w:p w14:paraId="68E545FA" w14:textId="6A5BB55C" w:rsidR="003B3C48" w:rsidRPr="00925997" w:rsidRDefault="003B3C48" w:rsidP="002048F9">
      <w:pPr>
        <w:pStyle w:val="ListParagraph"/>
        <w:numPr>
          <w:ilvl w:val="0"/>
          <w:numId w:val="18"/>
        </w:numPr>
        <w:ind w:left="0" w:firstLine="567"/>
        <w:rPr>
          <w:snapToGrid w:val="0"/>
        </w:rPr>
      </w:pPr>
      <w:r w:rsidRPr="00925997">
        <w:rPr>
          <w:snapToGrid w:val="0"/>
        </w:rPr>
        <w:t>examinar las preguntas propuestas para la encuesta a los miembros de la</w:t>
      </w:r>
      <w:r w:rsidR="00C51B95" w:rsidRPr="00925997">
        <w:rPr>
          <w:snapToGrid w:val="0"/>
        </w:rPr>
        <w:t> </w:t>
      </w:r>
      <w:r w:rsidRPr="00925997">
        <w:rPr>
          <w:snapToGrid w:val="0"/>
        </w:rPr>
        <w:t>Unión para obtener información sobre sus obstáculos de política o jurídicos que podrían impedir la cooperación internacional en materia de examen DHE;</w:t>
      </w:r>
    </w:p>
    <w:p w14:paraId="3EBA7464" w14:textId="77777777" w:rsidR="003B3C48" w:rsidRPr="00925997" w:rsidRDefault="003B3C48" w:rsidP="003B3C48">
      <w:pPr>
        <w:ind w:firstLine="567"/>
        <w:rPr>
          <w:snapToGrid w:val="0"/>
        </w:rPr>
      </w:pPr>
    </w:p>
    <w:p w14:paraId="121001BD" w14:textId="4438B21A" w:rsidR="003B3C48" w:rsidRPr="00925997" w:rsidRDefault="003B3C48" w:rsidP="003B3C48">
      <w:pPr>
        <w:ind w:firstLine="567"/>
        <w:rPr>
          <w:snapToGrid w:val="0"/>
        </w:rPr>
      </w:pPr>
      <w:r w:rsidRPr="00925997">
        <w:rPr>
          <w:snapToGrid w:val="0"/>
        </w:rPr>
        <w:t>b)</w:t>
      </w:r>
      <w:r w:rsidRPr="00925997">
        <w:rPr>
          <w:snapToGrid w:val="0"/>
        </w:rPr>
        <w:tab/>
        <w:t>tomar nota de la solicitud realizada a las organizaciones de obtentores para que aclaren las cuestiones relativas al deseo de los obtentores de utilizar o no los informes de examen</w:t>
      </w:r>
      <w:r w:rsidR="00C51B95" w:rsidRPr="00925997">
        <w:rPr>
          <w:snapToGrid w:val="0"/>
        </w:rPr>
        <w:t> </w:t>
      </w:r>
      <w:r w:rsidRPr="00925997">
        <w:rPr>
          <w:snapToGrid w:val="0"/>
        </w:rPr>
        <w:t>DHE existentes, que figura en el párrafo</w:t>
      </w:r>
      <w:r w:rsidR="00C51B95" w:rsidRPr="00925997">
        <w:rPr>
          <w:snapToGrid w:val="0"/>
        </w:rPr>
        <w:t> </w:t>
      </w:r>
      <w:r w:rsidRPr="00925997">
        <w:rPr>
          <w:snapToGrid w:val="0"/>
        </w:rPr>
        <w:t>20; y</w:t>
      </w:r>
    </w:p>
    <w:p w14:paraId="0B1F683C" w14:textId="77777777" w:rsidR="003B3C48" w:rsidRPr="00925997" w:rsidRDefault="003B3C48" w:rsidP="003B3C48">
      <w:pPr>
        <w:ind w:firstLine="567"/>
        <w:rPr>
          <w:snapToGrid w:val="0"/>
        </w:rPr>
      </w:pPr>
    </w:p>
    <w:p w14:paraId="4EEE7E98" w14:textId="499827E1" w:rsidR="003B3C48" w:rsidRPr="00925997" w:rsidRDefault="003B3C48" w:rsidP="003B3C48">
      <w:pPr>
        <w:ind w:firstLine="567"/>
        <w:rPr>
          <w:snapToGrid w:val="0"/>
        </w:rPr>
      </w:pPr>
      <w:r w:rsidRPr="00925997">
        <w:rPr>
          <w:snapToGrid w:val="0"/>
        </w:rPr>
        <w:t>c)</w:t>
      </w:r>
      <w:r w:rsidRPr="00925997">
        <w:rPr>
          <w:snapToGrid w:val="0"/>
        </w:rPr>
        <w:tab/>
        <w:t>posponer la elaboración de notas explicativas sobre el artículo</w:t>
      </w:r>
      <w:r w:rsidR="00C51B95" w:rsidRPr="00925997">
        <w:rPr>
          <w:snapToGrid w:val="0"/>
        </w:rPr>
        <w:t> </w:t>
      </w:r>
      <w:r w:rsidRPr="00925997">
        <w:rPr>
          <w:snapToGrid w:val="0"/>
        </w:rPr>
        <w:t>12 del</w:t>
      </w:r>
      <w:r w:rsidR="00C51B95" w:rsidRPr="00925997">
        <w:rPr>
          <w:snapToGrid w:val="0"/>
        </w:rPr>
        <w:t> </w:t>
      </w:r>
      <w:r w:rsidRPr="00925997">
        <w:rPr>
          <w:snapToGrid w:val="0"/>
        </w:rPr>
        <w:t>Convenio de la</w:t>
      </w:r>
      <w:r w:rsidR="00C51B95" w:rsidRPr="00925997">
        <w:rPr>
          <w:snapToGrid w:val="0"/>
        </w:rPr>
        <w:t> </w:t>
      </w:r>
      <w:r w:rsidRPr="00925997">
        <w:rPr>
          <w:snapToGrid w:val="0"/>
        </w:rPr>
        <w:t>UPOV (“Examen de la solicitud”) hasta que estén disponibles los datos de la encuesta de los miembros de la</w:t>
      </w:r>
      <w:r w:rsidR="00C51B95" w:rsidRPr="00925997">
        <w:rPr>
          <w:snapToGrid w:val="0"/>
        </w:rPr>
        <w:t> </w:t>
      </w:r>
      <w:r w:rsidRPr="00925997">
        <w:rPr>
          <w:snapToGrid w:val="0"/>
        </w:rPr>
        <w:t>Unión y de las organizaciones de obtentores.</w:t>
      </w:r>
    </w:p>
    <w:p w14:paraId="2E7B5AEC" w14:textId="77777777" w:rsidR="003B3C48" w:rsidRPr="00925997" w:rsidRDefault="003B3C48" w:rsidP="003B3C48"/>
    <w:p w14:paraId="4D5BD112" w14:textId="77777777" w:rsidR="003B3C48" w:rsidRPr="00925997" w:rsidRDefault="003B3C48" w:rsidP="003B3C48">
      <w:r w:rsidRPr="00925997">
        <w:fldChar w:fldCharType="begin"/>
      </w:r>
      <w:r w:rsidRPr="00925997">
        <w:instrText xml:space="preserve"> AUTONUM  </w:instrText>
      </w:r>
      <w:r w:rsidRPr="00925997">
        <w:fldChar w:fldCharType="end"/>
      </w:r>
      <w:r w:rsidRPr="00925997">
        <w:tab/>
        <w:t>El presente documento se estructura del modo siguiente:</w:t>
      </w:r>
    </w:p>
    <w:p w14:paraId="5670885D" w14:textId="77777777" w:rsidR="003B3C48" w:rsidRPr="00925997" w:rsidRDefault="003B3C48" w:rsidP="003B3C48"/>
    <w:p w14:paraId="362C360C" w14:textId="629913A8" w:rsidR="00C51B95" w:rsidRPr="00925997" w:rsidRDefault="003B3C48">
      <w:pPr>
        <w:pStyle w:val="TOC1"/>
        <w:rPr>
          <w:rFonts w:asciiTheme="minorHAnsi" w:eastAsiaTheme="minorEastAsia" w:hAnsiTheme="minorHAnsi" w:cstheme="minorBidi"/>
          <w:caps w:val="0"/>
          <w:noProof/>
          <w:sz w:val="22"/>
          <w:szCs w:val="22"/>
          <w:lang w:eastAsia="es-ES"/>
        </w:rPr>
      </w:pPr>
      <w:r w:rsidRPr="00925997">
        <w:rPr>
          <w:rFonts w:eastAsia="MS Mincho" w:cs="Arial"/>
          <w:sz w:val="18"/>
        </w:rPr>
        <w:fldChar w:fldCharType="begin"/>
      </w:r>
      <w:r w:rsidRPr="00925997">
        <w:rPr>
          <w:rFonts w:eastAsia="MS Mincho" w:cs="Arial"/>
        </w:rPr>
        <w:instrText xml:space="preserve"> TOC \o "1-2" \u </w:instrText>
      </w:r>
      <w:r w:rsidRPr="00925997">
        <w:rPr>
          <w:rFonts w:eastAsia="MS Mincho" w:cs="Arial"/>
          <w:sz w:val="18"/>
        </w:rPr>
        <w:fldChar w:fldCharType="separate"/>
      </w:r>
      <w:r w:rsidR="00C51B95" w:rsidRPr="00925997">
        <w:rPr>
          <w:noProof/>
        </w:rPr>
        <w:t>RESUMEN</w:t>
      </w:r>
      <w:r w:rsidR="00C51B95" w:rsidRPr="00925997">
        <w:rPr>
          <w:noProof/>
        </w:rPr>
        <w:tab/>
      </w:r>
      <w:r w:rsidR="00C51B95" w:rsidRPr="00925997">
        <w:rPr>
          <w:noProof/>
        </w:rPr>
        <w:fldChar w:fldCharType="begin"/>
      </w:r>
      <w:r w:rsidR="00C51B95" w:rsidRPr="00925997">
        <w:rPr>
          <w:noProof/>
        </w:rPr>
        <w:instrText xml:space="preserve"> PAGEREF _Toc109944158 \h </w:instrText>
      </w:r>
      <w:r w:rsidR="00C51B95" w:rsidRPr="00925997">
        <w:rPr>
          <w:noProof/>
        </w:rPr>
      </w:r>
      <w:r w:rsidR="00C51B95" w:rsidRPr="00925997">
        <w:rPr>
          <w:noProof/>
        </w:rPr>
        <w:fldChar w:fldCharType="separate"/>
      </w:r>
      <w:r w:rsidR="00F64280" w:rsidRPr="00925997">
        <w:rPr>
          <w:noProof/>
        </w:rPr>
        <w:t>1</w:t>
      </w:r>
      <w:r w:rsidR="00C51B95" w:rsidRPr="00925997">
        <w:rPr>
          <w:noProof/>
        </w:rPr>
        <w:fldChar w:fldCharType="end"/>
      </w:r>
    </w:p>
    <w:p w14:paraId="5922312A" w14:textId="3A5AF02E" w:rsidR="00C51B95" w:rsidRPr="00925997" w:rsidRDefault="00C51B95">
      <w:pPr>
        <w:pStyle w:val="TOC1"/>
        <w:rPr>
          <w:rFonts w:asciiTheme="minorHAnsi" w:eastAsiaTheme="minorEastAsia" w:hAnsiTheme="minorHAnsi" w:cstheme="minorBidi"/>
          <w:caps w:val="0"/>
          <w:noProof/>
          <w:sz w:val="22"/>
          <w:szCs w:val="22"/>
          <w:lang w:eastAsia="es-ES"/>
        </w:rPr>
      </w:pPr>
      <w:r w:rsidRPr="00925997">
        <w:rPr>
          <w:noProof/>
          <w:snapToGrid w:val="0"/>
        </w:rPr>
        <w:t>ANTECEDENTES</w:t>
      </w:r>
      <w:r w:rsidRPr="00925997">
        <w:rPr>
          <w:noProof/>
        </w:rPr>
        <w:tab/>
      </w:r>
      <w:r w:rsidRPr="00925997">
        <w:rPr>
          <w:noProof/>
        </w:rPr>
        <w:fldChar w:fldCharType="begin"/>
      </w:r>
      <w:r w:rsidRPr="00925997">
        <w:rPr>
          <w:noProof/>
        </w:rPr>
        <w:instrText xml:space="preserve"> PAGEREF _Toc109944159 \h </w:instrText>
      </w:r>
      <w:r w:rsidRPr="00925997">
        <w:rPr>
          <w:noProof/>
        </w:rPr>
      </w:r>
      <w:r w:rsidRPr="00925997">
        <w:rPr>
          <w:noProof/>
        </w:rPr>
        <w:fldChar w:fldCharType="separate"/>
      </w:r>
      <w:r w:rsidR="00F64280" w:rsidRPr="00925997">
        <w:rPr>
          <w:noProof/>
        </w:rPr>
        <w:t>2</w:t>
      </w:r>
      <w:r w:rsidRPr="00925997">
        <w:rPr>
          <w:noProof/>
        </w:rPr>
        <w:fldChar w:fldCharType="end"/>
      </w:r>
    </w:p>
    <w:p w14:paraId="2D71D518" w14:textId="276FC528" w:rsidR="00C51B95" w:rsidRPr="00925997" w:rsidRDefault="00C51B95">
      <w:pPr>
        <w:pStyle w:val="TOC1"/>
        <w:rPr>
          <w:rFonts w:asciiTheme="minorHAnsi" w:eastAsiaTheme="minorEastAsia" w:hAnsiTheme="minorHAnsi" w:cstheme="minorBidi"/>
          <w:caps w:val="0"/>
          <w:noProof/>
          <w:sz w:val="22"/>
          <w:szCs w:val="22"/>
          <w:lang w:eastAsia="es-ES"/>
        </w:rPr>
      </w:pPr>
      <w:r w:rsidRPr="00925997">
        <w:rPr>
          <w:noProof/>
        </w:rPr>
        <w:t>medidas para superar los obstáculos de política o jurídicos que impiden la cooperación internacional en materia de examen DHE</w:t>
      </w:r>
      <w:r w:rsidRPr="00925997">
        <w:rPr>
          <w:noProof/>
        </w:rPr>
        <w:tab/>
      </w:r>
      <w:r w:rsidRPr="00925997">
        <w:rPr>
          <w:noProof/>
        </w:rPr>
        <w:fldChar w:fldCharType="begin"/>
      </w:r>
      <w:r w:rsidRPr="00925997">
        <w:rPr>
          <w:noProof/>
        </w:rPr>
        <w:instrText xml:space="preserve"> PAGEREF _Toc109944162 \h </w:instrText>
      </w:r>
      <w:r w:rsidRPr="00925997">
        <w:rPr>
          <w:noProof/>
        </w:rPr>
      </w:r>
      <w:r w:rsidRPr="00925997">
        <w:rPr>
          <w:noProof/>
        </w:rPr>
        <w:fldChar w:fldCharType="separate"/>
      </w:r>
      <w:r w:rsidR="00F64280" w:rsidRPr="00925997">
        <w:rPr>
          <w:noProof/>
        </w:rPr>
        <w:t>3</w:t>
      </w:r>
      <w:r w:rsidRPr="00925997">
        <w:rPr>
          <w:noProof/>
        </w:rPr>
        <w:fldChar w:fldCharType="end"/>
      </w:r>
    </w:p>
    <w:p w14:paraId="07BE071E" w14:textId="77777777" w:rsidR="003B3C48" w:rsidRPr="00925997" w:rsidRDefault="003B3C48" w:rsidP="003B3C48">
      <w:pPr>
        <w:tabs>
          <w:tab w:val="left" w:pos="1134"/>
          <w:tab w:val="left" w:pos="1701"/>
        </w:tabs>
        <w:ind w:left="1134" w:hanging="1134"/>
        <w:rPr>
          <w:iCs/>
        </w:rPr>
      </w:pPr>
      <w:r w:rsidRPr="00925997">
        <w:rPr>
          <w:rFonts w:eastAsia="MS Mincho" w:cs="Arial"/>
          <w:bCs/>
          <w:i/>
        </w:rPr>
        <w:fldChar w:fldCharType="end"/>
      </w:r>
      <w:r w:rsidRPr="00925997">
        <w:rPr>
          <w:bCs/>
          <w:iCs/>
        </w:rPr>
        <w:t>MEDIDAS ACORDADAS POR EL TC PARA SUPERAR LOS OBSTÁCULOS QUE IMPIDEN LA COOPERACIÓN INTERNACIONAL EN MATERIA DE EXAMEN DHE</w:t>
      </w:r>
    </w:p>
    <w:p w14:paraId="2023CC2D" w14:textId="77777777" w:rsidR="003B3C48" w:rsidRPr="00925997" w:rsidRDefault="003B3C48" w:rsidP="003B3C48"/>
    <w:p w14:paraId="185C9402" w14:textId="77777777" w:rsidR="003B3C48" w:rsidRPr="00925997" w:rsidRDefault="003B3C48" w:rsidP="003B3C48">
      <w:pPr>
        <w:keepNext/>
      </w:pPr>
      <w:r w:rsidRPr="00925997">
        <w:fldChar w:fldCharType="begin"/>
      </w:r>
      <w:r w:rsidRPr="00925997">
        <w:instrText xml:space="preserve"> AUTONUM  </w:instrText>
      </w:r>
      <w:r w:rsidRPr="00925997">
        <w:fldChar w:fldCharType="end"/>
      </w:r>
      <w:r w:rsidRPr="00925997">
        <w:tab/>
        <w:t>En el presente documento se utilizan las abreviaturas siguientes:</w:t>
      </w:r>
    </w:p>
    <w:p w14:paraId="32A6CEA8" w14:textId="77777777" w:rsidR="003B3C48" w:rsidRPr="00925997" w:rsidRDefault="003B3C48" w:rsidP="00786E03">
      <w:pPr>
        <w:keepNext/>
        <w:jc w:val="left"/>
      </w:pPr>
    </w:p>
    <w:p w14:paraId="4452CE86" w14:textId="77777777" w:rsidR="003B3C48" w:rsidRPr="00925997" w:rsidRDefault="003B3C48" w:rsidP="003B3C48">
      <w:pPr>
        <w:keepNext/>
        <w:tabs>
          <w:tab w:val="left" w:pos="567"/>
          <w:tab w:val="left" w:pos="1701"/>
        </w:tabs>
      </w:pPr>
      <w:r w:rsidRPr="00925997">
        <w:tab/>
        <w:t xml:space="preserve">CAJ: Comité Administrativo y Jurídico </w:t>
      </w:r>
    </w:p>
    <w:p w14:paraId="37C9B173" w14:textId="77777777" w:rsidR="003B3C48" w:rsidRPr="00925997" w:rsidRDefault="003B3C48" w:rsidP="003B3C48">
      <w:pPr>
        <w:keepNext/>
        <w:tabs>
          <w:tab w:val="left" w:pos="567"/>
          <w:tab w:val="left" w:pos="1701"/>
        </w:tabs>
      </w:pPr>
      <w:r w:rsidRPr="00925997">
        <w:tab/>
        <w:t>TC: Comité Técnico</w:t>
      </w:r>
    </w:p>
    <w:p w14:paraId="4FA964F0" w14:textId="77777777" w:rsidR="003B3C48" w:rsidRPr="00925997" w:rsidRDefault="003B3C48" w:rsidP="003B3C48">
      <w:pPr>
        <w:keepNext/>
        <w:tabs>
          <w:tab w:val="left" w:pos="567"/>
          <w:tab w:val="left" w:pos="1701"/>
        </w:tabs>
        <w:rPr>
          <w:rFonts w:eastAsia="PMingLiU"/>
          <w:szCs w:val="24"/>
        </w:rPr>
      </w:pPr>
      <w:r w:rsidRPr="00925997">
        <w:tab/>
      </w:r>
      <w:r w:rsidRPr="00925997">
        <w:rPr>
          <w:szCs w:val="24"/>
        </w:rPr>
        <w:t>TC-EDC: Comité de Redacción Ampliado</w:t>
      </w:r>
    </w:p>
    <w:p w14:paraId="30923510" w14:textId="77777777" w:rsidR="003B3C48" w:rsidRPr="00925997" w:rsidRDefault="003B3C48" w:rsidP="003B3C48">
      <w:pPr>
        <w:keepNext/>
        <w:tabs>
          <w:tab w:val="left" w:pos="567"/>
          <w:tab w:val="left" w:pos="1701"/>
        </w:tabs>
        <w:rPr>
          <w:rFonts w:eastAsia="PMingLiU"/>
          <w:szCs w:val="24"/>
        </w:rPr>
      </w:pPr>
      <w:r w:rsidRPr="00925997">
        <w:tab/>
      </w:r>
      <w:r w:rsidRPr="00925997">
        <w:rPr>
          <w:szCs w:val="24"/>
        </w:rPr>
        <w:t>TWA: Grupo de Trabajo Técnico sobre Plantas Agrícolas</w:t>
      </w:r>
    </w:p>
    <w:p w14:paraId="740A7389" w14:textId="77777777" w:rsidR="003B3C48" w:rsidRPr="00925997" w:rsidRDefault="003B3C48" w:rsidP="003B3C48">
      <w:pPr>
        <w:keepNext/>
        <w:tabs>
          <w:tab w:val="left" w:pos="567"/>
          <w:tab w:val="left" w:pos="1701"/>
        </w:tabs>
        <w:rPr>
          <w:rFonts w:eastAsia="PMingLiU"/>
          <w:szCs w:val="24"/>
        </w:rPr>
      </w:pPr>
      <w:r w:rsidRPr="00925997">
        <w:tab/>
      </w:r>
      <w:r w:rsidRPr="00925997">
        <w:rPr>
          <w:szCs w:val="24"/>
        </w:rPr>
        <w:t>TWC: Grupo de Trabajo Técnico sobre Automatización y Programas Informáticos</w:t>
      </w:r>
    </w:p>
    <w:p w14:paraId="4FFF4EF9" w14:textId="77777777" w:rsidR="003B3C48" w:rsidRPr="00925997" w:rsidRDefault="003B3C48" w:rsidP="003B3C48">
      <w:pPr>
        <w:keepNext/>
        <w:tabs>
          <w:tab w:val="left" w:pos="567"/>
          <w:tab w:val="left" w:pos="1701"/>
        </w:tabs>
        <w:rPr>
          <w:rFonts w:eastAsia="PMingLiU"/>
          <w:szCs w:val="24"/>
        </w:rPr>
      </w:pPr>
      <w:r w:rsidRPr="00925997">
        <w:tab/>
      </w:r>
      <w:r w:rsidRPr="00925997">
        <w:rPr>
          <w:szCs w:val="24"/>
        </w:rPr>
        <w:t>TWM: Grupo de Trabajo Técnico sobre Métodos y Técnicas de Examen</w:t>
      </w:r>
    </w:p>
    <w:p w14:paraId="10857835" w14:textId="77777777" w:rsidR="003B3C48" w:rsidRPr="00925997" w:rsidRDefault="003B3C48" w:rsidP="003B3C48">
      <w:pPr>
        <w:keepNext/>
        <w:tabs>
          <w:tab w:val="left" w:pos="567"/>
          <w:tab w:val="left" w:pos="1701"/>
        </w:tabs>
        <w:rPr>
          <w:rFonts w:eastAsia="PMingLiU"/>
          <w:szCs w:val="24"/>
        </w:rPr>
      </w:pPr>
      <w:r w:rsidRPr="00925997">
        <w:tab/>
      </w:r>
      <w:r w:rsidRPr="00925997">
        <w:rPr>
          <w:szCs w:val="24"/>
        </w:rPr>
        <w:t>TWF: Grupo de Trabajo Técnico sobre Plantas Frutales</w:t>
      </w:r>
    </w:p>
    <w:p w14:paraId="6B61433F" w14:textId="77777777" w:rsidR="003B3C48" w:rsidRPr="00925997" w:rsidRDefault="003B3C48" w:rsidP="003B3C48">
      <w:pPr>
        <w:keepNext/>
        <w:tabs>
          <w:tab w:val="left" w:pos="567"/>
          <w:tab w:val="left" w:pos="1701"/>
        </w:tabs>
        <w:rPr>
          <w:rFonts w:eastAsia="PMingLiU"/>
          <w:szCs w:val="24"/>
        </w:rPr>
      </w:pPr>
      <w:r w:rsidRPr="00925997">
        <w:tab/>
      </w:r>
      <w:r w:rsidRPr="00925997">
        <w:rPr>
          <w:szCs w:val="24"/>
        </w:rPr>
        <w:t>TWO: Grupo de Trabajo Técnico sobre Plantas Ornamentales y Árboles Forestales</w:t>
      </w:r>
    </w:p>
    <w:p w14:paraId="0D5DB85C" w14:textId="77777777" w:rsidR="003B3C48" w:rsidRPr="00925997" w:rsidRDefault="003B3C48" w:rsidP="003B3C48">
      <w:pPr>
        <w:keepNext/>
        <w:tabs>
          <w:tab w:val="left" w:pos="567"/>
          <w:tab w:val="left" w:pos="1701"/>
        </w:tabs>
        <w:rPr>
          <w:rFonts w:eastAsia="PMingLiU"/>
          <w:szCs w:val="24"/>
        </w:rPr>
      </w:pPr>
      <w:r w:rsidRPr="00925997">
        <w:tab/>
      </w:r>
      <w:r w:rsidRPr="00925997">
        <w:rPr>
          <w:szCs w:val="24"/>
        </w:rPr>
        <w:t>TWP: Grupos de Trabajo Técnico</w:t>
      </w:r>
    </w:p>
    <w:p w14:paraId="5F764742" w14:textId="77777777" w:rsidR="003B3C48" w:rsidRPr="00925997" w:rsidRDefault="003B3C48" w:rsidP="003B3C48">
      <w:pPr>
        <w:keepNext/>
        <w:tabs>
          <w:tab w:val="left" w:pos="567"/>
          <w:tab w:val="left" w:pos="1701"/>
        </w:tabs>
        <w:rPr>
          <w:rFonts w:eastAsia="PMingLiU"/>
          <w:szCs w:val="24"/>
        </w:rPr>
      </w:pPr>
      <w:r w:rsidRPr="00925997">
        <w:tab/>
      </w:r>
      <w:r w:rsidRPr="00925997">
        <w:rPr>
          <w:szCs w:val="24"/>
        </w:rPr>
        <w:t>TWV: Grupo de Trabajo Técnico sobre Hortalizas</w:t>
      </w:r>
    </w:p>
    <w:p w14:paraId="54FA7AD9" w14:textId="271B0DC7" w:rsidR="003B3C48" w:rsidRPr="00925997" w:rsidRDefault="003B3C48" w:rsidP="003B3C48"/>
    <w:p w14:paraId="2847C7E7" w14:textId="77777777" w:rsidR="003B3C48" w:rsidRPr="00925997" w:rsidRDefault="003B3C48" w:rsidP="003B3C48"/>
    <w:p w14:paraId="64CCA010" w14:textId="77777777" w:rsidR="003B3C48" w:rsidRPr="00925997" w:rsidRDefault="003B3C48" w:rsidP="003B3C48">
      <w:pPr>
        <w:keepNext/>
        <w:outlineLvl w:val="0"/>
        <w:rPr>
          <w:snapToGrid w:val="0"/>
        </w:rPr>
      </w:pPr>
      <w:bookmarkStart w:id="3" w:name="_Toc109944159"/>
      <w:bookmarkStart w:id="4" w:name="_Toc109944167"/>
      <w:r w:rsidRPr="00925997">
        <w:rPr>
          <w:snapToGrid w:val="0"/>
        </w:rPr>
        <w:lastRenderedPageBreak/>
        <w:t>ANTECEDENTES</w:t>
      </w:r>
      <w:bookmarkEnd w:id="3"/>
      <w:bookmarkEnd w:id="4"/>
    </w:p>
    <w:p w14:paraId="19257A07" w14:textId="77777777" w:rsidR="003B3C48" w:rsidRPr="00925997" w:rsidRDefault="003B3C48" w:rsidP="003B3C48">
      <w:pPr>
        <w:keepNext/>
        <w:rPr>
          <w:u w:val="single"/>
        </w:rPr>
      </w:pPr>
    </w:p>
    <w:p w14:paraId="4DC72DD1" w14:textId="7E1239E0" w:rsidR="003B3C48" w:rsidRPr="00925997" w:rsidRDefault="003B3C48" w:rsidP="00C34193">
      <w:pPr>
        <w:pStyle w:val="Heading2"/>
      </w:pPr>
      <w:bookmarkStart w:id="5" w:name="_Toc109944160"/>
      <w:bookmarkStart w:id="6" w:name="_Toc109944168"/>
      <w:r w:rsidRPr="00925997">
        <w:t>Obstáculos de política o jurídicos que el</w:t>
      </w:r>
      <w:r w:rsidR="00C51B95" w:rsidRPr="00925997">
        <w:t> </w:t>
      </w:r>
      <w:r w:rsidRPr="00925997">
        <w:t>TC ha señalado como impedimentos para la cooperación internacional en el examen</w:t>
      </w:r>
      <w:r w:rsidR="00C51B95" w:rsidRPr="00925997">
        <w:t> </w:t>
      </w:r>
      <w:r w:rsidRPr="00925997">
        <w:t>DHE</w:t>
      </w:r>
      <w:bookmarkEnd w:id="5"/>
      <w:bookmarkEnd w:id="6"/>
    </w:p>
    <w:p w14:paraId="6D358B82" w14:textId="77777777" w:rsidR="003B3C48" w:rsidRPr="00925997" w:rsidRDefault="003B3C48" w:rsidP="003B3C48">
      <w:pPr>
        <w:keepNext/>
        <w:rPr>
          <w:u w:val="single"/>
        </w:rPr>
      </w:pPr>
    </w:p>
    <w:p w14:paraId="3A35D93C" w14:textId="77428C73" w:rsidR="003B3C48" w:rsidRPr="00925997" w:rsidRDefault="003B3C48" w:rsidP="003B3C48">
      <w:r w:rsidRPr="00925997">
        <w:fldChar w:fldCharType="begin"/>
      </w:r>
      <w:r w:rsidRPr="00925997">
        <w:instrText xml:space="preserve"> AUTONUM  </w:instrText>
      </w:r>
      <w:r w:rsidRPr="00925997">
        <w:fldChar w:fldCharType="end"/>
      </w:r>
      <w:r w:rsidRPr="00925997">
        <w:tab/>
        <w:t>En su septuagésima séptima sesión, el CAJ tomó nota de la información expuesta en el documento CAJ/77/2 y en el informe verbal presentado por el Sr. </w:t>
      </w:r>
      <w:proofErr w:type="spellStart"/>
      <w:r w:rsidRPr="00925997">
        <w:t>Nik</w:t>
      </w:r>
      <w:proofErr w:type="spellEnd"/>
      <w:r w:rsidRPr="00925997">
        <w:t xml:space="preserve"> </w:t>
      </w:r>
      <w:proofErr w:type="spellStart"/>
      <w:r w:rsidRPr="00925997">
        <w:t>Hulse</w:t>
      </w:r>
      <w:proofErr w:type="spellEnd"/>
      <w:r w:rsidRPr="00925997">
        <w:t>, presidente del TC (véase el documento CAJ/77/10 “Informe”, párrafos</w:t>
      </w:r>
      <w:r w:rsidR="00326409" w:rsidRPr="00925997">
        <w:t> </w:t>
      </w:r>
      <w:r w:rsidRPr="00925997">
        <w:t>11 a</w:t>
      </w:r>
      <w:r w:rsidR="00326409" w:rsidRPr="00925997">
        <w:t> </w:t>
      </w:r>
      <w:r w:rsidRPr="00925997">
        <w:t>15).</w:t>
      </w:r>
      <w:r w:rsidRPr="00925997">
        <w:rPr>
          <w:rStyle w:val="FootnoteReference"/>
        </w:rPr>
        <w:footnoteReference w:id="2"/>
      </w:r>
    </w:p>
    <w:p w14:paraId="3EDBB8ED" w14:textId="77777777" w:rsidR="003B3C48" w:rsidRPr="00925997" w:rsidRDefault="003B3C48" w:rsidP="003B3C48">
      <w:pPr>
        <w:rPr>
          <w:spacing w:val="-4"/>
        </w:rPr>
      </w:pPr>
    </w:p>
    <w:p w14:paraId="0E5225AE" w14:textId="29A01489" w:rsidR="003B3C48" w:rsidRPr="00925997" w:rsidRDefault="003B3C48" w:rsidP="003B3C48">
      <w:pPr>
        <w:rPr>
          <w:spacing w:val="-4"/>
        </w:rPr>
      </w:pPr>
      <w:r w:rsidRPr="00925997">
        <w:fldChar w:fldCharType="begin"/>
      </w:r>
      <w:r w:rsidRPr="00925997">
        <w:instrText xml:space="preserve"> AUTONUM  </w:instrText>
      </w:r>
      <w:r w:rsidRPr="00925997">
        <w:fldChar w:fldCharType="end"/>
      </w:r>
      <w:r w:rsidRPr="00925997">
        <w:tab/>
        <w:t>El CAJ tomó nota de las medidas acordadas por el</w:t>
      </w:r>
      <w:r w:rsidR="00326409" w:rsidRPr="00925997">
        <w:t> </w:t>
      </w:r>
      <w:r w:rsidRPr="00925997">
        <w:t>TC para superar los obstáculos que impiden la cooperación internacional en materia de examen</w:t>
      </w:r>
      <w:r w:rsidR="00C51B95" w:rsidRPr="00925997">
        <w:t> </w:t>
      </w:r>
      <w:r w:rsidRPr="00925997">
        <w:t>DHE (véase el anexo al presente documento).</w:t>
      </w:r>
    </w:p>
    <w:p w14:paraId="007C45ED" w14:textId="77777777" w:rsidR="003B3C48" w:rsidRPr="00925997" w:rsidRDefault="003B3C48" w:rsidP="003B3C48">
      <w:pPr>
        <w:rPr>
          <w:spacing w:val="-4"/>
        </w:rPr>
      </w:pPr>
    </w:p>
    <w:p w14:paraId="3A93540A" w14:textId="0F42B901" w:rsidR="003B3C48" w:rsidRPr="00925997" w:rsidRDefault="003B3C48" w:rsidP="003B3C48">
      <w:pPr>
        <w:rPr>
          <w:spacing w:val="-4"/>
        </w:rPr>
      </w:pPr>
      <w:r w:rsidRPr="00925997">
        <w:fldChar w:fldCharType="begin"/>
      </w:r>
      <w:r w:rsidRPr="00925997">
        <w:instrText xml:space="preserve"> AUTONUM  </w:instrText>
      </w:r>
      <w:r w:rsidRPr="00925997">
        <w:fldChar w:fldCharType="end"/>
      </w:r>
      <w:r w:rsidRPr="00925997">
        <w:tab/>
        <w:t>En respuesta a la solicitud del TC, el CAJ pidió a la Oficina de la</w:t>
      </w:r>
      <w:r w:rsidR="00C51B95" w:rsidRPr="00925997">
        <w:t> </w:t>
      </w:r>
      <w:r w:rsidRPr="00925997">
        <w:t>Unión que elaborara un documento, que se examinará en su septuagésima octava sesión, sobre los siguientes obstáculos de política o jurídicos que el TC ha señalado como impedimentos para la cooperación internacional en el examen</w:t>
      </w:r>
      <w:r w:rsidR="00C51B95" w:rsidRPr="00925997">
        <w:t> </w:t>
      </w:r>
      <w:r w:rsidRPr="00925997">
        <w:t xml:space="preserve">DHE y las posibles medidas para superar estos obstáculos: </w:t>
      </w:r>
    </w:p>
    <w:p w14:paraId="410BCD4A" w14:textId="77777777" w:rsidR="003B3C48" w:rsidRPr="00925997" w:rsidRDefault="003B3C48" w:rsidP="003B3C48">
      <w:pPr>
        <w:rPr>
          <w:spacing w:val="-4"/>
        </w:rPr>
      </w:pPr>
    </w:p>
    <w:p w14:paraId="7CCF6406" w14:textId="77777777" w:rsidR="003B3C48" w:rsidRPr="00925997" w:rsidRDefault="003B3C48" w:rsidP="003B3C48">
      <w:pPr>
        <w:tabs>
          <w:tab w:val="left" w:pos="1134"/>
        </w:tabs>
        <w:spacing w:after="120"/>
        <w:ind w:left="562"/>
        <w:rPr>
          <w:spacing w:val="-4"/>
        </w:rPr>
      </w:pPr>
      <w:r w:rsidRPr="00925997">
        <w:t xml:space="preserve">i) </w:t>
      </w:r>
      <w:r w:rsidRPr="00925997">
        <w:tab/>
        <w:t>Obligación de suscribir un acuerdo formal de cooperación;</w:t>
      </w:r>
    </w:p>
    <w:p w14:paraId="3B3D39B5" w14:textId="77777777" w:rsidR="003B3C48" w:rsidRPr="00925997" w:rsidRDefault="003B3C48" w:rsidP="003B3C48">
      <w:pPr>
        <w:tabs>
          <w:tab w:val="left" w:pos="1134"/>
        </w:tabs>
        <w:spacing w:after="120"/>
        <w:ind w:left="562"/>
        <w:rPr>
          <w:spacing w:val="-4"/>
        </w:rPr>
      </w:pPr>
      <w:r w:rsidRPr="00925997">
        <w:t>ii)</w:t>
      </w:r>
      <w:r w:rsidRPr="00925997">
        <w:tab/>
        <w:t>Obligación de que el examen DHE sea efectuado por la autoridad que concede los títulos;</w:t>
      </w:r>
    </w:p>
    <w:p w14:paraId="36DBB497" w14:textId="77777777" w:rsidR="003B3C48" w:rsidRPr="00925997" w:rsidRDefault="003B3C48" w:rsidP="003B3C48">
      <w:pPr>
        <w:tabs>
          <w:tab w:val="left" w:pos="1134"/>
        </w:tabs>
        <w:spacing w:after="120"/>
        <w:ind w:left="562"/>
        <w:rPr>
          <w:spacing w:val="-4"/>
        </w:rPr>
      </w:pPr>
      <w:r w:rsidRPr="00925997">
        <w:t xml:space="preserve">iii) </w:t>
      </w:r>
      <w:r w:rsidRPr="00925997">
        <w:tab/>
        <w:t>No se admiten los informes de los exámenes DHE realizados por obtentores:</w:t>
      </w:r>
    </w:p>
    <w:p w14:paraId="25ABC48C" w14:textId="77777777" w:rsidR="003B3C48" w:rsidRPr="00925997" w:rsidRDefault="003B3C48" w:rsidP="003B3C48">
      <w:pPr>
        <w:tabs>
          <w:tab w:val="left" w:pos="1134"/>
        </w:tabs>
        <w:spacing w:after="120"/>
        <w:ind w:left="562"/>
        <w:rPr>
          <w:spacing w:val="-4"/>
        </w:rPr>
      </w:pPr>
      <w:r w:rsidRPr="00925997">
        <w:t xml:space="preserve">iv) </w:t>
      </w:r>
      <w:r w:rsidRPr="00925997">
        <w:tab/>
        <w:t xml:space="preserve">Deseo de los obtentores de utilizar (o no) los informes DHE existentes. </w:t>
      </w:r>
    </w:p>
    <w:p w14:paraId="499FF178" w14:textId="77777777" w:rsidR="003B3C48" w:rsidRPr="00925997" w:rsidRDefault="003B3C48" w:rsidP="003B3C48">
      <w:pPr>
        <w:rPr>
          <w:snapToGrid w:val="0"/>
        </w:rPr>
      </w:pPr>
    </w:p>
    <w:p w14:paraId="17FF74CB" w14:textId="456FD02A" w:rsidR="003B3C48" w:rsidRPr="00925997" w:rsidRDefault="003B3C48" w:rsidP="003B3C48">
      <w:pPr>
        <w:keepNext/>
        <w:keepLines/>
      </w:pPr>
      <w:r w:rsidRPr="00925997">
        <w:rPr>
          <w:snapToGrid w:val="0"/>
        </w:rPr>
        <w:fldChar w:fldCharType="begin"/>
      </w:r>
      <w:r w:rsidRPr="00925997">
        <w:rPr>
          <w:snapToGrid w:val="0"/>
        </w:rPr>
        <w:instrText xml:space="preserve"> AUTONUM  </w:instrText>
      </w:r>
      <w:r w:rsidRPr="00925997">
        <w:rPr>
          <w:snapToGrid w:val="0"/>
        </w:rPr>
        <w:fldChar w:fldCharType="end"/>
      </w:r>
      <w:r w:rsidRPr="00925997">
        <w:rPr>
          <w:snapToGrid w:val="0"/>
        </w:rPr>
        <w:tab/>
      </w:r>
      <w:r w:rsidRPr="00925997">
        <w:t>En su septuagésima octava sesión</w:t>
      </w:r>
      <w:r w:rsidRPr="00925997">
        <w:rPr>
          <w:rStyle w:val="FootnoteReference"/>
        </w:rPr>
        <w:footnoteReference w:id="3"/>
      </w:r>
      <w:r w:rsidRPr="00925997">
        <w:t>, el</w:t>
      </w:r>
      <w:r w:rsidR="00C51B95" w:rsidRPr="00925997">
        <w:t> </w:t>
      </w:r>
      <w:r w:rsidRPr="00925997">
        <w:t>CAJ aprobó las siguientes medidas para superar los obstáculos de política o jurídicos que el TC ha señalado como impedimentos para la cooperación internacional en el examen</w:t>
      </w:r>
      <w:r w:rsidR="00C51B95" w:rsidRPr="00925997">
        <w:t> </w:t>
      </w:r>
      <w:r w:rsidRPr="00925997">
        <w:t>DHE (véase el documento CAJ/78/13 “Informe”, párrafos 40 a 43):</w:t>
      </w:r>
    </w:p>
    <w:p w14:paraId="3E304E50" w14:textId="77777777" w:rsidR="003B3C48" w:rsidRPr="00925997" w:rsidRDefault="003B3C48" w:rsidP="003B3C48">
      <w:pPr>
        <w:keepNext/>
      </w:pPr>
    </w:p>
    <w:p w14:paraId="5E39203D" w14:textId="6391D7DA" w:rsidR="003B3C48" w:rsidRPr="00925997" w:rsidRDefault="003B3C48" w:rsidP="003B3C48">
      <w:r w:rsidRPr="00925997">
        <w:tab/>
        <w:t>a) realizar una encuesta a los miembros de la</w:t>
      </w:r>
      <w:r w:rsidR="00C51B95" w:rsidRPr="00925997">
        <w:t> </w:t>
      </w:r>
      <w:r w:rsidRPr="00925997">
        <w:t>Unión para obtener información sobre sus obstáculos de política o jurídicos que podrían impedir la cooperación internacional en materia de examen DHE;</w:t>
      </w:r>
    </w:p>
    <w:p w14:paraId="5096A172" w14:textId="77777777" w:rsidR="003B3C48" w:rsidRPr="00925997" w:rsidRDefault="003B3C48" w:rsidP="003B3C48"/>
    <w:p w14:paraId="3DBC71B9" w14:textId="006F757A" w:rsidR="003B3C48" w:rsidRPr="00925997" w:rsidRDefault="003B3C48" w:rsidP="003B3C48">
      <w:r w:rsidRPr="00925997">
        <w:tab/>
        <w:t>b) elaborar notas explicativas sobre el artículo</w:t>
      </w:r>
      <w:r w:rsidR="00C51B95" w:rsidRPr="00925997">
        <w:t> </w:t>
      </w:r>
      <w:r w:rsidRPr="00925997">
        <w:t>12 del Convenio de la</w:t>
      </w:r>
      <w:r w:rsidR="00C51B95" w:rsidRPr="00925997">
        <w:t> </w:t>
      </w:r>
      <w:r w:rsidRPr="00925997">
        <w:t>UPOV (“Examen de la solicitud”); y</w:t>
      </w:r>
    </w:p>
    <w:p w14:paraId="0163A1D9" w14:textId="77777777" w:rsidR="003B3C48" w:rsidRPr="00925997" w:rsidRDefault="003B3C48" w:rsidP="003B3C48"/>
    <w:p w14:paraId="6644BAED" w14:textId="77777777" w:rsidR="003B3C48" w:rsidRPr="00925997" w:rsidRDefault="003B3C48" w:rsidP="003B3C48">
      <w:r w:rsidRPr="00925997">
        <w:tab/>
        <w:t>c) solicitar a las organizaciones de obtentores que aclaren las cuestiones relativas al deseo de los obtentores de utilizar o no los informes de examen DHE existentes.</w:t>
      </w:r>
    </w:p>
    <w:p w14:paraId="75C3FFAB" w14:textId="77777777" w:rsidR="003B3C48" w:rsidRPr="00925997" w:rsidRDefault="003B3C48" w:rsidP="003B3C48"/>
    <w:p w14:paraId="7B344C29" w14:textId="7B78656F" w:rsidR="003B3C48" w:rsidRPr="00925997" w:rsidRDefault="003B3C48" w:rsidP="003B3C48">
      <w:r w:rsidRPr="00925997">
        <w:fldChar w:fldCharType="begin"/>
      </w:r>
      <w:r w:rsidRPr="00925997">
        <w:instrText xml:space="preserve"> AUTONUM  </w:instrText>
      </w:r>
      <w:r w:rsidRPr="00925997">
        <w:fldChar w:fldCharType="end"/>
      </w:r>
      <w:r w:rsidRPr="00925997">
        <w:tab/>
        <w:t>El CAJ convino en que la encuesta debe incluir el encargo de informes de examen cuando las descripciones de las variedades no se ajusten a los caracteres de las directrices de examen de la</w:t>
      </w:r>
      <w:r w:rsidR="00C51B95" w:rsidRPr="00925997">
        <w:t> </w:t>
      </w:r>
      <w:r w:rsidRPr="00925997">
        <w:t xml:space="preserve">UPOV. </w:t>
      </w:r>
    </w:p>
    <w:p w14:paraId="205AC9A4" w14:textId="77777777" w:rsidR="003B3C48" w:rsidRPr="00925997" w:rsidRDefault="003B3C48" w:rsidP="003B3C48"/>
    <w:p w14:paraId="55F65F16" w14:textId="02ACF930" w:rsidR="003B3C48" w:rsidRPr="00925997" w:rsidRDefault="003B3C48" w:rsidP="003B3C48">
      <w:r w:rsidRPr="00925997">
        <w:fldChar w:fldCharType="begin"/>
      </w:r>
      <w:r w:rsidRPr="00925997">
        <w:instrText xml:space="preserve"> AUTONUM  </w:instrText>
      </w:r>
      <w:r w:rsidRPr="00925997">
        <w:fldChar w:fldCharType="end"/>
      </w:r>
      <w:r w:rsidRPr="00925997">
        <w:tab/>
        <w:t>En respuesta al comentario de la Unión</w:t>
      </w:r>
      <w:r w:rsidR="00C51B95" w:rsidRPr="00925997">
        <w:t> </w:t>
      </w:r>
      <w:r w:rsidRPr="00925997">
        <w:t>Europea, el CAJ señaló que en las notas explicativas sobre el “examen de la solicitud” se deberían explicar todas las opciones de examen de las variedades, tal como se establece en el Convenio de la</w:t>
      </w:r>
      <w:r w:rsidR="00C51B95" w:rsidRPr="00925997">
        <w:t> </w:t>
      </w:r>
      <w:r w:rsidRPr="00925997">
        <w:t>UPOV.</w:t>
      </w:r>
    </w:p>
    <w:p w14:paraId="67AAA5E8" w14:textId="77777777" w:rsidR="003B3C48" w:rsidRPr="00925997" w:rsidRDefault="003B3C48" w:rsidP="003B3C48">
      <w:pPr>
        <w:rPr>
          <w:snapToGrid w:val="0"/>
        </w:rPr>
      </w:pPr>
    </w:p>
    <w:p w14:paraId="18ABAA19" w14:textId="77777777" w:rsidR="003B3C48" w:rsidRPr="00925997" w:rsidRDefault="003B3C48" w:rsidP="003B3C48">
      <w:pPr>
        <w:rPr>
          <w:snapToGrid w:val="0"/>
        </w:rPr>
      </w:pPr>
    </w:p>
    <w:p w14:paraId="0CA93B61" w14:textId="7A47F348" w:rsidR="003B3C48" w:rsidRPr="00925997" w:rsidRDefault="003B3C48" w:rsidP="00C34193">
      <w:pPr>
        <w:pStyle w:val="Heading2"/>
      </w:pPr>
      <w:bookmarkStart w:id="7" w:name="_Toc109944161"/>
      <w:bookmarkStart w:id="8" w:name="_Toc109944169"/>
      <w:r w:rsidRPr="00925997">
        <w:t>Alentar a los miembros a hacerse cargo de los informes de examen</w:t>
      </w:r>
      <w:r w:rsidR="00C51B95" w:rsidRPr="00925997">
        <w:t> </w:t>
      </w:r>
      <w:r w:rsidRPr="00925997">
        <w:t>DHE cuando los solicitantes no puedan presentar material vegetal por motivos fitosanitarios u otras cuestiones conexas</w:t>
      </w:r>
      <w:bookmarkEnd w:id="7"/>
      <w:bookmarkEnd w:id="8"/>
    </w:p>
    <w:p w14:paraId="5357B7DA" w14:textId="77777777" w:rsidR="003B3C48" w:rsidRPr="00925997" w:rsidRDefault="003B3C48" w:rsidP="003B3C48">
      <w:pPr>
        <w:rPr>
          <w:snapToGrid w:val="0"/>
        </w:rPr>
      </w:pPr>
    </w:p>
    <w:p w14:paraId="67350833" w14:textId="11271DE4" w:rsidR="003B3C48" w:rsidRPr="00925997" w:rsidRDefault="003B3C48" w:rsidP="003B3C48">
      <w:pPr>
        <w:rPr>
          <w:snapToGrid w:val="0"/>
        </w:rPr>
      </w:pPr>
      <w:r w:rsidRPr="00925997">
        <w:fldChar w:fldCharType="begin"/>
      </w:r>
      <w:r w:rsidRPr="00925997">
        <w:instrText xml:space="preserve"> AUTONUM  </w:instrText>
      </w:r>
      <w:r w:rsidRPr="00925997">
        <w:fldChar w:fldCharType="end"/>
      </w:r>
      <w:r w:rsidRPr="00925997">
        <w:tab/>
        <w:t>El TC, en su quincuagésima sexta sesión, tomó nota de los comentarios presentados por la delegación del Japón en respuesta a la Circular</w:t>
      </w:r>
      <w:r w:rsidR="00C51B95" w:rsidRPr="00925997">
        <w:t> </w:t>
      </w:r>
      <w:r w:rsidRPr="00925997">
        <w:t>E20/119, de</w:t>
      </w:r>
      <w:r w:rsidR="00C51B95" w:rsidRPr="00925997">
        <w:t> </w:t>
      </w:r>
      <w:r w:rsidRPr="00925997">
        <w:t>21 de agosto de</w:t>
      </w:r>
      <w:r w:rsidR="00C51B95" w:rsidRPr="00925997">
        <w:t> </w:t>
      </w:r>
      <w:r w:rsidRPr="00925997">
        <w:t>2020, sobre las dificultades para presentar material vegetal a la autoridad que recibe la solicitud por motivos fitosanitarios, de cuarentena u otras cuestiones conexas, como figura en el documento</w:t>
      </w:r>
      <w:r w:rsidR="00C51B95" w:rsidRPr="00925997">
        <w:t> </w:t>
      </w:r>
      <w:r w:rsidRPr="00925997">
        <w:t>TC/56/22, párrafo</w:t>
      </w:r>
      <w:r w:rsidR="00C51B95" w:rsidRPr="00925997">
        <w:t> </w:t>
      </w:r>
      <w:r w:rsidRPr="00925997">
        <w:t>47, y que se expresaron de la siguiente forma (véase el documento</w:t>
      </w:r>
      <w:r w:rsidR="00C51B95" w:rsidRPr="00925997">
        <w:t> </w:t>
      </w:r>
      <w:r w:rsidRPr="00925997">
        <w:t>TC/56/23 “Informe”, párrafos</w:t>
      </w:r>
      <w:r w:rsidR="00C51B95" w:rsidRPr="00925997">
        <w:t> </w:t>
      </w:r>
      <w:r w:rsidRPr="00925997">
        <w:t>61 a</w:t>
      </w:r>
      <w:r w:rsidR="00C51B95" w:rsidRPr="00925997">
        <w:t> </w:t>
      </w:r>
      <w:r w:rsidRPr="00925997">
        <w:t>63):</w:t>
      </w:r>
      <w:r w:rsidRPr="00925997">
        <w:rPr>
          <w:rStyle w:val="FootnoteReference"/>
          <w:snapToGrid w:val="0"/>
        </w:rPr>
        <w:footnoteReference w:id="4"/>
      </w:r>
    </w:p>
    <w:p w14:paraId="78887CD7" w14:textId="77777777" w:rsidR="003B3C48" w:rsidRPr="00925997" w:rsidRDefault="003B3C48" w:rsidP="003B3C48"/>
    <w:p w14:paraId="272A4F06" w14:textId="77777777" w:rsidR="003B3C48" w:rsidRPr="00925997" w:rsidRDefault="003B3C48" w:rsidP="003B3C48">
      <w:pPr>
        <w:keepNext/>
        <w:ind w:left="567" w:right="562"/>
        <w:rPr>
          <w:sz w:val="18"/>
        </w:rPr>
      </w:pPr>
      <w:r w:rsidRPr="00925997">
        <w:rPr>
          <w:sz w:val="18"/>
        </w:rPr>
        <w:lastRenderedPageBreak/>
        <w:t xml:space="preserve">ANTECEDENTES </w:t>
      </w:r>
    </w:p>
    <w:p w14:paraId="1D266A08" w14:textId="77777777" w:rsidR="003B3C48" w:rsidRPr="00925997" w:rsidRDefault="003B3C48" w:rsidP="003B3C48">
      <w:pPr>
        <w:keepNext/>
        <w:ind w:left="567"/>
        <w:rPr>
          <w:sz w:val="14"/>
        </w:rPr>
      </w:pPr>
    </w:p>
    <w:p w14:paraId="65BE6801" w14:textId="6A09DA53" w:rsidR="003B3C48" w:rsidRPr="00925997" w:rsidRDefault="003B3C48" w:rsidP="003B3C48">
      <w:pPr>
        <w:keepNext/>
        <w:autoSpaceDE w:val="0"/>
        <w:autoSpaceDN w:val="0"/>
        <w:ind w:left="567" w:right="562"/>
        <w:rPr>
          <w:rFonts w:cs="Arial"/>
          <w:sz w:val="18"/>
          <w:szCs w:val="18"/>
        </w:rPr>
      </w:pPr>
      <w:r w:rsidRPr="00925997">
        <w:rPr>
          <w:sz w:val="18"/>
          <w:szCs w:val="18"/>
        </w:rPr>
        <w:t>Al solicitar protección de las obtenciones vegetales en otro miembro de la</w:t>
      </w:r>
      <w:r w:rsidR="00C51B95" w:rsidRPr="00925997">
        <w:rPr>
          <w:sz w:val="18"/>
          <w:szCs w:val="18"/>
        </w:rPr>
        <w:t> </w:t>
      </w:r>
      <w:r w:rsidRPr="00925997">
        <w:rPr>
          <w:sz w:val="18"/>
          <w:szCs w:val="18"/>
        </w:rPr>
        <w:t xml:space="preserve">UPOV, los obtentores pueden tener dificultades para presentar material vegetal a la autoridad que recibe la solicitud por motivos fitosanitarios, de cuarentena u otras cuestiones conexas. </w:t>
      </w:r>
    </w:p>
    <w:p w14:paraId="54A8E9EB" w14:textId="77777777" w:rsidR="003B3C48" w:rsidRPr="00925997" w:rsidRDefault="003B3C48" w:rsidP="003B3C48">
      <w:pPr>
        <w:ind w:left="567"/>
        <w:rPr>
          <w:sz w:val="16"/>
        </w:rPr>
      </w:pPr>
    </w:p>
    <w:p w14:paraId="6F22CA5D" w14:textId="67F3EB3D" w:rsidR="003B3C48" w:rsidRPr="00925997" w:rsidRDefault="003B3C48" w:rsidP="003B3C48">
      <w:pPr>
        <w:autoSpaceDE w:val="0"/>
        <w:autoSpaceDN w:val="0"/>
        <w:ind w:left="567" w:right="562"/>
        <w:rPr>
          <w:rFonts w:cs="Arial"/>
          <w:sz w:val="18"/>
          <w:szCs w:val="18"/>
        </w:rPr>
      </w:pPr>
      <w:r w:rsidRPr="00925997">
        <w:rPr>
          <w:sz w:val="18"/>
          <w:szCs w:val="18"/>
        </w:rPr>
        <w:t>Las cuestiones fitosanitarias, de cuarentena y otras conexas deben examinarse y resolverse mediante consultas bilaterales. Esas consultas pueden llevar un tiempo considerable. Durante ese período, las solicitudes de protección de las obtenciones vegetales pueden ser rechazadas debido a la imposibilidad de que los solicitantes presenten material vegetal para que sea examinado en esos otros miembros de la</w:t>
      </w:r>
      <w:r w:rsidR="00C51B95" w:rsidRPr="00925997">
        <w:rPr>
          <w:sz w:val="18"/>
          <w:szCs w:val="18"/>
        </w:rPr>
        <w:t> </w:t>
      </w:r>
      <w:r w:rsidRPr="00925997">
        <w:rPr>
          <w:sz w:val="18"/>
          <w:szCs w:val="18"/>
        </w:rPr>
        <w:t>UPOV.</w:t>
      </w:r>
    </w:p>
    <w:p w14:paraId="24BA4481" w14:textId="77777777" w:rsidR="003B3C48" w:rsidRPr="00925997" w:rsidRDefault="003B3C48" w:rsidP="003B3C48">
      <w:pPr>
        <w:ind w:left="567"/>
        <w:rPr>
          <w:sz w:val="16"/>
        </w:rPr>
      </w:pPr>
    </w:p>
    <w:p w14:paraId="18E2BFF0" w14:textId="5C2525B9" w:rsidR="003B3C48" w:rsidRPr="00925997" w:rsidRDefault="003B3C48" w:rsidP="003B3C48">
      <w:pPr>
        <w:ind w:left="567" w:right="562"/>
        <w:rPr>
          <w:rFonts w:cs="Arial"/>
          <w:sz w:val="18"/>
          <w:szCs w:val="18"/>
        </w:rPr>
      </w:pPr>
      <w:r w:rsidRPr="00925997">
        <w:rPr>
          <w:sz w:val="18"/>
          <w:szCs w:val="18"/>
        </w:rPr>
        <w:t>En algunos casos, podría entrar en el territorio de otro miembro de la</w:t>
      </w:r>
      <w:r w:rsidR="00C51B95" w:rsidRPr="00925997">
        <w:rPr>
          <w:sz w:val="18"/>
          <w:szCs w:val="18"/>
        </w:rPr>
        <w:t> </w:t>
      </w:r>
      <w:r w:rsidRPr="00925997">
        <w:rPr>
          <w:sz w:val="18"/>
          <w:szCs w:val="18"/>
        </w:rPr>
        <w:t>UPOV material de reproducción o multiplicación de una determinada variedad sin el consentimiento del obtentor, aun cuando procedería aplicar medidas de cuarentena o de no importación. Esta situación podría causar graves problemas en caso de que los derechos de obtentor no se concedan en ese miembro de la</w:t>
      </w:r>
      <w:r w:rsidR="00C51B95" w:rsidRPr="00925997">
        <w:rPr>
          <w:sz w:val="18"/>
          <w:szCs w:val="18"/>
        </w:rPr>
        <w:t> </w:t>
      </w:r>
      <w:r w:rsidRPr="00925997">
        <w:rPr>
          <w:sz w:val="18"/>
          <w:szCs w:val="18"/>
        </w:rPr>
        <w:t>UPOV por motivos fitosanitarios, de cuarentena u otras cuestiones conexas.</w:t>
      </w:r>
    </w:p>
    <w:p w14:paraId="4DEA2112" w14:textId="77777777" w:rsidR="003B3C48" w:rsidRPr="00925997" w:rsidRDefault="003B3C48" w:rsidP="003B3C48">
      <w:pPr>
        <w:ind w:left="567"/>
        <w:rPr>
          <w:sz w:val="16"/>
        </w:rPr>
      </w:pPr>
    </w:p>
    <w:p w14:paraId="2A0382F0" w14:textId="77777777" w:rsidR="003B3C48" w:rsidRPr="00925997" w:rsidRDefault="003B3C48" w:rsidP="003B3C48">
      <w:pPr>
        <w:keepNext/>
        <w:autoSpaceDE w:val="0"/>
        <w:autoSpaceDN w:val="0"/>
        <w:ind w:left="567" w:right="562"/>
        <w:rPr>
          <w:rFonts w:cs="Arial"/>
          <w:sz w:val="18"/>
          <w:szCs w:val="18"/>
        </w:rPr>
      </w:pPr>
      <w:r w:rsidRPr="00925997">
        <w:rPr>
          <w:sz w:val="18"/>
          <w:szCs w:val="18"/>
        </w:rPr>
        <w:t>Propuesta</w:t>
      </w:r>
    </w:p>
    <w:p w14:paraId="63C2EB08" w14:textId="77777777" w:rsidR="003B3C48" w:rsidRPr="00925997" w:rsidRDefault="003B3C48" w:rsidP="003B3C48">
      <w:pPr>
        <w:ind w:left="567"/>
        <w:rPr>
          <w:sz w:val="14"/>
        </w:rPr>
      </w:pPr>
    </w:p>
    <w:p w14:paraId="47BF7470" w14:textId="616AAF11" w:rsidR="003B3C48" w:rsidRPr="00925997" w:rsidRDefault="003B3C48" w:rsidP="003B3C48">
      <w:pPr>
        <w:keepNext/>
        <w:autoSpaceDE w:val="0"/>
        <w:autoSpaceDN w:val="0"/>
        <w:ind w:left="567" w:right="562"/>
        <w:rPr>
          <w:rFonts w:cs="Arial"/>
          <w:sz w:val="18"/>
          <w:szCs w:val="18"/>
        </w:rPr>
      </w:pPr>
      <w:r w:rsidRPr="00925997">
        <w:rPr>
          <w:sz w:val="18"/>
          <w:szCs w:val="18"/>
        </w:rPr>
        <w:t>El Japón desea proponer la elaboración de orientaciones para alentar a los miembros de la</w:t>
      </w:r>
      <w:r w:rsidR="00C51B95" w:rsidRPr="00925997">
        <w:rPr>
          <w:sz w:val="18"/>
          <w:szCs w:val="18"/>
        </w:rPr>
        <w:t> </w:t>
      </w:r>
      <w:r w:rsidRPr="00925997">
        <w:rPr>
          <w:sz w:val="18"/>
          <w:szCs w:val="18"/>
        </w:rPr>
        <w:t>UPOV a hacerse cargo de los informes de examen</w:t>
      </w:r>
      <w:r w:rsidR="00C51B95" w:rsidRPr="00925997">
        <w:rPr>
          <w:sz w:val="18"/>
          <w:szCs w:val="18"/>
        </w:rPr>
        <w:t> </w:t>
      </w:r>
      <w:r w:rsidRPr="00925997">
        <w:rPr>
          <w:sz w:val="18"/>
          <w:szCs w:val="18"/>
        </w:rPr>
        <w:t>DHE cuando los solicitantes no puedan presentar material vegetal por motivos fitosanitarios u otras cuestiones conexas. En caso de que el</w:t>
      </w:r>
      <w:r w:rsidR="00C51B95" w:rsidRPr="00925997">
        <w:rPr>
          <w:sz w:val="18"/>
          <w:szCs w:val="18"/>
        </w:rPr>
        <w:t> </w:t>
      </w:r>
      <w:r w:rsidRPr="00925997">
        <w:rPr>
          <w:sz w:val="18"/>
          <w:szCs w:val="18"/>
        </w:rPr>
        <w:t>TC convenga en elaborar dicha orientación, la propuesta podría someterse a la consideración del CAJ.”</w:t>
      </w:r>
    </w:p>
    <w:p w14:paraId="16E2C10F" w14:textId="77777777" w:rsidR="003B3C48" w:rsidRPr="00925997" w:rsidRDefault="003B3C48" w:rsidP="003B3C48">
      <w:pPr>
        <w:rPr>
          <w:rFonts w:cs="Arial"/>
          <w:sz w:val="18"/>
          <w:szCs w:val="18"/>
          <w:lang w:eastAsia="ja-JP"/>
        </w:rPr>
      </w:pPr>
    </w:p>
    <w:p w14:paraId="14152429" w14:textId="53C4B4B7" w:rsidR="003B3C48" w:rsidRPr="00925997" w:rsidRDefault="003B3C48" w:rsidP="003B3C48">
      <w:pPr>
        <w:rPr>
          <w:rFonts w:cs="Arial"/>
          <w:szCs w:val="18"/>
        </w:rPr>
      </w:pPr>
      <w:r w:rsidRPr="00925997">
        <w:rPr>
          <w:rFonts w:cs="Arial"/>
          <w:szCs w:val="18"/>
        </w:rPr>
        <w:fldChar w:fldCharType="begin"/>
      </w:r>
      <w:r w:rsidRPr="00925997">
        <w:rPr>
          <w:rFonts w:cs="Arial"/>
          <w:szCs w:val="18"/>
        </w:rPr>
        <w:instrText xml:space="preserve"> AUTONUM  </w:instrText>
      </w:r>
      <w:r w:rsidRPr="00925997">
        <w:rPr>
          <w:rFonts w:cs="Arial"/>
          <w:szCs w:val="18"/>
        </w:rPr>
        <w:fldChar w:fldCharType="end"/>
      </w:r>
      <w:r w:rsidRPr="00925997">
        <w:rPr>
          <w:szCs w:val="18"/>
        </w:rPr>
        <w:tab/>
        <w:t>El TC, en su quincuagésima sexta sesión, señaló que en algunos miembros de la</w:t>
      </w:r>
      <w:r w:rsidR="00C51B95" w:rsidRPr="00925997">
        <w:rPr>
          <w:szCs w:val="18"/>
        </w:rPr>
        <w:t> </w:t>
      </w:r>
      <w:r w:rsidRPr="00925997">
        <w:rPr>
          <w:szCs w:val="18"/>
        </w:rPr>
        <w:t xml:space="preserve">Unión se exige presentar el material vegetal para conceder derechos de obtentor. </w:t>
      </w:r>
    </w:p>
    <w:p w14:paraId="0A18E5DB" w14:textId="77777777" w:rsidR="003B3C48" w:rsidRPr="00925997" w:rsidRDefault="003B3C48" w:rsidP="003B3C48">
      <w:pPr>
        <w:rPr>
          <w:rFonts w:cs="Arial"/>
          <w:sz w:val="18"/>
          <w:szCs w:val="18"/>
          <w:lang w:eastAsia="ja-JP"/>
        </w:rPr>
      </w:pPr>
    </w:p>
    <w:p w14:paraId="7836B56F" w14:textId="0B6524E7" w:rsidR="003B3C48" w:rsidRPr="00925997" w:rsidRDefault="003B3C48" w:rsidP="003B3C48">
      <w:r w:rsidRPr="00925997">
        <w:rPr>
          <w:rFonts w:cs="Arial"/>
          <w:szCs w:val="18"/>
        </w:rPr>
        <w:fldChar w:fldCharType="begin"/>
      </w:r>
      <w:r w:rsidRPr="00925997">
        <w:rPr>
          <w:rFonts w:cs="Arial"/>
          <w:szCs w:val="18"/>
        </w:rPr>
        <w:instrText xml:space="preserve"> AUTONUM  </w:instrText>
      </w:r>
      <w:r w:rsidRPr="00925997">
        <w:rPr>
          <w:rFonts w:cs="Arial"/>
          <w:szCs w:val="18"/>
        </w:rPr>
        <w:fldChar w:fldCharType="end"/>
      </w:r>
      <w:r w:rsidRPr="00925997">
        <w:rPr>
          <w:szCs w:val="18"/>
        </w:rPr>
        <w:tab/>
        <w:t>El TC convino en proponer al CAJ la elaboración de orientaciones a fin de alentar a los miembros de la</w:t>
      </w:r>
      <w:r w:rsidR="00C51B95" w:rsidRPr="00925997">
        <w:rPr>
          <w:szCs w:val="18"/>
        </w:rPr>
        <w:t> </w:t>
      </w:r>
      <w:r w:rsidRPr="00925997">
        <w:rPr>
          <w:szCs w:val="18"/>
        </w:rPr>
        <w:t>UPOV a hacerse cargo, con carácter voluntario, de los informes de examen</w:t>
      </w:r>
      <w:r w:rsidR="00C51B95" w:rsidRPr="00925997">
        <w:rPr>
          <w:szCs w:val="18"/>
        </w:rPr>
        <w:t> </w:t>
      </w:r>
      <w:r w:rsidRPr="00925997">
        <w:rPr>
          <w:szCs w:val="18"/>
        </w:rPr>
        <w:t>DHE cuando los solicitantes no puedan presentar material vegetal por motivos fitosanitarios u otras cuestiones conexas, siempre que sea aceptable para los miembros de la</w:t>
      </w:r>
      <w:r w:rsidR="00C51B95" w:rsidRPr="00925997">
        <w:rPr>
          <w:szCs w:val="18"/>
        </w:rPr>
        <w:t> </w:t>
      </w:r>
      <w:r w:rsidRPr="00925997">
        <w:rPr>
          <w:szCs w:val="18"/>
        </w:rPr>
        <w:t>Unión interesados. El TC convino en que esta propuesta debe someterse al examen del CAJ y se expondrá en el documento CAJ/77/2 “</w:t>
      </w:r>
      <w:proofErr w:type="spellStart"/>
      <w:r w:rsidRPr="00925997">
        <w:rPr>
          <w:i/>
          <w:szCs w:val="18"/>
        </w:rPr>
        <w:t>Report</w:t>
      </w:r>
      <w:proofErr w:type="spellEnd"/>
      <w:r w:rsidRPr="00925997">
        <w:rPr>
          <w:i/>
          <w:szCs w:val="18"/>
        </w:rPr>
        <w:t xml:space="preserve"> </w:t>
      </w:r>
      <w:proofErr w:type="spellStart"/>
      <w:r w:rsidRPr="00925997">
        <w:rPr>
          <w:i/>
          <w:szCs w:val="18"/>
        </w:rPr>
        <w:t>on</w:t>
      </w:r>
      <w:proofErr w:type="spellEnd"/>
      <w:r w:rsidRPr="00925997">
        <w:rPr>
          <w:i/>
          <w:szCs w:val="18"/>
        </w:rPr>
        <w:t xml:space="preserve"> </w:t>
      </w:r>
      <w:proofErr w:type="spellStart"/>
      <w:r w:rsidRPr="00925997">
        <w:rPr>
          <w:i/>
          <w:szCs w:val="18"/>
        </w:rPr>
        <w:t>developments</w:t>
      </w:r>
      <w:proofErr w:type="spellEnd"/>
      <w:r w:rsidRPr="00925997">
        <w:rPr>
          <w:i/>
          <w:szCs w:val="18"/>
        </w:rPr>
        <w:t xml:space="preserve"> in </w:t>
      </w:r>
      <w:proofErr w:type="spellStart"/>
      <w:r w:rsidRPr="00925997">
        <w:rPr>
          <w:i/>
          <w:szCs w:val="18"/>
        </w:rPr>
        <w:t>the</w:t>
      </w:r>
      <w:proofErr w:type="spellEnd"/>
      <w:r w:rsidRPr="00925997">
        <w:rPr>
          <w:i/>
          <w:szCs w:val="18"/>
        </w:rPr>
        <w:t xml:space="preserve"> </w:t>
      </w:r>
      <w:proofErr w:type="spellStart"/>
      <w:r w:rsidRPr="00925997">
        <w:rPr>
          <w:i/>
          <w:szCs w:val="18"/>
        </w:rPr>
        <w:t>Technical</w:t>
      </w:r>
      <w:proofErr w:type="spellEnd"/>
      <w:r w:rsidRPr="00925997">
        <w:rPr>
          <w:i/>
          <w:szCs w:val="18"/>
        </w:rPr>
        <w:t xml:space="preserve"> </w:t>
      </w:r>
      <w:proofErr w:type="spellStart"/>
      <w:r w:rsidRPr="00925997">
        <w:rPr>
          <w:i/>
          <w:szCs w:val="18"/>
        </w:rPr>
        <w:t>Committee</w:t>
      </w:r>
      <w:proofErr w:type="spellEnd"/>
      <w:r w:rsidRPr="00925997">
        <w:rPr>
          <w:szCs w:val="18"/>
        </w:rPr>
        <w:t>” (Informe sobre las novedades acaecidas en el Comité Técnico).</w:t>
      </w:r>
    </w:p>
    <w:p w14:paraId="65DB49F9" w14:textId="77777777" w:rsidR="003B3C48" w:rsidRPr="00925997" w:rsidRDefault="003B3C48" w:rsidP="003B3C48">
      <w:pPr>
        <w:rPr>
          <w:spacing w:val="-4"/>
          <w:sz w:val="18"/>
        </w:rPr>
      </w:pPr>
    </w:p>
    <w:p w14:paraId="28B1CFF7" w14:textId="711B957A" w:rsidR="003B3C48" w:rsidRPr="00925997" w:rsidRDefault="003B3C48" w:rsidP="003B3C48">
      <w:pPr>
        <w:spacing w:after="120"/>
      </w:pPr>
      <w:r w:rsidRPr="00925997">
        <w:fldChar w:fldCharType="begin"/>
      </w:r>
      <w:r w:rsidRPr="00925997">
        <w:instrText xml:space="preserve"> AUTONUM  </w:instrText>
      </w:r>
      <w:r w:rsidRPr="00925997">
        <w:fldChar w:fldCharType="end"/>
      </w:r>
      <w:r w:rsidRPr="00925997">
        <w:tab/>
        <w:t>En respuesta a la petición del</w:t>
      </w:r>
      <w:r w:rsidR="00C51B95" w:rsidRPr="00925997">
        <w:t> </w:t>
      </w:r>
      <w:r w:rsidRPr="00925997">
        <w:t>TC, el</w:t>
      </w:r>
      <w:r w:rsidR="00C51B95" w:rsidRPr="00925997">
        <w:t> </w:t>
      </w:r>
      <w:r w:rsidRPr="00925997">
        <w:t>CAJ, en su septuagésima séptima sesión, pidió además a la</w:t>
      </w:r>
      <w:r w:rsidR="001735C1" w:rsidRPr="00925997">
        <w:t> </w:t>
      </w:r>
      <w:r w:rsidRPr="00925997">
        <w:t>Oficina de la</w:t>
      </w:r>
      <w:r w:rsidR="001735C1" w:rsidRPr="00925997">
        <w:t> </w:t>
      </w:r>
      <w:r w:rsidRPr="00925997">
        <w:t>Unión que elaborara un documento, que se someterá a examen en su septuagésima octava sesión, en el que figuren propuestas para elaborar orientaciones a fin de alentar a los miembros de la Unión a hacerse cargo, con carácter voluntario, de los informes de examen</w:t>
      </w:r>
      <w:r w:rsidR="001735C1" w:rsidRPr="00925997">
        <w:t> </w:t>
      </w:r>
      <w:r w:rsidRPr="00925997">
        <w:t>DHE cuando los solicitantes no puedan presentar material vegetal por motivos fitosanitarios u otras cuestiones conexas, siempre que sea aceptable para los miembros de la</w:t>
      </w:r>
      <w:r w:rsidR="001735C1" w:rsidRPr="00925997">
        <w:t> </w:t>
      </w:r>
      <w:r w:rsidRPr="00925997">
        <w:t>Unión interesados (véase el documento</w:t>
      </w:r>
      <w:r w:rsidR="001735C1" w:rsidRPr="00925997">
        <w:t> </w:t>
      </w:r>
      <w:r w:rsidRPr="00925997">
        <w:t>CAJ/77/10 “Informe”, párrafo</w:t>
      </w:r>
      <w:r w:rsidR="001735C1" w:rsidRPr="00925997">
        <w:t> </w:t>
      </w:r>
      <w:r w:rsidRPr="00925997">
        <w:t>15).</w:t>
      </w:r>
      <w:r w:rsidRPr="00925997">
        <w:rPr>
          <w:rStyle w:val="FootnoteReference"/>
        </w:rPr>
        <w:footnoteReference w:id="5"/>
      </w:r>
    </w:p>
    <w:p w14:paraId="48840FE5" w14:textId="6A6A870F" w:rsidR="003B3C48" w:rsidRPr="00925997" w:rsidRDefault="003B3C48" w:rsidP="003B3C48">
      <w:pPr>
        <w:spacing w:after="120"/>
      </w:pPr>
      <w:r w:rsidRPr="00925997">
        <w:fldChar w:fldCharType="begin"/>
      </w:r>
      <w:r w:rsidRPr="00925997">
        <w:instrText xml:space="preserve"> AUTONUM  </w:instrText>
      </w:r>
      <w:r w:rsidRPr="00925997">
        <w:fldChar w:fldCharType="end"/>
      </w:r>
      <w:r w:rsidRPr="00925997">
        <w:tab/>
        <w:t>En su septuagésima octava sesión,</w:t>
      </w:r>
      <w:r w:rsidRPr="00925997">
        <w:rPr>
          <w:rStyle w:val="FootnoteReference"/>
        </w:rPr>
        <w:footnoteReference w:id="6"/>
      </w:r>
      <w:r w:rsidRPr="00925997">
        <w:t xml:space="preserve"> el</w:t>
      </w:r>
      <w:r w:rsidR="001735C1" w:rsidRPr="00925997">
        <w:t> </w:t>
      </w:r>
      <w:r w:rsidRPr="00925997">
        <w:t>CAJ examinó el documento CAJ/78/10 “Posible orientación sobre el encargo de informes de examen</w:t>
      </w:r>
      <w:r w:rsidR="001735C1" w:rsidRPr="00925997">
        <w:t> </w:t>
      </w:r>
      <w:r w:rsidRPr="00925997">
        <w:t xml:space="preserve">DHE cuando los solicitantes no puedan presentar material vegetal”. </w:t>
      </w:r>
    </w:p>
    <w:p w14:paraId="0D62A3E1" w14:textId="6B4B3D15" w:rsidR="003B3C48" w:rsidRPr="00925997" w:rsidRDefault="003B3C48" w:rsidP="003B3C48">
      <w:pPr>
        <w:spacing w:after="120"/>
      </w:pPr>
      <w:r w:rsidRPr="00925997">
        <w:fldChar w:fldCharType="begin"/>
      </w:r>
      <w:r w:rsidRPr="00925997">
        <w:instrText xml:space="preserve"> AUTONUM  </w:instrText>
      </w:r>
      <w:r w:rsidRPr="00925997">
        <w:fldChar w:fldCharType="end"/>
      </w:r>
      <w:r w:rsidRPr="00925997">
        <w:tab/>
        <w:t xml:space="preserve"> El</w:t>
      </w:r>
      <w:r w:rsidR="001735C1" w:rsidRPr="00925997">
        <w:t> </w:t>
      </w:r>
      <w:r w:rsidRPr="00925997">
        <w:t>CAJ tomó nota de que las propuestas para mejorar la cooperación y mejorar el encargo de informes de examen DHE figuran en el documento</w:t>
      </w:r>
      <w:r w:rsidR="001735C1" w:rsidRPr="00925997">
        <w:t> </w:t>
      </w:r>
      <w:r w:rsidRPr="00925997">
        <w:t xml:space="preserve">CAJ/78/9 “Medidas para mejorar la cooperación en materia de examen”. </w:t>
      </w:r>
    </w:p>
    <w:p w14:paraId="1C35A07E" w14:textId="3C0E6387" w:rsidR="003B3C48" w:rsidRPr="00925997" w:rsidRDefault="003B3C48" w:rsidP="003B3C48">
      <w:pPr>
        <w:rPr>
          <w:snapToGrid w:val="0"/>
        </w:rPr>
      </w:pPr>
      <w:r w:rsidRPr="00925997">
        <w:fldChar w:fldCharType="begin"/>
      </w:r>
      <w:r w:rsidRPr="00925997">
        <w:instrText xml:space="preserve"> AUTONUM  </w:instrText>
      </w:r>
      <w:r w:rsidRPr="00925997">
        <w:fldChar w:fldCharType="end"/>
      </w:r>
      <w:r w:rsidRPr="00925997">
        <w:tab/>
        <w:t xml:space="preserve"> El</w:t>
      </w:r>
      <w:r w:rsidR="001735C1" w:rsidRPr="00925997">
        <w:t> </w:t>
      </w:r>
      <w:r w:rsidRPr="00925997">
        <w:t>CAJ acordó incluir una posible “orientación para alentar a los miembros de la</w:t>
      </w:r>
      <w:r w:rsidR="001735C1" w:rsidRPr="00925997">
        <w:t> </w:t>
      </w:r>
      <w:r w:rsidRPr="00925997">
        <w:t>Unión a hacerse cargo, con carácter voluntario, de los informes de examen DHE cuando los solicitantes no puedan presentar material vegetal por motivos fitosanitarios u otras cuestiones conexas, siempre que sea aceptable para los miembros de la Unión interesados” como parte de la labor futura que el CAJ acordará en relación con el documento</w:t>
      </w:r>
      <w:r w:rsidR="001735C1" w:rsidRPr="00925997">
        <w:t> </w:t>
      </w:r>
      <w:r w:rsidRPr="00925997">
        <w:t>CAJ/78/9 (véase el documento</w:t>
      </w:r>
      <w:r w:rsidR="001735C1" w:rsidRPr="00925997">
        <w:t> </w:t>
      </w:r>
      <w:r w:rsidRPr="00925997">
        <w:t>CAJ/78/13 “Informe”, párrafos</w:t>
      </w:r>
      <w:r w:rsidR="001735C1" w:rsidRPr="00925997">
        <w:t> </w:t>
      </w:r>
      <w:r w:rsidRPr="00925997">
        <w:t>37 a</w:t>
      </w:r>
      <w:r w:rsidR="001735C1" w:rsidRPr="00925997">
        <w:t> </w:t>
      </w:r>
      <w:r w:rsidRPr="00925997">
        <w:t>39).</w:t>
      </w:r>
    </w:p>
    <w:p w14:paraId="505ACCA0" w14:textId="77777777" w:rsidR="003B3C48" w:rsidRPr="00925997" w:rsidRDefault="003B3C48" w:rsidP="003B3C48">
      <w:pPr>
        <w:rPr>
          <w:snapToGrid w:val="0"/>
        </w:rPr>
      </w:pPr>
    </w:p>
    <w:p w14:paraId="46690192" w14:textId="77777777" w:rsidR="003B3C48" w:rsidRPr="00925997" w:rsidRDefault="003B3C48" w:rsidP="003B3C48">
      <w:pPr>
        <w:rPr>
          <w:snapToGrid w:val="0"/>
        </w:rPr>
      </w:pPr>
    </w:p>
    <w:p w14:paraId="456E2A03" w14:textId="77777777" w:rsidR="003B3C48" w:rsidRPr="00925997" w:rsidRDefault="003B3C48" w:rsidP="00DA22F0">
      <w:pPr>
        <w:pStyle w:val="Heading1"/>
        <w:rPr>
          <w:color w:val="auto"/>
        </w:rPr>
      </w:pPr>
      <w:bookmarkStart w:id="9" w:name="_Toc109944162"/>
      <w:bookmarkStart w:id="10" w:name="_Toc109944170"/>
      <w:r w:rsidRPr="00925997">
        <w:rPr>
          <w:color w:val="auto"/>
        </w:rPr>
        <w:t>medidas para superar los obstáculos de política o jurídicos que impiden la cooperación internacional en materia de examen DHE</w:t>
      </w:r>
      <w:bookmarkEnd w:id="9"/>
      <w:bookmarkEnd w:id="10"/>
    </w:p>
    <w:p w14:paraId="2E4E851D" w14:textId="77777777" w:rsidR="003B3C48" w:rsidRPr="00925997" w:rsidRDefault="003B3C48" w:rsidP="003B3C48">
      <w:pPr>
        <w:rPr>
          <w:snapToGrid w:val="0"/>
          <w:spacing w:val="-4"/>
          <w:u w:val="single"/>
        </w:rPr>
      </w:pPr>
    </w:p>
    <w:p w14:paraId="15558314" w14:textId="02B30D19" w:rsidR="003B3C48" w:rsidRPr="00925997" w:rsidRDefault="00DA22F0" w:rsidP="00C34193">
      <w:pPr>
        <w:pStyle w:val="Heading2"/>
      </w:pPr>
      <w:bookmarkStart w:id="11" w:name="_Toc109944163"/>
      <w:bookmarkStart w:id="12" w:name="_Toc109944171"/>
      <w:r w:rsidRPr="00925997">
        <w:t>Realizar una encuesta a los miembros de la</w:t>
      </w:r>
      <w:r w:rsidR="001735C1" w:rsidRPr="00925997">
        <w:t> </w:t>
      </w:r>
      <w:r w:rsidRPr="00925997">
        <w:t>Unión para obtener información sobre sus obstáculos de política o jurídicos que podrían impedir la cooperación internacional en materia de examen DHE</w:t>
      </w:r>
      <w:bookmarkEnd w:id="11"/>
      <w:bookmarkEnd w:id="12"/>
    </w:p>
    <w:p w14:paraId="0C924C11" w14:textId="77777777" w:rsidR="003B3C48" w:rsidRPr="00925997" w:rsidRDefault="003B3C48" w:rsidP="003B3C48">
      <w:pPr>
        <w:rPr>
          <w:snapToGrid w:val="0"/>
          <w:spacing w:val="-4"/>
          <w:u w:val="single"/>
        </w:rPr>
      </w:pPr>
    </w:p>
    <w:p w14:paraId="637CEBAF" w14:textId="60DD19A7" w:rsidR="003B3C48" w:rsidRPr="00925997" w:rsidRDefault="003B3C48" w:rsidP="003B3C48">
      <w:pPr>
        <w:rPr>
          <w:spacing w:val="-4"/>
        </w:rPr>
      </w:pPr>
      <w:r w:rsidRPr="00925997">
        <w:fldChar w:fldCharType="begin"/>
      </w:r>
      <w:r w:rsidRPr="00925997">
        <w:instrText xml:space="preserve"> AUTONUM  </w:instrText>
      </w:r>
      <w:r w:rsidRPr="00925997">
        <w:fldChar w:fldCharType="end"/>
      </w:r>
      <w:r w:rsidRPr="00925997">
        <w:tab/>
        <w:t>Se proponen las siguientes preguntas para la encuesta de los miembros de la</w:t>
      </w:r>
      <w:r w:rsidR="001735C1" w:rsidRPr="00925997">
        <w:t> </w:t>
      </w:r>
      <w:r w:rsidRPr="00925997">
        <w:t>Unión:</w:t>
      </w:r>
    </w:p>
    <w:p w14:paraId="4A6A8BAA" w14:textId="77777777" w:rsidR="003B3C48" w:rsidRPr="00925997" w:rsidRDefault="003B3C48" w:rsidP="003B3C48">
      <w:pPr>
        <w:rPr>
          <w:spacing w:val="-4"/>
        </w:rPr>
      </w:pPr>
    </w:p>
    <w:p w14:paraId="747CD298" w14:textId="0EF68CEA" w:rsidR="003B3C48" w:rsidRPr="00925997" w:rsidRDefault="003B3C48" w:rsidP="003B3C48">
      <w:pPr>
        <w:pStyle w:val="ListParagraph"/>
        <w:numPr>
          <w:ilvl w:val="0"/>
          <w:numId w:val="13"/>
        </w:numPr>
        <w:spacing w:after="200" w:line="276" w:lineRule="auto"/>
        <w:rPr>
          <w:spacing w:val="-4"/>
        </w:rPr>
      </w:pPr>
      <w:r w:rsidRPr="00925997">
        <w:t xml:space="preserve">¿Está la autoridad encargada de </w:t>
      </w:r>
      <w:r w:rsidR="00326409" w:rsidRPr="00925997">
        <w:t>otorgar</w:t>
      </w:r>
      <w:r w:rsidRPr="00925997">
        <w:t xml:space="preserve"> derechos de obtentor en su país/organización obligada a realizar el examen</w:t>
      </w:r>
      <w:r w:rsidR="001735C1" w:rsidRPr="00925997">
        <w:t> </w:t>
      </w:r>
      <w:r w:rsidRPr="00925997">
        <w:t xml:space="preserve">DHE para todas las solicitudes? [sí/no] </w:t>
      </w:r>
    </w:p>
    <w:p w14:paraId="73A80940" w14:textId="77777777" w:rsidR="003B3C48" w:rsidRPr="00925997" w:rsidRDefault="003B3C48" w:rsidP="003B3C48">
      <w:pPr>
        <w:pStyle w:val="ListParagraph"/>
        <w:numPr>
          <w:ilvl w:val="0"/>
          <w:numId w:val="13"/>
        </w:numPr>
        <w:spacing w:after="200" w:line="276" w:lineRule="auto"/>
        <w:rPr>
          <w:spacing w:val="-4"/>
        </w:rPr>
      </w:pPr>
      <w:r w:rsidRPr="00925997">
        <w:t>Si la respuesta a la pregunta anterior es afirmativa, indique si se trata de un requisito establecido en</w:t>
      </w:r>
    </w:p>
    <w:p w14:paraId="1077DC28" w14:textId="77777777" w:rsidR="003B3C48" w:rsidRPr="00925997" w:rsidRDefault="003B3C48" w:rsidP="003B3C48">
      <w:pPr>
        <w:pStyle w:val="ListParagraph"/>
        <w:ind w:left="1080"/>
        <w:rPr>
          <w:spacing w:val="-4"/>
        </w:rPr>
      </w:pPr>
      <w:r w:rsidRPr="00925997">
        <w:t>a. la legislación</w:t>
      </w:r>
    </w:p>
    <w:p w14:paraId="6145A067" w14:textId="77777777" w:rsidR="003B3C48" w:rsidRPr="00925997" w:rsidRDefault="003B3C48" w:rsidP="003B3C48">
      <w:pPr>
        <w:pStyle w:val="ListParagraph"/>
        <w:ind w:left="1080"/>
        <w:rPr>
          <w:spacing w:val="-4"/>
        </w:rPr>
      </w:pPr>
      <w:r w:rsidRPr="00925997">
        <w:t xml:space="preserve">b. los reglamentos </w:t>
      </w:r>
    </w:p>
    <w:p w14:paraId="47278043" w14:textId="77777777" w:rsidR="003B3C48" w:rsidRPr="00925997" w:rsidRDefault="003B3C48" w:rsidP="003B3C48">
      <w:pPr>
        <w:pStyle w:val="ListParagraph"/>
        <w:ind w:left="1080"/>
        <w:rPr>
          <w:spacing w:val="-4"/>
        </w:rPr>
      </w:pPr>
      <w:r w:rsidRPr="00925997">
        <w:t>c. los procedimientos administrativos</w:t>
      </w:r>
    </w:p>
    <w:p w14:paraId="517052F2" w14:textId="77777777" w:rsidR="00DA22F0" w:rsidRPr="00925997" w:rsidRDefault="003B3C48" w:rsidP="003B3C48">
      <w:pPr>
        <w:pStyle w:val="ListParagraph"/>
        <w:ind w:left="1080"/>
        <w:rPr>
          <w:spacing w:val="-4"/>
        </w:rPr>
      </w:pPr>
      <w:r w:rsidRPr="00925997">
        <w:t xml:space="preserve">d) otros </w:t>
      </w:r>
    </w:p>
    <w:p w14:paraId="5D2AE820" w14:textId="77777777" w:rsidR="003B3C48" w:rsidRPr="00925997" w:rsidRDefault="00DA22F0" w:rsidP="003B3C48">
      <w:pPr>
        <w:pStyle w:val="ListParagraph"/>
        <w:ind w:left="1080"/>
        <w:rPr>
          <w:spacing w:val="-4"/>
        </w:rPr>
      </w:pPr>
      <w:r w:rsidRPr="00925997">
        <w:t>[Comentarios]</w:t>
      </w:r>
    </w:p>
    <w:p w14:paraId="52180823" w14:textId="77777777" w:rsidR="003B3C48" w:rsidRPr="00925997" w:rsidRDefault="003B3C48" w:rsidP="003B3C48">
      <w:pPr>
        <w:rPr>
          <w:spacing w:val="-4"/>
        </w:rPr>
      </w:pPr>
    </w:p>
    <w:p w14:paraId="7EFD11DC" w14:textId="298CFBFC" w:rsidR="003B3C48" w:rsidRPr="00925997" w:rsidRDefault="003B3C48" w:rsidP="003B3C48">
      <w:pPr>
        <w:pStyle w:val="ListParagraph"/>
        <w:numPr>
          <w:ilvl w:val="0"/>
          <w:numId w:val="13"/>
        </w:numPr>
        <w:spacing w:after="200" w:line="276" w:lineRule="auto"/>
        <w:rPr>
          <w:spacing w:val="-4"/>
        </w:rPr>
      </w:pPr>
      <w:r w:rsidRPr="00925997">
        <w:t>¿Exige su país/organización un acuerdo formal para utilizar informes de los exámenes</w:t>
      </w:r>
      <w:r w:rsidR="001735C1" w:rsidRPr="00925997">
        <w:t> </w:t>
      </w:r>
      <w:r w:rsidRPr="00925997">
        <w:t>DHE de otro miembro de la</w:t>
      </w:r>
      <w:r w:rsidR="001735C1" w:rsidRPr="00925997">
        <w:t> </w:t>
      </w:r>
      <w:r w:rsidRPr="00925997">
        <w:t>UPOV? [sí/no]</w:t>
      </w:r>
    </w:p>
    <w:p w14:paraId="4DA31B62" w14:textId="4C59182C" w:rsidR="003B3C48" w:rsidRPr="00925997" w:rsidRDefault="003B3C48" w:rsidP="003B3C48">
      <w:pPr>
        <w:ind w:left="1080" w:hanging="720"/>
        <w:rPr>
          <w:spacing w:val="-4"/>
        </w:rPr>
      </w:pPr>
      <w:r w:rsidRPr="00925997">
        <w:t>iv)</w:t>
      </w:r>
      <w:r w:rsidRPr="00925997">
        <w:tab/>
        <w:t>Si la respuesta a la pregunta anterior es afirmativa, indique si se trata de un requisito establecido en</w:t>
      </w:r>
    </w:p>
    <w:p w14:paraId="055E5F30" w14:textId="77777777" w:rsidR="003B3C48" w:rsidRPr="00925997" w:rsidRDefault="003B3C48" w:rsidP="003B3C48">
      <w:pPr>
        <w:ind w:left="513" w:firstLine="567"/>
        <w:rPr>
          <w:spacing w:val="-4"/>
        </w:rPr>
      </w:pPr>
      <w:r w:rsidRPr="00925997">
        <w:t>a. la legislación</w:t>
      </w:r>
    </w:p>
    <w:p w14:paraId="10766D16" w14:textId="77777777" w:rsidR="003B3C48" w:rsidRPr="00925997" w:rsidRDefault="003B3C48" w:rsidP="003B3C48">
      <w:pPr>
        <w:ind w:left="513" w:firstLine="567"/>
        <w:rPr>
          <w:spacing w:val="-4"/>
        </w:rPr>
      </w:pPr>
      <w:r w:rsidRPr="00925997">
        <w:t xml:space="preserve">b. los reglamentos </w:t>
      </w:r>
    </w:p>
    <w:p w14:paraId="2A43A4C2" w14:textId="77777777" w:rsidR="003B3C48" w:rsidRPr="00925997" w:rsidRDefault="003B3C48" w:rsidP="003B3C48">
      <w:pPr>
        <w:ind w:left="513" w:firstLine="567"/>
        <w:rPr>
          <w:spacing w:val="-4"/>
        </w:rPr>
      </w:pPr>
      <w:r w:rsidRPr="00925997">
        <w:t>c. los procedimientos administrativos</w:t>
      </w:r>
    </w:p>
    <w:p w14:paraId="0014700F" w14:textId="77777777" w:rsidR="003B3C48" w:rsidRPr="00925997" w:rsidRDefault="003B3C48" w:rsidP="003B3C48">
      <w:pPr>
        <w:ind w:left="513" w:firstLine="567"/>
        <w:rPr>
          <w:spacing w:val="-4"/>
        </w:rPr>
      </w:pPr>
      <w:r w:rsidRPr="00925997">
        <w:t>d) otros</w:t>
      </w:r>
    </w:p>
    <w:p w14:paraId="2B1BB12A" w14:textId="77777777" w:rsidR="003B3C48" w:rsidRPr="00925997" w:rsidRDefault="00DA22F0" w:rsidP="003B3C48">
      <w:pPr>
        <w:ind w:left="513" w:firstLine="567"/>
        <w:rPr>
          <w:spacing w:val="-4"/>
        </w:rPr>
      </w:pPr>
      <w:r w:rsidRPr="00925997">
        <w:t>[Comentarios]</w:t>
      </w:r>
    </w:p>
    <w:p w14:paraId="60685733" w14:textId="77777777" w:rsidR="003B3C48" w:rsidRPr="00925997" w:rsidRDefault="003B3C48" w:rsidP="003B3C48">
      <w:pPr>
        <w:pStyle w:val="ListParagraph"/>
        <w:ind w:left="1080"/>
        <w:rPr>
          <w:spacing w:val="-4"/>
        </w:rPr>
      </w:pPr>
    </w:p>
    <w:p w14:paraId="1DE616D2" w14:textId="7163D3F9" w:rsidR="003B3C48" w:rsidRPr="00925997" w:rsidRDefault="003B3C48" w:rsidP="003B3C48">
      <w:pPr>
        <w:pStyle w:val="ListParagraph"/>
        <w:numPr>
          <w:ilvl w:val="0"/>
          <w:numId w:val="14"/>
        </w:numPr>
        <w:spacing w:after="200" w:line="276" w:lineRule="auto"/>
        <w:jc w:val="left"/>
        <w:rPr>
          <w:spacing w:val="-4"/>
        </w:rPr>
      </w:pPr>
      <w:r w:rsidRPr="00925997">
        <w:t>¿Existen requisitos en su país/organización para utilizar informes de los exámenes</w:t>
      </w:r>
      <w:r w:rsidR="001735C1" w:rsidRPr="00925997">
        <w:t> </w:t>
      </w:r>
      <w:r w:rsidRPr="00925997">
        <w:t>DHE de otro miembro de la</w:t>
      </w:r>
      <w:r w:rsidR="001735C1" w:rsidRPr="00925997">
        <w:t> </w:t>
      </w:r>
      <w:r w:rsidRPr="00925997">
        <w:t>UPOV? [sí/no] [en caso afirmativo, enumere los requisitos]</w:t>
      </w:r>
    </w:p>
    <w:p w14:paraId="1F064138" w14:textId="77777777" w:rsidR="003B3C48" w:rsidRPr="00925997" w:rsidRDefault="003B3C48" w:rsidP="003B3C48">
      <w:pPr>
        <w:pStyle w:val="ListParagraph"/>
        <w:numPr>
          <w:ilvl w:val="0"/>
          <w:numId w:val="14"/>
        </w:numPr>
        <w:spacing w:after="200" w:line="276" w:lineRule="auto"/>
        <w:jc w:val="left"/>
        <w:rPr>
          <w:spacing w:val="-4"/>
        </w:rPr>
      </w:pPr>
      <w:r w:rsidRPr="00925997">
        <w:t>Si la respuesta a la pregunta anterior es afirmativa, indique si se trata de requisitos establecidos en</w:t>
      </w:r>
    </w:p>
    <w:p w14:paraId="4E00CD65" w14:textId="77777777" w:rsidR="003B3C48" w:rsidRPr="00925997" w:rsidRDefault="003B3C48" w:rsidP="003B3C48">
      <w:pPr>
        <w:pStyle w:val="ListParagraph"/>
        <w:ind w:left="1080"/>
        <w:rPr>
          <w:spacing w:val="-4"/>
        </w:rPr>
      </w:pPr>
      <w:r w:rsidRPr="00925997">
        <w:t>a. la legislación</w:t>
      </w:r>
    </w:p>
    <w:p w14:paraId="0FD4838C" w14:textId="77777777" w:rsidR="003B3C48" w:rsidRPr="00925997" w:rsidRDefault="003B3C48" w:rsidP="003B3C48">
      <w:pPr>
        <w:pStyle w:val="ListParagraph"/>
        <w:ind w:left="1080"/>
        <w:rPr>
          <w:spacing w:val="-4"/>
        </w:rPr>
      </w:pPr>
      <w:r w:rsidRPr="00925997">
        <w:t xml:space="preserve">b. los reglamentos </w:t>
      </w:r>
    </w:p>
    <w:p w14:paraId="66C73BE4" w14:textId="77777777" w:rsidR="003B3C48" w:rsidRPr="00925997" w:rsidRDefault="003B3C48" w:rsidP="003B3C48">
      <w:pPr>
        <w:pStyle w:val="ListParagraph"/>
        <w:ind w:left="1080"/>
        <w:rPr>
          <w:spacing w:val="-4"/>
        </w:rPr>
      </w:pPr>
      <w:r w:rsidRPr="00925997">
        <w:t>c. los procedimientos administrativos</w:t>
      </w:r>
    </w:p>
    <w:p w14:paraId="04519637" w14:textId="77777777" w:rsidR="00DA22F0" w:rsidRPr="00925997" w:rsidRDefault="003B3C48" w:rsidP="003B3C48">
      <w:pPr>
        <w:pStyle w:val="ListParagraph"/>
        <w:ind w:left="1080"/>
      </w:pPr>
      <w:r w:rsidRPr="00925997">
        <w:t xml:space="preserve">d) otros </w:t>
      </w:r>
    </w:p>
    <w:p w14:paraId="48FC5D2C" w14:textId="77777777" w:rsidR="003B3C48" w:rsidRPr="00925997" w:rsidRDefault="00DA22F0" w:rsidP="003B3C48">
      <w:pPr>
        <w:pStyle w:val="ListParagraph"/>
        <w:ind w:left="1080"/>
      </w:pPr>
      <w:r w:rsidRPr="00925997">
        <w:t>[Comentarios]</w:t>
      </w:r>
    </w:p>
    <w:p w14:paraId="148F4CBC" w14:textId="77777777" w:rsidR="003B3C48" w:rsidRPr="00925997" w:rsidRDefault="003B3C48" w:rsidP="003B3C48">
      <w:pPr>
        <w:pStyle w:val="ListParagraph"/>
        <w:ind w:left="1080"/>
        <w:rPr>
          <w:spacing w:val="-4"/>
        </w:rPr>
      </w:pPr>
    </w:p>
    <w:p w14:paraId="587F836A" w14:textId="29D74FB1" w:rsidR="003B3C48" w:rsidRPr="00925997" w:rsidRDefault="003B3C48" w:rsidP="003B3C48">
      <w:pPr>
        <w:pStyle w:val="ListParagraph"/>
        <w:keepNext/>
        <w:numPr>
          <w:ilvl w:val="0"/>
          <w:numId w:val="14"/>
        </w:numPr>
        <w:spacing w:after="200" w:line="276" w:lineRule="auto"/>
        <w:rPr>
          <w:spacing w:val="-4"/>
        </w:rPr>
      </w:pPr>
      <w:r w:rsidRPr="00925997">
        <w:t>¿Acepta su país/organización informes de exámenes</w:t>
      </w:r>
      <w:r w:rsidR="001735C1" w:rsidRPr="00925997">
        <w:t> </w:t>
      </w:r>
      <w:r w:rsidRPr="00925997">
        <w:t xml:space="preserve">DHE efectuados </w:t>
      </w:r>
      <w:r w:rsidRPr="00925997">
        <w:rPr>
          <w:u w:val="single"/>
        </w:rPr>
        <w:t>dentro</w:t>
      </w:r>
      <w:r w:rsidRPr="00925997">
        <w:t xml:space="preserve"> del territorio de su país/organización en las instalaciones de los obtentores? </w:t>
      </w:r>
    </w:p>
    <w:p w14:paraId="2EE15F69" w14:textId="77777777" w:rsidR="00DA22F0" w:rsidRPr="00925997" w:rsidRDefault="00DA22F0" w:rsidP="00DA22F0">
      <w:pPr>
        <w:pStyle w:val="ListParagraph"/>
        <w:numPr>
          <w:ilvl w:val="1"/>
          <w:numId w:val="14"/>
        </w:numPr>
        <w:spacing w:after="200" w:line="276" w:lineRule="auto"/>
        <w:rPr>
          <w:spacing w:val="-4"/>
        </w:rPr>
      </w:pPr>
      <w:r w:rsidRPr="00925997">
        <w:t>Sí, siempre</w:t>
      </w:r>
    </w:p>
    <w:p w14:paraId="17161A2F" w14:textId="77777777" w:rsidR="003B3C48" w:rsidRPr="00925997" w:rsidRDefault="003B3C48" w:rsidP="003B3C48">
      <w:pPr>
        <w:pStyle w:val="ListParagraph"/>
        <w:keepNext/>
        <w:numPr>
          <w:ilvl w:val="1"/>
          <w:numId w:val="14"/>
        </w:numPr>
        <w:spacing w:after="200" w:line="276" w:lineRule="auto"/>
        <w:rPr>
          <w:spacing w:val="-4"/>
        </w:rPr>
      </w:pPr>
      <w:r w:rsidRPr="00925997">
        <w:t xml:space="preserve">Sí, en determinadas condiciones [enumere las condiciones] </w:t>
      </w:r>
    </w:p>
    <w:p w14:paraId="45F74B26" w14:textId="77777777" w:rsidR="003B3C48" w:rsidRPr="00925997" w:rsidRDefault="003B3C48" w:rsidP="003B3C48">
      <w:pPr>
        <w:pStyle w:val="ListParagraph"/>
        <w:keepNext/>
        <w:numPr>
          <w:ilvl w:val="1"/>
          <w:numId w:val="14"/>
        </w:numPr>
        <w:spacing w:after="200" w:line="276" w:lineRule="auto"/>
        <w:rPr>
          <w:spacing w:val="-4"/>
        </w:rPr>
      </w:pPr>
      <w:r w:rsidRPr="00925997">
        <w:t>No [aporte información sobre los motivos para no aceptarlos]</w:t>
      </w:r>
    </w:p>
    <w:p w14:paraId="3B0AD4FC" w14:textId="2ACDAA5F" w:rsidR="003B3C48" w:rsidRPr="00925997" w:rsidRDefault="003B3C48" w:rsidP="003B3C48">
      <w:pPr>
        <w:keepNext/>
        <w:ind w:left="1080" w:hanging="760"/>
        <w:rPr>
          <w:spacing w:val="-4"/>
        </w:rPr>
      </w:pPr>
      <w:r w:rsidRPr="00925997">
        <w:t>viii)</w:t>
      </w:r>
      <w:r w:rsidRPr="00925997">
        <w:tab/>
        <w:t>Si la respuesta a la pregunta anterior es afirmativa, en determinadas condiciones, o negativa, indique si las condiciones o el rechazo están establecidos en</w:t>
      </w:r>
    </w:p>
    <w:p w14:paraId="29999BC5" w14:textId="77777777" w:rsidR="003B3C48" w:rsidRPr="00925997" w:rsidRDefault="003B3C48" w:rsidP="003B3C48">
      <w:pPr>
        <w:keepNext/>
        <w:ind w:left="513" w:firstLine="567"/>
        <w:rPr>
          <w:spacing w:val="-4"/>
        </w:rPr>
      </w:pPr>
      <w:r w:rsidRPr="00925997">
        <w:t>a. la legislación</w:t>
      </w:r>
    </w:p>
    <w:p w14:paraId="04F98E57" w14:textId="77777777" w:rsidR="003B3C48" w:rsidRPr="00925997" w:rsidRDefault="003B3C48" w:rsidP="003B3C48">
      <w:pPr>
        <w:keepNext/>
        <w:ind w:left="513" w:firstLine="567"/>
        <w:rPr>
          <w:spacing w:val="-4"/>
        </w:rPr>
      </w:pPr>
      <w:r w:rsidRPr="00925997">
        <w:t xml:space="preserve">b. los reglamentos </w:t>
      </w:r>
    </w:p>
    <w:p w14:paraId="74D654CD" w14:textId="77777777" w:rsidR="003B3C48" w:rsidRPr="00925997" w:rsidRDefault="003B3C48" w:rsidP="003B3C48">
      <w:pPr>
        <w:keepNext/>
        <w:ind w:left="513" w:firstLine="567"/>
        <w:rPr>
          <w:spacing w:val="-4"/>
        </w:rPr>
      </w:pPr>
      <w:r w:rsidRPr="00925997">
        <w:t>c. los procedimientos administrativos</w:t>
      </w:r>
    </w:p>
    <w:p w14:paraId="5D803B53" w14:textId="77777777" w:rsidR="003B3C48" w:rsidRPr="00925997" w:rsidRDefault="003B3C48" w:rsidP="003B3C48">
      <w:pPr>
        <w:keepNext/>
        <w:ind w:left="513" w:firstLine="567"/>
        <w:rPr>
          <w:spacing w:val="-4"/>
        </w:rPr>
      </w:pPr>
      <w:r w:rsidRPr="00925997">
        <w:t>d) otros</w:t>
      </w:r>
    </w:p>
    <w:p w14:paraId="1B70CCED" w14:textId="77777777" w:rsidR="003B3C48" w:rsidRPr="00925997" w:rsidRDefault="00DA22F0" w:rsidP="003B3C48">
      <w:pPr>
        <w:keepNext/>
        <w:ind w:left="513" w:firstLine="567"/>
        <w:rPr>
          <w:spacing w:val="-4"/>
        </w:rPr>
      </w:pPr>
      <w:r w:rsidRPr="00925997">
        <w:t>[Comentarios*</w:t>
      </w:r>
    </w:p>
    <w:p w14:paraId="5172578B" w14:textId="77777777" w:rsidR="003B3C48" w:rsidRPr="00925997" w:rsidRDefault="003B3C48" w:rsidP="003B3C48">
      <w:pPr>
        <w:pStyle w:val="ListParagraph"/>
        <w:ind w:left="1140"/>
        <w:rPr>
          <w:spacing w:val="-4"/>
        </w:rPr>
      </w:pPr>
    </w:p>
    <w:p w14:paraId="2A955939" w14:textId="1AAE8924" w:rsidR="003B3C48" w:rsidRPr="00925997" w:rsidRDefault="003B3C48" w:rsidP="003B3C48">
      <w:pPr>
        <w:pStyle w:val="ListParagraph"/>
        <w:numPr>
          <w:ilvl w:val="0"/>
          <w:numId w:val="15"/>
        </w:numPr>
        <w:spacing w:after="200" w:line="276" w:lineRule="auto"/>
        <w:jc w:val="left"/>
        <w:rPr>
          <w:spacing w:val="-4"/>
        </w:rPr>
      </w:pPr>
      <w:r w:rsidRPr="00925997">
        <w:t>¿Acepta su país/organización informes de exámenes</w:t>
      </w:r>
      <w:r w:rsidR="001735C1" w:rsidRPr="00925997">
        <w:t> </w:t>
      </w:r>
      <w:r w:rsidRPr="00925997">
        <w:t xml:space="preserve">DHE efectuados </w:t>
      </w:r>
      <w:r w:rsidRPr="00925997">
        <w:rPr>
          <w:u w:val="single"/>
        </w:rPr>
        <w:t>fuera</w:t>
      </w:r>
      <w:r w:rsidRPr="00925997">
        <w:t xml:space="preserve"> del territorio de su país/organización en las instalaciones de los obtentores? </w:t>
      </w:r>
    </w:p>
    <w:p w14:paraId="3E8C9E7F" w14:textId="77777777" w:rsidR="00DA22F0" w:rsidRPr="00925997" w:rsidRDefault="00DA22F0" w:rsidP="00DA22F0">
      <w:pPr>
        <w:pStyle w:val="ListParagraph"/>
        <w:numPr>
          <w:ilvl w:val="1"/>
          <w:numId w:val="15"/>
        </w:numPr>
        <w:spacing w:after="200" w:line="276" w:lineRule="auto"/>
        <w:rPr>
          <w:spacing w:val="-4"/>
        </w:rPr>
      </w:pPr>
      <w:r w:rsidRPr="00925997">
        <w:t>Sí, siempre</w:t>
      </w:r>
    </w:p>
    <w:p w14:paraId="33A95038" w14:textId="77777777" w:rsidR="003B3C48" w:rsidRPr="00925997" w:rsidRDefault="003B3C48" w:rsidP="003B3C48">
      <w:pPr>
        <w:pStyle w:val="ListParagraph"/>
        <w:numPr>
          <w:ilvl w:val="1"/>
          <w:numId w:val="15"/>
        </w:numPr>
        <w:spacing w:after="200" w:line="276" w:lineRule="auto"/>
        <w:rPr>
          <w:spacing w:val="-4"/>
        </w:rPr>
      </w:pPr>
      <w:r w:rsidRPr="00925997">
        <w:t xml:space="preserve">Sí, en determinadas condiciones [enumere las condiciones] </w:t>
      </w:r>
    </w:p>
    <w:p w14:paraId="01774545" w14:textId="77777777" w:rsidR="003B3C48" w:rsidRPr="00925997" w:rsidRDefault="003B3C48" w:rsidP="003B3C48">
      <w:pPr>
        <w:pStyle w:val="ListParagraph"/>
        <w:numPr>
          <w:ilvl w:val="1"/>
          <w:numId w:val="15"/>
        </w:numPr>
        <w:spacing w:after="200" w:line="276" w:lineRule="auto"/>
        <w:rPr>
          <w:spacing w:val="-4"/>
        </w:rPr>
      </w:pPr>
      <w:r w:rsidRPr="00925997">
        <w:t>No [aporte información sobre los motivos para no aceptarlos]</w:t>
      </w:r>
    </w:p>
    <w:p w14:paraId="57A92222" w14:textId="3FD768B3" w:rsidR="003B3C48" w:rsidRPr="00925997" w:rsidRDefault="003B3C48" w:rsidP="003B3C48">
      <w:pPr>
        <w:ind w:left="1080" w:hanging="760"/>
        <w:rPr>
          <w:spacing w:val="-4"/>
        </w:rPr>
      </w:pPr>
      <w:r w:rsidRPr="00925997">
        <w:t>x)</w:t>
      </w:r>
      <w:r w:rsidRPr="00925997">
        <w:tab/>
        <w:t>Si la respuesta a la pregunta anterior es afirmativa, en determinadas condiciones, o negativa, indique si las condiciones o el rechazo están establecidos en</w:t>
      </w:r>
    </w:p>
    <w:p w14:paraId="0E8F69CB" w14:textId="77777777" w:rsidR="003B3C48" w:rsidRPr="00925997" w:rsidRDefault="003B3C48" w:rsidP="003B3C48">
      <w:pPr>
        <w:ind w:left="513" w:firstLine="567"/>
        <w:rPr>
          <w:spacing w:val="-4"/>
        </w:rPr>
      </w:pPr>
      <w:r w:rsidRPr="00925997">
        <w:t>a. la legislación</w:t>
      </w:r>
    </w:p>
    <w:p w14:paraId="2EDA3DDB" w14:textId="77777777" w:rsidR="003B3C48" w:rsidRPr="00925997" w:rsidRDefault="003B3C48" w:rsidP="003B3C48">
      <w:pPr>
        <w:ind w:left="513" w:firstLine="567"/>
        <w:rPr>
          <w:spacing w:val="-4"/>
        </w:rPr>
      </w:pPr>
      <w:r w:rsidRPr="00925997">
        <w:t xml:space="preserve">b. los reglamentos </w:t>
      </w:r>
    </w:p>
    <w:p w14:paraId="0583BB60" w14:textId="77777777" w:rsidR="003B3C48" w:rsidRPr="00925997" w:rsidRDefault="003B3C48" w:rsidP="003B3C48">
      <w:pPr>
        <w:ind w:left="513" w:firstLine="567"/>
        <w:rPr>
          <w:spacing w:val="-4"/>
        </w:rPr>
      </w:pPr>
      <w:r w:rsidRPr="00925997">
        <w:t>c. los procedimientos administrativos</w:t>
      </w:r>
    </w:p>
    <w:p w14:paraId="29B809EC" w14:textId="77777777" w:rsidR="003B3C48" w:rsidRPr="00925997" w:rsidRDefault="003B3C48" w:rsidP="003B3C48">
      <w:pPr>
        <w:ind w:left="513" w:firstLine="567"/>
        <w:rPr>
          <w:spacing w:val="-4"/>
        </w:rPr>
      </w:pPr>
      <w:r w:rsidRPr="00925997">
        <w:t>d) otros</w:t>
      </w:r>
    </w:p>
    <w:p w14:paraId="1461777B" w14:textId="77777777" w:rsidR="003B3C48" w:rsidRPr="00925997" w:rsidRDefault="00DA22F0" w:rsidP="003B3C48">
      <w:pPr>
        <w:ind w:left="513" w:firstLine="567"/>
        <w:rPr>
          <w:spacing w:val="-4"/>
        </w:rPr>
      </w:pPr>
      <w:r w:rsidRPr="00925997">
        <w:t>[Comentarios]</w:t>
      </w:r>
    </w:p>
    <w:p w14:paraId="7A316DDD" w14:textId="77777777" w:rsidR="003B3C48" w:rsidRPr="00925997" w:rsidRDefault="003B3C48" w:rsidP="003B3C48">
      <w:pPr>
        <w:rPr>
          <w:spacing w:val="-4"/>
        </w:rPr>
      </w:pPr>
    </w:p>
    <w:p w14:paraId="5550C2BA" w14:textId="10EBFEA9" w:rsidR="003B3C48" w:rsidRPr="00925997" w:rsidRDefault="003B3C48" w:rsidP="003B3C48">
      <w:pPr>
        <w:pStyle w:val="ListParagraph"/>
        <w:numPr>
          <w:ilvl w:val="0"/>
          <w:numId w:val="16"/>
        </w:numPr>
        <w:spacing w:after="200" w:line="276" w:lineRule="auto"/>
        <w:jc w:val="left"/>
        <w:rPr>
          <w:spacing w:val="-4"/>
        </w:rPr>
      </w:pPr>
      <w:r w:rsidRPr="00925997">
        <w:t xml:space="preserve">¿Se hace su país/organización cargo de informes de examen cuando las descripciones de las variedades no se ajustan a los caracteres de las </w:t>
      </w:r>
      <w:r w:rsidRPr="00925997">
        <w:rPr>
          <w:u w:val="single"/>
        </w:rPr>
        <w:t>directrices de examen de la</w:t>
      </w:r>
      <w:r w:rsidR="001735C1" w:rsidRPr="00925997">
        <w:rPr>
          <w:u w:val="single"/>
        </w:rPr>
        <w:t> </w:t>
      </w:r>
      <w:r w:rsidRPr="00925997">
        <w:rPr>
          <w:u w:val="single"/>
        </w:rPr>
        <w:t>UPOV</w:t>
      </w:r>
      <w:r w:rsidRPr="00925997">
        <w:t>? [sí/no] [Comentarios]</w:t>
      </w:r>
    </w:p>
    <w:p w14:paraId="164B34C3" w14:textId="77777777" w:rsidR="003B3C48" w:rsidRPr="00925997" w:rsidRDefault="003B3C48" w:rsidP="003B3C48">
      <w:pPr>
        <w:pStyle w:val="ListParagraph"/>
        <w:ind w:left="1080"/>
        <w:rPr>
          <w:spacing w:val="-4"/>
        </w:rPr>
      </w:pPr>
    </w:p>
    <w:p w14:paraId="5E33D27D" w14:textId="77777777" w:rsidR="003B3C48" w:rsidRPr="00925997" w:rsidRDefault="003B3C48" w:rsidP="003B3C48">
      <w:pPr>
        <w:pStyle w:val="ListParagraph"/>
        <w:numPr>
          <w:ilvl w:val="0"/>
          <w:numId w:val="16"/>
        </w:numPr>
        <w:spacing w:after="200" w:line="276" w:lineRule="auto"/>
        <w:rPr>
          <w:spacing w:val="-4"/>
        </w:rPr>
      </w:pPr>
      <w:r w:rsidRPr="00925997">
        <w:t xml:space="preserve">¿Se hace su país/organización cargo de informes de examen cuando las descripciones de las variedades no se ajustan a los caracteres de las </w:t>
      </w:r>
      <w:r w:rsidRPr="00925997">
        <w:rPr>
          <w:u w:val="single"/>
        </w:rPr>
        <w:t>directrices de examen de su país/organización</w:t>
      </w:r>
      <w:r w:rsidRPr="00925997">
        <w:t>? [sí/no] [Comentarios]</w:t>
      </w:r>
    </w:p>
    <w:p w14:paraId="051EE15A" w14:textId="77777777" w:rsidR="003B3C48" w:rsidRPr="00925997" w:rsidRDefault="003B3C48" w:rsidP="003B3C48">
      <w:pPr>
        <w:pStyle w:val="ListParagraph"/>
        <w:rPr>
          <w:spacing w:val="-4"/>
        </w:rPr>
      </w:pPr>
    </w:p>
    <w:p w14:paraId="0CB7E84E" w14:textId="77777777" w:rsidR="003B3C48" w:rsidRPr="00925997" w:rsidRDefault="003B3C48" w:rsidP="003B3C48">
      <w:pPr>
        <w:rPr>
          <w:spacing w:val="-4"/>
        </w:rPr>
      </w:pPr>
    </w:p>
    <w:p w14:paraId="0657AB11" w14:textId="213489E3" w:rsidR="003B3C48" w:rsidRPr="00925997" w:rsidRDefault="003B3C48" w:rsidP="003B3C48">
      <w:pPr>
        <w:pStyle w:val="ListParagraph"/>
        <w:numPr>
          <w:ilvl w:val="0"/>
          <w:numId w:val="16"/>
        </w:numPr>
        <w:spacing w:after="200" w:line="276" w:lineRule="auto"/>
        <w:rPr>
          <w:spacing w:val="-4"/>
        </w:rPr>
      </w:pPr>
      <w:r w:rsidRPr="00925997">
        <w:t>¿Acepta su país/organización hacerse cargo de los informes de examen</w:t>
      </w:r>
      <w:r w:rsidR="001735C1" w:rsidRPr="00925997">
        <w:t> </w:t>
      </w:r>
      <w:r w:rsidRPr="00925997">
        <w:t xml:space="preserve">DHE cuando los solicitantes no pueden presentar material vegetal por motivos fitosanitarios u otras cuestiones conexas? </w:t>
      </w:r>
    </w:p>
    <w:p w14:paraId="6C4A5D86" w14:textId="77777777" w:rsidR="00DA22F0" w:rsidRPr="00925997" w:rsidRDefault="00DA22F0" w:rsidP="00DA22F0">
      <w:pPr>
        <w:pStyle w:val="ListParagraph"/>
        <w:numPr>
          <w:ilvl w:val="1"/>
          <w:numId w:val="16"/>
        </w:numPr>
        <w:spacing w:after="200" w:line="276" w:lineRule="auto"/>
        <w:rPr>
          <w:spacing w:val="-4"/>
        </w:rPr>
      </w:pPr>
      <w:r w:rsidRPr="00925997">
        <w:t>Sí, siempre</w:t>
      </w:r>
    </w:p>
    <w:p w14:paraId="7BF2E047" w14:textId="77777777" w:rsidR="003B3C48" w:rsidRPr="00925997" w:rsidRDefault="003B3C48" w:rsidP="003B3C48">
      <w:pPr>
        <w:pStyle w:val="ListParagraph"/>
        <w:numPr>
          <w:ilvl w:val="1"/>
          <w:numId w:val="16"/>
        </w:numPr>
        <w:spacing w:after="200" w:line="276" w:lineRule="auto"/>
        <w:rPr>
          <w:spacing w:val="-4"/>
        </w:rPr>
      </w:pPr>
      <w:r w:rsidRPr="00925997">
        <w:t xml:space="preserve">Sí, en determinadas condiciones [enumere las condiciones] </w:t>
      </w:r>
    </w:p>
    <w:p w14:paraId="2F92F4B6" w14:textId="77777777" w:rsidR="003B3C48" w:rsidRPr="00925997" w:rsidRDefault="003B3C48" w:rsidP="003B3C48">
      <w:pPr>
        <w:pStyle w:val="ListParagraph"/>
        <w:numPr>
          <w:ilvl w:val="1"/>
          <w:numId w:val="16"/>
        </w:numPr>
        <w:spacing w:after="200" w:line="276" w:lineRule="auto"/>
        <w:rPr>
          <w:spacing w:val="-4"/>
        </w:rPr>
      </w:pPr>
      <w:r w:rsidRPr="00925997">
        <w:t>No [sírvase aportar información sobre los motivos para no aceptarlos]</w:t>
      </w:r>
    </w:p>
    <w:p w14:paraId="33C2B9C4" w14:textId="77777777" w:rsidR="003B3C48" w:rsidRPr="00925997" w:rsidRDefault="003B3C48" w:rsidP="003B3C48">
      <w:pPr>
        <w:pStyle w:val="ListParagraph"/>
        <w:ind w:left="1440"/>
        <w:rPr>
          <w:spacing w:val="-4"/>
        </w:rPr>
      </w:pPr>
    </w:p>
    <w:p w14:paraId="505D7143" w14:textId="77777777" w:rsidR="003B3C48" w:rsidRPr="00925997" w:rsidRDefault="003B3C48" w:rsidP="003B3C48">
      <w:pPr>
        <w:pStyle w:val="ListParagraph"/>
        <w:keepNext/>
        <w:numPr>
          <w:ilvl w:val="0"/>
          <w:numId w:val="16"/>
        </w:numPr>
        <w:spacing w:after="200" w:line="276" w:lineRule="auto"/>
        <w:jc w:val="left"/>
        <w:rPr>
          <w:spacing w:val="-4"/>
        </w:rPr>
      </w:pPr>
      <w:r w:rsidRPr="00925997">
        <w:t>Si la respuesta a la pregunta anterior es afirmativa, en determinadas condiciones, o negativa, indique si las condiciones o el rechazo están establecidos en</w:t>
      </w:r>
    </w:p>
    <w:p w14:paraId="2BCF081C" w14:textId="77777777" w:rsidR="003B3C48" w:rsidRPr="00925997" w:rsidRDefault="003B3C48" w:rsidP="003B3C48">
      <w:pPr>
        <w:pStyle w:val="ListParagraph"/>
        <w:keepNext/>
        <w:ind w:left="1080"/>
        <w:rPr>
          <w:spacing w:val="-4"/>
        </w:rPr>
      </w:pPr>
      <w:r w:rsidRPr="00925997">
        <w:t>a. la legislación</w:t>
      </w:r>
    </w:p>
    <w:p w14:paraId="4076DBCF" w14:textId="77777777" w:rsidR="003B3C48" w:rsidRPr="00925997" w:rsidRDefault="003B3C48" w:rsidP="003B3C48">
      <w:pPr>
        <w:pStyle w:val="ListParagraph"/>
        <w:keepNext/>
        <w:ind w:left="1080"/>
        <w:rPr>
          <w:spacing w:val="-4"/>
        </w:rPr>
      </w:pPr>
      <w:r w:rsidRPr="00925997">
        <w:t xml:space="preserve">b. los reglamentos </w:t>
      </w:r>
    </w:p>
    <w:p w14:paraId="2ADB7289" w14:textId="77777777" w:rsidR="003B3C48" w:rsidRPr="00925997" w:rsidRDefault="003B3C48" w:rsidP="003B3C48">
      <w:pPr>
        <w:pStyle w:val="ListParagraph"/>
        <w:keepNext/>
        <w:ind w:left="1080"/>
        <w:rPr>
          <w:spacing w:val="-4"/>
        </w:rPr>
      </w:pPr>
      <w:r w:rsidRPr="00925997">
        <w:t>c. los procedimientos administrativos</w:t>
      </w:r>
    </w:p>
    <w:p w14:paraId="3FC5BF8C" w14:textId="77777777" w:rsidR="003B3C48" w:rsidRPr="00925997" w:rsidRDefault="003B3C48" w:rsidP="003B3C48">
      <w:pPr>
        <w:pStyle w:val="ListParagraph"/>
        <w:keepNext/>
        <w:ind w:left="1080"/>
        <w:rPr>
          <w:spacing w:val="-4"/>
        </w:rPr>
      </w:pPr>
      <w:r w:rsidRPr="00925997">
        <w:t>d) Otras [ ]</w:t>
      </w:r>
    </w:p>
    <w:p w14:paraId="2052262B" w14:textId="77777777" w:rsidR="003B3C48" w:rsidRPr="00925997" w:rsidRDefault="003B3C48" w:rsidP="003B3C48">
      <w:pPr>
        <w:pStyle w:val="ListParagraph"/>
        <w:keepNext/>
        <w:ind w:left="1080"/>
        <w:rPr>
          <w:spacing w:val="-4"/>
        </w:rPr>
      </w:pPr>
      <w:r w:rsidRPr="00925997">
        <w:t>Comentarios</w:t>
      </w:r>
    </w:p>
    <w:p w14:paraId="0A8EFDF7" w14:textId="77777777" w:rsidR="003B3C48" w:rsidRPr="00925997" w:rsidRDefault="003B3C48" w:rsidP="003B3C48">
      <w:pPr>
        <w:pStyle w:val="ListParagraph"/>
        <w:ind w:left="1080"/>
        <w:rPr>
          <w:spacing w:val="-4"/>
        </w:rPr>
      </w:pPr>
      <w:r w:rsidRPr="00925997">
        <w:t>[Sírvase aportar información sobre otras cuestiones conexas, según proceda]</w:t>
      </w:r>
    </w:p>
    <w:p w14:paraId="2AB1A501" w14:textId="77777777" w:rsidR="003B3C48" w:rsidRPr="00925997" w:rsidRDefault="003B3C48" w:rsidP="003B3C48">
      <w:pPr>
        <w:tabs>
          <w:tab w:val="left" w:pos="567"/>
        </w:tabs>
        <w:rPr>
          <w:spacing w:val="-4"/>
        </w:rPr>
      </w:pPr>
    </w:p>
    <w:p w14:paraId="7C13DAA5" w14:textId="77777777" w:rsidR="003B3C48" w:rsidRPr="00925997" w:rsidRDefault="00DA22F0" w:rsidP="00C34193">
      <w:pPr>
        <w:pStyle w:val="Heading2"/>
      </w:pPr>
      <w:bookmarkStart w:id="13" w:name="_Toc109944164"/>
      <w:bookmarkStart w:id="14" w:name="_Toc109944172"/>
      <w:r w:rsidRPr="00925997">
        <w:t>Solicitar a las organizaciones de obtentores que aclaren las cuestiones relativas al deseo de los obtentores de utilizar o no los informes de examen DHE existentes</w:t>
      </w:r>
      <w:bookmarkEnd w:id="13"/>
      <w:bookmarkEnd w:id="14"/>
    </w:p>
    <w:p w14:paraId="20B7F07E" w14:textId="77777777" w:rsidR="003B3C48" w:rsidRPr="00925997" w:rsidRDefault="003B3C48" w:rsidP="003B3C48"/>
    <w:p w14:paraId="4B91D1B0" w14:textId="7E4D48FC" w:rsidR="003B3C48" w:rsidRPr="00925997" w:rsidRDefault="003B3C48" w:rsidP="003B3C48">
      <w:pPr>
        <w:tabs>
          <w:tab w:val="left" w:pos="567"/>
        </w:tabs>
        <w:rPr>
          <w:spacing w:val="-4"/>
        </w:rPr>
      </w:pPr>
      <w:r w:rsidRPr="00925997">
        <w:fldChar w:fldCharType="begin"/>
      </w:r>
      <w:r w:rsidRPr="00925997">
        <w:instrText xml:space="preserve"> AUTONUM  </w:instrText>
      </w:r>
      <w:r w:rsidRPr="00925997">
        <w:fldChar w:fldCharType="end"/>
      </w:r>
      <w:r w:rsidRPr="00925997">
        <w:tab/>
        <w:t>Antes de proponer medidas para superar el obstáculo de política o jurídico relativo al apartado iv) “deseo de los obtentores de utilizar (o no) los informes</w:t>
      </w:r>
      <w:r w:rsidR="001735C1" w:rsidRPr="00925997">
        <w:t> </w:t>
      </w:r>
      <w:r w:rsidRPr="00925997">
        <w:t xml:space="preserve">DHE existentes”, es importante aclarar las cuestiones al respecto con las organizaciones de obtentores. </w:t>
      </w:r>
    </w:p>
    <w:p w14:paraId="34262474" w14:textId="77777777" w:rsidR="003B3C48" w:rsidRPr="00925997" w:rsidRDefault="003B3C48" w:rsidP="003B3C48">
      <w:pPr>
        <w:tabs>
          <w:tab w:val="left" w:pos="567"/>
        </w:tabs>
        <w:rPr>
          <w:spacing w:val="-4"/>
        </w:rPr>
      </w:pPr>
    </w:p>
    <w:p w14:paraId="365155FA" w14:textId="3AE2F70C" w:rsidR="003B3C48" w:rsidRPr="00925997" w:rsidRDefault="003B3C48" w:rsidP="003B3C48">
      <w:r w:rsidRPr="00925997">
        <w:fldChar w:fldCharType="begin"/>
      </w:r>
      <w:r w:rsidRPr="00925997">
        <w:instrText xml:space="preserve"> AUTONUM  </w:instrText>
      </w:r>
      <w:r w:rsidRPr="00925997">
        <w:fldChar w:fldCharType="end"/>
      </w:r>
      <w:r w:rsidRPr="00925997">
        <w:tab/>
        <w:t>El</w:t>
      </w:r>
      <w:r w:rsidR="001735C1" w:rsidRPr="00925997">
        <w:t> </w:t>
      </w:r>
      <w:r w:rsidRPr="00925997">
        <w:t>26 de julio de</w:t>
      </w:r>
      <w:r w:rsidR="001735C1" w:rsidRPr="00925997">
        <w:t> </w:t>
      </w:r>
      <w:r w:rsidRPr="00925997">
        <w:t>2022, la</w:t>
      </w:r>
      <w:r w:rsidR="001735C1" w:rsidRPr="00925997">
        <w:t> </w:t>
      </w:r>
      <w:r w:rsidRPr="00925997">
        <w:t>Oficina de la</w:t>
      </w:r>
      <w:r w:rsidR="001735C1" w:rsidRPr="00925997">
        <w:t> </w:t>
      </w:r>
      <w:r w:rsidRPr="00925997">
        <w:t>Unión envió la Circular E 22/104 en la que invita a las organizaciones de obtentores a proporcionar información sobre situaciones en las que los obtentores preferirían repetir el examen</w:t>
      </w:r>
      <w:r w:rsidR="001735C1" w:rsidRPr="00925997">
        <w:t> </w:t>
      </w:r>
      <w:r w:rsidRPr="00925997">
        <w:t>DHE en vez de asumir informes de examen existentes; y situaciones en las que preferirían asumir informes de examen existentes (en lugar de repetir el examen). Las respuestas a la Circular E-22/104 se presentarán en la septuagésima novena sesión del</w:t>
      </w:r>
      <w:r w:rsidR="001735C1" w:rsidRPr="00925997">
        <w:t> </w:t>
      </w:r>
      <w:r w:rsidRPr="00925997">
        <w:t>CAJ.</w:t>
      </w:r>
    </w:p>
    <w:p w14:paraId="695C1782" w14:textId="77777777" w:rsidR="003B3C48" w:rsidRPr="00925997" w:rsidRDefault="003B3C48" w:rsidP="003B3C48">
      <w:pPr>
        <w:tabs>
          <w:tab w:val="left" w:pos="567"/>
        </w:tabs>
        <w:rPr>
          <w:spacing w:val="-4"/>
        </w:rPr>
      </w:pPr>
    </w:p>
    <w:p w14:paraId="0CFEBF34" w14:textId="1F0F44E6" w:rsidR="003B3C48" w:rsidRPr="00925997" w:rsidRDefault="003B3C48" w:rsidP="00C34193">
      <w:pPr>
        <w:pStyle w:val="Heading2"/>
      </w:pPr>
      <w:bookmarkStart w:id="15" w:name="_Toc109944165"/>
      <w:bookmarkStart w:id="16" w:name="_Toc109944173"/>
      <w:r w:rsidRPr="00925997">
        <w:t>Elaborar notas explicativas sobre el artículo</w:t>
      </w:r>
      <w:r w:rsidR="001735C1" w:rsidRPr="00925997">
        <w:t> </w:t>
      </w:r>
      <w:r w:rsidRPr="00925997">
        <w:t>12 del Convenio de la</w:t>
      </w:r>
      <w:r w:rsidR="001735C1" w:rsidRPr="00925997">
        <w:t> </w:t>
      </w:r>
      <w:r w:rsidRPr="00925997">
        <w:t>UPOV (“Examen de la solicitud”).</w:t>
      </w:r>
      <w:bookmarkEnd w:id="15"/>
      <w:bookmarkEnd w:id="16"/>
    </w:p>
    <w:p w14:paraId="23F9F3BA" w14:textId="77777777" w:rsidR="003B3C48" w:rsidRPr="00925997" w:rsidRDefault="003B3C48" w:rsidP="003B3C48">
      <w:pPr>
        <w:tabs>
          <w:tab w:val="left" w:pos="567"/>
        </w:tabs>
        <w:rPr>
          <w:spacing w:val="-4"/>
        </w:rPr>
      </w:pPr>
    </w:p>
    <w:p w14:paraId="4707E523" w14:textId="3549F0B6" w:rsidR="003B3C48" w:rsidRPr="00925997" w:rsidRDefault="003B3C48" w:rsidP="003B3C48">
      <w:pPr>
        <w:tabs>
          <w:tab w:val="left" w:pos="567"/>
        </w:tabs>
      </w:pPr>
      <w:r w:rsidRPr="00925997">
        <w:fldChar w:fldCharType="begin"/>
      </w:r>
      <w:r w:rsidRPr="00925997">
        <w:instrText xml:space="preserve"> AUTONUM  </w:instrText>
      </w:r>
      <w:r w:rsidRPr="00925997">
        <w:fldChar w:fldCharType="end"/>
      </w:r>
      <w:r w:rsidRPr="00925997">
        <w:tab/>
        <w:t>El objetivo de las notas explicativas sobre el “Examen de la solicitud” sería elaborar un conjunto coherente de orientaciones y modelos de cooperación en materia de examen</w:t>
      </w:r>
      <w:r w:rsidR="001735C1" w:rsidRPr="00925997">
        <w:t> </w:t>
      </w:r>
      <w:r w:rsidRPr="00925997">
        <w:t>DHE en distintas situaciones. En las notas explicativas sobre el “Examen de la solicitud” se deberían explicar todas las opciones de examen de las variedades, tal como se establece en el Convenio de la</w:t>
      </w:r>
      <w:r w:rsidR="001735C1" w:rsidRPr="00925997">
        <w:t> </w:t>
      </w:r>
      <w:r w:rsidRPr="00925997">
        <w:t>UPOV.</w:t>
      </w:r>
    </w:p>
    <w:p w14:paraId="14EE3CE5" w14:textId="77777777" w:rsidR="003B3C48" w:rsidRPr="00925997" w:rsidRDefault="003B3C48" w:rsidP="003B3C48">
      <w:pPr>
        <w:tabs>
          <w:tab w:val="left" w:pos="567"/>
        </w:tabs>
      </w:pPr>
    </w:p>
    <w:p w14:paraId="12A2D41E" w14:textId="4EFBAEAB" w:rsidR="003B3C48" w:rsidRPr="00925997" w:rsidRDefault="003B3C48" w:rsidP="003B3C48">
      <w:pPr>
        <w:tabs>
          <w:tab w:val="left" w:pos="567"/>
        </w:tabs>
      </w:pPr>
      <w:r w:rsidRPr="00925997">
        <w:fldChar w:fldCharType="begin"/>
      </w:r>
      <w:r w:rsidRPr="00925997">
        <w:instrText xml:space="preserve"> AUTONUM  </w:instrText>
      </w:r>
      <w:r w:rsidRPr="00925997">
        <w:fldChar w:fldCharType="end"/>
      </w:r>
      <w:r w:rsidRPr="00925997">
        <w:tab/>
        <w:t>La información aportada por los miembros de la</w:t>
      </w:r>
      <w:r w:rsidR="001735C1" w:rsidRPr="00925997">
        <w:t> </w:t>
      </w:r>
      <w:r w:rsidRPr="00925997">
        <w:t>Unión y las organizaciones de obtentores podría facilitar la comprensión de los obstáculos de política o jurídicos que impiden la cooperación internacional en materia de examen</w:t>
      </w:r>
      <w:r w:rsidR="001735C1" w:rsidRPr="00925997">
        <w:t> </w:t>
      </w:r>
      <w:r w:rsidRPr="00925997">
        <w:t>DHE (véanse los párrafos</w:t>
      </w:r>
      <w:r w:rsidR="001735C1" w:rsidRPr="00925997">
        <w:t> </w:t>
      </w:r>
      <w:r w:rsidRPr="00925997">
        <w:t>18 y</w:t>
      </w:r>
      <w:r w:rsidR="001735C1" w:rsidRPr="00925997">
        <w:t> </w:t>
      </w:r>
      <w:r w:rsidRPr="00925997">
        <w:t>20 anteriores). Por lo tanto, se propone posponer la elaboración de las notas explicativas sobre el “Examen de la solicitud” hasta que esta información esté disponible y sea examinada por el</w:t>
      </w:r>
      <w:r w:rsidR="001735C1" w:rsidRPr="00925997">
        <w:t> </w:t>
      </w:r>
      <w:r w:rsidRPr="00925997">
        <w:t>CAJ.</w:t>
      </w:r>
    </w:p>
    <w:p w14:paraId="0BB03BD9" w14:textId="77777777" w:rsidR="003B3C48" w:rsidRPr="00925997" w:rsidRDefault="003B3C48" w:rsidP="003B3C48">
      <w:pPr>
        <w:tabs>
          <w:tab w:val="left" w:pos="567"/>
        </w:tabs>
        <w:rPr>
          <w:spacing w:val="-4"/>
        </w:rPr>
      </w:pPr>
    </w:p>
    <w:p w14:paraId="02F4A91C" w14:textId="77777777" w:rsidR="003B3C48" w:rsidRPr="00925997" w:rsidRDefault="003B3C48" w:rsidP="003B3C48">
      <w:pPr>
        <w:tabs>
          <w:tab w:val="left" w:pos="567"/>
        </w:tabs>
        <w:rPr>
          <w:spacing w:val="-4"/>
        </w:rPr>
      </w:pPr>
    </w:p>
    <w:p w14:paraId="7F085044" w14:textId="517B75D3" w:rsidR="003B3C48" w:rsidRPr="00925997" w:rsidRDefault="003B3C48" w:rsidP="003B3C48">
      <w:pPr>
        <w:keepNext/>
        <w:keepLines/>
        <w:tabs>
          <w:tab w:val="left" w:pos="5387"/>
          <w:tab w:val="left" w:pos="5954"/>
        </w:tabs>
        <w:ind w:left="4820"/>
        <w:rPr>
          <w:i/>
          <w:snapToGrid w:val="0"/>
        </w:rPr>
      </w:pPr>
      <w:r w:rsidRPr="00925997">
        <w:rPr>
          <w:i/>
          <w:snapToGrid w:val="0"/>
        </w:rPr>
        <w:lastRenderedPageBreak/>
        <w:fldChar w:fldCharType="begin"/>
      </w:r>
      <w:r w:rsidRPr="00925997">
        <w:rPr>
          <w:i/>
          <w:snapToGrid w:val="0"/>
        </w:rPr>
        <w:instrText xml:space="preserve"> AUTONUM  </w:instrText>
      </w:r>
      <w:r w:rsidRPr="00925997">
        <w:rPr>
          <w:i/>
          <w:snapToGrid w:val="0"/>
        </w:rPr>
        <w:fldChar w:fldCharType="end"/>
      </w:r>
      <w:r w:rsidRPr="00925997">
        <w:rPr>
          <w:i/>
          <w:snapToGrid w:val="0"/>
        </w:rPr>
        <w:tab/>
        <w:t>Se invita al</w:t>
      </w:r>
      <w:r w:rsidR="001735C1" w:rsidRPr="00925997">
        <w:rPr>
          <w:i/>
          <w:snapToGrid w:val="0"/>
        </w:rPr>
        <w:t> </w:t>
      </w:r>
      <w:r w:rsidRPr="00925997">
        <w:rPr>
          <w:i/>
          <w:snapToGrid w:val="0"/>
        </w:rPr>
        <w:t>CAJ a:</w:t>
      </w:r>
    </w:p>
    <w:p w14:paraId="7CFC2A47" w14:textId="77777777" w:rsidR="003B3C48" w:rsidRPr="00925997" w:rsidRDefault="003B3C48" w:rsidP="003B3C48">
      <w:pPr>
        <w:keepNext/>
        <w:keepLines/>
        <w:tabs>
          <w:tab w:val="left" w:pos="5387"/>
          <w:tab w:val="left" w:pos="5954"/>
        </w:tabs>
        <w:ind w:left="4820"/>
        <w:rPr>
          <w:i/>
          <w:snapToGrid w:val="0"/>
        </w:rPr>
      </w:pPr>
    </w:p>
    <w:p w14:paraId="70EED403" w14:textId="00D6EC63" w:rsidR="003B3C48" w:rsidRPr="00925997" w:rsidRDefault="00DA22F0" w:rsidP="003B3C48">
      <w:pPr>
        <w:pStyle w:val="ListParagraph"/>
        <w:keepNext/>
        <w:keepLines/>
        <w:numPr>
          <w:ilvl w:val="0"/>
          <w:numId w:val="12"/>
        </w:numPr>
        <w:tabs>
          <w:tab w:val="left" w:pos="5387"/>
          <w:tab w:val="left" w:pos="5954"/>
        </w:tabs>
        <w:ind w:left="4820" w:firstLine="567"/>
        <w:contextualSpacing w:val="0"/>
        <w:rPr>
          <w:i/>
          <w:snapToGrid w:val="0"/>
        </w:rPr>
      </w:pPr>
      <w:r w:rsidRPr="00925997">
        <w:rPr>
          <w:i/>
          <w:iCs/>
          <w:snapToGrid w:val="0"/>
        </w:rPr>
        <w:t>examinar las preguntas propuestas para la encuesta a</w:t>
      </w:r>
      <w:r w:rsidRPr="00925997">
        <w:rPr>
          <w:i/>
          <w:snapToGrid w:val="0"/>
        </w:rPr>
        <w:t xml:space="preserve"> los miembros de la</w:t>
      </w:r>
      <w:r w:rsidR="001735C1" w:rsidRPr="00925997">
        <w:rPr>
          <w:i/>
          <w:snapToGrid w:val="0"/>
        </w:rPr>
        <w:t> </w:t>
      </w:r>
      <w:r w:rsidRPr="00925997">
        <w:rPr>
          <w:i/>
          <w:snapToGrid w:val="0"/>
        </w:rPr>
        <w:t>Unión para obtener información sobre sus obstáculos de política o jurídicos que podrían impedir la cooperación internacional en materia de examen DHE;</w:t>
      </w:r>
    </w:p>
    <w:p w14:paraId="1548586D" w14:textId="77777777" w:rsidR="003B3C48" w:rsidRPr="00925997" w:rsidRDefault="003B3C48" w:rsidP="003B3C48">
      <w:pPr>
        <w:pStyle w:val="ListParagraph"/>
        <w:keepNext/>
        <w:keepLines/>
        <w:tabs>
          <w:tab w:val="left" w:pos="5387"/>
          <w:tab w:val="left" w:pos="5954"/>
        </w:tabs>
        <w:ind w:left="5387"/>
        <w:contextualSpacing w:val="0"/>
        <w:rPr>
          <w:i/>
          <w:snapToGrid w:val="0"/>
        </w:rPr>
      </w:pPr>
    </w:p>
    <w:p w14:paraId="1374FF47" w14:textId="7F2CF9A3" w:rsidR="003B3C48" w:rsidRPr="00925997" w:rsidRDefault="003B3C48" w:rsidP="003B3C48">
      <w:pPr>
        <w:pStyle w:val="ListParagraph"/>
        <w:keepNext/>
        <w:keepLines/>
        <w:numPr>
          <w:ilvl w:val="0"/>
          <w:numId w:val="12"/>
        </w:numPr>
        <w:tabs>
          <w:tab w:val="left" w:pos="5387"/>
          <w:tab w:val="left" w:pos="5954"/>
        </w:tabs>
        <w:ind w:left="4824" w:firstLine="562"/>
        <w:contextualSpacing w:val="0"/>
        <w:rPr>
          <w:i/>
          <w:snapToGrid w:val="0"/>
        </w:rPr>
      </w:pPr>
      <w:r w:rsidRPr="00925997">
        <w:rPr>
          <w:i/>
        </w:rPr>
        <w:t>tomar nota de la solicitud realizada a las organizaciones de obtentores para que aclaren las cuestiones relativas al deseo de los obtentores de utilizar o no los informes de examen</w:t>
      </w:r>
      <w:r w:rsidR="001735C1" w:rsidRPr="00925997">
        <w:rPr>
          <w:i/>
        </w:rPr>
        <w:t> </w:t>
      </w:r>
      <w:r w:rsidRPr="00925997">
        <w:rPr>
          <w:i/>
        </w:rPr>
        <w:t xml:space="preserve">DHE existentes, </w:t>
      </w:r>
      <w:r w:rsidRPr="00925997">
        <w:rPr>
          <w:snapToGrid w:val="0"/>
        </w:rPr>
        <w:t>que figura en el párrafo</w:t>
      </w:r>
      <w:r w:rsidR="001735C1" w:rsidRPr="00925997">
        <w:rPr>
          <w:snapToGrid w:val="0"/>
        </w:rPr>
        <w:t> </w:t>
      </w:r>
      <w:r w:rsidRPr="00925997">
        <w:rPr>
          <w:snapToGrid w:val="0"/>
        </w:rPr>
        <w:t>20</w:t>
      </w:r>
      <w:r w:rsidRPr="00925997">
        <w:rPr>
          <w:i/>
        </w:rPr>
        <w:t>; y</w:t>
      </w:r>
    </w:p>
    <w:p w14:paraId="0A720AAE" w14:textId="77777777" w:rsidR="003B3C48" w:rsidRPr="00925997" w:rsidRDefault="003B3C48" w:rsidP="003B3C48">
      <w:pPr>
        <w:ind w:left="4860"/>
      </w:pPr>
    </w:p>
    <w:p w14:paraId="54107E6A" w14:textId="4130FCA4" w:rsidR="003B3C48" w:rsidRPr="00925997" w:rsidRDefault="003B3C48" w:rsidP="003B3C48">
      <w:pPr>
        <w:pStyle w:val="ListParagraph"/>
        <w:keepNext/>
        <w:keepLines/>
        <w:numPr>
          <w:ilvl w:val="0"/>
          <w:numId w:val="12"/>
        </w:numPr>
        <w:tabs>
          <w:tab w:val="left" w:pos="5387"/>
          <w:tab w:val="left" w:pos="5954"/>
        </w:tabs>
        <w:ind w:left="4820" w:firstLine="567"/>
        <w:contextualSpacing w:val="0"/>
        <w:rPr>
          <w:i/>
          <w:snapToGrid w:val="0"/>
        </w:rPr>
      </w:pPr>
      <w:r w:rsidRPr="00925997">
        <w:rPr>
          <w:i/>
        </w:rPr>
        <w:t>posponer la elaboración de notas explicativas sobre el artículo</w:t>
      </w:r>
      <w:r w:rsidR="001735C1" w:rsidRPr="00925997">
        <w:rPr>
          <w:i/>
        </w:rPr>
        <w:t> </w:t>
      </w:r>
      <w:r w:rsidRPr="00925997">
        <w:rPr>
          <w:i/>
        </w:rPr>
        <w:t>12 del</w:t>
      </w:r>
      <w:r w:rsidR="00073C09" w:rsidRPr="00925997">
        <w:rPr>
          <w:i/>
        </w:rPr>
        <w:t> </w:t>
      </w:r>
      <w:r w:rsidRPr="00925997">
        <w:rPr>
          <w:i/>
        </w:rPr>
        <w:t>Convenio de la</w:t>
      </w:r>
      <w:r w:rsidR="001735C1" w:rsidRPr="00925997">
        <w:rPr>
          <w:i/>
        </w:rPr>
        <w:t> </w:t>
      </w:r>
      <w:r w:rsidRPr="00925997">
        <w:rPr>
          <w:i/>
        </w:rPr>
        <w:t>UPOV (“Examen de la solicitud”) hasta que estén disponibles los datos de la encuesta de los miembros de la</w:t>
      </w:r>
      <w:r w:rsidR="00073C09" w:rsidRPr="00925997">
        <w:rPr>
          <w:i/>
        </w:rPr>
        <w:t> </w:t>
      </w:r>
      <w:r w:rsidRPr="00925997">
        <w:rPr>
          <w:i/>
        </w:rPr>
        <w:t>Unión y de las organizaciones de obtentores.</w:t>
      </w:r>
    </w:p>
    <w:p w14:paraId="17CE941C" w14:textId="77777777" w:rsidR="003B3C48" w:rsidRPr="00925997" w:rsidRDefault="003B3C48" w:rsidP="003B3C48">
      <w:pPr>
        <w:rPr>
          <w:snapToGrid w:val="0"/>
        </w:rPr>
      </w:pPr>
    </w:p>
    <w:p w14:paraId="6B14A35A" w14:textId="77777777" w:rsidR="003B3C48" w:rsidRPr="00925997" w:rsidRDefault="00DA22F0" w:rsidP="003B3C48">
      <w:pPr>
        <w:jc w:val="right"/>
        <w:rPr>
          <w:snapToGrid w:val="0"/>
        </w:rPr>
      </w:pPr>
      <w:r w:rsidRPr="00925997">
        <w:rPr>
          <w:snapToGrid w:val="0"/>
        </w:rPr>
        <w:t>[Sigue el Anexo]</w:t>
      </w:r>
    </w:p>
    <w:p w14:paraId="11CBA1D8" w14:textId="77777777" w:rsidR="003B3C48" w:rsidRPr="00925997" w:rsidRDefault="003B3C48" w:rsidP="003B3C48">
      <w:pPr>
        <w:rPr>
          <w:snapToGrid w:val="0"/>
        </w:rPr>
      </w:pPr>
    </w:p>
    <w:p w14:paraId="4C0C8F8B" w14:textId="77777777" w:rsidR="003B3C48" w:rsidRPr="00925997" w:rsidRDefault="003B3C48" w:rsidP="003B3C48">
      <w:pPr>
        <w:rPr>
          <w:snapToGrid w:val="0"/>
        </w:rPr>
      </w:pPr>
    </w:p>
    <w:p w14:paraId="18EBAA8E" w14:textId="77777777" w:rsidR="003B3C48" w:rsidRPr="00925997" w:rsidRDefault="003B3C48" w:rsidP="003B3C48">
      <w:pPr>
        <w:rPr>
          <w:snapToGrid w:val="0"/>
        </w:rPr>
      </w:pPr>
    </w:p>
    <w:p w14:paraId="23FAC202" w14:textId="77777777" w:rsidR="00DA22F0" w:rsidRPr="00925997" w:rsidRDefault="00DA22F0">
      <w:pPr>
        <w:jc w:val="left"/>
        <w:rPr>
          <w:caps/>
          <w:snapToGrid w:val="0"/>
        </w:rPr>
      </w:pPr>
      <w:r w:rsidRPr="00925997">
        <w:br w:type="page"/>
      </w:r>
    </w:p>
    <w:p w14:paraId="65F197F2" w14:textId="77777777" w:rsidR="00F220CB" w:rsidRPr="00925997" w:rsidRDefault="00F220CB" w:rsidP="00F220CB">
      <w:pPr>
        <w:jc w:val="center"/>
        <w:rPr>
          <w:caps/>
          <w:snapToGrid w:val="0"/>
        </w:rPr>
      </w:pPr>
      <w:r w:rsidRPr="00925997">
        <w:rPr>
          <w:bCs/>
        </w:rPr>
        <w:lastRenderedPageBreak/>
        <w:t>M</w:t>
      </w:r>
      <w:r w:rsidRPr="00925997">
        <w:t>EDIDAS ACORDADAS POR EL TC PARA SUPERAR LOS OBSTÁCULOS QUE IMPIDEN LA COOPERACIÓN INTERNACIONAL EN MATERIA DE EXAMEN DHE</w:t>
      </w:r>
      <w:r w:rsidRPr="00925997">
        <w:rPr>
          <w:rStyle w:val="FootnoteReference"/>
          <w:caps/>
          <w:snapToGrid w:val="0"/>
        </w:rPr>
        <w:footnoteReference w:id="7"/>
      </w:r>
      <w:r w:rsidRPr="00925997">
        <w:rPr>
          <w:caps/>
          <w:snapToGrid w:val="0"/>
        </w:rPr>
        <w:t xml:space="preserve"> </w:t>
      </w:r>
    </w:p>
    <w:p w14:paraId="005F1B39" w14:textId="77777777" w:rsidR="00F220CB" w:rsidRPr="00925997" w:rsidRDefault="00F220CB" w:rsidP="00F220CB">
      <w:pPr>
        <w:jc w:val="center"/>
        <w:rPr>
          <w:snapToGrid w:val="0"/>
          <w:sz w:val="18"/>
        </w:rPr>
      </w:pPr>
    </w:p>
    <w:p w14:paraId="5BA41A4B" w14:textId="77777777" w:rsidR="00F220CB" w:rsidRPr="00925997" w:rsidRDefault="00F220CB" w:rsidP="00F220CB">
      <w:pPr>
        <w:jc w:val="left"/>
        <w:rPr>
          <w:sz w:val="18"/>
        </w:rPr>
      </w:pPr>
    </w:p>
    <w:p w14:paraId="41919F1E" w14:textId="77777777" w:rsidR="00F220CB" w:rsidRPr="00925997" w:rsidRDefault="00F220CB" w:rsidP="00F220CB">
      <w:r w:rsidRPr="00925997">
        <w:rPr>
          <w:snapToGrid w:val="0"/>
        </w:rPr>
        <w:t>En su quincuagésima quinta</w:t>
      </w:r>
      <w:r w:rsidRPr="00925997">
        <w:t xml:space="preserve"> sesión,</w:t>
      </w:r>
      <w:r w:rsidRPr="00925997">
        <w:rPr>
          <w:rStyle w:val="FootnoteReference"/>
        </w:rPr>
        <w:footnoteReference w:id="8"/>
      </w:r>
      <w:r w:rsidRPr="00925997">
        <w:t xml:space="preserve"> el TC tomó nota de que en las sesiones de 2019 de los </w:t>
      </w:r>
      <w:r w:rsidRPr="00925997">
        <w:rPr>
          <w:szCs w:val="24"/>
        </w:rPr>
        <w:t xml:space="preserve">TWP se crearon </w:t>
      </w:r>
      <w:r w:rsidRPr="00925997">
        <w:t>grupos de debate con el objetivo de determinar las cuestiones técnicas que impiden la cooperación en materia de examen DHE y de proponer maneras de solventar las cuestiones técnicas planteadas.</w:t>
      </w:r>
    </w:p>
    <w:p w14:paraId="0A920B08" w14:textId="77777777" w:rsidR="00F220CB" w:rsidRPr="00925997" w:rsidRDefault="00F220CB" w:rsidP="00F220CB"/>
    <w:p w14:paraId="1FBDF02D" w14:textId="326F0053" w:rsidR="00F220CB" w:rsidRPr="00925997" w:rsidRDefault="00F220CB" w:rsidP="00F220CB">
      <w:r w:rsidRPr="00925997">
        <w:t>El TC examinó las conclusiones de los debates mantenidos en las sesiones del TWO, el TWV, el TWF, el TWA y el TWC, que se exponen en los párrafos</w:t>
      </w:r>
      <w:r w:rsidR="001735C1" w:rsidRPr="00925997">
        <w:t> </w:t>
      </w:r>
      <w:r w:rsidRPr="00925997">
        <w:t>19 a</w:t>
      </w:r>
      <w:r w:rsidR="001735C1" w:rsidRPr="00925997">
        <w:t> </w:t>
      </w:r>
      <w:r w:rsidRPr="00925997">
        <w:t>26 del documento</w:t>
      </w:r>
      <w:r w:rsidR="001735C1" w:rsidRPr="00925997">
        <w:t> </w:t>
      </w:r>
      <w:r w:rsidRPr="00925997">
        <w:t>TC/55/10 y se reproducen a continuación:</w:t>
      </w:r>
    </w:p>
    <w:p w14:paraId="54B39FA6" w14:textId="77777777" w:rsidR="00F220CB" w:rsidRPr="00925997" w:rsidRDefault="00F220CB" w:rsidP="00F220CB">
      <w:pPr>
        <w:rPr>
          <w:snapToGrid w:val="0"/>
          <w:sz w:val="18"/>
        </w:rPr>
      </w:pPr>
    </w:p>
    <w:p w14:paraId="0A009114" w14:textId="77777777" w:rsidR="00F220CB" w:rsidRPr="00925997" w:rsidRDefault="00F220CB" w:rsidP="00F220CB">
      <w:pPr>
        <w:pStyle w:val="Heading3"/>
        <w:ind w:left="567"/>
        <w:rPr>
          <w:sz w:val="18"/>
        </w:rPr>
      </w:pPr>
      <w:bookmarkStart w:id="17" w:name="_Toc46829747"/>
      <w:bookmarkStart w:id="18" w:name="_Toc54733180"/>
      <w:bookmarkStart w:id="19" w:name="_Toc109944174"/>
      <w:r w:rsidRPr="00925997">
        <w:rPr>
          <w:sz w:val="18"/>
        </w:rPr>
        <w:t>“</w:t>
      </w:r>
      <w:bookmarkEnd w:id="17"/>
      <w:bookmarkEnd w:id="18"/>
      <w:r w:rsidRPr="00925997">
        <w:rPr>
          <w:sz w:val="18"/>
        </w:rPr>
        <w:t>Cuestiones técnicas y cuestiones administrativas conexas:</w:t>
      </w:r>
      <w:bookmarkEnd w:id="19"/>
    </w:p>
    <w:p w14:paraId="52CA63B6" w14:textId="77777777" w:rsidR="00F220CB" w:rsidRPr="00925997" w:rsidRDefault="00F220CB" w:rsidP="00F220CB">
      <w:pPr>
        <w:keepNext/>
        <w:ind w:left="567"/>
        <w:rPr>
          <w:i/>
          <w:sz w:val="16"/>
        </w:rPr>
      </w:pPr>
    </w:p>
    <w:p w14:paraId="396026D7" w14:textId="3CB0915D" w:rsidR="00F220CB" w:rsidRPr="00925997" w:rsidRDefault="00F220CB" w:rsidP="00F220CB">
      <w:pPr>
        <w:numPr>
          <w:ilvl w:val="0"/>
          <w:numId w:val="10"/>
        </w:numPr>
        <w:spacing w:after="120"/>
        <w:ind w:left="1700" w:right="562" w:hanging="562"/>
        <w:rPr>
          <w:sz w:val="18"/>
          <w:szCs w:val="22"/>
        </w:rPr>
      </w:pPr>
      <w:r w:rsidRPr="00925997">
        <w:rPr>
          <w:sz w:val="18"/>
          <w:szCs w:val="22"/>
        </w:rPr>
        <w:t>Experiencia suficiente para llevar a cabo el examen</w:t>
      </w:r>
      <w:r w:rsidR="001735C1" w:rsidRPr="00925997">
        <w:rPr>
          <w:sz w:val="18"/>
          <w:szCs w:val="22"/>
        </w:rPr>
        <w:t> </w:t>
      </w:r>
      <w:r w:rsidRPr="00925997">
        <w:rPr>
          <w:sz w:val="18"/>
          <w:szCs w:val="22"/>
        </w:rPr>
        <w:t>DHE de un cultivo determinado y calidad del examen efectuado</w:t>
      </w:r>
    </w:p>
    <w:p w14:paraId="38BEEB42" w14:textId="77777777" w:rsidR="00F220CB" w:rsidRPr="00925997" w:rsidRDefault="00F220CB" w:rsidP="00F220CB">
      <w:pPr>
        <w:numPr>
          <w:ilvl w:val="0"/>
          <w:numId w:val="10"/>
        </w:numPr>
        <w:spacing w:after="120"/>
        <w:ind w:left="1700" w:right="562" w:hanging="562"/>
        <w:rPr>
          <w:sz w:val="18"/>
          <w:szCs w:val="22"/>
        </w:rPr>
      </w:pPr>
      <w:r w:rsidRPr="00925997">
        <w:rPr>
          <w:sz w:val="18"/>
          <w:szCs w:val="22"/>
        </w:rPr>
        <w:t>Colección de variedades adecuada</w:t>
      </w:r>
    </w:p>
    <w:p w14:paraId="0F542510" w14:textId="1FAC5B0E" w:rsidR="00F220CB" w:rsidRPr="00925997" w:rsidRDefault="00F220CB" w:rsidP="00F220CB">
      <w:pPr>
        <w:numPr>
          <w:ilvl w:val="0"/>
          <w:numId w:val="10"/>
        </w:numPr>
        <w:spacing w:after="120"/>
        <w:ind w:left="1700" w:right="562" w:hanging="562"/>
        <w:rPr>
          <w:sz w:val="18"/>
          <w:szCs w:val="22"/>
        </w:rPr>
      </w:pPr>
      <w:r w:rsidRPr="00925997">
        <w:rPr>
          <w:sz w:val="18"/>
          <w:szCs w:val="22"/>
        </w:rPr>
        <w:t>Información sobre las variedades incluidas en el examen</w:t>
      </w:r>
      <w:r w:rsidR="001735C1" w:rsidRPr="00925997">
        <w:rPr>
          <w:sz w:val="18"/>
          <w:szCs w:val="22"/>
        </w:rPr>
        <w:t> </w:t>
      </w:r>
      <w:r w:rsidRPr="00925997">
        <w:rPr>
          <w:sz w:val="18"/>
          <w:szCs w:val="22"/>
        </w:rPr>
        <w:t>DHE</w:t>
      </w:r>
    </w:p>
    <w:p w14:paraId="2A1E8160" w14:textId="77777777" w:rsidR="00F220CB" w:rsidRPr="00925997" w:rsidRDefault="00F220CB" w:rsidP="00F220CB">
      <w:pPr>
        <w:numPr>
          <w:ilvl w:val="0"/>
          <w:numId w:val="10"/>
        </w:numPr>
        <w:spacing w:after="120"/>
        <w:ind w:left="1700" w:right="562" w:hanging="562"/>
        <w:rPr>
          <w:sz w:val="18"/>
          <w:szCs w:val="22"/>
        </w:rPr>
      </w:pPr>
      <w:r w:rsidRPr="00925997">
        <w:rPr>
          <w:sz w:val="18"/>
          <w:szCs w:val="22"/>
        </w:rPr>
        <w:t>Diferencias entre las descripciones a causa de la influencia del medio ambiente en la expresión de los caracteres</w:t>
      </w:r>
    </w:p>
    <w:p w14:paraId="6F55F9F1" w14:textId="77777777" w:rsidR="00F220CB" w:rsidRPr="00925997" w:rsidRDefault="00F220CB" w:rsidP="00F220CB">
      <w:pPr>
        <w:numPr>
          <w:ilvl w:val="0"/>
          <w:numId w:val="10"/>
        </w:numPr>
        <w:spacing w:after="120"/>
        <w:ind w:left="1700" w:right="562" w:hanging="562"/>
        <w:rPr>
          <w:sz w:val="18"/>
          <w:szCs w:val="22"/>
        </w:rPr>
      </w:pPr>
      <w:r w:rsidRPr="00925997">
        <w:rPr>
          <w:sz w:val="18"/>
          <w:szCs w:val="22"/>
        </w:rPr>
        <w:t>No se evalúan los caracteres de resistencia a las enfermedades o existen divergencias en los protocolos y la nomenclatura</w:t>
      </w:r>
    </w:p>
    <w:p w14:paraId="506289FC" w14:textId="77777777" w:rsidR="00F220CB" w:rsidRPr="00925997" w:rsidRDefault="00F220CB" w:rsidP="00F220CB">
      <w:pPr>
        <w:numPr>
          <w:ilvl w:val="0"/>
          <w:numId w:val="10"/>
        </w:numPr>
        <w:spacing w:after="120"/>
        <w:ind w:left="1700" w:right="562" w:hanging="562"/>
        <w:rPr>
          <w:sz w:val="18"/>
          <w:szCs w:val="22"/>
        </w:rPr>
      </w:pPr>
      <w:r w:rsidRPr="00925997">
        <w:rPr>
          <w:sz w:val="18"/>
          <w:szCs w:val="22"/>
        </w:rPr>
        <w:t>Obligación de describir una determinada variedad de referencia además de la variedad candidata</w:t>
      </w:r>
    </w:p>
    <w:p w14:paraId="6F547710" w14:textId="289143D8" w:rsidR="00F220CB" w:rsidRPr="00925997" w:rsidRDefault="00F220CB" w:rsidP="00F220CB">
      <w:pPr>
        <w:numPr>
          <w:ilvl w:val="0"/>
          <w:numId w:val="10"/>
        </w:numPr>
        <w:spacing w:after="120"/>
        <w:ind w:left="1700" w:right="562" w:hanging="562"/>
        <w:rPr>
          <w:sz w:val="18"/>
          <w:szCs w:val="22"/>
        </w:rPr>
      </w:pPr>
      <w:r w:rsidRPr="00925997">
        <w:rPr>
          <w:sz w:val="18"/>
          <w:szCs w:val="22"/>
        </w:rPr>
        <w:t>Falta de información sobre los controles de calidad de los exámenes</w:t>
      </w:r>
      <w:r w:rsidR="001735C1" w:rsidRPr="00925997">
        <w:rPr>
          <w:sz w:val="18"/>
          <w:szCs w:val="22"/>
        </w:rPr>
        <w:t> </w:t>
      </w:r>
      <w:r w:rsidRPr="00925997">
        <w:rPr>
          <w:sz w:val="18"/>
          <w:szCs w:val="22"/>
        </w:rPr>
        <w:t>DHE efectuados en las instalaciones de los obtentores</w:t>
      </w:r>
    </w:p>
    <w:p w14:paraId="16689DF2" w14:textId="42B949C4" w:rsidR="00F220CB" w:rsidRPr="00925997" w:rsidRDefault="00F220CB" w:rsidP="00F220CB">
      <w:pPr>
        <w:numPr>
          <w:ilvl w:val="0"/>
          <w:numId w:val="10"/>
        </w:numPr>
        <w:spacing w:after="120"/>
        <w:ind w:left="1700" w:right="562" w:hanging="562"/>
        <w:rPr>
          <w:sz w:val="18"/>
          <w:szCs w:val="22"/>
        </w:rPr>
      </w:pPr>
      <w:r w:rsidRPr="00925997">
        <w:rPr>
          <w:sz w:val="18"/>
          <w:szCs w:val="22"/>
        </w:rPr>
        <w:t>Informes de examen</w:t>
      </w:r>
      <w:r w:rsidR="001735C1" w:rsidRPr="00925997">
        <w:rPr>
          <w:sz w:val="18"/>
          <w:szCs w:val="22"/>
        </w:rPr>
        <w:t> </w:t>
      </w:r>
      <w:r w:rsidRPr="00925997">
        <w:rPr>
          <w:sz w:val="18"/>
          <w:szCs w:val="22"/>
        </w:rPr>
        <w:t>DHE que no se ajustan a las directrices de examen de la</w:t>
      </w:r>
      <w:r w:rsidR="001735C1" w:rsidRPr="00925997">
        <w:rPr>
          <w:sz w:val="18"/>
          <w:szCs w:val="22"/>
        </w:rPr>
        <w:t> </w:t>
      </w:r>
      <w:r w:rsidRPr="00925997">
        <w:rPr>
          <w:sz w:val="18"/>
          <w:szCs w:val="22"/>
        </w:rPr>
        <w:t>UPOV (caracteres omitidos o distintos)</w:t>
      </w:r>
    </w:p>
    <w:p w14:paraId="46800D94" w14:textId="77777777" w:rsidR="00F220CB" w:rsidRPr="00925997" w:rsidRDefault="00F220CB" w:rsidP="00F220CB">
      <w:pPr>
        <w:numPr>
          <w:ilvl w:val="0"/>
          <w:numId w:val="10"/>
        </w:numPr>
        <w:spacing w:after="120"/>
        <w:ind w:left="1700" w:right="562" w:hanging="562"/>
        <w:rPr>
          <w:sz w:val="18"/>
          <w:szCs w:val="22"/>
        </w:rPr>
      </w:pPr>
      <w:r w:rsidRPr="00925997">
        <w:rPr>
          <w:sz w:val="18"/>
          <w:szCs w:val="22"/>
        </w:rPr>
        <w:t>Dificultad para completar las colecciones de variedades (p. ej., por cuestiones aduaneras o fitosanitarias)</w:t>
      </w:r>
    </w:p>
    <w:p w14:paraId="3995B73D" w14:textId="77777777" w:rsidR="00F220CB" w:rsidRPr="00925997" w:rsidRDefault="00F220CB" w:rsidP="00F220CB">
      <w:pPr>
        <w:numPr>
          <w:ilvl w:val="0"/>
          <w:numId w:val="10"/>
        </w:numPr>
        <w:spacing w:after="120"/>
        <w:ind w:left="1700" w:right="562" w:hanging="562"/>
        <w:rPr>
          <w:sz w:val="18"/>
          <w:szCs w:val="22"/>
        </w:rPr>
      </w:pPr>
      <w:r w:rsidRPr="00925997">
        <w:rPr>
          <w:sz w:val="18"/>
          <w:szCs w:val="22"/>
        </w:rPr>
        <w:t>Inexistencia de una base de datos de ADN de ámbito mundial para la selección de variedades similares</w:t>
      </w:r>
    </w:p>
    <w:p w14:paraId="3FA37C26" w14:textId="77777777" w:rsidR="00F220CB" w:rsidRPr="00925997" w:rsidRDefault="00F220CB" w:rsidP="00F220CB">
      <w:pPr>
        <w:numPr>
          <w:ilvl w:val="0"/>
          <w:numId w:val="10"/>
        </w:numPr>
        <w:spacing w:after="120"/>
        <w:ind w:left="1700" w:right="562" w:hanging="562"/>
        <w:rPr>
          <w:sz w:val="18"/>
          <w:szCs w:val="22"/>
        </w:rPr>
      </w:pPr>
      <w:r w:rsidRPr="00925997">
        <w:rPr>
          <w:sz w:val="18"/>
          <w:szCs w:val="22"/>
        </w:rPr>
        <w:t>Barreras lingüísticas</w:t>
      </w:r>
    </w:p>
    <w:p w14:paraId="7DDE813D" w14:textId="77777777" w:rsidR="00F220CB" w:rsidRPr="00925997" w:rsidRDefault="00F220CB" w:rsidP="00F220CB">
      <w:pPr>
        <w:numPr>
          <w:ilvl w:val="0"/>
          <w:numId w:val="10"/>
        </w:numPr>
        <w:spacing w:after="120"/>
        <w:ind w:left="1700" w:right="562" w:hanging="562"/>
        <w:rPr>
          <w:sz w:val="18"/>
          <w:szCs w:val="22"/>
        </w:rPr>
      </w:pPr>
      <w:r w:rsidRPr="00925997">
        <w:rPr>
          <w:sz w:val="18"/>
          <w:szCs w:val="22"/>
        </w:rPr>
        <w:t>Dificultad para averiguar quiénes son las personas de contacto</w:t>
      </w:r>
    </w:p>
    <w:p w14:paraId="5C10ED48" w14:textId="61B94EFF" w:rsidR="00F220CB" w:rsidRPr="00925997" w:rsidRDefault="00F220CB" w:rsidP="00F220CB">
      <w:pPr>
        <w:numPr>
          <w:ilvl w:val="0"/>
          <w:numId w:val="10"/>
        </w:numPr>
        <w:spacing w:after="120"/>
        <w:ind w:left="1700" w:right="562" w:hanging="562"/>
        <w:rPr>
          <w:sz w:val="18"/>
          <w:szCs w:val="22"/>
        </w:rPr>
      </w:pPr>
      <w:r w:rsidRPr="00925997">
        <w:rPr>
          <w:sz w:val="18"/>
          <w:szCs w:val="22"/>
        </w:rPr>
        <w:t>Falta de información sobre los informes de exámenes</w:t>
      </w:r>
      <w:r w:rsidR="001735C1" w:rsidRPr="00925997">
        <w:rPr>
          <w:sz w:val="18"/>
          <w:szCs w:val="22"/>
        </w:rPr>
        <w:t> </w:t>
      </w:r>
      <w:r w:rsidRPr="00925997">
        <w:rPr>
          <w:sz w:val="18"/>
          <w:szCs w:val="22"/>
        </w:rPr>
        <w:t>DHE disponibles</w:t>
      </w:r>
    </w:p>
    <w:p w14:paraId="106BC132" w14:textId="77777777" w:rsidR="00F220CB" w:rsidRPr="00925997" w:rsidRDefault="00F220CB" w:rsidP="00F220CB">
      <w:pPr>
        <w:keepNext/>
        <w:spacing w:before="240"/>
        <w:ind w:left="567"/>
        <w:outlineLvl w:val="2"/>
        <w:rPr>
          <w:i/>
          <w:sz w:val="18"/>
        </w:rPr>
      </w:pPr>
      <w:r w:rsidRPr="00925997">
        <w:rPr>
          <w:i/>
          <w:sz w:val="18"/>
        </w:rPr>
        <w:t xml:space="preserve"> </w:t>
      </w:r>
      <w:bookmarkStart w:id="20" w:name="_Toc109944175"/>
      <w:r w:rsidRPr="00925997">
        <w:rPr>
          <w:i/>
          <w:sz w:val="18"/>
        </w:rPr>
        <w:t>Cuestiones normativas o jurídicas:</w:t>
      </w:r>
      <w:bookmarkEnd w:id="20"/>
    </w:p>
    <w:p w14:paraId="10DF4D12" w14:textId="77777777" w:rsidR="00F220CB" w:rsidRPr="00925997" w:rsidRDefault="00F220CB" w:rsidP="00F220CB">
      <w:pPr>
        <w:ind w:left="567"/>
        <w:rPr>
          <w:sz w:val="16"/>
        </w:rPr>
      </w:pPr>
    </w:p>
    <w:p w14:paraId="619C5DF7" w14:textId="77777777" w:rsidR="00F220CB" w:rsidRPr="00925997" w:rsidRDefault="00F220CB" w:rsidP="00F220CB">
      <w:pPr>
        <w:numPr>
          <w:ilvl w:val="0"/>
          <w:numId w:val="10"/>
        </w:numPr>
        <w:spacing w:after="120"/>
        <w:ind w:left="1700" w:right="562" w:hanging="562"/>
        <w:rPr>
          <w:sz w:val="18"/>
          <w:szCs w:val="22"/>
        </w:rPr>
      </w:pPr>
      <w:r w:rsidRPr="00925997">
        <w:rPr>
          <w:sz w:val="18"/>
          <w:szCs w:val="22"/>
        </w:rPr>
        <w:t>Obligación de suscribir un acuerdo formal de cooperación</w:t>
      </w:r>
    </w:p>
    <w:p w14:paraId="46CDAFEF" w14:textId="4E538EA5" w:rsidR="00F220CB" w:rsidRPr="00925997" w:rsidRDefault="00F220CB" w:rsidP="00F220CB">
      <w:pPr>
        <w:numPr>
          <w:ilvl w:val="0"/>
          <w:numId w:val="10"/>
        </w:numPr>
        <w:spacing w:after="120"/>
        <w:ind w:left="1700" w:right="562" w:hanging="562"/>
        <w:rPr>
          <w:sz w:val="18"/>
          <w:szCs w:val="22"/>
        </w:rPr>
      </w:pPr>
      <w:r w:rsidRPr="00925997">
        <w:rPr>
          <w:sz w:val="18"/>
          <w:szCs w:val="22"/>
        </w:rPr>
        <w:t>Obligación de que el examen</w:t>
      </w:r>
      <w:r w:rsidR="001735C1" w:rsidRPr="00925997">
        <w:rPr>
          <w:sz w:val="18"/>
          <w:szCs w:val="22"/>
        </w:rPr>
        <w:t> </w:t>
      </w:r>
      <w:r w:rsidRPr="00925997">
        <w:rPr>
          <w:sz w:val="18"/>
          <w:szCs w:val="22"/>
        </w:rPr>
        <w:t>DHE sea efectuado por la autoridad que concede los títulos</w:t>
      </w:r>
    </w:p>
    <w:p w14:paraId="5BE3508B" w14:textId="2CB1F3BA" w:rsidR="00F220CB" w:rsidRPr="00925997" w:rsidRDefault="00F220CB" w:rsidP="00F220CB">
      <w:pPr>
        <w:numPr>
          <w:ilvl w:val="0"/>
          <w:numId w:val="10"/>
        </w:numPr>
        <w:spacing w:after="120"/>
        <w:ind w:left="1700" w:right="562" w:hanging="562"/>
        <w:rPr>
          <w:sz w:val="18"/>
          <w:szCs w:val="22"/>
        </w:rPr>
      </w:pPr>
      <w:r w:rsidRPr="00925997">
        <w:rPr>
          <w:sz w:val="18"/>
          <w:szCs w:val="22"/>
        </w:rPr>
        <w:t>No se admiten los informes de los exámenes</w:t>
      </w:r>
      <w:r w:rsidR="001735C1" w:rsidRPr="00925997">
        <w:rPr>
          <w:sz w:val="18"/>
          <w:szCs w:val="22"/>
        </w:rPr>
        <w:t> </w:t>
      </w:r>
      <w:r w:rsidRPr="00925997">
        <w:rPr>
          <w:sz w:val="18"/>
          <w:szCs w:val="22"/>
        </w:rPr>
        <w:t>DHE realizados por obtentores</w:t>
      </w:r>
    </w:p>
    <w:p w14:paraId="3A95D3D7" w14:textId="476BA59D" w:rsidR="00F220CB" w:rsidRPr="00925997" w:rsidRDefault="00F220CB" w:rsidP="00F220CB">
      <w:pPr>
        <w:numPr>
          <w:ilvl w:val="0"/>
          <w:numId w:val="10"/>
        </w:numPr>
        <w:spacing w:after="120"/>
        <w:ind w:left="1700" w:right="562" w:hanging="562"/>
        <w:rPr>
          <w:sz w:val="18"/>
          <w:szCs w:val="22"/>
        </w:rPr>
      </w:pPr>
      <w:r w:rsidRPr="00925997">
        <w:rPr>
          <w:sz w:val="18"/>
          <w:szCs w:val="22"/>
        </w:rPr>
        <w:t>Deseo de los obtentores de utilizar (o no) los informes</w:t>
      </w:r>
      <w:r w:rsidR="001735C1" w:rsidRPr="00925997">
        <w:rPr>
          <w:sz w:val="18"/>
          <w:szCs w:val="22"/>
        </w:rPr>
        <w:t> </w:t>
      </w:r>
      <w:r w:rsidRPr="00925997">
        <w:rPr>
          <w:sz w:val="18"/>
          <w:szCs w:val="22"/>
        </w:rPr>
        <w:t>DHE existentes”</w:t>
      </w:r>
    </w:p>
    <w:p w14:paraId="20ECB5CD" w14:textId="77777777" w:rsidR="00F220CB" w:rsidRPr="00925997" w:rsidRDefault="00F220CB" w:rsidP="00F220CB">
      <w:pPr>
        <w:tabs>
          <w:tab w:val="left" w:pos="567"/>
        </w:tabs>
      </w:pPr>
    </w:p>
    <w:p w14:paraId="34073305" w14:textId="72E41509" w:rsidR="00F220CB" w:rsidRPr="00925997" w:rsidRDefault="00F220CB" w:rsidP="00F220CB">
      <w:pPr>
        <w:keepNext/>
        <w:rPr>
          <w:spacing w:val="-2"/>
        </w:rPr>
      </w:pPr>
      <w:r w:rsidRPr="00925997">
        <w:rPr>
          <w:snapToGrid w:val="0"/>
        </w:rPr>
        <w:t>En su quincuagésima quinta</w:t>
      </w:r>
      <w:r w:rsidRPr="00925997">
        <w:t xml:space="preserve"> sesión, el</w:t>
      </w:r>
      <w:r w:rsidR="001735C1" w:rsidRPr="00925997">
        <w:t> </w:t>
      </w:r>
      <w:r w:rsidRPr="00925997">
        <w:t>TC convino en informar al</w:t>
      </w:r>
      <w:r w:rsidR="001735C1" w:rsidRPr="00925997">
        <w:t> </w:t>
      </w:r>
      <w:r w:rsidRPr="00925997">
        <w:t>CAJ sobre las cuestiones normativas o jurídicas conexas presentadas en el documento</w:t>
      </w:r>
      <w:r w:rsidR="001735C1" w:rsidRPr="00925997">
        <w:t> </w:t>
      </w:r>
      <w:r w:rsidRPr="00925997">
        <w:t>TC/55/10, párrafos</w:t>
      </w:r>
      <w:r w:rsidR="001735C1" w:rsidRPr="00925997">
        <w:t> </w:t>
      </w:r>
      <w:r w:rsidRPr="00925997">
        <w:t>27 y</w:t>
      </w:r>
      <w:r w:rsidR="001735C1" w:rsidRPr="00925997">
        <w:t> </w:t>
      </w:r>
      <w:r w:rsidRPr="00925997">
        <w:t>28, que se reproducen a continuación:</w:t>
      </w:r>
    </w:p>
    <w:p w14:paraId="133D0D7A" w14:textId="77777777" w:rsidR="00F220CB" w:rsidRPr="00925997" w:rsidRDefault="00F220CB" w:rsidP="00F220CB">
      <w:pPr>
        <w:keepNext/>
        <w:rPr>
          <w:spacing w:val="-2"/>
          <w:sz w:val="18"/>
        </w:rPr>
      </w:pPr>
    </w:p>
    <w:p w14:paraId="283ABFD0" w14:textId="77777777" w:rsidR="00F220CB" w:rsidRPr="00925997" w:rsidRDefault="00F220CB" w:rsidP="00F220CB">
      <w:pPr>
        <w:keepNext/>
        <w:numPr>
          <w:ilvl w:val="0"/>
          <w:numId w:val="10"/>
        </w:numPr>
        <w:spacing w:after="120"/>
        <w:ind w:left="1700" w:right="562" w:hanging="562"/>
        <w:rPr>
          <w:sz w:val="18"/>
          <w:szCs w:val="22"/>
        </w:rPr>
      </w:pPr>
      <w:r w:rsidRPr="00925997">
        <w:rPr>
          <w:sz w:val="18"/>
          <w:szCs w:val="22"/>
        </w:rPr>
        <w:t>“Obligación de suscribir un acuerdo formal de cooperación</w:t>
      </w:r>
    </w:p>
    <w:p w14:paraId="70DD54C5" w14:textId="55209A1E" w:rsidR="00F220CB" w:rsidRPr="00925997" w:rsidRDefault="00F220CB" w:rsidP="00F220CB">
      <w:pPr>
        <w:keepNext/>
        <w:numPr>
          <w:ilvl w:val="0"/>
          <w:numId w:val="10"/>
        </w:numPr>
        <w:spacing w:after="120"/>
        <w:ind w:left="1700" w:right="562" w:hanging="562"/>
        <w:rPr>
          <w:sz w:val="18"/>
          <w:szCs w:val="22"/>
        </w:rPr>
      </w:pPr>
      <w:r w:rsidRPr="00925997">
        <w:rPr>
          <w:sz w:val="18"/>
          <w:szCs w:val="22"/>
        </w:rPr>
        <w:t>Obligación de que el examen</w:t>
      </w:r>
      <w:r w:rsidR="001735C1" w:rsidRPr="00925997">
        <w:rPr>
          <w:sz w:val="18"/>
          <w:szCs w:val="22"/>
        </w:rPr>
        <w:t> </w:t>
      </w:r>
      <w:r w:rsidRPr="00925997">
        <w:rPr>
          <w:sz w:val="18"/>
          <w:szCs w:val="22"/>
        </w:rPr>
        <w:t>DHE sea efectuado por la autoridad que concede los títulos</w:t>
      </w:r>
    </w:p>
    <w:p w14:paraId="7609EAF8" w14:textId="54468A02" w:rsidR="00F220CB" w:rsidRPr="00925997" w:rsidRDefault="00F220CB" w:rsidP="00F220CB">
      <w:pPr>
        <w:keepNext/>
        <w:numPr>
          <w:ilvl w:val="0"/>
          <w:numId w:val="10"/>
        </w:numPr>
        <w:spacing w:after="120"/>
        <w:ind w:left="1700" w:right="562" w:hanging="562"/>
        <w:rPr>
          <w:sz w:val="18"/>
          <w:szCs w:val="22"/>
        </w:rPr>
      </w:pPr>
      <w:r w:rsidRPr="00925997">
        <w:rPr>
          <w:sz w:val="18"/>
          <w:szCs w:val="22"/>
        </w:rPr>
        <w:t>No se admiten los informes de los exámenes</w:t>
      </w:r>
      <w:r w:rsidR="001735C1" w:rsidRPr="00925997">
        <w:rPr>
          <w:sz w:val="18"/>
          <w:szCs w:val="22"/>
        </w:rPr>
        <w:t> </w:t>
      </w:r>
      <w:r w:rsidRPr="00925997">
        <w:rPr>
          <w:sz w:val="18"/>
          <w:szCs w:val="22"/>
        </w:rPr>
        <w:t>DHE realizados por obtentores</w:t>
      </w:r>
    </w:p>
    <w:p w14:paraId="75883163" w14:textId="1A7AF5B3" w:rsidR="00F220CB" w:rsidRPr="00925997" w:rsidRDefault="00F220CB" w:rsidP="00F220CB">
      <w:pPr>
        <w:numPr>
          <w:ilvl w:val="0"/>
          <w:numId w:val="10"/>
        </w:numPr>
        <w:spacing w:after="120"/>
        <w:ind w:left="1700" w:right="562" w:hanging="562"/>
        <w:rPr>
          <w:sz w:val="18"/>
          <w:szCs w:val="22"/>
        </w:rPr>
      </w:pPr>
      <w:r w:rsidRPr="00925997">
        <w:rPr>
          <w:sz w:val="18"/>
          <w:szCs w:val="22"/>
        </w:rPr>
        <w:t>Deseo de los obtentores de utilizar (o no) los informes</w:t>
      </w:r>
      <w:r w:rsidR="001735C1" w:rsidRPr="00925997">
        <w:rPr>
          <w:sz w:val="18"/>
          <w:szCs w:val="22"/>
        </w:rPr>
        <w:t> </w:t>
      </w:r>
      <w:r w:rsidRPr="00925997">
        <w:rPr>
          <w:sz w:val="18"/>
          <w:szCs w:val="22"/>
        </w:rPr>
        <w:t>DHE existentes”</w:t>
      </w:r>
    </w:p>
    <w:p w14:paraId="04DBA891" w14:textId="2AA23544" w:rsidR="00F220CB" w:rsidRPr="00925997" w:rsidRDefault="00F220CB" w:rsidP="00F220CB">
      <w:pPr>
        <w:keepNext/>
        <w:keepLines/>
        <w:tabs>
          <w:tab w:val="left" w:pos="567"/>
        </w:tabs>
        <w:spacing w:before="240"/>
        <w:rPr>
          <w:spacing w:val="2"/>
        </w:rPr>
      </w:pPr>
      <w:r w:rsidRPr="00925997">
        <w:rPr>
          <w:snapToGrid w:val="0"/>
        </w:rPr>
        <w:lastRenderedPageBreak/>
        <w:t>En su quincuagésima sexta</w:t>
      </w:r>
      <w:r w:rsidRPr="00925997">
        <w:t xml:space="preserve"> sesión,</w:t>
      </w:r>
      <w:r w:rsidRPr="00925997">
        <w:rPr>
          <w:rStyle w:val="FootnoteReference"/>
          <w:spacing w:val="2"/>
        </w:rPr>
        <w:footnoteReference w:id="9"/>
      </w:r>
      <w:r w:rsidRPr="00925997">
        <w:t xml:space="preserve"> el TC señaló que había examinado el documento</w:t>
      </w:r>
      <w:r w:rsidR="00A12207" w:rsidRPr="00925997">
        <w:t> </w:t>
      </w:r>
      <w:r w:rsidRPr="00925997">
        <w:t>TC/56/11 por correspondencia. Señaló asimismo que las decisiones que figuran en el documento</w:t>
      </w:r>
      <w:r w:rsidR="00A12207" w:rsidRPr="00925997">
        <w:t> </w:t>
      </w:r>
      <w:r w:rsidRPr="00925997">
        <w:t>TC/56/11 habían sido adoptadas por correspondencia, según lo expresado en el documento</w:t>
      </w:r>
      <w:r w:rsidR="00A12207" w:rsidRPr="00925997">
        <w:t> </w:t>
      </w:r>
      <w:r w:rsidRPr="00925997">
        <w:t>TC/56/22, párrafos</w:t>
      </w:r>
      <w:r w:rsidR="00A12207" w:rsidRPr="00925997">
        <w:t> </w:t>
      </w:r>
      <w:r w:rsidRPr="00925997">
        <w:t>39 a</w:t>
      </w:r>
      <w:r w:rsidR="00A12207" w:rsidRPr="00925997">
        <w:t> </w:t>
      </w:r>
      <w:r w:rsidRPr="00925997">
        <w:t>44, que se reproducen a continuación:</w:t>
      </w:r>
    </w:p>
    <w:p w14:paraId="79DE710E" w14:textId="77777777" w:rsidR="00F220CB" w:rsidRPr="00925997" w:rsidRDefault="00F220CB" w:rsidP="00F220CB">
      <w:pPr>
        <w:tabs>
          <w:tab w:val="left" w:pos="1701"/>
        </w:tabs>
        <w:ind w:left="1134" w:right="567" w:hanging="567"/>
        <w:jc w:val="left"/>
        <w:rPr>
          <w:sz w:val="18"/>
        </w:rPr>
      </w:pPr>
    </w:p>
    <w:p w14:paraId="65A410A2" w14:textId="21CC9871" w:rsidR="00F220CB" w:rsidRPr="00925997" w:rsidRDefault="00F220CB" w:rsidP="00F220CB">
      <w:pPr>
        <w:ind w:left="1134" w:hanging="567"/>
        <w:jc w:val="left"/>
        <w:rPr>
          <w:sz w:val="18"/>
        </w:rPr>
      </w:pPr>
      <w:r w:rsidRPr="00925997">
        <w:rPr>
          <w:snapToGrid w:val="0"/>
          <w:sz w:val="18"/>
        </w:rPr>
        <w:t>“39.</w:t>
      </w:r>
      <w:r w:rsidRPr="00925997">
        <w:rPr>
          <w:snapToGrid w:val="0"/>
          <w:sz w:val="18"/>
        </w:rPr>
        <w:tab/>
      </w:r>
      <w:r w:rsidRPr="00925997">
        <w:rPr>
          <w:sz w:val="18"/>
        </w:rPr>
        <w:t>El TC examinó el documento</w:t>
      </w:r>
      <w:r w:rsidR="00A12207" w:rsidRPr="00925997">
        <w:rPr>
          <w:sz w:val="18"/>
        </w:rPr>
        <w:t> </w:t>
      </w:r>
      <w:r w:rsidRPr="00925997">
        <w:rPr>
          <w:sz w:val="18"/>
        </w:rPr>
        <w:t>TC/56/11.</w:t>
      </w:r>
    </w:p>
    <w:p w14:paraId="621EFC14" w14:textId="77777777" w:rsidR="00F220CB" w:rsidRPr="00925997" w:rsidRDefault="00F220CB" w:rsidP="00F220CB">
      <w:pPr>
        <w:ind w:left="1134" w:hanging="567"/>
        <w:jc w:val="left"/>
        <w:rPr>
          <w:sz w:val="18"/>
        </w:rPr>
      </w:pPr>
    </w:p>
    <w:p w14:paraId="59B97450" w14:textId="77777777" w:rsidR="00F220CB" w:rsidRPr="00925997" w:rsidRDefault="00F220CB" w:rsidP="00F220CB">
      <w:pPr>
        <w:tabs>
          <w:tab w:val="left" w:pos="567"/>
          <w:tab w:val="left" w:pos="1134"/>
          <w:tab w:val="left" w:pos="1701"/>
          <w:tab w:val="left" w:pos="5387"/>
          <w:tab w:val="left" w:pos="5954"/>
        </w:tabs>
        <w:ind w:left="567"/>
        <w:rPr>
          <w:snapToGrid w:val="0"/>
          <w:sz w:val="18"/>
        </w:rPr>
      </w:pPr>
      <w:r w:rsidRPr="00925997">
        <w:rPr>
          <w:snapToGrid w:val="0"/>
          <w:sz w:val="18"/>
        </w:rPr>
        <w:t>40.</w:t>
      </w:r>
      <w:r w:rsidRPr="00925997">
        <w:rPr>
          <w:snapToGrid w:val="0"/>
          <w:sz w:val="18"/>
        </w:rPr>
        <w:tab/>
      </w:r>
      <w:r w:rsidRPr="00925997">
        <w:rPr>
          <w:sz w:val="18"/>
        </w:rPr>
        <w:t xml:space="preserve">El </w:t>
      </w:r>
      <w:r w:rsidRPr="00925997">
        <w:rPr>
          <w:snapToGrid w:val="0"/>
          <w:sz w:val="18"/>
        </w:rPr>
        <w:t xml:space="preserve">TC </w:t>
      </w:r>
      <w:r w:rsidRPr="00925997">
        <w:rPr>
          <w:sz w:val="18"/>
        </w:rPr>
        <w:t>tomó nota de que los miembros de la Unión disponen de las siguientes opciones para actualizar la información sobre las personas de enlace para asuntos relativos a la cooperación internacional en materia de examen DHE</w:t>
      </w:r>
      <w:r w:rsidRPr="00925997">
        <w:rPr>
          <w:snapToGrid w:val="0"/>
          <w:sz w:val="18"/>
        </w:rPr>
        <w:t>:</w:t>
      </w:r>
    </w:p>
    <w:p w14:paraId="3AB0143A" w14:textId="77777777" w:rsidR="00F220CB" w:rsidRPr="00925997" w:rsidRDefault="00F220CB" w:rsidP="00F220CB">
      <w:pPr>
        <w:tabs>
          <w:tab w:val="left" w:pos="567"/>
          <w:tab w:val="left" w:pos="1134"/>
          <w:tab w:val="left" w:pos="1701"/>
          <w:tab w:val="left" w:pos="5387"/>
          <w:tab w:val="left" w:pos="5954"/>
        </w:tabs>
        <w:ind w:left="567"/>
        <w:rPr>
          <w:snapToGrid w:val="0"/>
          <w:sz w:val="18"/>
        </w:rPr>
      </w:pPr>
    </w:p>
    <w:p w14:paraId="1004D5E2" w14:textId="77777777" w:rsidR="00F220CB" w:rsidRPr="00925997" w:rsidRDefault="00F220CB" w:rsidP="00F220CB">
      <w:pPr>
        <w:keepNext/>
        <w:keepLines/>
        <w:tabs>
          <w:tab w:val="left" w:pos="567"/>
          <w:tab w:val="left" w:pos="1134"/>
          <w:tab w:val="left" w:pos="1701"/>
          <w:tab w:val="left" w:pos="2268"/>
          <w:tab w:val="left" w:pos="5387"/>
          <w:tab w:val="left" w:pos="6521"/>
        </w:tabs>
        <w:ind w:left="1134" w:right="567" w:firstLine="567"/>
        <w:rPr>
          <w:snapToGrid w:val="0"/>
          <w:sz w:val="18"/>
        </w:rPr>
      </w:pPr>
      <w:r w:rsidRPr="00925997">
        <w:rPr>
          <w:sz w:val="18"/>
        </w:rPr>
        <w:t>(i)</w:t>
      </w:r>
      <w:r w:rsidRPr="00925997">
        <w:rPr>
          <w:sz w:val="18"/>
        </w:rPr>
        <w:tab/>
      </w:r>
      <w:r w:rsidRPr="00925997">
        <w:rPr>
          <w:snapToGrid w:val="0"/>
          <w:sz w:val="18"/>
        </w:rPr>
        <w:t>actualizar la información cuando se les invite a facilitar información para el documento TC/[xx]/4, ‘Lista de géneros y especies respecto de los cuales las autoridades poseen experiencia práctica en el examen de la distinción, la homogeneidad y la estabilidad’; o</w:t>
      </w:r>
    </w:p>
    <w:p w14:paraId="248DE64B" w14:textId="77777777" w:rsidR="00F220CB" w:rsidRPr="00925997" w:rsidRDefault="00F220CB" w:rsidP="00F220CB">
      <w:pPr>
        <w:tabs>
          <w:tab w:val="left" w:pos="1701"/>
          <w:tab w:val="left" w:pos="2268"/>
        </w:tabs>
        <w:ind w:left="1134" w:right="567"/>
        <w:rPr>
          <w:snapToGrid w:val="0"/>
          <w:sz w:val="18"/>
        </w:rPr>
      </w:pPr>
    </w:p>
    <w:p w14:paraId="72C87EA5" w14:textId="2D4B07A1" w:rsidR="00F220CB" w:rsidRPr="00925997" w:rsidRDefault="00F220CB" w:rsidP="00F220CB">
      <w:pPr>
        <w:keepNext/>
        <w:keepLines/>
        <w:tabs>
          <w:tab w:val="left" w:pos="567"/>
          <w:tab w:val="left" w:pos="1134"/>
          <w:tab w:val="left" w:pos="1701"/>
          <w:tab w:val="left" w:pos="2268"/>
          <w:tab w:val="left" w:pos="5387"/>
          <w:tab w:val="left" w:pos="6521"/>
        </w:tabs>
        <w:ind w:left="1134" w:right="567" w:firstLine="567"/>
        <w:rPr>
          <w:sz w:val="18"/>
        </w:rPr>
      </w:pPr>
      <w:r w:rsidRPr="00925997">
        <w:rPr>
          <w:sz w:val="18"/>
        </w:rPr>
        <w:t>(ii)</w:t>
      </w:r>
      <w:r w:rsidRPr="00925997">
        <w:rPr>
          <w:sz w:val="18"/>
        </w:rPr>
        <w:tab/>
      </w:r>
      <w:r w:rsidRPr="00925997">
        <w:rPr>
          <w:snapToGrid w:val="0"/>
          <w:sz w:val="18"/>
        </w:rPr>
        <w:t>notificar la información a la</w:t>
      </w:r>
      <w:r w:rsidR="00A12207" w:rsidRPr="00925997">
        <w:rPr>
          <w:snapToGrid w:val="0"/>
          <w:sz w:val="18"/>
        </w:rPr>
        <w:t> </w:t>
      </w:r>
      <w:r w:rsidRPr="00925997">
        <w:rPr>
          <w:snapToGrid w:val="0"/>
          <w:sz w:val="18"/>
        </w:rPr>
        <w:t>Oficina de la</w:t>
      </w:r>
      <w:r w:rsidR="00A12207" w:rsidRPr="00925997">
        <w:rPr>
          <w:snapToGrid w:val="0"/>
          <w:sz w:val="18"/>
        </w:rPr>
        <w:t> </w:t>
      </w:r>
      <w:r w:rsidRPr="00925997">
        <w:rPr>
          <w:snapToGrid w:val="0"/>
          <w:sz w:val="18"/>
        </w:rPr>
        <w:t xml:space="preserve">Unión enviando un mensaje de correo electrónico a la dirección </w:t>
      </w:r>
      <w:hyperlink r:id="rId9" w:history="1">
        <w:r w:rsidRPr="00925997">
          <w:rPr>
            <w:snapToGrid w:val="0"/>
            <w:sz w:val="18"/>
            <w:u w:val="single"/>
          </w:rPr>
          <w:t>upov.mail@upov.int</w:t>
        </w:r>
      </w:hyperlink>
      <w:r w:rsidRPr="00925997">
        <w:rPr>
          <w:snapToGrid w:val="0"/>
          <w:sz w:val="18"/>
        </w:rPr>
        <w:t>;</w:t>
      </w:r>
    </w:p>
    <w:p w14:paraId="10AF7103" w14:textId="77777777" w:rsidR="00F220CB" w:rsidRPr="00925997" w:rsidRDefault="00F220CB" w:rsidP="00F220CB">
      <w:pPr>
        <w:tabs>
          <w:tab w:val="left" w:pos="567"/>
          <w:tab w:val="left" w:pos="1134"/>
          <w:tab w:val="left" w:pos="1701"/>
        </w:tabs>
        <w:rPr>
          <w:sz w:val="18"/>
        </w:rPr>
      </w:pPr>
    </w:p>
    <w:p w14:paraId="358F3750" w14:textId="77777777" w:rsidR="00F220CB" w:rsidRPr="00925997" w:rsidRDefault="00F220CB" w:rsidP="00F220CB">
      <w:pPr>
        <w:tabs>
          <w:tab w:val="left" w:pos="567"/>
          <w:tab w:val="left" w:pos="1134"/>
          <w:tab w:val="left" w:pos="1701"/>
          <w:tab w:val="left" w:pos="5387"/>
          <w:tab w:val="left" w:pos="5954"/>
        </w:tabs>
        <w:ind w:left="567"/>
        <w:rPr>
          <w:sz w:val="18"/>
        </w:rPr>
      </w:pPr>
      <w:r w:rsidRPr="00925997">
        <w:rPr>
          <w:snapToGrid w:val="0"/>
          <w:sz w:val="18"/>
        </w:rPr>
        <w:t>41.</w:t>
      </w:r>
      <w:r w:rsidRPr="00925997">
        <w:rPr>
          <w:snapToGrid w:val="0"/>
          <w:sz w:val="18"/>
        </w:rPr>
        <w:tab/>
        <w:t>El TC convino en proponer el desarrollo de un conjunto de herramientas informáticas compatibles que incluya los siguientes elementos</w:t>
      </w:r>
      <w:r w:rsidRPr="00925997">
        <w:rPr>
          <w:sz w:val="18"/>
        </w:rPr>
        <w:t xml:space="preserve">: </w:t>
      </w:r>
    </w:p>
    <w:p w14:paraId="5249CCE1" w14:textId="77777777" w:rsidR="00F220CB" w:rsidRPr="00925997" w:rsidRDefault="00F220CB" w:rsidP="00F220CB">
      <w:pPr>
        <w:tabs>
          <w:tab w:val="left" w:pos="567"/>
          <w:tab w:val="left" w:pos="1134"/>
          <w:tab w:val="left" w:pos="1701"/>
          <w:tab w:val="left" w:pos="5387"/>
          <w:tab w:val="left" w:pos="5954"/>
        </w:tabs>
        <w:ind w:left="567"/>
        <w:rPr>
          <w:sz w:val="18"/>
        </w:rPr>
      </w:pPr>
    </w:p>
    <w:p w14:paraId="7445C540" w14:textId="77777777" w:rsidR="00F220CB" w:rsidRPr="00925997" w:rsidRDefault="00F220CB" w:rsidP="00F220CB">
      <w:pPr>
        <w:pStyle w:val="ListParagraph"/>
        <w:numPr>
          <w:ilvl w:val="1"/>
          <w:numId w:val="17"/>
        </w:numPr>
        <w:ind w:left="1701" w:hanging="567"/>
        <w:rPr>
          <w:sz w:val="18"/>
        </w:rPr>
      </w:pPr>
      <w:r w:rsidRPr="00925997">
        <w:rPr>
          <w:sz w:val="18"/>
        </w:rPr>
        <w:t xml:space="preserve">Una plataforma que permita: </w:t>
      </w:r>
    </w:p>
    <w:p w14:paraId="33AD2F92" w14:textId="21309F45" w:rsidR="00F220CB" w:rsidRPr="00925997" w:rsidRDefault="00F220CB" w:rsidP="00F220CB">
      <w:pPr>
        <w:pStyle w:val="ListParagraph"/>
        <w:numPr>
          <w:ilvl w:val="2"/>
          <w:numId w:val="17"/>
        </w:numPr>
        <w:spacing w:before="60"/>
        <w:ind w:left="2261" w:hanging="562"/>
        <w:contextualSpacing w:val="0"/>
        <w:rPr>
          <w:sz w:val="18"/>
        </w:rPr>
      </w:pPr>
      <w:r w:rsidRPr="00925997">
        <w:rPr>
          <w:sz w:val="18"/>
        </w:rPr>
        <w:t>El intercambio de informes</w:t>
      </w:r>
      <w:r w:rsidR="00A12207" w:rsidRPr="00925997">
        <w:rPr>
          <w:sz w:val="18"/>
        </w:rPr>
        <w:t> </w:t>
      </w:r>
      <w:r w:rsidRPr="00925997">
        <w:rPr>
          <w:sz w:val="18"/>
        </w:rPr>
        <w:t>DHE existentes, al objeto de que:</w:t>
      </w:r>
    </w:p>
    <w:p w14:paraId="1606CFAE" w14:textId="77777777" w:rsidR="00F220CB" w:rsidRPr="00925997" w:rsidRDefault="00F220CB" w:rsidP="00F220CB">
      <w:pPr>
        <w:pStyle w:val="ListParagraph"/>
        <w:numPr>
          <w:ilvl w:val="3"/>
          <w:numId w:val="17"/>
        </w:numPr>
        <w:spacing w:before="60"/>
        <w:ind w:left="2837" w:hanging="562"/>
        <w:contextualSpacing w:val="0"/>
        <w:rPr>
          <w:sz w:val="18"/>
        </w:rPr>
      </w:pPr>
      <w:r w:rsidRPr="00925997">
        <w:rPr>
          <w:sz w:val="18"/>
        </w:rPr>
        <w:t>los miembros de la UPOV publiquen y reciban informes DHE existentes y organicen el pago, según proceda;</w:t>
      </w:r>
    </w:p>
    <w:p w14:paraId="1E59FF4F" w14:textId="73C2BCB5" w:rsidR="00F220CB" w:rsidRPr="00925997" w:rsidRDefault="00F220CB" w:rsidP="00F220CB">
      <w:pPr>
        <w:pStyle w:val="ListParagraph"/>
        <w:numPr>
          <w:ilvl w:val="3"/>
          <w:numId w:val="17"/>
        </w:numPr>
        <w:ind w:left="2835" w:hanging="567"/>
        <w:rPr>
          <w:sz w:val="18"/>
        </w:rPr>
      </w:pPr>
      <w:r w:rsidRPr="00925997">
        <w:rPr>
          <w:sz w:val="18"/>
        </w:rPr>
        <w:t>los solicitantes de derechos de obtentor soliciten el uso de los informes</w:t>
      </w:r>
      <w:r w:rsidR="00A12207" w:rsidRPr="00925997">
        <w:rPr>
          <w:sz w:val="18"/>
        </w:rPr>
        <w:t> </w:t>
      </w:r>
      <w:r w:rsidRPr="00925997">
        <w:rPr>
          <w:sz w:val="18"/>
        </w:rPr>
        <w:t>DHE existentes y efectúen los pagos, según proceda.</w:t>
      </w:r>
    </w:p>
    <w:p w14:paraId="7DA43CE8" w14:textId="767AC458" w:rsidR="00F220CB" w:rsidRPr="00925997" w:rsidRDefault="00F220CB" w:rsidP="00F220CB">
      <w:pPr>
        <w:pStyle w:val="ListParagraph"/>
        <w:numPr>
          <w:ilvl w:val="2"/>
          <w:numId w:val="17"/>
        </w:numPr>
        <w:spacing w:before="60"/>
        <w:ind w:left="2261" w:hanging="562"/>
        <w:contextualSpacing w:val="0"/>
        <w:rPr>
          <w:sz w:val="18"/>
        </w:rPr>
      </w:pPr>
      <w:r w:rsidRPr="00925997">
        <w:rPr>
          <w:sz w:val="18"/>
        </w:rPr>
        <w:t>Que los miembros de la</w:t>
      </w:r>
      <w:r w:rsidR="00A12207" w:rsidRPr="00925997">
        <w:rPr>
          <w:sz w:val="18"/>
        </w:rPr>
        <w:t> </w:t>
      </w:r>
      <w:r w:rsidRPr="00925997">
        <w:rPr>
          <w:sz w:val="18"/>
        </w:rPr>
        <w:t>UPOV pongan a disposición de los demás miembros de la</w:t>
      </w:r>
      <w:r w:rsidR="00A12207" w:rsidRPr="00925997">
        <w:rPr>
          <w:sz w:val="18"/>
        </w:rPr>
        <w:t> </w:t>
      </w:r>
      <w:r w:rsidRPr="00925997">
        <w:rPr>
          <w:sz w:val="18"/>
        </w:rPr>
        <w:t>Unión sus procedimientos de examen</w:t>
      </w:r>
      <w:r w:rsidR="00A12207" w:rsidRPr="00925997">
        <w:rPr>
          <w:sz w:val="18"/>
        </w:rPr>
        <w:t> </w:t>
      </w:r>
      <w:r w:rsidRPr="00925997">
        <w:rPr>
          <w:sz w:val="18"/>
        </w:rPr>
        <w:t>DHE documentados y la información sobre sus sistemas de gestión de calidad.</w:t>
      </w:r>
    </w:p>
    <w:p w14:paraId="20C18DDD" w14:textId="77777777" w:rsidR="00F220CB" w:rsidRPr="00925997" w:rsidRDefault="00F220CB" w:rsidP="00F220CB">
      <w:pPr>
        <w:pStyle w:val="ListParagraph"/>
        <w:ind w:left="2214"/>
        <w:rPr>
          <w:sz w:val="18"/>
        </w:rPr>
      </w:pPr>
    </w:p>
    <w:p w14:paraId="3C6C1B3F" w14:textId="3B0866BB" w:rsidR="00F220CB" w:rsidRPr="00925997" w:rsidRDefault="00F220CB" w:rsidP="00F220CB">
      <w:pPr>
        <w:pStyle w:val="ListParagraph"/>
        <w:numPr>
          <w:ilvl w:val="1"/>
          <w:numId w:val="17"/>
        </w:numPr>
        <w:ind w:left="1701" w:hanging="567"/>
        <w:rPr>
          <w:sz w:val="18"/>
        </w:rPr>
      </w:pPr>
      <w:r w:rsidRPr="00925997">
        <w:rPr>
          <w:sz w:val="18"/>
        </w:rPr>
        <w:t>Una herramienta que permita proporcionar fácilmente información sobre la cooperación en el examen</w:t>
      </w:r>
      <w:r w:rsidR="00A12207" w:rsidRPr="00925997">
        <w:rPr>
          <w:sz w:val="18"/>
        </w:rPr>
        <w:t> </w:t>
      </w:r>
      <w:r w:rsidRPr="00925997">
        <w:rPr>
          <w:sz w:val="18"/>
        </w:rPr>
        <w:t>DHE entre los miembros de la UPOV y los solicitantes de derechos de obtentor, a partir de la información que figura en la base de datos GENIE.</w:t>
      </w:r>
    </w:p>
    <w:p w14:paraId="1A5E1010" w14:textId="77777777" w:rsidR="00F220CB" w:rsidRPr="00925997" w:rsidRDefault="00F220CB" w:rsidP="00F220CB">
      <w:pPr>
        <w:pStyle w:val="ListParagraph"/>
        <w:ind w:left="1701" w:hanging="567"/>
        <w:rPr>
          <w:sz w:val="18"/>
        </w:rPr>
      </w:pPr>
    </w:p>
    <w:p w14:paraId="259AF6ED" w14:textId="48D1A7EF" w:rsidR="00F220CB" w:rsidRPr="00925997" w:rsidRDefault="00F220CB" w:rsidP="00F220CB">
      <w:pPr>
        <w:pStyle w:val="ListParagraph"/>
        <w:numPr>
          <w:ilvl w:val="1"/>
          <w:numId w:val="17"/>
        </w:numPr>
        <w:ind w:left="1701" w:hanging="567"/>
        <w:rPr>
          <w:sz w:val="18"/>
        </w:rPr>
      </w:pPr>
      <w:r w:rsidRPr="00925997">
        <w:rPr>
          <w:sz w:val="18"/>
        </w:rPr>
        <w:t>Un módulo para que los miembros de la</w:t>
      </w:r>
      <w:r w:rsidR="00A12207" w:rsidRPr="00925997">
        <w:rPr>
          <w:sz w:val="18"/>
        </w:rPr>
        <w:t> </w:t>
      </w:r>
      <w:r w:rsidRPr="00925997">
        <w:rPr>
          <w:sz w:val="18"/>
        </w:rPr>
        <w:t>UPOV utilicen la plantilla de documentos</w:t>
      </w:r>
      <w:r w:rsidR="00A12207" w:rsidRPr="00925997">
        <w:rPr>
          <w:sz w:val="18"/>
        </w:rPr>
        <w:t> </w:t>
      </w:r>
      <w:r w:rsidRPr="00925997">
        <w:rPr>
          <w:sz w:val="18"/>
        </w:rPr>
        <w:t>TG y la base de datos de caracteres en línea al elaborar las directrices de examen propias de cada autoridad en su propio idioma.</w:t>
      </w:r>
    </w:p>
    <w:p w14:paraId="44FFB604" w14:textId="77777777" w:rsidR="00F220CB" w:rsidRPr="00925997" w:rsidRDefault="00F220CB" w:rsidP="00F220CB">
      <w:pPr>
        <w:pStyle w:val="ListParagraph"/>
        <w:ind w:left="1701" w:hanging="567"/>
        <w:rPr>
          <w:sz w:val="18"/>
        </w:rPr>
      </w:pPr>
    </w:p>
    <w:p w14:paraId="20F6A214" w14:textId="77777777" w:rsidR="00F220CB" w:rsidRPr="00925997" w:rsidRDefault="00F220CB" w:rsidP="00F220CB">
      <w:pPr>
        <w:pStyle w:val="ListParagraph"/>
        <w:numPr>
          <w:ilvl w:val="1"/>
          <w:numId w:val="17"/>
        </w:numPr>
        <w:ind w:left="1701" w:hanging="567"/>
        <w:rPr>
          <w:sz w:val="18"/>
        </w:rPr>
      </w:pPr>
      <w:r w:rsidRPr="00925997">
        <w:rPr>
          <w:sz w:val="18"/>
        </w:rPr>
        <w:t>Una plataforma para las bases de datos de los miembros de la UPOV con información sobre descripción de variedades.</w:t>
      </w:r>
    </w:p>
    <w:p w14:paraId="30B49EF3" w14:textId="77777777" w:rsidR="00F220CB" w:rsidRPr="00925997" w:rsidRDefault="00F220CB" w:rsidP="00F220CB">
      <w:pPr>
        <w:tabs>
          <w:tab w:val="left" w:pos="567"/>
          <w:tab w:val="left" w:pos="1134"/>
          <w:tab w:val="left" w:pos="1701"/>
          <w:tab w:val="left" w:pos="5387"/>
          <w:tab w:val="left" w:pos="5954"/>
        </w:tabs>
        <w:ind w:left="567"/>
        <w:rPr>
          <w:sz w:val="18"/>
        </w:rPr>
      </w:pPr>
    </w:p>
    <w:p w14:paraId="1C42A746" w14:textId="7C480CF3" w:rsidR="00F220CB" w:rsidRPr="00925997" w:rsidRDefault="00F220CB" w:rsidP="00F220CB">
      <w:pPr>
        <w:tabs>
          <w:tab w:val="left" w:pos="567"/>
          <w:tab w:val="left" w:pos="1134"/>
          <w:tab w:val="left" w:pos="1701"/>
          <w:tab w:val="left" w:pos="5387"/>
          <w:tab w:val="left" w:pos="5954"/>
        </w:tabs>
        <w:ind w:left="567"/>
        <w:rPr>
          <w:sz w:val="18"/>
        </w:rPr>
      </w:pPr>
      <w:r w:rsidRPr="00925997">
        <w:rPr>
          <w:snapToGrid w:val="0"/>
          <w:sz w:val="18"/>
        </w:rPr>
        <w:t>42.</w:t>
      </w:r>
      <w:r w:rsidRPr="00925997">
        <w:rPr>
          <w:snapToGrid w:val="0"/>
          <w:sz w:val="18"/>
        </w:rPr>
        <w:tab/>
        <w:t>El TC tomó nota de las posibilidades que ofrece la tecnología de traducción automática para reducir los costos de traducción de los documentos de la</w:t>
      </w:r>
      <w:r w:rsidR="00A12207" w:rsidRPr="00925997">
        <w:rPr>
          <w:snapToGrid w:val="0"/>
          <w:sz w:val="18"/>
        </w:rPr>
        <w:t> </w:t>
      </w:r>
      <w:r w:rsidRPr="00925997">
        <w:rPr>
          <w:snapToGrid w:val="0"/>
          <w:sz w:val="18"/>
        </w:rPr>
        <w:t>UPOV a los idiomas de la</w:t>
      </w:r>
      <w:r w:rsidR="00A12207" w:rsidRPr="00925997">
        <w:rPr>
          <w:snapToGrid w:val="0"/>
          <w:sz w:val="18"/>
        </w:rPr>
        <w:t> </w:t>
      </w:r>
      <w:r w:rsidRPr="00925997">
        <w:rPr>
          <w:snapToGrid w:val="0"/>
          <w:sz w:val="18"/>
        </w:rPr>
        <w:t>Unión y para elaborar material de la UPOV en una gama más amplia de idiomas</w:t>
      </w:r>
      <w:r w:rsidRPr="00925997">
        <w:rPr>
          <w:sz w:val="18"/>
        </w:rPr>
        <w:t>.</w:t>
      </w:r>
    </w:p>
    <w:p w14:paraId="4417D77C" w14:textId="77777777" w:rsidR="00F220CB" w:rsidRPr="00925997" w:rsidRDefault="00F220CB" w:rsidP="00F220CB">
      <w:pPr>
        <w:tabs>
          <w:tab w:val="left" w:pos="567"/>
          <w:tab w:val="left" w:pos="1134"/>
          <w:tab w:val="left" w:pos="1701"/>
          <w:tab w:val="left" w:pos="5954"/>
        </w:tabs>
        <w:ind w:left="567"/>
        <w:rPr>
          <w:sz w:val="18"/>
        </w:rPr>
      </w:pPr>
    </w:p>
    <w:p w14:paraId="61B28C95" w14:textId="45C5873B" w:rsidR="00F220CB" w:rsidRPr="00925997" w:rsidRDefault="00F220CB" w:rsidP="00F220CB">
      <w:pPr>
        <w:tabs>
          <w:tab w:val="left" w:pos="567"/>
          <w:tab w:val="left" w:pos="1134"/>
          <w:tab w:val="left" w:pos="1701"/>
          <w:tab w:val="left" w:pos="5387"/>
          <w:tab w:val="left" w:pos="5954"/>
        </w:tabs>
        <w:ind w:left="567"/>
        <w:rPr>
          <w:sz w:val="18"/>
        </w:rPr>
      </w:pPr>
      <w:r w:rsidRPr="00925997">
        <w:rPr>
          <w:snapToGrid w:val="0"/>
          <w:sz w:val="18"/>
        </w:rPr>
        <w:t>43.</w:t>
      </w:r>
      <w:r w:rsidRPr="00925997">
        <w:rPr>
          <w:snapToGrid w:val="0"/>
          <w:sz w:val="18"/>
        </w:rPr>
        <w:tab/>
        <w:t>El TC convino en revisar la sección 6 del documento TGP/5, ‘Informe de la</w:t>
      </w:r>
      <w:r w:rsidR="00A12207" w:rsidRPr="00925997">
        <w:rPr>
          <w:snapToGrid w:val="0"/>
          <w:sz w:val="18"/>
        </w:rPr>
        <w:t> </w:t>
      </w:r>
      <w:r w:rsidRPr="00925997">
        <w:rPr>
          <w:snapToGrid w:val="0"/>
          <w:sz w:val="18"/>
        </w:rPr>
        <w:t>UPOV sobre el examen técnico y formulario</w:t>
      </w:r>
      <w:r w:rsidR="00A12207" w:rsidRPr="00925997">
        <w:rPr>
          <w:snapToGrid w:val="0"/>
          <w:sz w:val="18"/>
        </w:rPr>
        <w:t> </w:t>
      </w:r>
      <w:r w:rsidRPr="00925997">
        <w:rPr>
          <w:snapToGrid w:val="0"/>
          <w:sz w:val="18"/>
        </w:rPr>
        <w:t xml:space="preserve">UPOV para la descripción de variedades’, a fin de incluir información adicional en los informes de los exámenes DHE, </w:t>
      </w:r>
      <w:r w:rsidRPr="00925997">
        <w:rPr>
          <w:sz w:val="18"/>
        </w:rPr>
        <w:t>con los siguientes objetivos:</w:t>
      </w:r>
    </w:p>
    <w:p w14:paraId="19C8167C" w14:textId="77777777" w:rsidR="00F220CB" w:rsidRPr="00925997" w:rsidRDefault="00F220CB" w:rsidP="00F220CB">
      <w:pPr>
        <w:tabs>
          <w:tab w:val="left" w:pos="567"/>
          <w:tab w:val="left" w:pos="1134"/>
          <w:tab w:val="left" w:pos="1701"/>
          <w:tab w:val="left" w:pos="5387"/>
          <w:tab w:val="left" w:pos="5954"/>
        </w:tabs>
        <w:ind w:left="567"/>
        <w:rPr>
          <w:sz w:val="18"/>
        </w:rPr>
      </w:pPr>
    </w:p>
    <w:p w14:paraId="2C134B2B" w14:textId="77777777" w:rsidR="00F220CB" w:rsidRPr="00925997" w:rsidRDefault="00F220CB" w:rsidP="00F220CB">
      <w:pPr>
        <w:pStyle w:val="ListParagraph"/>
        <w:numPr>
          <w:ilvl w:val="0"/>
          <w:numId w:val="11"/>
        </w:numPr>
        <w:spacing w:after="200" w:line="276" w:lineRule="auto"/>
        <w:ind w:left="1647" w:hanging="513"/>
        <w:jc w:val="left"/>
        <w:rPr>
          <w:sz w:val="18"/>
        </w:rPr>
      </w:pPr>
      <w:r w:rsidRPr="00925997">
        <w:rPr>
          <w:sz w:val="18"/>
        </w:rPr>
        <w:t>proporcionar información sobre las variedades incluidas en la colección de variedades;</w:t>
      </w:r>
    </w:p>
    <w:p w14:paraId="7B378C54" w14:textId="77777777" w:rsidR="00F220CB" w:rsidRPr="00925997" w:rsidRDefault="00F220CB" w:rsidP="00F220CB">
      <w:pPr>
        <w:pStyle w:val="ListParagraph"/>
        <w:numPr>
          <w:ilvl w:val="0"/>
          <w:numId w:val="11"/>
        </w:numPr>
        <w:spacing w:after="200" w:line="276" w:lineRule="auto"/>
        <w:ind w:left="1647" w:hanging="513"/>
        <w:jc w:val="left"/>
        <w:rPr>
          <w:sz w:val="18"/>
        </w:rPr>
      </w:pPr>
      <w:r w:rsidRPr="00925997">
        <w:rPr>
          <w:sz w:val="18"/>
        </w:rPr>
        <w:t>indicar las variedades consideradas en el examen (no solo las variedades similares);</w:t>
      </w:r>
    </w:p>
    <w:p w14:paraId="1D0F7F4F" w14:textId="7FE3DC64" w:rsidR="00F220CB" w:rsidRPr="00925997" w:rsidRDefault="00F220CB" w:rsidP="00F220CB">
      <w:pPr>
        <w:pStyle w:val="ListParagraph"/>
        <w:numPr>
          <w:ilvl w:val="0"/>
          <w:numId w:val="11"/>
        </w:numPr>
        <w:spacing w:after="200" w:line="276" w:lineRule="auto"/>
        <w:ind w:left="1647" w:hanging="513"/>
        <w:jc w:val="left"/>
        <w:rPr>
          <w:spacing w:val="-4"/>
          <w:sz w:val="18"/>
        </w:rPr>
      </w:pPr>
      <w:r w:rsidRPr="00925997">
        <w:rPr>
          <w:sz w:val="18"/>
        </w:rPr>
        <w:t>facilitar datos de observaciones sobre el terreno, junto con el informe del examen</w:t>
      </w:r>
      <w:r w:rsidR="00A12207" w:rsidRPr="00925997">
        <w:rPr>
          <w:sz w:val="18"/>
        </w:rPr>
        <w:t> </w:t>
      </w:r>
      <w:r w:rsidRPr="00925997">
        <w:rPr>
          <w:sz w:val="18"/>
        </w:rPr>
        <w:t>DHE de cada variedad; y</w:t>
      </w:r>
    </w:p>
    <w:p w14:paraId="7693B8DC" w14:textId="63637703" w:rsidR="00F220CB" w:rsidRPr="00925997" w:rsidRDefault="00F220CB" w:rsidP="00F220CB">
      <w:pPr>
        <w:pStyle w:val="ListParagraph"/>
        <w:numPr>
          <w:ilvl w:val="0"/>
          <w:numId w:val="11"/>
        </w:numPr>
        <w:spacing w:after="200" w:line="276" w:lineRule="auto"/>
        <w:ind w:left="1647" w:hanging="513"/>
        <w:jc w:val="left"/>
        <w:rPr>
          <w:sz w:val="18"/>
        </w:rPr>
      </w:pPr>
      <w:r w:rsidRPr="00925997">
        <w:rPr>
          <w:sz w:val="18"/>
        </w:rPr>
        <w:t>facilitar información sobre el medio ambiente en el que se ha realizado el examen</w:t>
      </w:r>
      <w:r w:rsidR="00A12207" w:rsidRPr="00925997">
        <w:rPr>
          <w:sz w:val="18"/>
        </w:rPr>
        <w:t> </w:t>
      </w:r>
      <w:r w:rsidRPr="00925997">
        <w:rPr>
          <w:sz w:val="18"/>
        </w:rPr>
        <w:t>DHE.</w:t>
      </w:r>
    </w:p>
    <w:p w14:paraId="1C27D4D9" w14:textId="2D7676A3" w:rsidR="00F220CB" w:rsidRPr="00925997" w:rsidRDefault="00F220CB" w:rsidP="00F220CB">
      <w:pPr>
        <w:tabs>
          <w:tab w:val="left" w:pos="567"/>
          <w:tab w:val="left" w:pos="1134"/>
          <w:tab w:val="left" w:pos="1701"/>
          <w:tab w:val="left" w:pos="5387"/>
          <w:tab w:val="left" w:pos="5954"/>
        </w:tabs>
        <w:ind w:left="567"/>
        <w:rPr>
          <w:snapToGrid w:val="0"/>
        </w:rPr>
      </w:pPr>
      <w:r w:rsidRPr="00925997">
        <w:rPr>
          <w:snapToGrid w:val="0"/>
          <w:sz w:val="18"/>
        </w:rPr>
        <w:t>44.</w:t>
      </w:r>
      <w:r w:rsidRPr="00925997">
        <w:rPr>
          <w:snapToGrid w:val="0"/>
          <w:sz w:val="18"/>
        </w:rPr>
        <w:tab/>
        <w:t>El TC convino en que la repercusión del plan propuesto se evalúe en función del número de acuerdos de cooperación notificados por los miembros de la</w:t>
      </w:r>
      <w:r w:rsidR="00A12207" w:rsidRPr="00925997">
        <w:rPr>
          <w:snapToGrid w:val="0"/>
          <w:sz w:val="18"/>
        </w:rPr>
        <w:t> </w:t>
      </w:r>
      <w:r w:rsidRPr="00925997">
        <w:rPr>
          <w:snapToGrid w:val="0"/>
          <w:sz w:val="18"/>
        </w:rPr>
        <w:t>Unión, conforme a lo expuesto en el documento C/[xx]/INF/5 ‘Cooperación en materia de examen’.”</w:t>
      </w:r>
    </w:p>
    <w:p w14:paraId="3F1D454D" w14:textId="77777777" w:rsidR="00F220CB" w:rsidRPr="00925997" w:rsidRDefault="00F220CB" w:rsidP="00F220CB">
      <w:pPr>
        <w:tabs>
          <w:tab w:val="left" w:pos="1701"/>
        </w:tabs>
        <w:ind w:left="1134" w:right="567" w:hanging="567"/>
        <w:jc w:val="left"/>
        <w:rPr>
          <w:sz w:val="18"/>
        </w:rPr>
      </w:pPr>
    </w:p>
    <w:p w14:paraId="60F864DA" w14:textId="77777777" w:rsidR="00F220CB" w:rsidRPr="00925997" w:rsidRDefault="00F220CB" w:rsidP="00F220CB">
      <w:pPr>
        <w:tabs>
          <w:tab w:val="left" w:pos="1701"/>
        </w:tabs>
        <w:ind w:left="1134" w:right="567" w:hanging="567"/>
        <w:jc w:val="left"/>
        <w:rPr>
          <w:sz w:val="18"/>
        </w:rPr>
      </w:pPr>
    </w:p>
    <w:p w14:paraId="3441DCC8" w14:textId="77777777" w:rsidR="00002258" w:rsidRPr="00925997" w:rsidRDefault="00F220CB" w:rsidP="00F220CB">
      <w:pPr>
        <w:jc w:val="right"/>
      </w:pPr>
      <w:r w:rsidRPr="00925997">
        <w:t>[Fin del Anexo y del documento]</w:t>
      </w:r>
    </w:p>
    <w:sectPr w:rsidR="00002258" w:rsidRPr="00925997" w:rsidSect="0004198B">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7F4EC" w14:textId="77777777" w:rsidR="00FC1C04" w:rsidRDefault="00FC1C04" w:rsidP="006655D3">
      <w:r>
        <w:separator/>
      </w:r>
    </w:p>
    <w:p w14:paraId="404BC120" w14:textId="77777777" w:rsidR="00FC1C04" w:rsidRDefault="00FC1C04" w:rsidP="006655D3"/>
    <w:p w14:paraId="353CB5BA" w14:textId="77777777" w:rsidR="00FC1C04" w:rsidRDefault="00FC1C04" w:rsidP="006655D3"/>
  </w:endnote>
  <w:endnote w:type="continuationSeparator" w:id="0">
    <w:p w14:paraId="2D21C5E5" w14:textId="77777777" w:rsidR="00FC1C04" w:rsidRDefault="00FC1C04" w:rsidP="006655D3">
      <w:r>
        <w:separator/>
      </w:r>
    </w:p>
    <w:p w14:paraId="03B1BD88" w14:textId="77777777" w:rsidR="00FC1C04" w:rsidRPr="00294751" w:rsidRDefault="00FC1C04">
      <w:pPr>
        <w:pStyle w:val="Footer"/>
        <w:spacing w:after="60"/>
        <w:rPr>
          <w:sz w:val="18"/>
          <w:lang w:val="fr-FR"/>
        </w:rPr>
      </w:pPr>
      <w:r w:rsidRPr="00294751">
        <w:rPr>
          <w:sz w:val="18"/>
          <w:lang w:val="fr-FR"/>
        </w:rPr>
        <w:t>[Suite de la note de la page précédente]</w:t>
      </w:r>
    </w:p>
    <w:p w14:paraId="54C0CDFE" w14:textId="77777777" w:rsidR="00FC1C04" w:rsidRPr="00294751" w:rsidRDefault="00FC1C04" w:rsidP="006655D3">
      <w:pPr>
        <w:rPr>
          <w:lang w:val="fr-FR"/>
        </w:rPr>
      </w:pPr>
    </w:p>
    <w:p w14:paraId="03AB5CF9" w14:textId="77777777" w:rsidR="00FC1C04" w:rsidRPr="00294751" w:rsidRDefault="00FC1C04" w:rsidP="006655D3">
      <w:pPr>
        <w:rPr>
          <w:lang w:val="fr-FR"/>
        </w:rPr>
      </w:pPr>
    </w:p>
  </w:endnote>
  <w:endnote w:type="continuationNotice" w:id="1">
    <w:p w14:paraId="70A6DC9B" w14:textId="77777777" w:rsidR="00FC1C04" w:rsidRPr="00294751" w:rsidRDefault="00FC1C04" w:rsidP="006655D3">
      <w:pPr>
        <w:rPr>
          <w:lang w:val="fr-FR"/>
        </w:rPr>
      </w:pPr>
      <w:r w:rsidRPr="00294751">
        <w:rPr>
          <w:lang w:val="fr-FR"/>
        </w:rPr>
        <w:t>[Suite de la note page suivante]</w:t>
      </w:r>
    </w:p>
    <w:p w14:paraId="4C6A228A" w14:textId="77777777" w:rsidR="00FC1C04" w:rsidRPr="00294751" w:rsidRDefault="00FC1C04" w:rsidP="006655D3">
      <w:pPr>
        <w:rPr>
          <w:lang w:val="fr-FR"/>
        </w:rPr>
      </w:pPr>
    </w:p>
    <w:p w14:paraId="1EBBE845" w14:textId="77777777" w:rsidR="00FC1C04" w:rsidRPr="00294751" w:rsidRDefault="00FC1C0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altName w:val="Arial Unicode MS"/>
    <w:panose1 w:val="020B0304020202020204"/>
    <w:charset w:val="00"/>
    <w:family w:val="swiss"/>
    <w:pitch w:val="variable"/>
    <w:sig w:usb0="00000000" w:usb1="00000000" w:usb2="00000000" w:usb3="00000000" w:csb0="00010001"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22281" w14:textId="77777777" w:rsidR="00FC1C04" w:rsidRDefault="00FC1C04" w:rsidP="006655D3">
      <w:r>
        <w:separator/>
      </w:r>
    </w:p>
  </w:footnote>
  <w:footnote w:type="continuationSeparator" w:id="0">
    <w:p w14:paraId="6450C344" w14:textId="77777777" w:rsidR="00FC1C04" w:rsidRDefault="00FC1C04" w:rsidP="006655D3">
      <w:r>
        <w:separator/>
      </w:r>
    </w:p>
  </w:footnote>
  <w:footnote w:type="continuationNotice" w:id="1">
    <w:p w14:paraId="426FD439" w14:textId="77777777" w:rsidR="00FC1C04" w:rsidRPr="00AB530F" w:rsidRDefault="00FC1C04" w:rsidP="00AB530F">
      <w:pPr>
        <w:pStyle w:val="Footer"/>
      </w:pPr>
    </w:p>
  </w:footnote>
  <w:footnote w:id="2">
    <w:p w14:paraId="4F6F0BD6" w14:textId="24B25136" w:rsidR="003B3C48" w:rsidRPr="00572614" w:rsidRDefault="003B3C48" w:rsidP="00786E03">
      <w:pPr>
        <w:pStyle w:val="FootnoteText"/>
        <w:spacing w:before="0"/>
      </w:pPr>
      <w:r w:rsidRPr="00572614">
        <w:rPr>
          <w:rStyle w:val="FootnoteReference"/>
        </w:rPr>
        <w:footnoteRef/>
      </w:r>
      <w:r w:rsidRPr="00572614">
        <w:t xml:space="preserve"> Celebrada por medios electrónicos el</w:t>
      </w:r>
      <w:r w:rsidR="00C51B95" w:rsidRPr="00572614">
        <w:t> </w:t>
      </w:r>
      <w:r w:rsidRPr="00572614">
        <w:t>28 de octubre de</w:t>
      </w:r>
      <w:r w:rsidR="00C51B95" w:rsidRPr="00572614">
        <w:t> </w:t>
      </w:r>
      <w:r w:rsidRPr="00572614">
        <w:t>2020.</w:t>
      </w:r>
    </w:p>
  </w:footnote>
  <w:footnote w:id="3">
    <w:p w14:paraId="7225F059" w14:textId="77777777" w:rsidR="003B3C48" w:rsidRPr="00572614" w:rsidRDefault="003B3C48" w:rsidP="00786E03">
      <w:pPr>
        <w:pStyle w:val="FootnoteText"/>
        <w:spacing w:before="0"/>
      </w:pPr>
      <w:r w:rsidRPr="00572614">
        <w:rPr>
          <w:rStyle w:val="FootnoteReference"/>
        </w:rPr>
        <w:footnoteRef/>
      </w:r>
      <w:r w:rsidRPr="00572614">
        <w:t xml:space="preserve"> Celebrada por medios electrónicos el 27 de octubre de 2021. </w:t>
      </w:r>
    </w:p>
  </w:footnote>
  <w:footnote w:id="4">
    <w:p w14:paraId="34827DD8" w14:textId="77777777" w:rsidR="003B3C48" w:rsidRPr="00572614" w:rsidRDefault="003B3C48" w:rsidP="00786E03">
      <w:pPr>
        <w:pStyle w:val="FootnoteText"/>
        <w:spacing w:before="0"/>
      </w:pPr>
      <w:r w:rsidRPr="00572614">
        <w:rPr>
          <w:rStyle w:val="FootnoteReference"/>
        </w:rPr>
        <w:footnoteRef/>
      </w:r>
      <w:r w:rsidRPr="00572614">
        <w:t xml:space="preserve"> Celebrada por medios electrónicos los días 26 y 27 de octubre de 2020.</w:t>
      </w:r>
    </w:p>
  </w:footnote>
  <w:footnote w:id="5">
    <w:p w14:paraId="0D229686" w14:textId="77777777" w:rsidR="003B3C48" w:rsidRPr="00572614" w:rsidRDefault="003B3C48" w:rsidP="00786E03">
      <w:pPr>
        <w:pStyle w:val="FootnoteText"/>
        <w:spacing w:before="0"/>
      </w:pPr>
      <w:r w:rsidRPr="00572614">
        <w:rPr>
          <w:rStyle w:val="FootnoteReference"/>
        </w:rPr>
        <w:footnoteRef/>
      </w:r>
      <w:r w:rsidRPr="00572614">
        <w:t xml:space="preserve"> Celebrada por medios electrónicos el 28 de octubre de 2020.</w:t>
      </w:r>
    </w:p>
  </w:footnote>
  <w:footnote w:id="6">
    <w:p w14:paraId="02F537FF" w14:textId="77777777" w:rsidR="003B3C48" w:rsidRPr="00572614" w:rsidRDefault="003B3C48" w:rsidP="00786E03">
      <w:pPr>
        <w:pStyle w:val="FootnoteText"/>
        <w:spacing w:before="0"/>
      </w:pPr>
      <w:r w:rsidRPr="00572614">
        <w:rPr>
          <w:rStyle w:val="FootnoteReference"/>
        </w:rPr>
        <w:footnoteRef/>
      </w:r>
      <w:r w:rsidRPr="00572614">
        <w:t xml:space="preserve"> Celebrada por medios electrónicos el 27 de octubre de 2021.</w:t>
      </w:r>
    </w:p>
    <w:p w14:paraId="1471F6A6" w14:textId="77777777" w:rsidR="003B3C48" w:rsidRPr="00572614" w:rsidRDefault="003B3C48" w:rsidP="00786E03">
      <w:pPr>
        <w:pStyle w:val="FootnoteText"/>
        <w:spacing w:before="0"/>
      </w:pPr>
    </w:p>
  </w:footnote>
  <w:footnote w:id="7">
    <w:p w14:paraId="730FFCF2" w14:textId="73E430F3" w:rsidR="00F220CB" w:rsidRPr="00572614" w:rsidRDefault="00F220CB" w:rsidP="00F220CB">
      <w:pPr>
        <w:pStyle w:val="FootnoteText"/>
      </w:pPr>
      <w:r w:rsidRPr="00572614">
        <w:rPr>
          <w:rStyle w:val="FootnoteReference"/>
        </w:rPr>
        <w:footnoteRef/>
      </w:r>
      <w:r w:rsidRPr="00572614">
        <w:t xml:space="preserve"> </w:t>
      </w:r>
      <w:r w:rsidRPr="00572614">
        <w:rPr>
          <w:snapToGrid w:val="0"/>
        </w:rPr>
        <w:t>Fragmentos extraídos del documento</w:t>
      </w:r>
      <w:r w:rsidR="00A12207" w:rsidRPr="00572614">
        <w:rPr>
          <w:snapToGrid w:val="0"/>
        </w:rPr>
        <w:t> </w:t>
      </w:r>
      <w:r w:rsidRPr="00572614">
        <w:rPr>
          <w:snapToGrid w:val="0"/>
        </w:rPr>
        <w:t>CAJ/77/2 “</w:t>
      </w:r>
      <w:r w:rsidRPr="00572614">
        <w:t>Informe sobre las novedades acaecidas en el Comité Técnico</w:t>
      </w:r>
      <w:r w:rsidRPr="00572614">
        <w:rPr>
          <w:snapToGrid w:val="0"/>
        </w:rPr>
        <w:t>”.</w:t>
      </w:r>
    </w:p>
  </w:footnote>
  <w:footnote w:id="8">
    <w:p w14:paraId="4767BB10" w14:textId="4BE759AA" w:rsidR="00F220CB" w:rsidRPr="00572614" w:rsidRDefault="00F220CB" w:rsidP="00F220CB">
      <w:pPr>
        <w:pStyle w:val="FootnoteText"/>
      </w:pPr>
      <w:r w:rsidRPr="00572614">
        <w:rPr>
          <w:rStyle w:val="FootnoteReference"/>
        </w:rPr>
        <w:footnoteRef/>
      </w:r>
      <w:r w:rsidRPr="00572614">
        <w:t xml:space="preserve"> Celebrada en Ginebra los días</w:t>
      </w:r>
      <w:r w:rsidR="00A12207" w:rsidRPr="00572614">
        <w:t> </w:t>
      </w:r>
      <w:r w:rsidRPr="00572614">
        <w:t>28 y</w:t>
      </w:r>
      <w:r w:rsidR="00A12207" w:rsidRPr="00572614">
        <w:t> </w:t>
      </w:r>
      <w:r w:rsidRPr="00572614">
        <w:t>29 de octubre de</w:t>
      </w:r>
      <w:r w:rsidR="00A12207" w:rsidRPr="00572614">
        <w:t> </w:t>
      </w:r>
      <w:r w:rsidRPr="00572614">
        <w:t>2019.</w:t>
      </w:r>
    </w:p>
  </w:footnote>
  <w:footnote w:id="9">
    <w:p w14:paraId="7180250F" w14:textId="4B175700" w:rsidR="00F220CB" w:rsidRPr="00572614" w:rsidRDefault="00F220CB" w:rsidP="00F220CB">
      <w:pPr>
        <w:pStyle w:val="FootnoteText"/>
      </w:pPr>
      <w:r w:rsidRPr="00572614">
        <w:rPr>
          <w:rStyle w:val="FootnoteReference"/>
        </w:rPr>
        <w:footnoteRef/>
      </w:r>
      <w:r w:rsidRPr="00572614">
        <w:t xml:space="preserve"> Celebrada por medios electrónicos los días</w:t>
      </w:r>
      <w:r w:rsidR="00A12207" w:rsidRPr="00572614">
        <w:t> </w:t>
      </w:r>
      <w:r w:rsidRPr="00572614">
        <w:t>26 y</w:t>
      </w:r>
      <w:r w:rsidR="00A12207" w:rsidRPr="00572614">
        <w:t> </w:t>
      </w:r>
      <w:r w:rsidRPr="00572614">
        <w:t>27 de octubre de</w:t>
      </w:r>
      <w:r w:rsidR="00A12207" w:rsidRPr="00572614">
        <w:t> </w:t>
      </w:r>
      <w:r w:rsidRPr="00572614">
        <w:t>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0F247" w14:textId="77777777" w:rsidR="00002258" w:rsidRDefault="006C1D0C" w:rsidP="00002258">
    <w:pPr>
      <w:jc w:val="center"/>
    </w:pPr>
    <w:r>
      <w:t>CAJ/79/7</w:t>
    </w:r>
  </w:p>
  <w:p w14:paraId="6FCB367A" w14:textId="269A33CE" w:rsidR="006C1D0C" w:rsidRDefault="006C1D0C" w:rsidP="00002258">
    <w:pPr>
      <w:jc w:val="center"/>
    </w:pPr>
    <w:r>
      <w:t xml:space="preserve">página </w:t>
    </w:r>
    <w:r>
      <w:fldChar w:fldCharType="begin"/>
    </w:r>
    <w:r>
      <w:instrText>PAGE   \* MERGEFORMAT</w:instrText>
    </w:r>
    <w:r>
      <w:fldChar w:fldCharType="separate"/>
    </w:r>
    <w:r w:rsidR="00C908D4">
      <w:rPr>
        <w:noProof/>
      </w:rPr>
      <w:t>8</w:t>
    </w:r>
    <w:r>
      <w:fldChar w:fldCharType="end"/>
    </w:r>
  </w:p>
  <w:p w14:paraId="61F5D85C" w14:textId="77777777" w:rsidR="006C1D0C" w:rsidRDefault="006C1D0C" w:rsidP="00002258">
    <w:pPr>
      <w:jc w:val="center"/>
    </w:pPr>
  </w:p>
  <w:p w14:paraId="2F7A2CF2" w14:textId="77777777" w:rsidR="006C1D0C" w:rsidRPr="00C5280D" w:rsidRDefault="006C1D0C" w:rsidP="0000225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7549"/>
    <w:multiLevelType w:val="hybridMultilevel"/>
    <w:tmpl w:val="112E7806"/>
    <w:lvl w:ilvl="0" w:tplc="659227B8">
      <w:start w:val="1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E338E"/>
    <w:multiLevelType w:val="multilevel"/>
    <w:tmpl w:val="0EAC3DB8"/>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80B2D42"/>
    <w:multiLevelType w:val="hybridMultilevel"/>
    <w:tmpl w:val="2668E064"/>
    <w:lvl w:ilvl="0" w:tplc="395278D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1092660E"/>
    <w:multiLevelType w:val="hybridMultilevel"/>
    <w:tmpl w:val="515CBC16"/>
    <w:lvl w:ilvl="0" w:tplc="2FB22448">
      <w:start w:val="5"/>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5469A"/>
    <w:multiLevelType w:val="hybridMultilevel"/>
    <w:tmpl w:val="AD8202BC"/>
    <w:lvl w:ilvl="0" w:tplc="04090017">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5"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D18286D"/>
    <w:multiLevelType w:val="hybridMultilevel"/>
    <w:tmpl w:val="3174B1C8"/>
    <w:lvl w:ilvl="0" w:tplc="04090001">
      <w:start w:val="1"/>
      <w:numFmt w:val="bullet"/>
      <w:lvlText w:val=""/>
      <w:lvlJc w:val="left"/>
      <w:pPr>
        <w:ind w:left="2106" w:hanging="360"/>
      </w:pPr>
      <w:rPr>
        <w:rFonts w:ascii="Symbol" w:hAnsi="Symbol" w:hint="default"/>
      </w:rPr>
    </w:lvl>
    <w:lvl w:ilvl="1" w:tplc="04090003" w:tentative="1">
      <w:start w:val="1"/>
      <w:numFmt w:val="bullet"/>
      <w:lvlText w:val="o"/>
      <w:lvlJc w:val="left"/>
      <w:pPr>
        <w:ind w:left="2826" w:hanging="360"/>
      </w:pPr>
      <w:rPr>
        <w:rFonts w:ascii="Courier New" w:hAnsi="Courier New" w:cs="Courier New" w:hint="default"/>
      </w:rPr>
    </w:lvl>
    <w:lvl w:ilvl="2" w:tplc="04090005" w:tentative="1">
      <w:start w:val="1"/>
      <w:numFmt w:val="bullet"/>
      <w:lvlText w:val=""/>
      <w:lvlJc w:val="left"/>
      <w:pPr>
        <w:ind w:left="3546" w:hanging="360"/>
      </w:pPr>
      <w:rPr>
        <w:rFonts w:ascii="Wingdings" w:hAnsi="Wingdings" w:hint="default"/>
      </w:rPr>
    </w:lvl>
    <w:lvl w:ilvl="3" w:tplc="04090001" w:tentative="1">
      <w:start w:val="1"/>
      <w:numFmt w:val="bullet"/>
      <w:lvlText w:val=""/>
      <w:lvlJc w:val="left"/>
      <w:pPr>
        <w:ind w:left="4266" w:hanging="360"/>
      </w:pPr>
      <w:rPr>
        <w:rFonts w:ascii="Symbol" w:hAnsi="Symbol" w:hint="default"/>
      </w:rPr>
    </w:lvl>
    <w:lvl w:ilvl="4" w:tplc="04090003" w:tentative="1">
      <w:start w:val="1"/>
      <w:numFmt w:val="bullet"/>
      <w:lvlText w:val="o"/>
      <w:lvlJc w:val="left"/>
      <w:pPr>
        <w:ind w:left="4986" w:hanging="360"/>
      </w:pPr>
      <w:rPr>
        <w:rFonts w:ascii="Courier New" w:hAnsi="Courier New" w:cs="Courier New" w:hint="default"/>
      </w:rPr>
    </w:lvl>
    <w:lvl w:ilvl="5" w:tplc="04090005" w:tentative="1">
      <w:start w:val="1"/>
      <w:numFmt w:val="bullet"/>
      <w:lvlText w:val=""/>
      <w:lvlJc w:val="left"/>
      <w:pPr>
        <w:ind w:left="5706" w:hanging="360"/>
      </w:pPr>
      <w:rPr>
        <w:rFonts w:ascii="Wingdings" w:hAnsi="Wingdings" w:hint="default"/>
      </w:rPr>
    </w:lvl>
    <w:lvl w:ilvl="6" w:tplc="04090001" w:tentative="1">
      <w:start w:val="1"/>
      <w:numFmt w:val="bullet"/>
      <w:lvlText w:val=""/>
      <w:lvlJc w:val="left"/>
      <w:pPr>
        <w:ind w:left="6426" w:hanging="360"/>
      </w:pPr>
      <w:rPr>
        <w:rFonts w:ascii="Symbol" w:hAnsi="Symbol" w:hint="default"/>
      </w:rPr>
    </w:lvl>
    <w:lvl w:ilvl="7" w:tplc="04090003" w:tentative="1">
      <w:start w:val="1"/>
      <w:numFmt w:val="bullet"/>
      <w:lvlText w:val="o"/>
      <w:lvlJc w:val="left"/>
      <w:pPr>
        <w:ind w:left="7146" w:hanging="360"/>
      </w:pPr>
      <w:rPr>
        <w:rFonts w:ascii="Courier New" w:hAnsi="Courier New" w:cs="Courier New" w:hint="default"/>
      </w:rPr>
    </w:lvl>
    <w:lvl w:ilvl="8" w:tplc="04090005" w:tentative="1">
      <w:start w:val="1"/>
      <w:numFmt w:val="bullet"/>
      <w:lvlText w:val=""/>
      <w:lvlJc w:val="left"/>
      <w:pPr>
        <w:ind w:left="7866" w:hanging="360"/>
      </w:pPr>
      <w:rPr>
        <w:rFonts w:ascii="Wingdings" w:hAnsi="Wingdings" w:hint="default"/>
      </w:rPr>
    </w:lvl>
  </w:abstractNum>
  <w:abstractNum w:abstractNumId="7" w15:restartNumberingAfterBreak="0">
    <w:nsid w:val="3B7D5924"/>
    <w:multiLevelType w:val="hybridMultilevel"/>
    <w:tmpl w:val="415CF122"/>
    <w:lvl w:ilvl="0" w:tplc="536256B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15:restartNumberingAfterBreak="0">
    <w:nsid w:val="416F0014"/>
    <w:multiLevelType w:val="hybridMultilevel"/>
    <w:tmpl w:val="CFCA1952"/>
    <w:lvl w:ilvl="0" w:tplc="00F41076">
      <w:start w:val="1"/>
      <w:numFmt w:val="lowerLetter"/>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9" w15:restartNumberingAfterBreak="0">
    <w:nsid w:val="4423287E"/>
    <w:multiLevelType w:val="hybridMultilevel"/>
    <w:tmpl w:val="EF08B7E2"/>
    <w:lvl w:ilvl="0" w:tplc="5CBAC548">
      <w:start w:val="1"/>
      <w:numFmt w:val="lowerLetter"/>
      <w:lvlText w:val="(%1)"/>
      <w:lvlJc w:val="left"/>
      <w:pPr>
        <w:ind w:left="5450" w:hanging="63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0" w15:restartNumberingAfterBreak="0">
    <w:nsid w:val="535A5E14"/>
    <w:multiLevelType w:val="hybridMultilevel"/>
    <w:tmpl w:val="C9123F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02219E"/>
    <w:multiLevelType w:val="hybridMultilevel"/>
    <w:tmpl w:val="80BAE5C8"/>
    <w:lvl w:ilvl="0" w:tplc="39BA08B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26F6B"/>
    <w:multiLevelType w:val="hybridMultilevel"/>
    <w:tmpl w:val="22129942"/>
    <w:lvl w:ilvl="0" w:tplc="B07036D6">
      <w:start w:val="1"/>
      <w:numFmt w:val="lowerLetter"/>
      <w:lvlText w:val="(%1)"/>
      <w:lvlJc w:val="left"/>
      <w:pPr>
        <w:ind w:left="5230" w:hanging="41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4" w15:restartNumberingAfterBreak="0">
    <w:nsid w:val="75BC10BC"/>
    <w:multiLevelType w:val="hybridMultilevel"/>
    <w:tmpl w:val="DB3E9458"/>
    <w:lvl w:ilvl="0" w:tplc="1292DECC">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76044A70"/>
    <w:multiLevelType w:val="hybridMultilevel"/>
    <w:tmpl w:val="16D08376"/>
    <w:lvl w:ilvl="0" w:tplc="6D526584">
      <w:start w:val="9"/>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36483F"/>
    <w:multiLevelType w:val="hybridMultilevel"/>
    <w:tmpl w:val="68842D6C"/>
    <w:lvl w:ilvl="0" w:tplc="72547ED6">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7" w15:restartNumberingAfterBreak="0">
    <w:nsid w:val="7D9F116D"/>
    <w:multiLevelType w:val="hybridMultilevel"/>
    <w:tmpl w:val="772EA3B8"/>
    <w:lvl w:ilvl="0" w:tplc="04090017">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10"/>
  </w:num>
  <w:num w:numId="2">
    <w:abstractNumId w:val="9"/>
  </w:num>
  <w:num w:numId="3">
    <w:abstractNumId w:val="16"/>
  </w:num>
  <w:num w:numId="4">
    <w:abstractNumId w:val="5"/>
  </w:num>
  <w:num w:numId="5">
    <w:abstractNumId w:val="8"/>
  </w:num>
  <w:num w:numId="6">
    <w:abstractNumId w:val="13"/>
  </w:num>
  <w:num w:numId="7">
    <w:abstractNumId w:val="4"/>
  </w:num>
  <w:num w:numId="8">
    <w:abstractNumId w:val="7"/>
  </w:num>
  <w:num w:numId="9">
    <w:abstractNumId w:val="14"/>
  </w:num>
  <w:num w:numId="10">
    <w:abstractNumId w:val="11"/>
  </w:num>
  <w:num w:numId="11">
    <w:abstractNumId w:val="6"/>
  </w:num>
  <w:num w:numId="12">
    <w:abstractNumId w:val="17"/>
  </w:num>
  <w:num w:numId="13">
    <w:abstractNumId w:val="12"/>
  </w:num>
  <w:num w:numId="14">
    <w:abstractNumId w:val="3"/>
  </w:num>
  <w:num w:numId="15">
    <w:abstractNumId w:val="15"/>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A4"/>
    <w:rsid w:val="00002258"/>
    <w:rsid w:val="00002D93"/>
    <w:rsid w:val="00010CF3"/>
    <w:rsid w:val="00011E27"/>
    <w:rsid w:val="000148BC"/>
    <w:rsid w:val="00024AB8"/>
    <w:rsid w:val="00030854"/>
    <w:rsid w:val="00036028"/>
    <w:rsid w:val="0004198B"/>
    <w:rsid w:val="00044642"/>
    <w:rsid w:val="000446B9"/>
    <w:rsid w:val="00047E21"/>
    <w:rsid w:val="00050E16"/>
    <w:rsid w:val="00073C09"/>
    <w:rsid w:val="00085505"/>
    <w:rsid w:val="000A276B"/>
    <w:rsid w:val="000B7C1D"/>
    <w:rsid w:val="000C4E25"/>
    <w:rsid w:val="000C7021"/>
    <w:rsid w:val="000D6BBC"/>
    <w:rsid w:val="000D7780"/>
    <w:rsid w:val="000E636A"/>
    <w:rsid w:val="000F2F11"/>
    <w:rsid w:val="00100A5F"/>
    <w:rsid w:val="00105041"/>
    <w:rsid w:val="00105929"/>
    <w:rsid w:val="00110BED"/>
    <w:rsid w:val="00110C36"/>
    <w:rsid w:val="001131D5"/>
    <w:rsid w:val="00114547"/>
    <w:rsid w:val="00141DB8"/>
    <w:rsid w:val="00171305"/>
    <w:rsid w:val="00172084"/>
    <w:rsid w:val="0017323F"/>
    <w:rsid w:val="001735C1"/>
    <w:rsid w:val="0017474A"/>
    <w:rsid w:val="001758C6"/>
    <w:rsid w:val="00182B99"/>
    <w:rsid w:val="00194E20"/>
    <w:rsid w:val="001C1525"/>
    <w:rsid w:val="001F4F59"/>
    <w:rsid w:val="002048F9"/>
    <w:rsid w:val="0021332C"/>
    <w:rsid w:val="00213982"/>
    <w:rsid w:val="0024416D"/>
    <w:rsid w:val="00271911"/>
    <w:rsid w:val="00273187"/>
    <w:rsid w:val="002800A0"/>
    <w:rsid w:val="002801B3"/>
    <w:rsid w:val="00281060"/>
    <w:rsid w:val="00284050"/>
    <w:rsid w:val="002843B4"/>
    <w:rsid w:val="00285BD0"/>
    <w:rsid w:val="002940E8"/>
    <w:rsid w:val="00294751"/>
    <w:rsid w:val="002A6E50"/>
    <w:rsid w:val="002B4298"/>
    <w:rsid w:val="002B7A36"/>
    <w:rsid w:val="002C256A"/>
    <w:rsid w:val="002D5226"/>
    <w:rsid w:val="00305A7F"/>
    <w:rsid w:val="003152FE"/>
    <w:rsid w:val="00322D5A"/>
    <w:rsid w:val="003248FC"/>
    <w:rsid w:val="00326409"/>
    <w:rsid w:val="00327436"/>
    <w:rsid w:val="00344BD6"/>
    <w:rsid w:val="0035528D"/>
    <w:rsid w:val="00361821"/>
    <w:rsid w:val="00361E9E"/>
    <w:rsid w:val="003753EE"/>
    <w:rsid w:val="003859A6"/>
    <w:rsid w:val="003A0835"/>
    <w:rsid w:val="003A0E68"/>
    <w:rsid w:val="003A5AAF"/>
    <w:rsid w:val="003B3C48"/>
    <w:rsid w:val="003B4BB6"/>
    <w:rsid w:val="003B700A"/>
    <w:rsid w:val="003C7FBE"/>
    <w:rsid w:val="003D227C"/>
    <w:rsid w:val="003D2B4D"/>
    <w:rsid w:val="003E1732"/>
    <w:rsid w:val="003F37F5"/>
    <w:rsid w:val="003F5CA0"/>
    <w:rsid w:val="00444A88"/>
    <w:rsid w:val="00445D99"/>
    <w:rsid w:val="00472F22"/>
    <w:rsid w:val="00474DA4"/>
    <w:rsid w:val="00476B4D"/>
    <w:rsid w:val="004805FA"/>
    <w:rsid w:val="004935D2"/>
    <w:rsid w:val="004B1215"/>
    <w:rsid w:val="004C7CD6"/>
    <w:rsid w:val="004D047D"/>
    <w:rsid w:val="004F1E9E"/>
    <w:rsid w:val="004F305A"/>
    <w:rsid w:val="00512164"/>
    <w:rsid w:val="00520297"/>
    <w:rsid w:val="00532395"/>
    <w:rsid w:val="005338F9"/>
    <w:rsid w:val="0054281C"/>
    <w:rsid w:val="00544581"/>
    <w:rsid w:val="0055268D"/>
    <w:rsid w:val="00572614"/>
    <w:rsid w:val="00575DE2"/>
    <w:rsid w:val="00576BE4"/>
    <w:rsid w:val="005779DB"/>
    <w:rsid w:val="005A2A67"/>
    <w:rsid w:val="005A400A"/>
    <w:rsid w:val="005B269D"/>
    <w:rsid w:val="005F7B92"/>
    <w:rsid w:val="006105AC"/>
    <w:rsid w:val="00612379"/>
    <w:rsid w:val="006153B6"/>
    <w:rsid w:val="0061555F"/>
    <w:rsid w:val="006245ED"/>
    <w:rsid w:val="00631871"/>
    <w:rsid w:val="00636CA6"/>
    <w:rsid w:val="00641200"/>
    <w:rsid w:val="00645CA8"/>
    <w:rsid w:val="00654434"/>
    <w:rsid w:val="006655D3"/>
    <w:rsid w:val="00667404"/>
    <w:rsid w:val="00680983"/>
    <w:rsid w:val="00687EB4"/>
    <w:rsid w:val="00695C56"/>
    <w:rsid w:val="006A5CDE"/>
    <w:rsid w:val="006A644A"/>
    <w:rsid w:val="006B17D2"/>
    <w:rsid w:val="006C1D0C"/>
    <w:rsid w:val="006C224E"/>
    <w:rsid w:val="006D780A"/>
    <w:rsid w:val="006E2336"/>
    <w:rsid w:val="0071271E"/>
    <w:rsid w:val="007306CF"/>
    <w:rsid w:val="0073187D"/>
    <w:rsid w:val="00732DEC"/>
    <w:rsid w:val="00735BD5"/>
    <w:rsid w:val="007451EC"/>
    <w:rsid w:val="00751613"/>
    <w:rsid w:val="00753EE9"/>
    <w:rsid w:val="007556F6"/>
    <w:rsid w:val="00760EEF"/>
    <w:rsid w:val="0077169A"/>
    <w:rsid w:val="00777EE5"/>
    <w:rsid w:val="00780507"/>
    <w:rsid w:val="00784836"/>
    <w:rsid w:val="00786E03"/>
    <w:rsid w:val="0079023E"/>
    <w:rsid w:val="007A2854"/>
    <w:rsid w:val="007C1D92"/>
    <w:rsid w:val="007C47CF"/>
    <w:rsid w:val="007C4CB9"/>
    <w:rsid w:val="007D0B9D"/>
    <w:rsid w:val="007D19B0"/>
    <w:rsid w:val="007F498F"/>
    <w:rsid w:val="0080679D"/>
    <w:rsid w:val="008108B0"/>
    <w:rsid w:val="00811B20"/>
    <w:rsid w:val="00812609"/>
    <w:rsid w:val="008211B5"/>
    <w:rsid w:val="0082296E"/>
    <w:rsid w:val="00823C3A"/>
    <w:rsid w:val="00824099"/>
    <w:rsid w:val="00846BF3"/>
    <w:rsid w:val="00846D7C"/>
    <w:rsid w:val="00867AC1"/>
    <w:rsid w:val="008751DE"/>
    <w:rsid w:val="008861A4"/>
    <w:rsid w:val="00890DF8"/>
    <w:rsid w:val="008A0ADE"/>
    <w:rsid w:val="008A743F"/>
    <w:rsid w:val="008C0970"/>
    <w:rsid w:val="008D0BC5"/>
    <w:rsid w:val="008D0F14"/>
    <w:rsid w:val="008D2CF7"/>
    <w:rsid w:val="00900C26"/>
    <w:rsid w:val="0090197F"/>
    <w:rsid w:val="00903264"/>
    <w:rsid w:val="00906DDC"/>
    <w:rsid w:val="00925997"/>
    <w:rsid w:val="00930992"/>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12207"/>
    <w:rsid w:val="00A24C10"/>
    <w:rsid w:val="00A42AC3"/>
    <w:rsid w:val="00A430CF"/>
    <w:rsid w:val="00A54309"/>
    <w:rsid w:val="00A610A9"/>
    <w:rsid w:val="00A80F2A"/>
    <w:rsid w:val="00A96C33"/>
    <w:rsid w:val="00AB2B93"/>
    <w:rsid w:val="00AB530F"/>
    <w:rsid w:val="00AB7E5B"/>
    <w:rsid w:val="00AC2883"/>
    <w:rsid w:val="00AE0EF1"/>
    <w:rsid w:val="00AE2937"/>
    <w:rsid w:val="00AE4AD4"/>
    <w:rsid w:val="00B07301"/>
    <w:rsid w:val="00B11F3E"/>
    <w:rsid w:val="00B12913"/>
    <w:rsid w:val="00B16054"/>
    <w:rsid w:val="00B224DE"/>
    <w:rsid w:val="00B324D4"/>
    <w:rsid w:val="00B46575"/>
    <w:rsid w:val="00B61777"/>
    <w:rsid w:val="00B622E6"/>
    <w:rsid w:val="00B748DF"/>
    <w:rsid w:val="00B83E82"/>
    <w:rsid w:val="00B84BBD"/>
    <w:rsid w:val="00BA43FB"/>
    <w:rsid w:val="00BC127D"/>
    <w:rsid w:val="00BC1FE6"/>
    <w:rsid w:val="00C061B6"/>
    <w:rsid w:val="00C22D85"/>
    <w:rsid w:val="00C2446C"/>
    <w:rsid w:val="00C34193"/>
    <w:rsid w:val="00C36AE5"/>
    <w:rsid w:val="00C41F17"/>
    <w:rsid w:val="00C51B95"/>
    <w:rsid w:val="00C527FA"/>
    <w:rsid w:val="00C5280D"/>
    <w:rsid w:val="00C53EB3"/>
    <w:rsid w:val="00C5791C"/>
    <w:rsid w:val="00C66290"/>
    <w:rsid w:val="00C72B7A"/>
    <w:rsid w:val="00C82D79"/>
    <w:rsid w:val="00C85477"/>
    <w:rsid w:val="00C908D4"/>
    <w:rsid w:val="00C973F2"/>
    <w:rsid w:val="00CA304C"/>
    <w:rsid w:val="00CA774A"/>
    <w:rsid w:val="00CB4921"/>
    <w:rsid w:val="00CC11B0"/>
    <w:rsid w:val="00CC2841"/>
    <w:rsid w:val="00CF1330"/>
    <w:rsid w:val="00CF7E36"/>
    <w:rsid w:val="00D21051"/>
    <w:rsid w:val="00D3708D"/>
    <w:rsid w:val="00D40426"/>
    <w:rsid w:val="00D57C96"/>
    <w:rsid w:val="00D57D18"/>
    <w:rsid w:val="00D70E65"/>
    <w:rsid w:val="00D91203"/>
    <w:rsid w:val="00D95174"/>
    <w:rsid w:val="00DA22F0"/>
    <w:rsid w:val="00DA4973"/>
    <w:rsid w:val="00DA6F36"/>
    <w:rsid w:val="00DB596E"/>
    <w:rsid w:val="00DB7773"/>
    <w:rsid w:val="00DC00EA"/>
    <w:rsid w:val="00DC3802"/>
    <w:rsid w:val="00DD6208"/>
    <w:rsid w:val="00DF7E99"/>
    <w:rsid w:val="00E07D87"/>
    <w:rsid w:val="00E249C8"/>
    <w:rsid w:val="00E32F7E"/>
    <w:rsid w:val="00E5267B"/>
    <w:rsid w:val="00E559F0"/>
    <w:rsid w:val="00E6252B"/>
    <w:rsid w:val="00E63C0E"/>
    <w:rsid w:val="00E72D49"/>
    <w:rsid w:val="00E7593C"/>
    <w:rsid w:val="00E7678A"/>
    <w:rsid w:val="00E935F1"/>
    <w:rsid w:val="00E94A81"/>
    <w:rsid w:val="00EA1FFB"/>
    <w:rsid w:val="00EB048E"/>
    <w:rsid w:val="00EB0FAB"/>
    <w:rsid w:val="00EB4E9C"/>
    <w:rsid w:val="00EE34DF"/>
    <w:rsid w:val="00EF2F89"/>
    <w:rsid w:val="00F03E98"/>
    <w:rsid w:val="00F1237A"/>
    <w:rsid w:val="00F220CB"/>
    <w:rsid w:val="00F22CBD"/>
    <w:rsid w:val="00F272F1"/>
    <w:rsid w:val="00F31412"/>
    <w:rsid w:val="00F45372"/>
    <w:rsid w:val="00F560F7"/>
    <w:rsid w:val="00F6334D"/>
    <w:rsid w:val="00F63599"/>
    <w:rsid w:val="00F64280"/>
    <w:rsid w:val="00F71781"/>
    <w:rsid w:val="00F82B40"/>
    <w:rsid w:val="00FA04BF"/>
    <w:rsid w:val="00FA49AB"/>
    <w:rsid w:val="00FC1C04"/>
    <w:rsid w:val="00FC5FD0"/>
    <w:rsid w:val="00FD750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342A6"/>
  <w15:docId w15:val="{53B72513-2694-4458-B236-F6A3A6E0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DA22F0"/>
    <w:pPr>
      <w:jc w:val="both"/>
      <w:outlineLvl w:val="0"/>
    </w:pPr>
    <w:rPr>
      <w:rFonts w:ascii="Arial" w:hAnsi="Arial"/>
      <w:caps/>
      <w:snapToGrid w:val="0"/>
      <w:color w:val="808080"/>
    </w:rPr>
  </w:style>
  <w:style w:type="paragraph" w:styleId="Heading2">
    <w:name w:val="heading 2"/>
    <w:next w:val="Normal"/>
    <w:autoRedefine/>
    <w:qFormat/>
    <w:rsid w:val="00C34193"/>
    <w:pPr>
      <w:outlineLvl w:val="1"/>
    </w:pPr>
    <w:rPr>
      <w:rFonts w:ascii="Arial" w:hAnsi="Arial"/>
      <w:i/>
      <w:snapToGrid w:val="0"/>
      <w:spacing w:val="-4"/>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3F5CA0"/>
    <w:pPr>
      <w:tabs>
        <w:tab w:val="right" w:leader="dot" w:pos="9639"/>
      </w:tabs>
      <w:spacing w:after="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qFormat/>
    <w:rsid w:val="004C7CD6"/>
    <w:pPr>
      <w:ind w:left="720"/>
      <w:contextualSpacing/>
    </w:pPr>
  </w:style>
  <w:style w:type="paragraph" w:styleId="TOCHeading">
    <w:name w:val="TOC Heading"/>
    <w:basedOn w:val="Heading1"/>
    <w:next w:val="Normal"/>
    <w:uiPriority w:val="39"/>
    <w:unhideWhenUsed/>
    <w:qFormat/>
    <w:rsid w:val="003F5CA0"/>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DecisionParagraphsChar">
    <w:name w:val="DecisionParagraphs Char"/>
    <w:basedOn w:val="DefaultParagraphFont"/>
    <w:link w:val="DecisionParagraphs"/>
    <w:rsid w:val="003E1732"/>
    <w:rPr>
      <w:rFonts w:ascii="Arial" w:hAnsi="Arial"/>
      <w:i/>
    </w:rPr>
  </w:style>
  <w:style w:type="character" w:customStyle="1" w:styleId="FootnoteTextChar">
    <w:name w:val="Footnote Text Char"/>
    <w:basedOn w:val="DefaultParagraphFont"/>
    <w:link w:val="FootnoteText"/>
    <w:rsid w:val="003B4BB6"/>
    <w:rPr>
      <w:rFonts w:ascii="Arial" w:hAnsi="Arial"/>
      <w:sz w:val="16"/>
    </w:rPr>
  </w:style>
  <w:style w:type="character" w:customStyle="1" w:styleId="Heading1Char">
    <w:name w:val="Heading 1 Char"/>
    <w:aliases w:val="COMMON NAME Char,common Char"/>
    <w:basedOn w:val="DefaultParagraphFont"/>
    <w:link w:val="Heading1"/>
    <w:rsid w:val="00DA22F0"/>
    <w:rPr>
      <w:rFonts w:ascii="Arial" w:hAnsi="Arial"/>
      <w:caps/>
      <w:snapToGrid w:val="0"/>
      <w:color w:val="808080"/>
      <w:lang w:val="es-ES"/>
    </w:rPr>
  </w:style>
  <w:style w:type="table" w:styleId="TableGrid">
    <w:name w:val="Table Grid"/>
    <w:basedOn w:val="TableNormal"/>
    <w:uiPriority w:val="59"/>
    <w:rsid w:val="0000225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uto_list_(i) Char,List Paragraph1 Char"/>
    <w:basedOn w:val="DefaultParagraphFont"/>
    <w:link w:val="ListParagraph"/>
    <w:locked/>
    <w:rsid w:val="003B3C48"/>
    <w:rPr>
      <w:rFonts w:ascii="Arial" w:hAnsi="Arial"/>
    </w:rPr>
  </w:style>
  <w:style w:type="character" w:customStyle="1" w:styleId="Heading3Char">
    <w:name w:val="Heading 3 Char"/>
    <w:aliases w:val="Heading 3 Scientific Name Char"/>
    <w:basedOn w:val="DefaultParagraphFont"/>
    <w:link w:val="Heading3"/>
    <w:rsid w:val="003B3C48"/>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pov.mail@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C8557-65BE-40B2-87CF-2EFEE856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3434</Words>
  <Characters>18575</Characters>
  <Application>Microsoft Office Word</Application>
  <DocSecurity>0</DocSecurity>
  <Lines>154</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CAJ/79/1</vt:lpstr>
      <vt:lpstr>CAJ/79/1</vt:lpstr>
    </vt:vector>
  </TitlesOfParts>
  <Company>UPOV</Company>
  <LinksUpToDate>false</LinksUpToDate>
  <CharactersWithSpaces>21966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CAJ/79/1</dc:title>
  <dc:creator>SANCHEZ VIZCAINO GOMEZ Rosa Maria</dc:creator>
  <cp:lastModifiedBy>SANCHEZ VIZCAINO GOMEZ Rosa Maria</cp:lastModifiedBy>
  <cp:revision>6</cp:revision>
  <cp:lastPrinted>2016-11-22T15:41:00Z</cp:lastPrinted>
  <dcterms:created xsi:type="dcterms:W3CDTF">2022-08-01T06:37:00Z</dcterms:created>
  <dcterms:modified xsi:type="dcterms:W3CDTF">2023-02-08T14:04:00Z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d52df5c2-acd2-450d-a8e2-f0c8e9c3c1ea</vt:lpwstr>
  </property>
</Properties>
</file>