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B75DA" w:rsidTr="00C13808">
        <w:trPr>
          <w:trHeight w:val="1760"/>
        </w:trPr>
        <w:tc>
          <w:tcPr>
            <w:tcW w:w="4243" w:type="dxa"/>
          </w:tcPr>
          <w:p w:rsidR="000D7780" w:rsidRPr="000C3490" w:rsidRDefault="000D7780" w:rsidP="00F45372">
            <w:pPr>
              <w:rPr>
                <w:lang w:val="es-ES_tradnl"/>
              </w:rPr>
            </w:pPr>
          </w:p>
        </w:tc>
        <w:tc>
          <w:tcPr>
            <w:tcW w:w="1646" w:type="dxa"/>
            <w:vAlign w:val="center"/>
          </w:tcPr>
          <w:p w:rsidR="000D7780" w:rsidRPr="000C3490" w:rsidRDefault="00745D66" w:rsidP="00F45372">
            <w:pPr>
              <w:pStyle w:val="LogoUPOV"/>
              <w:rPr>
                <w:lang w:val="es-ES_tradnl"/>
              </w:rPr>
            </w:pPr>
            <w:r w:rsidRPr="000C3490">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C3490" w:rsidRDefault="00A47CDB" w:rsidP="00F45372">
            <w:pPr>
              <w:pStyle w:val="Lettrine"/>
              <w:rPr>
                <w:lang w:val="es-ES_tradnl"/>
              </w:rPr>
            </w:pPr>
            <w:r w:rsidRPr="000C3490">
              <w:rPr>
                <w:lang w:val="es-ES_tradnl"/>
              </w:rPr>
              <w:t>S</w:t>
            </w:r>
          </w:p>
          <w:p w:rsidR="000D7780" w:rsidRPr="000C3490" w:rsidRDefault="009A0B1E" w:rsidP="003E7998">
            <w:pPr>
              <w:pStyle w:val="Docoriginal"/>
              <w:ind w:left="880"/>
              <w:rPr>
                <w:lang w:val="es-ES_tradnl"/>
              </w:rPr>
            </w:pPr>
            <w:r w:rsidRPr="000C3490">
              <w:rPr>
                <w:lang w:val="es-ES_tradnl"/>
              </w:rPr>
              <w:t>C/49</w:t>
            </w:r>
            <w:r w:rsidR="00E80F31" w:rsidRPr="000C3490">
              <w:rPr>
                <w:lang w:val="es-ES_tradnl"/>
              </w:rPr>
              <w:t>/</w:t>
            </w:r>
            <w:bookmarkStart w:id="0" w:name="Code"/>
            <w:bookmarkEnd w:id="0"/>
            <w:r w:rsidR="00D458AF" w:rsidRPr="000C3490">
              <w:rPr>
                <w:lang w:val="es-ES_tradnl"/>
              </w:rPr>
              <w:t>18</w:t>
            </w:r>
          </w:p>
          <w:p w:rsidR="000D7780" w:rsidRPr="000C3490" w:rsidRDefault="0061555F" w:rsidP="003E7998">
            <w:pPr>
              <w:pStyle w:val="Docoriginal"/>
              <w:ind w:left="880"/>
              <w:rPr>
                <w:b w:val="0"/>
                <w:spacing w:val="0"/>
                <w:lang w:val="es-ES_tradnl"/>
              </w:rPr>
            </w:pPr>
            <w:r w:rsidRPr="000C3490">
              <w:rPr>
                <w:rStyle w:val="StyleDoclangBold"/>
                <w:b/>
                <w:bCs/>
                <w:spacing w:val="0"/>
                <w:lang w:val="es-ES_tradnl"/>
              </w:rPr>
              <w:t>ORIGINAL</w:t>
            </w:r>
            <w:r w:rsidR="000D7780" w:rsidRPr="000C3490">
              <w:rPr>
                <w:rStyle w:val="StyleDoclangBold"/>
                <w:b/>
                <w:bCs/>
                <w:spacing w:val="0"/>
                <w:lang w:val="es-ES_tradnl"/>
              </w:rPr>
              <w:t>:</w:t>
            </w:r>
            <w:r w:rsidRPr="000C3490">
              <w:rPr>
                <w:rStyle w:val="StyleDocoriginalNotBold1"/>
                <w:spacing w:val="0"/>
                <w:lang w:val="es-ES_tradnl"/>
              </w:rPr>
              <w:t xml:space="preserve"> </w:t>
            </w:r>
            <w:r w:rsidR="000D7780" w:rsidRPr="000C3490">
              <w:rPr>
                <w:rStyle w:val="StyleDocoriginalNotBold1"/>
                <w:spacing w:val="0"/>
                <w:lang w:val="es-ES_tradnl"/>
              </w:rPr>
              <w:t xml:space="preserve"> </w:t>
            </w:r>
            <w:bookmarkStart w:id="1" w:name="Original"/>
            <w:bookmarkEnd w:id="1"/>
            <w:r w:rsidR="00A47CDB" w:rsidRPr="000C3490">
              <w:rPr>
                <w:b w:val="0"/>
                <w:spacing w:val="0"/>
                <w:lang w:val="es-ES_tradnl"/>
              </w:rPr>
              <w:t>Inglés</w:t>
            </w:r>
          </w:p>
          <w:p w:rsidR="000D7780" w:rsidRPr="000C3490" w:rsidRDefault="00A47CDB" w:rsidP="00D458AF">
            <w:pPr>
              <w:pStyle w:val="Docoriginal"/>
              <w:ind w:left="880"/>
              <w:rPr>
                <w:lang w:val="es-ES_tradnl"/>
              </w:rPr>
            </w:pPr>
            <w:r w:rsidRPr="000C3490">
              <w:rPr>
                <w:spacing w:val="0"/>
                <w:lang w:val="es-ES_tradnl"/>
              </w:rPr>
              <w:t>FECHA</w:t>
            </w:r>
            <w:r w:rsidR="000D7780" w:rsidRPr="000C3490">
              <w:rPr>
                <w:spacing w:val="0"/>
                <w:lang w:val="es-ES_tradnl"/>
              </w:rPr>
              <w:t>:</w:t>
            </w:r>
            <w:r w:rsidR="0061555F" w:rsidRPr="000C3490">
              <w:rPr>
                <w:b w:val="0"/>
                <w:spacing w:val="0"/>
                <w:lang w:val="es-ES_tradnl"/>
              </w:rPr>
              <w:t xml:space="preserve"> </w:t>
            </w:r>
            <w:r w:rsidR="000D7780" w:rsidRPr="000C3490">
              <w:rPr>
                <w:rStyle w:val="StyleDocoriginalNotBold1"/>
                <w:spacing w:val="0"/>
                <w:lang w:val="es-ES_tradnl"/>
              </w:rPr>
              <w:t xml:space="preserve"> </w:t>
            </w:r>
            <w:bookmarkStart w:id="2" w:name="Date"/>
            <w:bookmarkEnd w:id="2"/>
            <w:r w:rsidR="00D458AF" w:rsidRPr="000C3490">
              <w:rPr>
                <w:b w:val="0"/>
                <w:spacing w:val="0"/>
                <w:lang w:val="es-ES_tradnl"/>
              </w:rPr>
              <w:t>29 de octubre</w:t>
            </w:r>
            <w:r w:rsidR="009A0B1E" w:rsidRPr="000C3490">
              <w:rPr>
                <w:b w:val="0"/>
                <w:spacing w:val="0"/>
                <w:lang w:val="es-ES_tradnl"/>
              </w:rPr>
              <w:t xml:space="preserve"> </w:t>
            </w:r>
            <w:r w:rsidRPr="000C3490">
              <w:rPr>
                <w:b w:val="0"/>
                <w:spacing w:val="0"/>
                <w:lang w:val="es-ES_tradnl"/>
              </w:rPr>
              <w:t xml:space="preserve">de </w:t>
            </w:r>
            <w:r w:rsidR="001131D5" w:rsidRPr="000C3490">
              <w:rPr>
                <w:b w:val="0"/>
                <w:spacing w:val="0"/>
                <w:lang w:val="es-ES_tradnl"/>
              </w:rPr>
              <w:t>201</w:t>
            </w:r>
            <w:r w:rsidR="009A0B1E" w:rsidRPr="000C3490">
              <w:rPr>
                <w:b w:val="0"/>
                <w:spacing w:val="0"/>
                <w:lang w:val="es-ES_tradnl"/>
              </w:rPr>
              <w:t>5</w:t>
            </w:r>
          </w:p>
        </w:tc>
      </w:tr>
      <w:tr w:rsidR="000D7780" w:rsidRPr="009B75DA" w:rsidTr="00C13808">
        <w:tc>
          <w:tcPr>
            <w:tcW w:w="10131" w:type="dxa"/>
            <w:gridSpan w:val="3"/>
          </w:tcPr>
          <w:p w:rsidR="000D7780" w:rsidRPr="000C3490" w:rsidRDefault="00A47CDB" w:rsidP="00F45372">
            <w:pPr>
              <w:pStyle w:val="upove"/>
              <w:rPr>
                <w:sz w:val="28"/>
                <w:lang w:val="es-ES_tradnl"/>
              </w:rPr>
            </w:pPr>
            <w:r w:rsidRPr="000C3490">
              <w:rPr>
                <w:spacing w:val="2"/>
                <w:lang w:val="es-ES_tradnl"/>
              </w:rPr>
              <w:t>UNIÓN INTERNACIONAL PARA LA PROTECCIÓN DE LAS OBTENCIONES VEGETALES</w:t>
            </w:r>
          </w:p>
        </w:tc>
      </w:tr>
      <w:tr w:rsidR="000D7780" w:rsidRPr="000C3490" w:rsidTr="00C13808">
        <w:tc>
          <w:tcPr>
            <w:tcW w:w="10131" w:type="dxa"/>
            <w:gridSpan w:val="3"/>
          </w:tcPr>
          <w:p w:rsidR="000D7780" w:rsidRPr="000C3490" w:rsidRDefault="00A47CDB" w:rsidP="00F45372">
            <w:pPr>
              <w:pStyle w:val="Country"/>
              <w:rPr>
                <w:lang w:val="es-ES_tradnl"/>
              </w:rPr>
            </w:pPr>
            <w:r w:rsidRPr="000C3490">
              <w:rPr>
                <w:lang w:val="es-ES_tradnl"/>
              </w:rPr>
              <w:t>Ginebra</w:t>
            </w:r>
          </w:p>
        </w:tc>
      </w:tr>
    </w:tbl>
    <w:p w:rsidR="000D7780" w:rsidRPr="000C3490" w:rsidRDefault="00E80F31" w:rsidP="00F45372">
      <w:pPr>
        <w:pStyle w:val="Sessiontc"/>
        <w:rPr>
          <w:lang w:val="es-ES_tradnl"/>
        </w:rPr>
      </w:pPr>
      <w:r w:rsidRPr="000C3490">
        <w:rPr>
          <w:lang w:val="es-ES_tradnl"/>
        </w:rPr>
        <w:t>CONSEJO</w:t>
      </w:r>
    </w:p>
    <w:p w:rsidR="00361821" w:rsidRPr="000C3490" w:rsidRDefault="00A47CDB" w:rsidP="00F45372">
      <w:pPr>
        <w:pStyle w:val="Sessiontcplacedate"/>
        <w:rPr>
          <w:lang w:val="es-ES_tradnl"/>
        </w:rPr>
      </w:pPr>
      <w:r w:rsidRPr="000C3490">
        <w:rPr>
          <w:lang w:val="es-ES_tradnl"/>
        </w:rPr>
        <w:t xml:space="preserve">Cuadragésima </w:t>
      </w:r>
      <w:r w:rsidR="009A0B1E" w:rsidRPr="000C3490">
        <w:rPr>
          <w:lang w:val="es-ES_tradnl"/>
        </w:rPr>
        <w:t xml:space="preserve">novena </w:t>
      </w:r>
      <w:r w:rsidR="00142198" w:rsidRPr="000C3490">
        <w:rPr>
          <w:lang w:val="es-ES_tradnl"/>
        </w:rPr>
        <w:t>sesión ordinaria</w:t>
      </w:r>
      <w:r w:rsidRPr="000C3490">
        <w:rPr>
          <w:lang w:val="es-ES_tradnl"/>
        </w:rPr>
        <w:br/>
        <w:t xml:space="preserve">Ginebra, </w:t>
      </w:r>
      <w:r w:rsidR="009A0B1E" w:rsidRPr="000C3490">
        <w:rPr>
          <w:lang w:val="es-ES_tradnl"/>
        </w:rPr>
        <w:t>29</w:t>
      </w:r>
      <w:r w:rsidR="00E80F31" w:rsidRPr="000C3490">
        <w:rPr>
          <w:lang w:val="es-ES_tradnl"/>
        </w:rPr>
        <w:t xml:space="preserve"> de </w:t>
      </w:r>
      <w:r w:rsidR="00F73179" w:rsidRPr="000C3490">
        <w:rPr>
          <w:lang w:val="es-ES_tradnl"/>
        </w:rPr>
        <w:t xml:space="preserve">octubre </w:t>
      </w:r>
      <w:r w:rsidR="00E80F31" w:rsidRPr="000C3490">
        <w:rPr>
          <w:lang w:val="es-ES_tradnl"/>
        </w:rPr>
        <w:t xml:space="preserve">de </w:t>
      </w:r>
      <w:r w:rsidRPr="000C3490">
        <w:rPr>
          <w:lang w:val="es-ES_tradnl"/>
        </w:rPr>
        <w:t>201</w:t>
      </w:r>
      <w:r w:rsidR="009A0B1E" w:rsidRPr="000C3490">
        <w:rPr>
          <w:lang w:val="es-ES_tradnl"/>
        </w:rPr>
        <w:t>5</w:t>
      </w:r>
    </w:p>
    <w:p w:rsidR="000D7780" w:rsidRPr="009B75DA" w:rsidRDefault="0098166A" w:rsidP="0098166A">
      <w:pPr>
        <w:pStyle w:val="Titleofdoc0"/>
        <w:rPr>
          <w:lang w:val="es-ES"/>
        </w:rPr>
      </w:pPr>
      <w:bookmarkStart w:id="3" w:name="TitleOfDoc"/>
      <w:bookmarkEnd w:id="3"/>
      <w:r w:rsidRPr="007658B5">
        <w:rPr>
          <w:lang w:val="es-ES_tradnl"/>
        </w:rPr>
        <w:t>INFORME SOBRE LAS DECISIONES</w:t>
      </w:r>
    </w:p>
    <w:p w:rsidR="00D458AF" w:rsidRPr="009B75DA" w:rsidRDefault="0098166A" w:rsidP="0098166A">
      <w:pPr>
        <w:pStyle w:val="preparedby1"/>
        <w:rPr>
          <w:lang w:val="es-ES"/>
        </w:rPr>
      </w:pPr>
      <w:bookmarkStart w:id="4" w:name="Prepared"/>
      <w:bookmarkEnd w:id="4"/>
      <w:proofErr w:type="gramStart"/>
      <w:r w:rsidRPr="007658B5">
        <w:rPr>
          <w:lang w:val="es-ES_tradnl"/>
        </w:rPr>
        <w:t>aprobado</w:t>
      </w:r>
      <w:proofErr w:type="gramEnd"/>
      <w:r w:rsidRPr="007658B5">
        <w:rPr>
          <w:lang w:val="es-ES_tradnl"/>
        </w:rPr>
        <w:t xml:space="preserve"> por el Consejo</w:t>
      </w:r>
    </w:p>
    <w:p w:rsidR="00D458AF" w:rsidRPr="009B75DA" w:rsidRDefault="0098166A" w:rsidP="00D458AF">
      <w:pPr>
        <w:pStyle w:val="BodyText"/>
        <w:rPr>
          <w:u w:val="single"/>
          <w:lang w:val="es-ES"/>
        </w:rPr>
      </w:pPr>
      <w:r w:rsidRPr="007658B5">
        <w:rPr>
          <w:u w:val="single"/>
          <w:lang w:val="es-ES_tradnl"/>
        </w:rPr>
        <w:t>Apertura de la sesión</w:t>
      </w:r>
    </w:p>
    <w:p w:rsidR="00D458AF" w:rsidRPr="009B75DA" w:rsidRDefault="00D458AF" w:rsidP="00D458AF">
      <w:pPr>
        <w:pStyle w:val="BodyText"/>
        <w:rPr>
          <w:lang w:val="es-ES"/>
        </w:rPr>
      </w:pPr>
    </w:p>
    <w:p w:rsidR="00D458AF" w:rsidRPr="009B75DA" w:rsidRDefault="00DF030B" w:rsidP="00D458AF">
      <w:pPr>
        <w:rPr>
          <w:lang w:val="es-ES"/>
        </w:rPr>
      </w:pPr>
      <w:r w:rsidRPr="0095258E">
        <w:fldChar w:fldCharType="begin"/>
      </w:r>
      <w:r w:rsidR="00D458AF" w:rsidRPr="009B75DA">
        <w:rPr>
          <w:lang w:val="es-ES"/>
        </w:rPr>
        <w:instrText xml:space="preserve"> AUTONUM  </w:instrText>
      </w:r>
      <w:r w:rsidRPr="0095258E">
        <w:fldChar w:fldCharType="end"/>
      </w:r>
      <w:r w:rsidR="00D458AF" w:rsidRPr="009B75DA">
        <w:rPr>
          <w:lang w:val="es-ES"/>
        </w:rPr>
        <w:tab/>
      </w:r>
      <w:r w:rsidR="0098166A" w:rsidRPr="007658B5">
        <w:rPr>
          <w:lang w:val="es-ES_tradnl"/>
        </w:rPr>
        <w:t xml:space="preserve">El Consejo de la Unión Internacional para la Protección de las Obtenciones Vegetales (UPOV) celebró su cuadragésima </w:t>
      </w:r>
      <w:r w:rsidR="0098166A" w:rsidRPr="0098166A">
        <w:rPr>
          <w:lang w:val="es-ES_tradnl"/>
        </w:rPr>
        <w:t>novena</w:t>
      </w:r>
      <w:r w:rsidR="0098166A" w:rsidRPr="007658B5">
        <w:rPr>
          <w:lang w:val="es-ES_tradnl"/>
        </w:rPr>
        <w:t xml:space="preserve"> sesión ordinaria en Ginebra, el </w:t>
      </w:r>
      <w:r w:rsidR="0098166A" w:rsidRPr="0098166A">
        <w:rPr>
          <w:lang w:val="es-ES_tradnl"/>
        </w:rPr>
        <w:t xml:space="preserve">29 </w:t>
      </w:r>
      <w:r w:rsidR="0098166A" w:rsidRPr="007658B5">
        <w:rPr>
          <w:lang w:val="es-ES_tradnl"/>
        </w:rPr>
        <w:t>de octubre de 201</w:t>
      </w:r>
      <w:r w:rsidR="0098166A" w:rsidRPr="0098166A">
        <w:rPr>
          <w:lang w:val="es-ES_tradnl"/>
        </w:rPr>
        <w:t>5</w:t>
      </w:r>
      <w:r w:rsidR="0098166A" w:rsidRPr="007658B5">
        <w:rPr>
          <w:lang w:val="es-ES_tradnl"/>
        </w:rPr>
        <w:t>, bajo la presidencia de la Sra. Kitisri Sukhapinda (Estados Unidos de América), Presidenta del Consejo</w:t>
      </w:r>
      <w:r w:rsidR="0098166A" w:rsidRPr="0098166A">
        <w:rPr>
          <w:lang w:val="es-ES_tradnl"/>
        </w:rPr>
        <w:t>.</w:t>
      </w:r>
    </w:p>
    <w:p w:rsidR="00D458AF" w:rsidRPr="009B75DA" w:rsidRDefault="00D458AF" w:rsidP="00D458AF">
      <w:pPr>
        <w:rPr>
          <w:lang w:val="es-ES"/>
        </w:rPr>
      </w:pPr>
    </w:p>
    <w:p w:rsidR="00D458AF" w:rsidRPr="009B75DA" w:rsidRDefault="00DF030B" w:rsidP="00D458AF">
      <w:pPr>
        <w:rPr>
          <w:lang w:val="es-ES"/>
        </w:rPr>
      </w:pPr>
      <w:r w:rsidRPr="00574DD1">
        <w:fldChar w:fldCharType="begin"/>
      </w:r>
      <w:r w:rsidR="00D458AF" w:rsidRPr="009B75DA">
        <w:rPr>
          <w:lang w:val="es-ES"/>
        </w:rPr>
        <w:instrText xml:space="preserve"> AUTONUM  </w:instrText>
      </w:r>
      <w:r w:rsidRPr="00574DD1">
        <w:fldChar w:fldCharType="end"/>
      </w:r>
      <w:r w:rsidR="00D458AF" w:rsidRPr="009B75DA">
        <w:rPr>
          <w:lang w:val="es-ES"/>
        </w:rPr>
        <w:tab/>
      </w:r>
      <w:r w:rsidR="0098166A" w:rsidRPr="007658B5">
        <w:rPr>
          <w:lang w:val="es-ES_tradnl"/>
        </w:rPr>
        <w:t>La lista de participantes figura en el Anexo I del presente informe.</w:t>
      </w:r>
    </w:p>
    <w:p w:rsidR="00D458AF" w:rsidRPr="009B75DA" w:rsidRDefault="00D458AF" w:rsidP="00D458AF">
      <w:pPr>
        <w:rPr>
          <w:lang w:val="es-ES"/>
        </w:rPr>
      </w:pPr>
    </w:p>
    <w:p w:rsidR="00D458AF" w:rsidRPr="009B75DA" w:rsidRDefault="00DF030B" w:rsidP="00D458AF">
      <w:pPr>
        <w:rPr>
          <w:lang w:val="es-ES"/>
        </w:rPr>
      </w:pPr>
      <w:r w:rsidRPr="003D1CF9">
        <w:fldChar w:fldCharType="begin"/>
      </w:r>
      <w:r w:rsidR="00D458AF" w:rsidRPr="009B75DA">
        <w:rPr>
          <w:lang w:val="es-ES"/>
        </w:rPr>
        <w:instrText xml:space="preserve"> AUTONUM  </w:instrText>
      </w:r>
      <w:r w:rsidRPr="003D1CF9">
        <w:fldChar w:fldCharType="end"/>
      </w:r>
      <w:r w:rsidR="00D458AF" w:rsidRPr="009B75DA">
        <w:rPr>
          <w:lang w:val="es-ES"/>
        </w:rPr>
        <w:tab/>
      </w:r>
      <w:r w:rsidR="0098166A" w:rsidRPr="007658B5">
        <w:rPr>
          <w:lang w:val="es-ES_tradnl"/>
        </w:rPr>
        <w:t>Abrió la sesión la Presidenta, quien dio la bienvenida a los participantes.</w:t>
      </w:r>
    </w:p>
    <w:p w:rsidR="00D458AF" w:rsidRPr="009B75DA" w:rsidRDefault="00D458AF" w:rsidP="00D458AF">
      <w:pPr>
        <w:rPr>
          <w:lang w:val="es-ES"/>
        </w:rPr>
      </w:pPr>
    </w:p>
    <w:p w:rsidR="00D458AF" w:rsidRPr="009B75DA" w:rsidRDefault="00DF030B" w:rsidP="00D458AF">
      <w:pPr>
        <w:rPr>
          <w:lang w:val="es-ES"/>
        </w:rPr>
      </w:pPr>
      <w:r w:rsidRPr="005C4EFB">
        <w:fldChar w:fldCharType="begin"/>
      </w:r>
      <w:r w:rsidR="00D458AF" w:rsidRPr="009B75DA">
        <w:rPr>
          <w:lang w:val="es-ES"/>
        </w:rPr>
        <w:instrText xml:space="preserve"> AUTONUM  </w:instrText>
      </w:r>
      <w:r w:rsidRPr="005C4EFB">
        <w:fldChar w:fldCharType="end"/>
      </w:r>
      <w:r w:rsidR="00D458AF" w:rsidRPr="009B75DA">
        <w:rPr>
          <w:lang w:val="es-ES"/>
        </w:rPr>
        <w:tab/>
      </w:r>
      <w:r w:rsidR="0098166A" w:rsidRPr="007658B5">
        <w:rPr>
          <w:lang w:val="es-ES_tradnl"/>
        </w:rPr>
        <w:t>El Consejo adoptó las siguientes decisiones respecto de cada punto pertinente del orden del día.</w:t>
      </w:r>
    </w:p>
    <w:p w:rsidR="00D458AF" w:rsidRPr="009B75DA" w:rsidRDefault="00D458AF" w:rsidP="00D458AF">
      <w:pPr>
        <w:rPr>
          <w:lang w:val="es-ES"/>
        </w:rPr>
      </w:pPr>
    </w:p>
    <w:p w:rsidR="00D458AF" w:rsidRPr="009B75DA" w:rsidRDefault="00DF030B" w:rsidP="00D458AF">
      <w:pPr>
        <w:rPr>
          <w:lang w:val="es-ES"/>
        </w:rPr>
      </w:pPr>
      <w:r w:rsidRPr="00153B58">
        <w:fldChar w:fldCharType="begin"/>
      </w:r>
      <w:r w:rsidR="00D458AF" w:rsidRPr="009B75DA">
        <w:rPr>
          <w:lang w:val="es-ES"/>
        </w:rPr>
        <w:instrText xml:space="preserve"> AUTONUM  </w:instrText>
      </w:r>
      <w:r w:rsidRPr="00153B58">
        <w:fldChar w:fldCharType="end"/>
      </w:r>
      <w:r w:rsidR="00D458AF" w:rsidRPr="009B75DA">
        <w:rPr>
          <w:lang w:val="es-ES"/>
        </w:rPr>
        <w:tab/>
      </w:r>
      <w:r w:rsidR="0098166A" w:rsidRPr="007658B5">
        <w:rPr>
          <w:lang w:val="es-ES_tradnl"/>
        </w:rPr>
        <w:t>La Presidenta informó de que</w:t>
      </w:r>
      <w:r w:rsidR="0098166A" w:rsidRPr="0098166A">
        <w:rPr>
          <w:lang w:val="es-ES_tradnl"/>
        </w:rPr>
        <w:t xml:space="preserve"> el 24 de agosto de 2015 Montenegro </w:t>
      </w:r>
      <w:r w:rsidR="0098166A" w:rsidRPr="007658B5">
        <w:rPr>
          <w:lang w:val="es-ES_tradnl"/>
        </w:rPr>
        <w:t>depositó su instrumento de adhesión al Acta de 1991 del Convenio de la UPOV</w:t>
      </w:r>
      <w:r w:rsidR="0098166A" w:rsidRPr="0098166A">
        <w:rPr>
          <w:lang w:val="es-ES_tradnl"/>
        </w:rPr>
        <w:t xml:space="preserve">, </w:t>
      </w:r>
      <w:r w:rsidR="0098166A" w:rsidRPr="007658B5">
        <w:rPr>
          <w:lang w:val="es-ES_tradnl"/>
        </w:rPr>
        <w:t xml:space="preserve">pasando a ser el septuagésimo </w:t>
      </w:r>
      <w:r w:rsidR="0098166A" w:rsidRPr="0098166A">
        <w:rPr>
          <w:lang w:val="es-ES_tradnl"/>
        </w:rPr>
        <w:t xml:space="preserve">tercer </w:t>
      </w:r>
      <w:r w:rsidR="00B54130">
        <w:rPr>
          <w:lang w:val="es-ES_tradnl"/>
        </w:rPr>
        <w:t>miembro de la </w:t>
      </w:r>
      <w:r w:rsidR="0098166A" w:rsidRPr="007658B5">
        <w:rPr>
          <w:lang w:val="es-ES_tradnl"/>
        </w:rPr>
        <w:t>Unión</w:t>
      </w:r>
      <w:r w:rsidR="0098166A" w:rsidRPr="0098166A">
        <w:rPr>
          <w:lang w:val="es-ES_tradnl"/>
        </w:rPr>
        <w:t xml:space="preserve"> el 24 de septiembre de 2015.</w:t>
      </w:r>
    </w:p>
    <w:p w:rsidR="00D458AF" w:rsidRPr="009B75DA" w:rsidRDefault="00D458AF" w:rsidP="00D458AF">
      <w:pPr>
        <w:rPr>
          <w:lang w:val="es-ES"/>
        </w:rPr>
      </w:pPr>
    </w:p>
    <w:p w:rsidR="00D458AF" w:rsidRPr="009B75DA" w:rsidRDefault="00DF030B" w:rsidP="00D458AF">
      <w:pPr>
        <w:rPr>
          <w:lang w:val="es-ES"/>
        </w:rPr>
      </w:pPr>
      <w:r w:rsidRPr="00153B58">
        <w:fldChar w:fldCharType="begin"/>
      </w:r>
      <w:r w:rsidR="00D458AF" w:rsidRPr="009B75DA">
        <w:rPr>
          <w:lang w:val="es-ES"/>
        </w:rPr>
        <w:instrText xml:space="preserve"> AUTONUM  </w:instrText>
      </w:r>
      <w:r w:rsidRPr="00153B58">
        <w:fldChar w:fldCharType="end"/>
      </w:r>
      <w:r w:rsidR="00D458AF" w:rsidRPr="009B75DA">
        <w:rPr>
          <w:lang w:val="es-ES"/>
        </w:rPr>
        <w:tab/>
      </w:r>
      <w:r w:rsidR="0098166A" w:rsidRPr="007658B5">
        <w:rPr>
          <w:lang w:val="es-ES_tradnl"/>
        </w:rPr>
        <w:t>La Presidenta informó de que</w:t>
      </w:r>
      <w:r w:rsidR="0098166A" w:rsidRPr="00680B9B">
        <w:rPr>
          <w:lang w:val="es-ES_tradnl"/>
        </w:rPr>
        <w:t xml:space="preserve"> </w:t>
      </w:r>
      <w:r w:rsidR="00680B9B" w:rsidRPr="00680B9B">
        <w:rPr>
          <w:lang w:val="es-ES_tradnl"/>
        </w:rPr>
        <w:t xml:space="preserve">el 22 de octubre de 2015 </w:t>
      </w:r>
      <w:r w:rsidR="0098166A" w:rsidRPr="00680B9B">
        <w:rPr>
          <w:lang w:val="es-ES_tradnl"/>
        </w:rPr>
        <w:t xml:space="preserve">la </w:t>
      </w:r>
      <w:r w:rsidR="0098166A" w:rsidRPr="007658B5">
        <w:rPr>
          <w:lang w:val="es-ES_tradnl"/>
        </w:rPr>
        <w:t xml:space="preserve">República Unida de </w:t>
      </w:r>
      <w:proofErr w:type="spellStart"/>
      <w:r w:rsidR="0098166A" w:rsidRPr="007658B5">
        <w:rPr>
          <w:lang w:val="es-ES_tradnl"/>
        </w:rPr>
        <w:t>Tanzanía</w:t>
      </w:r>
      <w:proofErr w:type="spellEnd"/>
      <w:r w:rsidR="0098166A" w:rsidRPr="00680B9B">
        <w:rPr>
          <w:lang w:val="es-ES_tradnl"/>
        </w:rPr>
        <w:t xml:space="preserve"> </w:t>
      </w:r>
      <w:r w:rsidR="00680B9B" w:rsidRPr="007658B5">
        <w:rPr>
          <w:lang w:val="es-ES_tradnl"/>
        </w:rPr>
        <w:t>depositó su instrumento de adhesión al Acta de 1991 del Convenio de la UPOV</w:t>
      </w:r>
      <w:r w:rsidR="0098166A" w:rsidRPr="00680B9B">
        <w:rPr>
          <w:lang w:val="es-ES_tradnl"/>
        </w:rPr>
        <w:t xml:space="preserve">, </w:t>
      </w:r>
      <w:r w:rsidR="00680B9B" w:rsidRPr="00680B9B">
        <w:rPr>
          <w:lang w:val="es-ES_tradnl"/>
        </w:rPr>
        <w:t>y pas</w:t>
      </w:r>
      <w:r w:rsidR="0098166A" w:rsidRPr="00680B9B">
        <w:rPr>
          <w:lang w:val="es-ES_tradnl"/>
        </w:rPr>
        <w:t>a</w:t>
      </w:r>
      <w:r w:rsidR="00680B9B" w:rsidRPr="00680B9B">
        <w:rPr>
          <w:lang w:val="es-ES_tradnl"/>
        </w:rPr>
        <w:t>r</w:t>
      </w:r>
      <w:r w:rsidR="00B54130">
        <w:rPr>
          <w:lang w:val="es-ES_tradnl"/>
        </w:rPr>
        <w:t>á</w:t>
      </w:r>
      <w:r w:rsidR="00680B9B" w:rsidRPr="00680B9B">
        <w:rPr>
          <w:lang w:val="es-ES_tradnl"/>
        </w:rPr>
        <w:t xml:space="preserve"> a ser el </w:t>
      </w:r>
      <w:r w:rsidR="0098166A" w:rsidRPr="00680B9B">
        <w:rPr>
          <w:lang w:val="es-ES_tradnl"/>
        </w:rPr>
        <w:t>septuagésim</w:t>
      </w:r>
      <w:r w:rsidR="00680B9B" w:rsidRPr="00680B9B">
        <w:rPr>
          <w:lang w:val="es-ES_tradnl"/>
        </w:rPr>
        <w:t>o</w:t>
      </w:r>
      <w:r w:rsidR="0098166A" w:rsidRPr="00680B9B">
        <w:rPr>
          <w:lang w:val="es-ES_tradnl"/>
        </w:rPr>
        <w:t xml:space="preserve"> cuart</w:t>
      </w:r>
      <w:r w:rsidR="00680B9B" w:rsidRPr="00680B9B">
        <w:rPr>
          <w:lang w:val="es-ES_tradnl"/>
        </w:rPr>
        <w:t>o</w:t>
      </w:r>
      <w:r w:rsidR="0098166A" w:rsidRPr="00680B9B">
        <w:rPr>
          <w:lang w:val="es-ES_tradnl"/>
        </w:rPr>
        <w:t xml:space="preserve"> </w:t>
      </w:r>
      <w:r w:rsidR="0098166A" w:rsidRPr="007658B5">
        <w:rPr>
          <w:lang w:val="es-ES_tradnl"/>
        </w:rPr>
        <w:t>miembro de la Unión</w:t>
      </w:r>
      <w:r w:rsidR="0098166A" w:rsidRPr="00680B9B">
        <w:rPr>
          <w:lang w:val="es-ES_tradnl"/>
        </w:rPr>
        <w:t xml:space="preserve"> </w:t>
      </w:r>
      <w:r w:rsidR="00680B9B" w:rsidRPr="00680B9B">
        <w:rPr>
          <w:lang w:val="es-ES_tradnl"/>
        </w:rPr>
        <w:t xml:space="preserve">el </w:t>
      </w:r>
      <w:r w:rsidR="0098166A" w:rsidRPr="00680B9B">
        <w:rPr>
          <w:lang w:val="es-ES_tradnl"/>
        </w:rPr>
        <w:t>22</w:t>
      </w:r>
      <w:r w:rsidR="00680B9B" w:rsidRPr="00680B9B">
        <w:rPr>
          <w:lang w:val="es-ES_tradnl"/>
        </w:rPr>
        <w:t xml:space="preserve"> de noviembre de </w:t>
      </w:r>
      <w:r w:rsidR="0098166A" w:rsidRPr="00680B9B">
        <w:rPr>
          <w:lang w:val="es-ES_tradnl"/>
        </w:rPr>
        <w:t>2015.</w:t>
      </w:r>
    </w:p>
    <w:p w:rsidR="00D458AF" w:rsidRPr="009B75DA" w:rsidRDefault="00D458AF" w:rsidP="00D458AF">
      <w:pPr>
        <w:rPr>
          <w:lang w:val="es-ES"/>
        </w:rPr>
      </w:pPr>
    </w:p>
    <w:p w:rsidR="00D458AF" w:rsidRPr="009B75DA" w:rsidRDefault="00DF030B" w:rsidP="00D458AF">
      <w:pPr>
        <w:rPr>
          <w:szCs w:val="24"/>
          <w:lang w:val="es-ES"/>
        </w:rPr>
      </w:pPr>
      <w:r w:rsidRPr="00153B58">
        <w:fldChar w:fldCharType="begin"/>
      </w:r>
      <w:r w:rsidR="00D458AF" w:rsidRPr="009B75DA">
        <w:rPr>
          <w:lang w:val="es-ES"/>
        </w:rPr>
        <w:instrText xml:space="preserve"> AUTONUM  </w:instrText>
      </w:r>
      <w:r w:rsidRPr="00153B58">
        <w:fldChar w:fldCharType="end"/>
      </w:r>
      <w:r w:rsidR="00D458AF" w:rsidRPr="009B75DA">
        <w:rPr>
          <w:lang w:val="es-ES"/>
        </w:rPr>
        <w:tab/>
      </w:r>
      <w:r w:rsidR="00680B9B" w:rsidRPr="007658B5">
        <w:rPr>
          <w:lang w:val="es-ES_tradnl"/>
        </w:rPr>
        <w:t>La Presidenta informó de que</w:t>
      </w:r>
      <w:r w:rsidR="00680B9B" w:rsidRPr="00680B9B">
        <w:rPr>
          <w:lang w:val="es-ES_tradnl"/>
        </w:rPr>
        <w:t xml:space="preserve"> el Canadá, </w:t>
      </w:r>
      <w:r w:rsidR="00680B9B" w:rsidRPr="007658B5">
        <w:rPr>
          <w:szCs w:val="24"/>
          <w:lang w:val="es-ES_tradnl"/>
        </w:rPr>
        <w:t>que es miembro de la Unión desde</w:t>
      </w:r>
      <w:r w:rsidR="00680B9B" w:rsidRPr="00680B9B">
        <w:rPr>
          <w:szCs w:val="24"/>
          <w:lang w:val="es-ES_tradnl"/>
        </w:rPr>
        <w:t xml:space="preserve"> el 4 de marzo de 1991, </w:t>
      </w:r>
      <w:r w:rsidR="00680B9B" w:rsidRPr="007658B5">
        <w:rPr>
          <w:szCs w:val="24"/>
          <w:lang w:val="es-ES_tradnl"/>
        </w:rPr>
        <w:t>depositó su instrumento de ratificación del Acta de 1991 del Convenio de la UPOV el</w:t>
      </w:r>
      <w:r w:rsidR="00680B9B" w:rsidRPr="00680B9B">
        <w:rPr>
          <w:szCs w:val="24"/>
          <w:lang w:val="es-ES_tradnl"/>
        </w:rPr>
        <w:t xml:space="preserve"> 19 de junio de 2015, </w:t>
      </w:r>
      <w:r w:rsidR="00680B9B" w:rsidRPr="007658B5">
        <w:rPr>
          <w:szCs w:val="24"/>
          <w:lang w:val="es-ES_tradnl"/>
        </w:rPr>
        <w:t xml:space="preserve">y </w:t>
      </w:r>
      <w:proofErr w:type="gramStart"/>
      <w:r w:rsidR="00680B9B" w:rsidRPr="007658B5">
        <w:rPr>
          <w:szCs w:val="24"/>
          <w:lang w:val="es-ES_tradnl"/>
        </w:rPr>
        <w:t>quedó</w:t>
      </w:r>
      <w:proofErr w:type="gramEnd"/>
      <w:r w:rsidR="00680B9B" w:rsidRPr="007658B5">
        <w:rPr>
          <w:szCs w:val="24"/>
          <w:lang w:val="es-ES_tradnl"/>
        </w:rPr>
        <w:t xml:space="preserve"> obligado por ese Acta el</w:t>
      </w:r>
      <w:r w:rsidR="00680B9B" w:rsidRPr="00680B9B">
        <w:rPr>
          <w:szCs w:val="24"/>
          <w:lang w:val="es-ES_tradnl"/>
        </w:rPr>
        <w:t xml:space="preserve"> 19 de julio de 2015.</w:t>
      </w:r>
      <w:r w:rsidR="00D458AF" w:rsidRPr="009B75DA">
        <w:rPr>
          <w:szCs w:val="24"/>
          <w:lang w:val="es-ES"/>
        </w:rPr>
        <w:t xml:space="preserve"> </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680B9B" w:rsidRPr="007658B5">
        <w:rPr>
          <w:lang w:val="es-ES_tradnl"/>
        </w:rPr>
        <w:t>El Consejo tomó nota de la intervención de</w:t>
      </w:r>
      <w:r w:rsidR="00680B9B" w:rsidRPr="00680B9B">
        <w:rPr>
          <w:lang w:val="es-ES_tradnl"/>
        </w:rPr>
        <w:t xml:space="preserve"> la </w:t>
      </w:r>
      <w:r w:rsidR="00680B9B" w:rsidRPr="007658B5">
        <w:rPr>
          <w:lang w:val="es-ES_tradnl"/>
        </w:rPr>
        <w:t>Delegación de</w:t>
      </w:r>
      <w:r w:rsidR="00680B9B" w:rsidRPr="00680B9B">
        <w:rPr>
          <w:lang w:val="es-ES_tradnl"/>
        </w:rPr>
        <w:t xml:space="preserve"> Montenegro.</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680B9B" w:rsidRPr="007658B5">
        <w:rPr>
          <w:lang w:val="es-ES_tradnl"/>
        </w:rPr>
        <w:t>El Consejo tomó nota de la intervención de</w:t>
      </w:r>
      <w:r w:rsidR="00680B9B" w:rsidRPr="00680B9B">
        <w:rPr>
          <w:lang w:val="es-ES_tradnl"/>
        </w:rPr>
        <w:t xml:space="preserve"> la </w:t>
      </w:r>
      <w:r w:rsidR="00680B9B" w:rsidRPr="007658B5">
        <w:rPr>
          <w:lang w:val="es-ES_tradnl"/>
        </w:rPr>
        <w:t>Delegación de</w:t>
      </w:r>
      <w:r w:rsidR="00680B9B" w:rsidRPr="00680B9B">
        <w:rPr>
          <w:lang w:val="es-ES_tradnl"/>
        </w:rPr>
        <w:t xml:space="preserve"> la </w:t>
      </w:r>
      <w:r w:rsidR="00680B9B" w:rsidRPr="007658B5">
        <w:rPr>
          <w:lang w:val="es-ES_tradnl"/>
        </w:rPr>
        <w:t xml:space="preserve">República Unida de </w:t>
      </w:r>
      <w:proofErr w:type="spellStart"/>
      <w:r w:rsidR="00680B9B" w:rsidRPr="007658B5">
        <w:rPr>
          <w:lang w:val="es-ES_tradnl"/>
        </w:rPr>
        <w:t>Tanzanía</w:t>
      </w:r>
      <w:proofErr w:type="spellEnd"/>
      <w:r w:rsidR="00680B9B" w:rsidRPr="00680B9B">
        <w:rPr>
          <w:lang w:val="es-ES_tradnl"/>
        </w:rPr>
        <w:t>.</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680B9B" w:rsidRPr="007658B5">
        <w:rPr>
          <w:lang w:val="es-ES_tradnl"/>
        </w:rPr>
        <w:t>El Consejo tomó nota de la intervención de la Delegación del Canadá</w:t>
      </w:r>
      <w:r w:rsidR="00680B9B" w:rsidRPr="00680B9B">
        <w:rPr>
          <w:lang w:val="es-ES_tradnl"/>
        </w:rPr>
        <w:t>.</w:t>
      </w:r>
    </w:p>
    <w:p w:rsidR="00D458AF" w:rsidRPr="009B75DA" w:rsidRDefault="00D458AF" w:rsidP="00D458AF">
      <w:pPr>
        <w:rPr>
          <w:lang w:val="es-ES"/>
        </w:rPr>
      </w:pPr>
    </w:p>
    <w:p w:rsidR="00D458AF" w:rsidRPr="009B75DA" w:rsidRDefault="00DF030B" w:rsidP="00D458AF">
      <w:pPr>
        <w:rPr>
          <w:szCs w:val="24"/>
          <w:lang w:val="es-ES"/>
        </w:rPr>
      </w:pPr>
      <w:r>
        <w:rPr>
          <w:szCs w:val="24"/>
        </w:rPr>
        <w:fldChar w:fldCharType="begin"/>
      </w:r>
      <w:r w:rsidR="00D458AF" w:rsidRPr="009B75DA">
        <w:rPr>
          <w:szCs w:val="24"/>
          <w:lang w:val="es-ES"/>
        </w:rPr>
        <w:instrText xml:space="preserve"> AUTONUM  </w:instrText>
      </w:r>
      <w:r>
        <w:rPr>
          <w:szCs w:val="24"/>
        </w:rPr>
        <w:fldChar w:fldCharType="end"/>
      </w:r>
      <w:r w:rsidR="00D458AF" w:rsidRPr="009B75DA">
        <w:rPr>
          <w:szCs w:val="24"/>
          <w:lang w:val="es-ES"/>
        </w:rPr>
        <w:tab/>
      </w:r>
      <w:r w:rsidR="00680B9B" w:rsidRPr="007658B5">
        <w:rPr>
          <w:szCs w:val="24"/>
          <w:lang w:val="es-ES_tradnl"/>
        </w:rPr>
        <w:t xml:space="preserve">El Secretario General </w:t>
      </w:r>
      <w:r w:rsidR="001B0722" w:rsidRPr="007658B5">
        <w:rPr>
          <w:szCs w:val="24"/>
          <w:lang w:val="es-ES_tradnl"/>
        </w:rPr>
        <w:t>informó sobre</w:t>
      </w:r>
      <w:r w:rsidR="001B0722" w:rsidRPr="001B0722">
        <w:rPr>
          <w:szCs w:val="24"/>
          <w:lang w:val="es-ES_tradnl"/>
        </w:rPr>
        <w:t xml:space="preserve"> las novedades en la plantilla de la </w:t>
      </w:r>
      <w:r w:rsidR="00680B9B" w:rsidRPr="007658B5">
        <w:rPr>
          <w:szCs w:val="24"/>
          <w:lang w:val="es-ES_tradnl"/>
        </w:rPr>
        <w:t>Oficina de la Unión</w:t>
      </w:r>
      <w:r w:rsidR="00680B9B" w:rsidRPr="001B0722">
        <w:rPr>
          <w:szCs w:val="24"/>
          <w:lang w:val="es-ES_tradnl"/>
        </w:rPr>
        <w:t>.</w:t>
      </w:r>
    </w:p>
    <w:p w:rsidR="00D458AF" w:rsidRPr="009B75DA" w:rsidRDefault="00D458AF" w:rsidP="00D458AF">
      <w:pPr>
        <w:jc w:val="left"/>
        <w:rPr>
          <w:szCs w:val="24"/>
          <w:lang w:val="es-ES"/>
        </w:rPr>
      </w:pPr>
    </w:p>
    <w:p w:rsidR="00D458AF" w:rsidRPr="009B75DA" w:rsidRDefault="00DF030B" w:rsidP="00D458AF">
      <w:pPr>
        <w:rPr>
          <w:lang w:val="es-ES"/>
        </w:rPr>
      </w:pPr>
      <w:r w:rsidRPr="005C4EFB">
        <w:fldChar w:fldCharType="begin"/>
      </w:r>
      <w:r w:rsidR="00D458AF" w:rsidRPr="009B75DA">
        <w:rPr>
          <w:lang w:val="es-ES"/>
        </w:rPr>
        <w:instrText xml:space="preserve"> AUTONUM  </w:instrText>
      </w:r>
      <w:r w:rsidRPr="005C4EFB">
        <w:fldChar w:fldCharType="end"/>
      </w:r>
      <w:r w:rsidR="00D458AF" w:rsidRPr="009B75DA">
        <w:rPr>
          <w:lang w:val="es-ES"/>
        </w:rPr>
        <w:tab/>
      </w:r>
      <w:r w:rsidR="001B0722" w:rsidRPr="007658B5">
        <w:rPr>
          <w:lang w:val="es-ES_tradnl"/>
        </w:rPr>
        <w:t>El proyecto de informe detallado del período de sesiones se someterá a la aprobación del Consejo por correspondencia.</w:t>
      </w:r>
    </w:p>
    <w:p w:rsidR="00D458AF" w:rsidRPr="009B75DA" w:rsidRDefault="00D458AF" w:rsidP="00D458AF">
      <w:pPr>
        <w:pStyle w:val="BodyText"/>
        <w:rPr>
          <w:lang w:val="es-ES"/>
        </w:rPr>
      </w:pPr>
    </w:p>
    <w:p w:rsidR="00D458AF" w:rsidRPr="009B75DA" w:rsidRDefault="00D458AF" w:rsidP="00D458AF">
      <w:pPr>
        <w:pStyle w:val="BodyText"/>
        <w:rPr>
          <w:lang w:val="es-ES"/>
        </w:rPr>
      </w:pPr>
    </w:p>
    <w:p w:rsidR="00D458AF" w:rsidRPr="009B75DA" w:rsidRDefault="00D458AF" w:rsidP="00D458AF">
      <w:pPr>
        <w:jc w:val="left"/>
        <w:rPr>
          <w:u w:val="single"/>
          <w:lang w:val="es-ES"/>
        </w:rPr>
      </w:pPr>
      <w:r w:rsidRPr="009B75DA">
        <w:rPr>
          <w:u w:val="single"/>
          <w:lang w:val="es-ES"/>
        </w:rPr>
        <w:br w:type="page"/>
      </w:r>
    </w:p>
    <w:p w:rsidR="00D458AF" w:rsidRPr="009B75DA" w:rsidRDefault="001B0722" w:rsidP="00D458AF">
      <w:pPr>
        <w:pStyle w:val="BodyText"/>
        <w:keepNext/>
        <w:rPr>
          <w:u w:val="single"/>
          <w:lang w:val="es-ES"/>
        </w:rPr>
      </w:pPr>
      <w:r w:rsidRPr="007658B5">
        <w:rPr>
          <w:u w:val="single"/>
          <w:lang w:val="es-ES_tradnl"/>
        </w:rPr>
        <w:lastRenderedPageBreak/>
        <w:t>Aprobación del orden del día</w:t>
      </w:r>
    </w:p>
    <w:p w:rsidR="00D458AF" w:rsidRPr="009B75DA" w:rsidRDefault="00D458AF" w:rsidP="00D458AF">
      <w:pPr>
        <w:keepNext/>
        <w:rPr>
          <w:lang w:val="es-ES"/>
        </w:rPr>
      </w:pPr>
    </w:p>
    <w:p w:rsidR="00D458AF" w:rsidRPr="00B54130" w:rsidRDefault="00DF030B" w:rsidP="00D458AF">
      <w:pPr>
        <w:rPr>
          <w:caps/>
          <w:spacing w:val="-2"/>
          <w:szCs w:val="24"/>
          <w:lang w:val="es-ES"/>
        </w:rPr>
      </w:pPr>
      <w:r>
        <w:rPr>
          <w:szCs w:val="24"/>
        </w:rPr>
        <w:fldChar w:fldCharType="begin"/>
      </w:r>
      <w:r w:rsidR="00D458AF" w:rsidRPr="009B75DA">
        <w:rPr>
          <w:szCs w:val="24"/>
          <w:lang w:val="es-ES"/>
        </w:rPr>
        <w:instrText xml:space="preserve"> AUTONUM  </w:instrText>
      </w:r>
      <w:r>
        <w:rPr>
          <w:szCs w:val="24"/>
        </w:rPr>
        <w:fldChar w:fldCharType="end"/>
      </w:r>
      <w:r w:rsidR="00D458AF" w:rsidRPr="009B75DA">
        <w:rPr>
          <w:szCs w:val="24"/>
          <w:lang w:val="es-ES"/>
        </w:rPr>
        <w:tab/>
      </w:r>
      <w:r w:rsidR="001B0722" w:rsidRPr="00B54130">
        <w:rPr>
          <w:spacing w:val="-2"/>
          <w:szCs w:val="24"/>
          <w:lang w:val="es-ES_tradnl"/>
        </w:rPr>
        <w:t xml:space="preserve">El Consejo </w:t>
      </w:r>
      <w:r w:rsidR="001B0722" w:rsidRPr="00B54130">
        <w:rPr>
          <w:spacing w:val="-2"/>
          <w:lang w:val="es-ES_tradnl"/>
        </w:rPr>
        <w:t>aprobó el proyecto revisado de orden del día que se propone en el documento C/49/1 Rev.</w:t>
      </w:r>
    </w:p>
    <w:p w:rsidR="00D458AF" w:rsidRPr="009B75DA" w:rsidRDefault="00D458AF" w:rsidP="00D458AF">
      <w:pPr>
        <w:rPr>
          <w:lang w:val="es-ES"/>
        </w:rPr>
      </w:pPr>
    </w:p>
    <w:p w:rsidR="00D458AF" w:rsidRPr="009B75DA" w:rsidRDefault="00D458AF" w:rsidP="00D458AF">
      <w:pPr>
        <w:rPr>
          <w:lang w:val="es-ES"/>
        </w:rPr>
      </w:pPr>
    </w:p>
    <w:p w:rsidR="00D458AF" w:rsidRPr="009B75DA" w:rsidRDefault="001B0722" w:rsidP="00D458AF">
      <w:pPr>
        <w:rPr>
          <w:snapToGrid w:val="0"/>
          <w:u w:val="single"/>
          <w:lang w:val="es-ES"/>
        </w:rPr>
      </w:pPr>
      <w:r w:rsidRPr="007658B5">
        <w:rPr>
          <w:snapToGrid w:val="0"/>
          <w:u w:val="single"/>
          <w:lang w:val="es-ES_tradnl"/>
        </w:rPr>
        <w:t>Examen de la conformidad de la “Ley de 2003 sobre el r</w:t>
      </w:r>
      <w:r w:rsidR="00B54130">
        <w:rPr>
          <w:snapToGrid w:val="0"/>
          <w:u w:val="single"/>
          <w:lang w:val="es-ES_tradnl"/>
        </w:rPr>
        <w:t>egistro de variedades vegetales</w:t>
      </w:r>
      <w:r w:rsidRPr="007658B5">
        <w:rPr>
          <w:snapToGrid w:val="0"/>
          <w:u w:val="single"/>
          <w:lang w:val="es-ES_tradnl"/>
        </w:rPr>
        <w:t xml:space="preserve"> y control y certificación de semillas y material vegetal” de la República Islámica </w:t>
      </w:r>
      <w:proofErr w:type="spellStart"/>
      <w:r w:rsidRPr="007658B5">
        <w:rPr>
          <w:snapToGrid w:val="0"/>
          <w:u w:val="single"/>
          <w:lang w:val="es-ES_tradnl"/>
        </w:rPr>
        <w:t>del</w:t>
      </w:r>
      <w:proofErr w:type="spellEnd"/>
      <w:r w:rsidRPr="007658B5">
        <w:rPr>
          <w:snapToGrid w:val="0"/>
          <w:u w:val="single"/>
          <w:lang w:val="es-ES_tradnl"/>
        </w:rPr>
        <w:t xml:space="preserve"> Irán con el Acta de 1991 del Convenio de la UPOV</w:t>
      </w:r>
    </w:p>
    <w:p w:rsidR="00D458AF" w:rsidRPr="009B75DA" w:rsidRDefault="00D458AF" w:rsidP="00D458AF">
      <w:pPr>
        <w:rPr>
          <w:snapToGrid w:val="0"/>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1B0722" w:rsidRPr="007658B5">
        <w:rPr>
          <w:lang w:val="es-ES_tradnl"/>
        </w:rPr>
        <w:t>El Consejo examinó el documento</w:t>
      </w:r>
      <w:r w:rsidR="001B0722" w:rsidRPr="001B0722">
        <w:rPr>
          <w:lang w:val="es-ES_tradnl"/>
        </w:rPr>
        <w:t> </w:t>
      </w:r>
      <w:proofErr w:type="gramStart"/>
      <w:r w:rsidR="001B0722" w:rsidRPr="001B0722">
        <w:rPr>
          <w:lang w:val="es-ES_tradnl"/>
        </w:rPr>
        <w:t>C(</w:t>
      </w:r>
      <w:proofErr w:type="spellStart"/>
      <w:proofErr w:type="gramEnd"/>
      <w:r w:rsidR="001B0722" w:rsidRPr="001B0722">
        <w:rPr>
          <w:lang w:val="es-ES_tradnl"/>
        </w:rPr>
        <w:t>Extr</w:t>
      </w:r>
      <w:proofErr w:type="spellEnd"/>
      <w:r w:rsidR="001B0722" w:rsidRPr="001B0722">
        <w:rPr>
          <w:lang w:val="es-ES_tradnl"/>
        </w:rPr>
        <w:t>.)/32/8.</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1B0722" w:rsidRPr="001B0722">
        <w:rPr>
          <w:lang w:val="es-ES_tradnl"/>
        </w:rPr>
        <w:t>El Consejo adoptó las decisiones siguientes:</w:t>
      </w:r>
      <w:r w:rsidR="00D458AF" w:rsidRPr="009B75DA">
        <w:rPr>
          <w:lang w:val="es-ES"/>
        </w:rPr>
        <w:t xml:space="preserve"> </w:t>
      </w:r>
    </w:p>
    <w:p w:rsidR="00D458AF" w:rsidRPr="009B75DA" w:rsidRDefault="00D458AF" w:rsidP="00D458AF">
      <w:pPr>
        <w:rPr>
          <w:lang w:val="es-ES"/>
        </w:rPr>
      </w:pPr>
    </w:p>
    <w:p w:rsidR="00B54130" w:rsidRPr="00C7176B" w:rsidRDefault="00B54130" w:rsidP="00B54130">
      <w:pPr>
        <w:rPr>
          <w:lang w:val="es-ES"/>
        </w:rPr>
      </w:pPr>
      <w:r w:rsidRPr="00C7176B">
        <w:rPr>
          <w:lang w:val="es-ES"/>
        </w:rPr>
        <w:tab/>
      </w:r>
      <w:r w:rsidRPr="004813AA">
        <w:rPr>
          <w:lang w:val="es-ES_tradnl"/>
        </w:rPr>
        <w:t>a)</w:t>
      </w:r>
      <w:r w:rsidRPr="00C7176B">
        <w:rPr>
          <w:lang w:val="es-ES"/>
        </w:rPr>
        <w:tab/>
      </w:r>
      <w:r w:rsidRPr="00867C43">
        <w:rPr>
          <w:lang w:val="es-ES_tradnl"/>
        </w:rPr>
        <w:t xml:space="preserve">tomar nota del análisis expuesto en el documento </w:t>
      </w:r>
      <w:proofErr w:type="gramStart"/>
      <w:r w:rsidRPr="00867C43">
        <w:rPr>
          <w:lang w:val="es-ES_tradnl"/>
        </w:rPr>
        <w:t>C(</w:t>
      </w:r>
      <w:proofErr w:type="spellStart"/>
      <w:proofErr w:type="gramEnd"/>
      <w:r w:rsidRPr="00867C43">
        <w:rPr>
          <w:lang w:val="es-ES_tradnl"/>
        </w:rPr>
        <w:t>Extr</w:t>
      </w:r>
      <w:proofErr w:type="spellEnd"/>
      <w:r w:rsidRPr="00867C43">
        <w:rPr>
          <w:lang w:val="es-ES_tradnl"/>
        </w:rPr>
        <w:t>.)/32/8;</w:t>
      </w:r>
    </w:p>
    <w:p w:rsidR="00B54130" w:rsidRPr="00C7176B" w:rsidRDefault="00B54130" w:rsidP="00B54130">
      <w:pPr>
        <w:rPr>
          <w:lang w:val="es-ES"/>
        </w:rPr>
      </w:pPr>
    </w:p>
    <w:p w:rsidR="00B54130" w:rsidRPr="00C7176B" w:rsidRDefault="00B54130" w:rsidP="00B54130">
      <w:pPr>
        <w:rPr>
          <w:lang w:val="es-ES"/>
        </w:rPr>
      </w:pPr>
      <w:r w:rsidRPr="00C7176B">
        <w:rPr>
          <w:lang w:val="es-ES"/>
        </w:rPr>
        <w:tab/>
      </w:r>
      <w:r w:rsidRPr="004813AA">
        <w:rPr>
          <w:lang w:val="es-ES_tradnl"/>
        </w:rPr>
        <w:t>b)</w:t>
      </w:r>
      <w:r w:rsidRPr="00C7176B">
        <w:rPr>
          <w:lang w:val="es-ES"/>
        </w:rPr>
        <w:tab/>
      </w:r>
      <w:r w:rsidRPr="00867C43">
        <w:rPr>
          <w:lang w:val="es-ES_tradnl"/>
        </w:rPr>
        <w:t xml:space="preserve">recomendar que la República Islámica </w:t>
      </w:r>
      <w:proofErr w:type="spellStart"/>
      <w:r w:rsidRPr="00867C43">
        <w:rPr>
          <w:lang w:val="es-ES_tradnl"/>
        </w:rPr>
        <w:t>del</w:t>
      </w:r>
      <w:proofErr w:type="spellEnd"/>
      <w:r w:rsidRPr="00867C43">
        <w:rPr>
          <w:lang w:val="es-ES_tradnl"/>
        </w:rPr>
        <w:t xml:space="preserve"> Irán incorpore las disposiciones adicionales y enmiendas a la “Ley de 2003 de registro de variedades vegetales y control y certificación de semillas y material vegetal” que se enuncian en el documento </w:t>
      </w:r>
      <w:proofErr w:type="gramStart"/>
      <w:r w:rsidRPr="00867C43">
        <w:rPr>
          <w:lang w:val="es-ES_tradnl"/>
        </w:rPr>
        <w:t>C(</w:t>
      </w:r>
      <w:proofErr w:type="spellStart"/>
      <w:proofErr w:type="gramEnd"/>
      <w:r w:rsidRPr="00867C43">
        <w:rPr>
          <w:lang w:val="es-ES_tradnl"/>
        </w:rPr>
        <w:t>Extr</w:t>
      </w:r>
      <w:proofErr w:type="spellEnd"/>
      <w:r w:rsidRPr="00867C43">
        <w:rPr>
          <w:lang w:val="es-ES_tradnl"/>
        </w:rPr>
        <w:t>.)/32/8 y, una vez incorporadas a dicha Ley las disposiciones y enmiendas adicionales necesarias, se someta la Ley modificada a examen del Consejo, de conformidad con el artículo 34.3) del Acta de 1991;</w:t>
      </w:r>
    </w:p>
    <w:p w:rsidR="00B54130" w:rsidRPr="00C7176B" w:rsidRDefault="00B54130" w:rsidP="00B54130">
      <w:pPr>
        <w:rPr>
          <w:lang w:val="es-ES"/>
        </w:rPr>
      </w:pPr>
    </w:p>
    <w:p w:rsidR="00B54130" w:rsidRPr="00C7176B" w:rsidRDefault="00B54130" w:rsidP="00B54130">
      <w:pPr>
        <w:rPr>
          <w:lang w:val="es-ES"/>
        </w:rPr>
      </w:pPr>
      <w:r w:rsidRPr="00C7176B">
        <w:rPr>
          <w:lang w:val="es-ES"/>
        </w:rPr>
        <w:tab/>
      </w:r>
      <w:r w:rsidRPr="004813AA">
        <w:rPr>
          <w:lang w:val="es-ES_tradnl"/>
        </w:rPr>
        <w:t>c)</w:t>
      </w:r>
      <w:r w:rsidRPr="00C7176B">
        <w:rPr>
          <w:lang w:val="es-ES"/>
        </w:rPr>
        <w:tab/>
      </w:r>
      <w:r w:rsidRPr="00867C43">
        <w:rPr>
          <w:lang w:val="es-ES_tradnl"/>
        </w:rPr>
        <w:t xml:space="preserve">pedir a la Oficina de la Unión que ofrezca asistencia, en cuanto sea posible, al Gobierno de la República Islámica </w:t>
      </w:r>
      <w:proofErr w:type="spellStart"/>
      <w:r w:rsidRPr="00867C43">
        <w:rPr>
          <w:lang w:val="es-ES_tradnl"/>
        </w:rPr>
        <w:t>del</w:t>
      </w:r>
      <w:proofErr w:type="spellEnd"/>
      <w:r w:rsidRPr="00867C43">
        <w:rPr>
          <w:lang w:val="es-ES_tradnl"/>
        </w:rPr>
        <w:t xml:space="preserve"> Irán para redactar las disposiciones adicionales y enmiendas que han de introducirse en la Ley;</w:t>
      </w:r>
      <w:r w:rsidRPr="00C7176B">
        <w:rPr>
          <w:lang w:val="es-ES"/>
        </w:rPr>
        <w:t xml:space="preserve">  </w:t>
      </w:r>
      <w:r w:rsidRPr="004813AA">
        <w:rPr>
          <w:lang w:val="es-ES_tradnl"/>
        </w:rPr>
        <w:t>y</w:t>
      </w:r>
    </w:p>
    <w:p w:rsidR="00B54130" w:rsidRPr="00C7176B" w:rsidRDefault="00B54130" w:rsidP="00B54130">
      <w:pPr>
        <w:rPr>
          <w:lang w:val="es-ES"/>
        </w:rPr>
      </w:pPr>
    </w:p>
    <w:p w:rsidR="00B54130" w:rsidRPr="00C7176B" w:rsidRDefault="00B54130" w:rsidP="00B54130">
      <w:pPr>
        <w:rPr>
          <w:lang w:val="es-ES"/>
        </w:rPr>
      </w:pPr>
      <w:r w:rsidRPr="00C7176B">
        <w:rPr>
          <w:lang w:val="es-ES"/>
        </w:rPr>
        <w:tab/>
      </w:r>
      <w:r w:rsidRPr="004813AA">
        <w:rPr>
          <w:lang w:val="es-ES_tradnl"/>
        </w:rPr>
        <w:t>d)</w:t>
      </w:r>
      <w:r w:rsidRPr="00C7176B">
        <w:rPr>
          <w:lang w:val="es-ES"/>
        </w:rPr>
        <w:tab/>
      </w:r>
      <w:r w:rsidRPr="00867C43">
        <w:rPr>
          <w:lang w:val="es-ES_tradnl"/>
        </w:rPr>
        <w:t xml:space="preserve">autorizar al Secretario General a que informe de dicha decisión al Gobierno de la República Islámica </w:t>
      </w:r>
      <w:proofErr w:type="spellStart"/>
      <w:r w:rsidRPr="00867C43">
        <w:rPr>
          <w:lang w:val="es-ES_tradnl"/>
        </w:rPr>
        <w:t>del</w:t>
      </w:r>
      <w:proofErr w:type="spellEnd"/>
      <w:r w:rsidRPr="00867C43">
        <w:rPr>
          <w:lang w:val="es-ES_tradnl"/>
        </w:rPr>
        <w:t xml:space="preserve"> Irán.</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E86D2D" w:rsidRPr="007658B5">
        <w:rPr>
          <w:lang w:val="es-ES_tradnl"/>
        </w:rPr>
        <w:t>El Consejo tomó nota de la intervención de la Delegación de</w:t>
      </w:r>
      <w:r w:rsidR="00E86D2D" w:rsidRPr="00E86D2D">
        <w:rPr>
          <w:lang w:val="es-ES_tradnl"/>
        </w:rPr>
        <w:t xml:space="preserve"> la </w:t>
      </w:r>
      <w:r w:rsidR="00E86D2D" w:rsidRPr="007658B5">
        <w:rPr>
          <w:lang w:val="es-ES_tradnl"/>
        </w:rPr>
        <w:t xml:space="preserve">República Islámica </w:t>
      </w:r>
      <w:proofErr w:type="spellStart"/>
      <w:r w:rsidR="00E86D2D" w:rsidRPr="007658B5">
        <w:rPr>
          <w:lang w:val="es-ES_tradnl"/>
        </w:rPr>
        <w:t>del</w:t>
      </w:r>
      <w:proofErr w:type="spellEnd"/>
      <w:r w:rsidR="00E86D2D" w:rsidRPr="007658B5">
        <w:rPr>
          <w:lang w:val="es-ES_tradnl"/>
        </w:rPr>
        <w:t xml:space="preserve"> Irán</w:t>
      </w:r>
      <w:r w:rsidR="00E86D2D" w:rsidRPr="00E86D2D">
        <w:rPr>
          <w:lang w:val="es-ES_tradnl"/>
        </w:rPr>
        <w:t>.</w:t>
      </w:r>
    </w:p>
    <w:p w:rsidR="00D458AF" w:rsidRPr="009B75DA" w:rsidRDefault="00D458AF" w:rsidP="00D458AF">
      <w:pPr>
        <w:rPr>
          <w:lang w:val="es-ES"/>
        </w:rPr>
      </w:pPr>
    </w:p>
    <w:p w:rsidR="00D458AF" w:rsidRPr="009B75DA" w:rsidRDefault="00D458AF" w:rsidP="00D458AF">
      <w:pPr>
        <w:rPr>
          <w:lang w:val="es-ES"/>
        </w:rPr>
      </w:pPr>
    </w:p>
    <w:p w:rsidR="00D458AF" w:rsidRPr="009B75DA" w:rsidRDefault="00E86D2D" w:rsidP="00D458AF">
      <w:pPr>
        <w:rPr>
          <w:u w:val="single"/>
          <w:lang w:val="es-ES"/>
        </w:rPr>
      </w:pPr>
      <w:r w:rsidRPr="007658B5">
        <w:rPr>
          <w:u w:val="single"/>
          <w:lang w:val="es-ES_tradnl"/>
        </w:rPr>
        <w:t>Informe de la Presidenta sobre los trabajos de la nonagésima sesión del Comité Consultivo; aprobación, si</w:t>
      </w:r>
      <w:r w:rsidR="00B54130">
        <w:rPr>
          <w:u w:val="single"/>
          <w:lang w:val="es-ES_tradnl"/>
        </w:rPr>
        <w:t> </w:t>
      </w:r>
      <w:r w:rsidRPr="007658B5">
        <w:rPr>
          <w:u w:val="single"/>
          <w:lang w:val="es-ES_tradnl"/>
        </w:rPr>
        <w:t>procede, de las recomendaciones preparadas por dicho Comité</w:t>
      </w:r>
    </w:p>
    <w:p w:rsidR="00D458AF" w:rsidRPr="009B75DA" w:rsidRDefault="00D458AF" w:rsidP="00D458AF">
      <w:pPr>
        <w:rPr>
          <w:lang w:val="es-ES"/>
        </w:rPr>
      </w:pPr>
    </w:p>
    <w:p w:rsidR="00D458AF" w:rsidRDefault="00DF030B" w:rsidP="00D458AF">
      <w:r>
        <w:fldChar w:fldCharType="begin"/>
      </w:r>
      <w:r w:rsidR="00D458AF">
        <w:instrText xml:space="preserve"> AUTONUM  </w:instrText>
      </w:r>
      <w:r>
        <w:fldChar w:fldCharType="end"/>
      </w:r>
      <w:r w:rsidR="00D458AF">
        <w:tab/>
      </w:r>
      <w:proofErr w:type="gramStart"/>
      <w:r w:rsidR="00E86D2D" w:rsidRPr="009B75DA">
        <w:t xml:space="preserve">El </w:t>
      </w:r>
      <w:proofErr w:type="spellStart"/>
      <w:r w:rsidR="00E86D2D" w:rsidRPr="009B75DA">
        <w:t>Consejo</w:t>
      </w:r>
      <w:proofErr w:type="spellEnd"/>
      <w:r w:rsidR="00E86D2D" w:rsidRPr="009B75DA">
        <w:t xml:space="preserve"> </w:t>
      </w:r>
      <w:proofErr w:type="spellStart"/>
      <w:r w:rsidR="00E86D2D" w:rsidRPr="009B75DA">
        <w:t>tomó</w:t>
      </w:r>
      <w:proofErr w:type="spellEnd"/>
      <w:r w:rsidR="00E86D2D" w:rsidRPr="009B75DA">
        <w:t xml:space="preserve"> nota </w:t>
      </w:r>
      <w:r w:rsidR="00404BB7">
        <w:t xml:space="preserve">de la </w:t>
      </w:r>
      <w:proofErr w:type="spellStart"/>
      <w:r w:rsidR="00404BB7" w:rsidRPr="009B75DA">
        <w:t>intervención</w:t>
      </w:r>
      <w:proofErr w:type="spellEnd"/>
      <w:r w:rsidR="00E86D2D" w:rsidRPr="009B75DA">
        <w:t xml:space="preserve"> de la </w:t>
      </w:r>
      <w:r w:rsidR="00E86D2D" w:rsidRPr="00B54130">
        <w:rPr>
          <w:i/>
          <w:lang w:val="en-GB"/>
        </w:rPr>
        <w:t>Association for Plant Breeding for the Benefit of Society</w:t>
      </w:r>
      <w:r w:rsidR="00E86D2D" w:rsidRPr="007658B5">
        <w:rPr>
          <w:lang w:val="en-GB"/>
        </w:rPr>
        <w:t xml:space="preserve"> (APBREBES)</w:t>
      </w:r>
      <w:r w:rsidR="00E86D2D" w:rsidRPr="009B75DA">
        <w:t>.</w:t>
      </w:r>
      <w:proofErr w:type="gramEnd"/>
    </w:p>
    <w:p w:rsidR="00D458AF" w:rsidRDefault="00D458AF" w:rsidP="00D458AF"/>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B27D6F" w:rsidRPr="007658B5">
        <w:rPr>
          <w:lang w:val="es-ES_tradnl"/>
        </w:rPr>
        <w:t>El Consejo tomó nota de la labor de la</w:t>
      </w:r>
      <w:r w:rsidR="00B27D6F" w:rsidRPr="00B27D6F">
        <w:rPr>
          <w:lang w:val="es-ES_tradnl"/>
        </w:rPr>
        <w:t xml:space="preserve"> nonagésima </w:t>
      </w:r>
      <w:r w:rsidR="00B27D6F" w:rsidRPr="007658B5">
        <w:rPr>
          <w:lang w:val="es-ES_tradnl"/>
        </w:rPr>
        <w:t>sesión del Comité Consultivo, que se expone en el documento</w:t>
      </w:r>
      <w:r w:rsidR="00B27D6F" w:rsidRPr="00B27D6F">
        <w:rPr>
          <w:lang w:val="es-ES_tradnl"/>
        </w:rPr>
        <w:t> </w:t>
      </w:r>
      <w:r w:rsidR="00E86D2D" w:rsidRPr="00B27D6F">
        <w:rPr>
          <w:lang w:val="es-ES_tradnl"/>
        </w:rPr>
        <w:t>C/49/16.</w:t>
      </w:r>
    </w:p>
    <w:p w:rsidR="00D458AF" w:rsidRPr="009B75DA" w:rsidRDefault="00D458AF" w:rsidP="00D458AF">
      <w:pPr>
        <w:rPr>
          <w:lang w:val="es-ES"/>
        </w:rPr>
      </w:pPr>
    </w:p>
    <w:p w:rsidR="00D458AF" w:rsidRPr="009B75DA" w:rsidRDefault="00D458AF" w:rsidP="00D458AF">
      <w:pPr>
        <w:rPr>
          <w:lang w:val="es-ES"/>
        </w:rPr>
      </w:pPr>
    </w:p>
    <w:p w:rsidR="00D458AF" w:rsidRPr="009B75DA" w:rsidRDefault="00B27D6F" w:rsidP="00D458AF">
      <w:pPr>
        <w:rPr>
          <w:u w:val="single"/>
          <w:lang w:val="es-ES"/>
        </w:rPr>
      </w:pPr>
      <w:r w:rsidRPr="007658B5">
        <w:rPr>
          <w:u w:val="single"/>
          <w:lang w:val="es-ES_tradnl"/>
        </w:rPr>
        <w:t>Aprobación de documentos</w:t>
      </w:r>
    </w:p>
    <w:p w:rsidR="00D458AF" w:rsidRPr="009B75DA" w:rsidRDefault="00D458AF" w:rsidP="00D458AF">
      <w:pPr>
        <w:rPr>
          <w:lang w:val="es-ES"/>
        </w:rPr>
      </w:pPr>
    </w:p>
    <w:p w:rsidR="00D458AF" w:rsidRPr="009B75DA" w:rsidRDefault="00DF030B" w:rsidP="00D458AF">
      <w:pPr>
        <w:rPr>
          <w:lang w:val="es-ES"/>
        </w:rPr>
      </w:pPr>
      <w:r w:rsidRPr="006A7C20">
        <w:rPr>
          <w:szCs w:val="24"/>
        </w:rPr>
        <w:fldChar w:fldCharType="begin"/>
      </w:r>
      <w:r w:rsidR="00D458AF" w:rsidRPr="009B75DA">
        <w:rPr>
          <w:szCs w:val="24"/>
          <w:lang w:val="es-ES"/>
        </w:rPr>
        <w:instrText xml:space="preserve"> AUTONUM  </w:instrText>
      </w:r>
      <w:r w:rsidRPr="006A7C20">
        <w:rPr>
          <w:szCs w:val="24"/>
        </w:rPr>
        <w:fldChar w:fldCharType="end"/>
      </w:r>
      <w:r w:rsidR="00D458AF" w:rsidRPr="009B75DA">
        <w:rPr>
          <w:szCs w:val="24"/>
          <w:lang w:val="es-ES"/>
        </w:rPr>
        <w:tab/>
      </w:r>
      <w:r w:rsidR="00B27D6F" w:rsidRPr="007658B5">
        <w:rPr>
          <w:lang w:val="es-ES_tradnl"/>
        </w:rPr>
        <w:t>El Consejo examinó el documento</w:t>
      </w:r>
      <w:r w:rsidR="00B27D6F" w:rsidRPr="00B27D6F">
        <w:rPr>
          <w:lang w:val="es-ES_tradnl"/>
        </w:rPr>
        <w:t> C/49/14.</w:t>
      </w:r>
    </w:p>
    <w:p w:rsidR="00D458AF" w:rsidRPr="009B75DA" w:rsidRDefault="00D458AF" w:rsidP="00D458AF">
      <w:pPr>
        <w:spacing w:line="360" w:lineRule="auto"/>
        <w:rPr>
          <w:lang w:val="es-ES"/>
        </w:rPr>
      </w:pPr>
    </w:p>
    <w:p w:rsidR="00D458AF" w:rsidRPr="009B75DA" w:rsidRDefault="00B27D6F" w:rsidP="00D458AF">
      <w:pPr>
        <w:rPr>
          <w:i/>
          <w:lang w:val="es-ES"/>
        </w:rPr>
      </w:pPr>
      <w:r w:rsidRPr="00B27D6F">
        <w:rPr>
          <w:i/>
          <w:lang w:val="es-ES_tradnl"/>
        </w:rPr>
        <w:t>TGP/5</w:t>
      </w:r>
      <w:proofErr w:type="gramStart"/>
      <w:r w:rsidRPr="00B27D6F">
        <w:rPr>
          <w:i/>
          <w:lang w:val="es-ES_tradnl"/>
        </w:rPr>
        <w:t>:</w:t>
      </w:r>
      <w:r w:rsidR="00D458AF" w:rsidRPr="009B75DA">
        <w:rPr>
          <w:i/>
          <w:lang w:val="es-ES"/>
        </w:rPr>
        <w:t xml:space="preserve">  </w:t>
      </w:r>
      <w:r w:rsidRPr="007658B5">
        <w:rPr>
          <w:i/>
          <w:lang w:val="es-ES_tradnl"/>
        </w:rPr>
        <w:t>Experiencia</w:t>
      </w:r>
      <w:proofErr w:type="gramEnd"/>
      <w:r w:rsidRPr="007658B5">
        <w:rPr>
          <w:i/>
          <w:lang w:val="es-ES_tradnl"/>
        </w:rPr>
        <w:t xml:space="preserve"> y cooperación en el examen DHE</w:t>
      </w:r>
      <w:r w:rsidRPr="00B27D6F">
        <w:rPr>
          <w:i/>
          <w:lang w:val="es-ES_tradnl"/>
        </w:rPr>
        <w:t xml:space="preserve"> </w:t>
      </w:r>
      <w:r w:rsidRPr="007658B5">
        <w:rPr>
          <w:i/>
          <w:lang w:val="es-ES_tradnl"/>
        </w:rPr>
        <w:t>(Revisión)</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C04527" w:rsidRPr="00D922D5">
        <w:rPr>
          <w:lang w:val="es-ES_tradnl"/>
        </w:rPr>
        <w:t>Conforme a las modificaciones propuestas en</w:t>
      </w:r>
      <w:r w:rsidR="00C04527" w:rsidRPr="00175E1F">
        <w:rPr>
          <w:lang w:val="es-ES_tradnl"/>
        </w:rPr>
        <w:t xml:space="preserve"> el </w:t>
      </w:r>
      <w:r w:rsidR="00B27D6F" w:rsidRPr="00175E1F">
        <w:rPr>
          <w:lang w:val="es-ES_tradnl"/>
        </w:rPr>
        <w:t>Anex</w:t>
      </w:r>
      <w:r w:rsidR="00C04527" w:rsidRPr="00175E1F">
        <w:rPr>
          <w:lang w:val="es-ES_tradnl"/>
        </w:rPr>
        <w:t>o </w:t>
      </w:r>
      <w:r w:rsidR="00B27D6F" w:rsidRPr="00175E1F">
        <w:rPr>
          <w:lang w:val="es-ES_tradnl"/>
        </w:rPr>
        <w:t>I</w:t>
      </w:r>
      <w:r w:rsidR="00C04527" w:rsidRPr="00175E1F">
        <w:rPr>
          <w:lang w:val="es-ES_tradnl"/>
        </w:rPr>
        <w:t xml:space="preserve"> del documento C/49/14</w:t>
      </w:r>
      <w:r w:rsidR="00B27D6F" w:rsidRPr="00175E1F">
        <w:rPr>
          <w:lang w:val="es-ES_tradnl"/>
        </w:rPr>
        <w:t xml:space="preserve">, </w:t>
      </w:r>
      <w:r w:rsidR="00C04527" w:rsidRPr="00175E1F">
        <w:rPr>
          <w:lang w:val="es-ES_tradnl"/>
        </w:rPr>
        <w:t>el Consejo aprobó una revisión de la Sección </w:t>
      </w:r>
      <w:r w:rsidR="00B27D6F" w:rsidRPr="00175E1F">
        <w:rPr>
          <w:lang w:val="es-ES_tradnl"/>
        </w:rPr>
        <w:t>3 “</w:t>
      </w:r>
      <w:r w:rsidR="00D922D5" w:rsidRPr="007658B5">
        <w:rPr>
          <w:lang w:val="es-ES_tradnl"/>
        </w:rPr>
        <w:t>Cuestionario técnico que ha de completarse junto con la solicitud de derechos de obtentor</w:t>
      </w:r>
      <w:r w:rsidR="00D922D5" w:rsidRPr="00175E1F">
        <w:rPr>
          <w:lang w:val="es-ES_tradnl"/>
        </w:rPr>
        <w:t>”</w:t>
      </w:r>
      <w:r w:rsidR="00B27D6F" w:rsidRPr="00175E1F">
        <w:rPr>
          <w:lang w:val="es-ES_tradnl"/>
        </w:rPr>
        <w:t xml:space="preserve">, </w:t>
      </w:r>
      <w:r w:rsidR="00C04527" w:rsidRPr="00175E1F">
        <w:rPr>
          <w:lang w:val="es-ES_tradnl"/>
        </w:rPr>
        <w:t>la Sección </w:t>
      </w:r>
      <w:r w:rsidR="00B27D6F" w:rsidRPr="00175E1F">
        <w:rPr>
          <w:lang w:val="es-ES_tradnl"/>
        </w:rPr>
        <w:t>8 “</w:t>
      </w:r>
      <w:r w:rsidR="00D922D5" w:rsidRPr="007658B5">
        <w:rPr>
          <w:lang w:val="es-ES_tradnl"/>
        </w:rPr>
        <w:t>Cooperación en el examen</w:t>
      </w:r>
      <w:r w:rsidR="00B27D6F" w:rsidRPr="00175E1F">
        <w:rPr>
          <w:lang w:val="es-ES_tradnl"/>
        </w:rPr>
        <w:t xml:space="preserve">” </w:t>
      </w:r>
      <w:r w:rsidR="00C04527" w:rsidRPr="00175E1F">
        <w:rPr>
          <w:lang w:val="es-ES_tradnl"/>
        </w:rPr>
        <w:t>y la Sección </w:t>
      </w:r>
      <w:r w:rsidR="00B27D6F" w:rsidRPr="00175E1F">
        <w:rPr>
          <w:lang w:val="es-ES_tradnl"/>
        </w:rPr>
        <w:t>9 “</w:t>
      </w:r>
      <w:r w:rsidR="00D922D5" w:rsidRPr="007658B5">
        <w:rPr>
          <w:lang w:val="es-ES_tradnl"/>
        </w:rPr>
        <w:t>Listado de las especies respecto de las que se han adquirido conocimientos prácticos o para las que se han establecido directrices de examen nacionales</w:t>
      </w:r>
      <w:r w:rsidR="00B27D6F" w:rsidRPr="00D922D5">
        <w:rPr>
          <w:lang w:val="es-ES_tradnl"/>
        </w:rPr>
        <w:t>”</w:t>
      </w:r>
      <w:r w:rsidR="00C04527" w:rsidRPr="00D922D5">
        <w:rPr>
          <w:lang w:val="es-ES_tradnl"/>
        </w:rPr>
        <w:t xml:space="preserve"> del documento TGP/5 “</w:t>
      </w:r>
      <w:r w:rsidR="00C04527" w:rsidRPr="007658B5">
        <w:rPr>
          <w:lang w:val="es-ES_tradnl"/>
        </w:rPr>
        <w:t>Experiencia y cooperación en el examen DHE</w:t>
      </w:r>
      <w:r w:rsidR="00C04527" w:rsidRPr="00D922D5">
        <w:rPr>
          <w:lang w:val="es-ES_tradnl"/>
        </w:rPr>
        <w:t>”</w:t>
      </w:r>
      <w:r w:rsidR="00B27D6F" w:rsidRPr="00D922D5">
        <w:rPr>
          <w:lang w:val="es-ES_tradnl"/>
        </w:rPr>
        <w:t>.</w:t>
      </w:r>
    </w:p>
    <w:p w:rsidR="00D458AF" w:rsidRPr="009B75DA" w:rsidRDefault="00D458AF" w:rsidP="00D458AF">
      <w:pPr>
        <w:spacing w:line="360" w:lineRule="auto"/>
        <w:rPr>
          <w:lang w:val="es-ES"/>
        </w:rPr>
      </w:pPr>
    </w:p>
    <w:p w:rsidR="00D458AF" w:rsidRPr="009B75DA" w:rsidRDefault="00D922D5" w:rsidP="00D458AF">
      <w:pPr>
        <w:rPr>
          <w:i/>
          <w:lang w:val="es-ES"/>
        </w:rPr>
      </w:pPr>
      <w:r w:rsidRPr="00D922D5">
        <w:rPr>
          <w:i/>
          <w:lang w:val="es-ES_tradnl"/>
        </w:rPr>
        <w:t>TGP/9</w:t>
      </w:r>
      <w:proofErr w:type="gramStart"/>
      <w:r w:rsidRPr="00D922D5">
        <w:rPr>
          <w:i/>
          <w:lang w:val="es-ES_tradnl"/>
        </w:rPr>
        <w:t>:</w:t>
      </w:r>
      <w:r w:rsidR="00D458AF" w:rsidRPr="009B75DA">
        <w:rPr>
          <w:i/>
          <w:lang w:val="es-ES"/>
        </w:rPr>
        <w:t xml:space="preserve">  </w:t>
      </w:r>
      <w:r w:rsidRPr="007658B5">
        <w:rPr>
          <w:i/>
          <w:lang w:val="es-ES_tradnl"/>
        </w:rPr>
        <w:t>Examen</w:t>
      </w:r>
      <w:proofErr w:type="gramEnd"/>
      <w:r w:rsidRPr="007658B5">
        <w:rPr>
          <w:i/>
          <w:lang w:val="es-ES_tradnl"/>
        </w:rPr>
        <w:t xml:space="preserve"> de la distinción (Revisión)</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E656B1" w:rsidRPr="007658B5">
        <w:rPr>
          <w:lang w:val="es-ES_tradnl"/>
        </w:rPr>
        <w:t>E</w:t>
      </w:r>
      <w:r w:rsidR="00D922D5" w:rsidRPr="007658B5">
        <w:rPr>
          <w:lang w:val="es-ES_tradnl"/>
        </w:rPr>
        <w:t xml:space="preserve">l </w:t>
      </w:r>
      <w:r w:rsidR="00E656B1" w:rsidRPr="007658B5">
        <w:rPr>
          <w:lang w:val="es-ES_tradnl"/>
        </w:rPr>
        <w:t>Consejo aprobó</w:t>
      </w:r>
      <w:r w:rsidR="00E656B1" w:rsidRPr="00E656B1">
        <w:rPr>
          <w:lang w:val="es-ES_tradnl"/>
        </w:rPr>
        <w:t xml:space="preserve"> una </w:t>
      </w:r>
      <w:r w:rsidR="00E656B1" w:rsidRPr="007658B5">
        <w:rPr>
          <w:lang w:val="es-ES_tradnl"/>
        </w:rPr>
        <w:t>revisión del documento</w:t>
      </w:r>
      <w:r w:rsidR="00E656B1" w:rsidRPr="00E656B1">
        <w:rPr>
          <w:lang w:val="es-ES_tradnl"/>
        </w:rPr>
        <w:t> </w:t>
      </w:r>
      <w:r w:rsidR="00D922D5" w:rsidRPr="00E656B1">
        <w:rPr>
          <w:lang w:val="es-ES_tradnl"/>
        </w:rPr>
        <w:t>TGP/9/1 “</w:t>
      </w:r>
      <w:r w:rsidR="00D922D5" w:rsidRPr="007658B5">
        <w:rPr>
          <w:lang w:val="es-ES_tradnl"/>
        </w:rPr>
        <w:t>Exam</w:t>
      </w:r>
      <w:r w:rsidR="00E656B1" w:rsidRPr="007658B5">
        <w:rPr>
          <w:lang w:val="es-ES_tradnl"/>
        </w:rPr>
        <w:t xml:space="preserve">en de la </w:t>
      </w:r>
      <w:r w:rsidR="00D922D5" w:rsidRPr="007658B5">
        <w:rPr>
          <w:lang w:val="es-ES_tradnl"/>
        </w:rPr>
        <w:t>distinción</w:t>
      </w:r>
      <w:r w:rsidR="00D922D5" w:rsidRPr="00E656B1">
        <w:rPr>
          <w:lang w:val="es-ES_tradnl"/>
        </w:rPr>
        <w:t>” (document</w:t>
      </w:r>
      <w:r w:rsidR="00E656B1" w:rsidRPr="00E656B1">
        <w:rPr>
          <w:lang w:val="es-ES_tradnl"/>
        </w:rPr>
        <w:t>o </w:t>
      </w:r>
      <w:r w:rsidR="00D922D5" w:rsidRPr="00E656B1">
        <w:rPr>
          <w:lang w:val="es-ES_tradnl"/>
        </w:rPr>
        <w:t xml:space="preserve">TGP/9/2), </w:t>
      </w:r>
      <w:r w:rsidR="00E656B1" w:rsidRPr="007658B5">
        <w:rPr>
          <w:lang w:val="es-ES_tradnl"/>
        </w:rPr>
        <w:t>sobre la base del documento</w:t>
      </w:r>
      <w:r w:rsidR="00E656B1" w:rsidRPr="00E656B1">
        <w:rPr>
          <w:lang w:val="es-ES_tradnl"/>
        </w:rPr>
        <w:t> </w:t>
      </w:r>
      <w:r w:rsidR="00D922D5" w:rsidRPr="00E656B1">
        <w:rPr>
          <w:lang w:val="es-ES_tradnl"/>
        </w:rPr>
        <w:t>TGP/9/2</w:t>
      </w:r>
      <w:r w:rsidR="00E656B1" w:rsidRPr="00E656B1">
        <w:rPr>
          <w:lang w:val="es-ES_tradnl"/>
        </w:rPr>
        <w:t> </w:t>
      </w:r>
      <w:proofErr w:type="spellStart"/>
      <w:r w:rsidR="00D922D5" w:rsidRPr="00E656B1">
        <w:rPr>
          <w:lang w:val="es-ES_tradnl"/>
        </w:rPr>
        <w:t>Draft</w:t>
      </w:r>
      <w:proofErr w:type="spellEnd"/>
      <w:r w:rsidR="00E656B1" w:rsidRPr="00E656B1">
        <w:rPr>
          <w:lang w:val="es-ES_tradnl"/>
        </w:rPr>
        <w:t> </w:t>
      </w:r>
      <w:r w:rsidR="00D922D5" w:rsidRPr="00E656B1">
        <w:rPr>
          <w:lang w:val="es-ES_tradnl"/>
        </w:rPr>
        <w:t>1.</w:t>
      </w:r>
    </w:p>
    <w:p w:rsidR="00D458AF" w:rsidRPr="009B75DA" w:rsidRDefault="00D458AF" w:rsidP="00D458AF">
      <w:pPr>
        <w:spacing w:line="360" w:lineRule="auto"/>
        <w:rPr>
          <w:lang w:val="es-ES"/>
        </w:rPr>
      </w:pPr>
    </w:p>
    <w:p w:rsidR="00D458AF" w:rsidRPr="009B75DA" w:rsidRDefault="00E656B1" w:rsidP="00D458AF">
      <w:pPr>
        <w:keepNext/>
        <w:rPr>
          <w:i/>
          <w:lang w:val="es-ES"/>
        </w:rPr>
      </w:pPr>
      <w:r w:rsidRPr="00E656B1">
        <w:rPr>
          <w:i/>
          <w:lang w:val="es-ES_tradnl"/>
        </w:rPr>
        <w:lastRenderedPageBreak/>
        <w:t>TGP/14</w:t>
      </w:r>
      <w:proofErr w:type="gramStart"/>
      <w:r w:rsidRPr="00E656B1">
        <w:rPr>
          <w:i/>
          <w:lang w:val="es-ES_tradnl"/>
        </w:rPr>
        <w:t>:</w:t>
      </w:r>
      <w:r w:rsidR="00D458AF" w:rsidRPr="009B75DA">
        <w:rPr>
          <w:i/>
          <w:lang w:val="es-ES"/>
        </w:rPr>
        <w:t xml:space="preserve">  </w:t>
      </w:r>
      <w:r w:rsidRPr="007658B5">
        <w:rPr>
          <w:i/>
          <w:lang w:val="es-ES_tradnl"/>
        </w:rPr>
        <w:t>Glosario</w:t>
      </w:r>
      <w:proofErr w:type="gramEnd"/>
      <w:r w:rsidRPr="007658B5">
        <w:rPr>
          <w:i/>
          <w:lang w:val="es-ES_tradnl"/>
        </w:rPr>
        <w:t xml:space="preserve"> de términos utilizados en los documentos de la UPOV</w:t>
      </w:r>
      <w:r w:rsidRPr="00E656B1">
        <w:rPr>
          <w:i/>
          <w:lang w:val="es-ES_tradnl"/>
        </w:rPr>
        <w:t xml:space="preserve"> (</w:t>
      </w:r>
      <w:r w:rsidRPr="007658B5">
        <w:rPr>
          <w:i/>
          <w:lang w:val="es-ES_tradnl"/>
        </w:rPr>
        <w:t>revisión de la Sección</w:t>
      </w:r>
      <w:r w:rsidRPr="00E656B1">
        <w:rPr>
          <w:i/>
          <w:lang w:val="es-ES_tradnl"/>
        </w:rPr>
        <w:t> 2.4)</w:t>
      </w:r>
    </w:p>
    <w:p w:rsidR="00D458AF" w:rsidRPr="009B75DA" w:rsidRDefault="00D458AF" w:rsidP="00D458AF">
      <w:pPr>
        <w:keepNext/>
        <w:rPr>
          <w:i/>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E656B1" w:rsidRPr="00E656B1">
        <w:rPr>
          <w:lang w:val="es-ES_tradnl"/>
        </w:rPr>
        <w:t>El Consejo aprobó una revisión de la Sección 2.4 “</w:t>
      </w:r>
      <w:r w:rsidR="00E656B1" w:rsidRPr="007658B5">
        <w:rPr>
          <w:lang w:val="es-ES_tradnl"/>
        </w:rPr>
        <w:t>Caracteres de la forma del ápice/punta</w:t>
      </w:r>
      <w:r w:rsidR="00E656B1" w:rsidRPr="00E656B1">
        <w:rPr>
          <w:lang w:val="es-ES_tradnl"/>
        </w:rPr>
        <w:t>” del documento TGP/14/2 “</w:t>
      </w:r>
      <w:r w:rsidR="00E656B1" w:rsidRPr="007658B5">
        <w:rPr>
          <w:lang w:val="es-ES_tradnl"/>
        </w:rPr>
        <w:t>Glosario de términos utilizados en los documentos de la UPOV</w:t>
      </w:r>
      <w:r w:rsidR="00E656B1" w:rsidRPr="00E656B1">
        <w:rPr>
          <w:lang w:val="es-ES_tradnl"/>
        </w:rPr>
        <w:t>”, conforme a las modificaciones que se proponen en el Anexo II del documento C/49/14.</w:t>
      </w:r>
    </w:p>
    <w:p w:rsidR="00D458AF" w:rsidRPr="009B75DA" w:rsidRDefault="00D458AF" w:rsidP="00D458AF">
      <w:pPr>
        <w:spacing w:line="360" w:lineRule="auto"/>
        <w:rPr>
          <w:lang w:val="es-ES"/>
        </w:rPr>
      </w:pPr>
    </w:p>
    <w:p w:rsidR="00D458AF" w:rsidRPr="009B75DA" w:rsidRDefault="00F51C2A" w:rsidP="00D458AF">
      <w:pPr>
        <w:keepNext/>
        <w:rPr>
          <w:i/>
          <w:lang w:val="es-ES"/>
        </w:rPr>
      </w:pPr>
      <w:r w:rsidRPr="00F51C2A">
        <w:rPr>
          <w:i/>
          <w:lang w:val="es-ES_tradnl"/>
        </w:rPr>
        <w:t>TGP/0/8</w:t>
      </w:r>
      <w:proofErr w:type="gramStart"/>
      <w:r w:rsidRPr="00F51C2A">
        <w:rPr>
          <w:i/>
          <w:lang w:val="es-ES_tradnl"/>
        </w:rPr>
        <w:t>:</w:t>
      </w:r>
      <w:r w:rsidR="00D458AF" w:rsidRPr="009B75DA">
        <w:rPr>
          <w:i/>
          <w:lang w:val="es-ES"/>
        </w:rPr>
        <w:t xml:space="preserve">  </w:t>
      </w:r>
      <w:r w:rsidRPr="007658B5">
        <w:rPr>
          <w:i/>
          <w:lang w:val="es-ES_tradnl"/>
        </w:rPr>
        <w:t>Lista</w:t>
      </w:r>
      <w:proofErr w:type="gramEnd"/>
      <w:r w:rsidRPr="007658B5">
        <w:rPr>
          <w:i/>
          <w:lang w:val="es-ES_tradnl"/>
        </w:rPr>
        <w:t xml:space="preserve"> de documentos TGP y fechas de última publicación (revisión)</w:t>
      </w:r>
    </w:p>
    <w:p w:rsidR="00D458AF" w:rsidRPr="009B75DA" w:rsidRDefault="00D458AF" w:rsidP="00D458AF">
      <w:pPr>
        <w:keepNext/>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F51C2A" w:rsidRPr="00F51C2A">
        <w:rPr>
          <w:lang w:val="es-ES_tradnl"/>
        </w:rPr>
        <w:t>El Consejo aprobó una revisión del documento TGP/0/7 “</w:t>
      </w:r>
      <w:r w:rsidR="00F51C2A" w:rsidRPr="007658B5">
        <w:rPr>
          <w:lang w:val="es-ES_tradnl"/>
        </w:rPr>
        <w:t>Lista de documentos TGP y fechas de última publicación</w:t>
      </w:r>
      <w:r w:rsidR="00F51C2A" w:rsidRPr="00F51C2A">
        <w:rPr>
          <w:lang w:val="es-ES_tradnl"/>
        </w:rPr>
        <w:t xml:space="preserve">” (documento TGP/0/8), </w:t>
      </w:r>
      <w:r w:rsidR="00F51C2A" w:rsidRPr="007658B5">
        <w:rPr>
          <w:lang w:val="es-ES_tradnl"/>
        </w:rPr>
        <w:t>conforme al documento </w:t>
      </w:r>
      <w:r w:rsidR="00F51C2A" w:rsidRPr="00F51C2A">
        <w:rPr>
          <w:lang w:val="es-ES_tradnl"/>
        </w:rPr>
        <w:t>TGP/0/8 </w:t>
      </w:r>
      <w:proofErr w:type="spellStart"/>
      <w:r w:rsidR="00F51C2A" w:rsidRPr="00F51C2A">
        <w:rPr>
          <w:lang w:val="es-ES_tradnl"/>
        </w:rPr>
        <w:t>Draft</w:t>
      </w:r>
      <w:proofErr w:type="spellEnd"/>
      <w:r w:rsidR="00F51C2A" w:rsidRPr="00F51C2A">
        <w:rPr>
          <w:lang w:val="es-ES_tradnl"/>
        </w:rPr>
        <w:t> 1.</w:t>
      </w:r>
    </w:p>
    <w:p w:rsidR="00D458AF" w:rsidRPr="009B75DA" w:rsidRDefault="00D458AF" w:rsidP="00D458AF">
      <w:pPr>
        <w:spacing w:line="360" w:lineRule="auto"/>
        <w:rPr>
          <w:lang w:val="es-ES"/>
        </w:rPr>
      </w:pPr>
    </w:p>
    <w:p w:rsidR="00D458AF" w:rsidRPr="009B75DA" w:rsidRDefault="00F51C2A" w:rsidP="00D458AF">
      <w:pPr>
        <w:rPr>
          <w:i/>
          <w:lang w:val="es-ES"/>
        </w:rPr>
      </w:pPr>
      <w:r w:rsidRPr="00F51C2A">
        <w:rPr>
          <w:i/>
          <w:lang w:val="es-ES_tradnl"/>
        </w:rPr>
        <w:t>UPOV/EXN/CAN</w:t>
      </w:r>
      <w:proofErr w:type="gramStart"/>
      <w:r w:rsidRPr="00F51C2A">
        <w:rPr>
          <w:i/>
          <w:lang w:val="es-ES_tradnl"/>
        </w:rPr>
        <w:t>:</w:t>
      </w:r>
      <w:r w:rsidR="00D458AF" w:rsidRPr="009B75DA">
        <w:rPr>
          <w:i/>
          <w:lang w:val="es-ES"/>
        </w:rPr>
        <w:t xml:space="preserve">  </w:t>
      </w:r>
      <w:r w:rsidRPr="007658B5">
        <w:rPr>
          <w:i/>
          <w:lang w:val="es-ES_tradnl"/>
        </w:rPr>
        <w:t>Notas</w:t>
      </w:r>
      <w:proofErr w:type="gramEnd"/>
      <w:r w:rsidRPr="007658B5">
        <w:rPr>
          <w:i/>
          <w:lang w:val="es-ES_tradnl"/>
        </w:rPr>
        <w:t xml:space="preserve"> explicativas sobre la caducidad del derecho de obtentor con arreglo al Convenio de la UPOV (revisión)</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F51C2A" w:rsidRPr="00F51C2A">
        <w:rPr>
          <w:lang w:val="es-ES_tradnl"/>
        </w:rPr>
        <w:t>El Consejo aprobó una revisión del documento UPOV/EXN/CAN/1 “</w:t>
      </w:r>
      <w:r w:rsidR="00F51C2A" w:rsidRPr="007658B5">
        <w:rPr>
          <w:lang w:val="es-ES_tradnl"/>
        </w:rPr>
        <w:t>Notas explicativas sobre la caducidad del derecho de obtentor con arreglo al Convenio de la UPOV</w:t>
      </w:r>
      <w:r w:rsidR="00F51C2A" w:rsidRPr="00F51C2A">
        <w:rPr>
          <w:lang w:val="es-ES_tradnl"/>
        </w:rPr>
        <w:t>” (documento UPOV/EXN/CAN/2), conforme al documento UPOV/EXN/CAN/2 </w:t>
      </w:r>
      <w:proofErr w:type="spellStart"/>
      <w:r w:rsidR="00F51C2A" w:rsidRPr="00F51C2A">
        <w:rPr>
          <w:lang w:val="es-ES_tradnl"/>
        </w:rPr>
        <w:t>Draft</w:t>
      </w:r>
      <w:proofErr w:type="spellEnd"/>
      <w:r w:rsidR="00F51C2A" w:rsidRPr="00F51C2A">
        <w:rPr>
          <w:lang w:val="es-ES_tradnl"/>
        </w:rPr>
        <w:t> 4.</w:t>
      </w:r>
    </w:p>
    <w:p w:rsidR="00D458AF" w:rsidRPr="009B75DA" w:rsidRDefault="00D458AF" w:rsidP="00D458AF">
      <w:pPr>
        <w:spacing w:line="360" w:lineRule="auto"/>
        <w:rPr>
          <w:lang w:val="es-ES"/>
        </w:rPr>
      </w:pPr>
    </w:p>
    <w:p w:rsidR="00D458AF" w:rsidRPr="009B75DA" w:rsidRDefault="00F51C2A" w:rsidP="00D458AF">
      <w:pPr>
        <w:keepNext/>
        <w:rPr>
          <w:i/>
          <w:lang w:val="es-ES"/>
        </w:rPr>
      </w:pPr>
      <w:r w:rsidRPr="00F51C2A">
        <w:rPr>
          <w:i/>
          <w:lang w:val="es-ES_tradnl"/>
        </w:rPr>
        <w:t>UPOV/EXN/NUL</w:t>
      </w:r>
      <w:proofErr w:type="gramStart"/>
      <w:r w:rsidRPr="00F51C2A">
        <w:rPr>
          <w:i/>
          <w:lang w:val="es-ES_tradnl"/>
        </w:rPr>
        <w:t>:</w:t>
      </w:r>
      <w:r w:rsidR="00D458AF" w:rsidRPr="009B75DA">
        <w:rPr>
          <w:i/>
          <w:lang w:val="es-ES"/>
        </w:rPr>
        <w:t xml:space="preserve">  </w:t>
      </w:r>
      <w:r w:rsidRPr="007658B5">
        <w:rPr>
          <w:i/>
          <w:lang w:val="es-ES_tradnl"/>
        </w:rPr>
        <w:t>Notas</w:t>
      </w:r>
      <w:proofErr w:type="gramEnd"/>
      <w:r w:rsidRPr="007658B5">
        <w:rPr>
          <w:i/>
          <w:lang w:val="es-ES_tradnl"/>
        </w:rPr>
        <w:t xml:space="preserve"> explicativas sobre la nulidad del derecho de obtento</w:t>
      </w:r>
      <w:r w:rsidR="00B54130">
        <w:rPr>
          <w:i/>
          <w:lang w:val="es-ES_tradnl"/>
        </w:rPr>
        <w:t>r con arreglo al Convenio de la </w:t>
      </w:r>
      <w:r w:rsidRPr="007658B5">
        <w:rPr>
          <w:i/>
          <w:lang w:val="es-ES_tradnl"/>
        </w:rPr>
        <w:t>UPOV</w:t>
      </w:r>
      <w:r w:rsidRPr="00F51C2A">
        <w:rPr>
          <w:i/>
          <w:lang w:val="es-ES_tradnl"/>
        </w:rPr>
        <w:t xml:space="preserve"> (revisión)</w:t>
      </w:r>
    </w:p>
    <w:p w:rsidR="00D458AF" w:rsidRPr="009B75DA" w:rsidRDefault="00D458AF" w:rsidP="00D458AF">
      <w:pPr>
        <w:keepNext/>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F51C2A" w:rsidRPr="00F51C2A">
        <w:rPr>
          <w:lang w:val="es-ES_tradnl"/>
        </w:rPr>
        <w:t>El Consejo aprobó una revisión del documento UPOV/EXN/NUL/1 “</w:t>
      </w:r>
      <w:r w:rsidR="00F51C2A" w:rsidRPr="007658B5">
        <w:rPr>
          <w:lang w:val="es-ES_tradnl"/>
        </w:rPr>
        <w:t>Notas explicativas sobre la nulidad del derecho de obtentor con arreglo al Convenio de la UPOV</w:t>
      </w:r>
      <w:r w:rsidR="00F51C2A" w:rsidRPr="00F51C2A">
        <w:rPr>
          <w:lang w:val="es-ES_tradnl"/>
        </w:rPr>
        <w:t>” (documento UPOV/EXN/NUL/2), conforme al documento UPOV/EXN/NUL/2 </w:t>
      </w:r>
      <w:proofErr w:type="spellStart"/>
      <w:r w:rsidR="00F51C2A" w:rsidRPr="00F51C2A">
        <w:rPr>
          <w:lang w:val="es-ES_tradnl"/>
        </w:rPr>
        <w:t>Draft</w:t>
      </w:r>
      <w:proofErr w:type="spellEnd"/>
      <w:r w:rsidR="00F51C2A" w:rsidRPr="00F51C2A">
        <w:rPr>
          <w:lang w:val="es-ES_tradnl"/>
        </w:rPr>
        <w:t> 4.</w:t>
      </w:r>
    </w:p>
    <w:p w:rsidR="00D458AF" w:rsidRPr="009B75DA" w:rsidRDefault="00D458AF" w:rsidP="00D458AF">
      <w:pPr>
        <w:spacing w:line="360" w:lineRule="auto"/>
        <w:rPr>
          <w:lang w:val="es-ES"/>
        </w:rPr>
      </w:pPr>
    </w:p>
    <w:p w:rsidR="00D458AF" w:rsidRPr="009B75DA" w:rsidRDefault="00F51C2A" w:rsidP="00D458AF">
      <w:pPr>
        <w:rPr>
          <w:i/>
          <w:lang w:val="es-ES"/>
        </w:rPr>
      </w:pPr>
      <w:r w:rsidRPr="00F51C2A">
        <w:rPr>
          <w:i/>
          <w:lang w:val="es-ES_tradnl"/>
        </w:rPr>
        <w:t>UPOV/EXN/PRP</w:t>
      </w:r>
      <w:proofErr w:type="gramStart"/>
      <w:r w:rsidRPr="00F51C2A">
        <w:rPr>
          <w:i/>
          <w:lang w:val="es-ES_tradnl"/>
        </w:rPr>
        <w:t>:</w:t>
      </w:r>
      <w:r w:rsidR="00D458AF" w:rsidRPr="009B75DA">
        <w:rPr>
          <w:i/>
          <w:lang w:val="es-ES"/>
        </w:rPr>
        <w:t xml:space="preserve">  </w:t>
      </w:r>
      <w:r w:rsidRPr="007658B5">
        <w:rPr>
          <w:i/>
          <w:lang w:val="es-ES_tradnl"/>
        </w:rPr>
        <w:t>Notas</w:t>
      </w:r>
      <w:proofErr w:type="gramEnd"/>
      <w:r w:rsidRPr="007658B5">
        <w:rPr>
          <w:i/>
          <w:lang w:val="es-ES_tradnl"/>
        </w:rPr>
        <w:t xml:space="preserve"> explicativas sobre la protección provisional con arreglo al Convenio de la UPOV</w:t>
      </w:r>
      <w:r w:rsidRPr="00F51C2A">
        <w:rPr>
          <w:i/>
          <w:lang w:val="es-ES_tradnl"/>
        </w:rPr>
        <w:t xml:space="preserve"> (revisión)</w:t>
      </w:r>
    </w:p>
    <w:p w:rsidR="00D458AF" w:rsidRPr="009B75DA" w:rsidRDefault="00D458AF" w:rsidP="00D458AF">
      <w:pPr>
        <w:rPr>
          <w:lang w:val="es-ES"/>
        </w:rPr>
      </w:pPr>
    </w:p>
    <w:p w:rsidR="00D458AF" w:rsidRPr="009B75DA" w:rsidRDefault="00DF030B" w:rsidP="00D458AF">
      <w:pPr>
        <w:rPr>
          <w:lang w:val="es-ES"/>
        </w:rPr>
      </w:pPr>
      <w:r w:rsidRPr="00393D08">
        <w:fldChar w:fldCharType="begin"/>
      </w:r>
      <w:r w:rsidR="00D458AF" w:rsidRPr="009B75DA">
        <w:rPr>
          <w:lang w:val="es-ES"/>
        </w:rPr>
        <w:instrText xml:space="preserve"> AUTONUM  </w:instrText>
      </w:r>
      <w:r w:rsidRPr="00393D08">
        <w:fldChar w:fldCharType="end"/>
      </w:r>
      <w:r w:rsidR="00D458AF" w:rsidRPr="009B75DA">
        <w:rPr>
          <w:lang w:val="es-ES"/>
        </w:rPr>
        <w:tab/>
      </w:r>
      <w:r w:rsidR="00F51C2A" w:rsidRPr="00882DF7">
        <w:rPr>
          <w:lang w:val="es-ES_tradnl"/>
        </w:rPr>
        <w:t xml:space="preserve">El Consejo </w:t>
      </w:r>
      <w:r w:rsidR="00F51C2A" w:rsidRPr="007658B5">
        <w:rPr>
          <w:lang w:val="es-ES_tradnl"/>
        </w:rPr>
        <w:t>tomó nota de la solicitud de la Delegación</w:t>
      </w:r>
      <w:r w:rsidR="00F51C2A" w:rsidRPr="00882DF7">
        <w:rPr>
          <w:lang w:val="es-ES_tradnl"/>
        </w:rPr>
        <w:t xml:space="preserve"> de la </w:t>
      </w:r>
      <w:r w:rsidR="00F51C2A" w:rsidRPr="007658B5">
        <w:rPr>
          <w:lang w:val="es-ES_tradnl"/>
        </w:rPr>
        <w:t>Federación de Rusia</w:t>
      </w:r>
      <w:r w:rsidR="00F51C2A" w:rsidRPr="00882DF7">
        <w:rPr>
          <w:lang w:val="es-ES_tradnl"/>
        </w:rPr>
        <w:t xml:space="preserve"> de debatir una posible revisión futura de las “</w:t>
      </w:r>
      <w:r w:rsidR="00F51C2A" w:rsidRPr="007658B5">
        <w:rPr>
          <w:lang w:val="es-ES_tradnl"/>
        </w:rPr>
        <w:t>Notas explicativas sobre la protección provisional con arreglo al Convenio de la UPOV</w:t>
      </w:r>
      <w:r w:rsidR="00F51C2A" w:rsidRPr="00882DF7">
        <w:rPr>
          <w:lang w:val="es-ES_tradnl"/>
        </w:rPr>
        <w:t xml:space="preserve">” en la septuagésima tercera </w:t>
      </w:r>
      <w:r w:rsidR="00882DF7" w:rsidRPr="007658B5">
        <w:rPr>
          <w:lang w:val="es-ES_tradnl"/>
        </w:rPr>
        <w:t>sesión del Comité Administrativo y Jurídico</w:t>
      </w:r>
      <w:r w:rsidR="00F51C2A" w:rsidRPr="00882DF7">
        <w:rPr>
          <w:lang w:val="es-ES_tradnl"/>
        </w:rPr>
        <w:t>.</w:t>
      </w:r>
    </w:p>
    <w:p w:rsidR="00D458AF" w:rsidRPr="009B75DA" w:rsidRDefault="00D458AF" w:rsidP="00D458AF">
      <w:pPr>
        <w:rPr>
          <w:rFonts w:cs="Arial"/>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882DF7" w:rsidRPr="00882DF7">
        <w:rPr>
          <w:lang w:val="es-ES_tradnl"/>
        </w:rPr>
        <w:t>El Consejo aprobó una revisión del documento UPOV/EXN/PRP/1 “</w:t>
      </w:r>
      <w:r w:rsidR="00882DF7" w:rsidRPr="007658B5">
        <w:rPr>
          <w:lang w:val="es-ES_tradnl"/>
        </w:rPr>
        <w:t>Notas explicativas sobre la protección provisional con arreglo al Convenio de la UPOV</w:t>
      </w:r>
      <w:r w:rsidR="00882DF7" w:rsidRPr="00882DF7">
        <w:rPr>
          <w:lang w:val="es-ES_tradnl"/>
        </w:rPr>
        <w:t>” (documento UPOV/EXN/PRP/2), conforme al documento UPOV/EXN/PRP/2 </w:t>
      </w:r>
      <w:proofErr w:type="spellStart"/>
      <w:r w:rsidR="00882DF7" w:rsidRPr="00882DF7">
        <w:rPr>
          <w:lang w:val="es-ES_tradnl"/>
        </w:rPr>
        <w:t>Draft</w:t>
      </w:r>
      <w:proofErr w:type="spellEnd"/>
      <w:r w:rsidR="00882DF7" w:rsidRPr="00882DF7">
        <w:rPr>
          <w:lang w:val="es-ES_tradnl"/>
        </w:rPr>
        <w:t> 4.</w:t>
      </w:r>
    </w:p>
    <w:p w:rsidR="00D458AF" w:rsidRPr="009B75DA" w:rsidRDefault="00D458AF" w:rsidP="00D458AF">
      <w:pPr>
        <w:spacing w:line="360" w:lineRule="auto"/>
        <w:rPr>
          <w:lang w:val="es-ES"/>
        </w:rPr>
      </w:pPr>
    </w:p>
    <w:p w:rsidR="00D458AF" w:rsidRPr="009B75DA" w:rsidRDefault="00882DF7" w:rsidP="00D458AF">
      <w:pPr>
        <w:rPr>
          <w:i/>
          <w:lang w:val="es-ES"/>
        </w:rPr>
      </w:pPr>
      <w:r w:rsidRPr="00882DF7">
        <w:rPr>
          <w:i/>
          <w:lang w:val="es-ES_tradnl"/>
        </w:rPr>
        <w:t>UPOV/INF/6</w:t>
      </w:r>
      <w:proofErr w:type="gramStart"/>
      <w:r w:rsidRPr="00882DF7">
        <w:rPr>
          <w:i/>
          <w:lang w:val="es-ES_tradnl"/>
        </w:rPr>
        <w:t>:</w:t>
      </w:r>
      <w:r w:rsidR="00D458AF" w:rsidRPr="009B75DA">
        <w:rPr>
          <w:i/>
          <w:lang w:val="es-ES"/>
        </w:rPr>
        <w:t xml:space="preserve">  </w:t>
      </w:r>
      <w:r w:rsidRPr="007658B5">
        <w:rPr>
          <w:i/>
          <w:lang w:val="es-ES_tradnl"/>
        </w:rPr>
        <w:t>Orientaciones</w:t>
      </w:r>
      <w:proofErr w:type="gramEnd"/>
      <w:r w:rsidRPr="007658B5">
        <w:rPr>
          <w:i/>
          <w:lang w:val="es-ES_tradnl"/>
        </w:rPr>
        <w:t xml:space="preserve"> para la redacción de leyes basadas en el </w:t>
      </w:r>
      <w:r w:rsidR="00B54130">
        <w:rPr>
          <w:i/>
          <w:lang w:val="es-ES_tradnl"/>
        </w:rPr>
        <w:t>Acta de 1991 del Convenio de la </w:t>
      </w:r>
      <w:r w:rsidRPr="007658B5">
        <w:rPr>
          <w:i/>
          <w:lang w:val="es-ES_tradnl"/>
        </w:rPr>
        <w:t>UPOV</w:t>
      </w:r>
      <w:r w:rsidRPr="00882DF7">
        <w:rPr>
          <w:i/>
          <w:lang w:val="es-ES_tradnl"/>
        </w:rPr>
        <w:t xml:space="preserve"> (revisión)</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882DF7" w:rsidRPr="00882DF7">
        <w:rPr>
          <w:lang w:val="es-ES_tradnl"/>
        </w:rPr>
        <w:t>El Consejo aprobó una revisión del documento UPOV/INF/6 “</w:t>
      </w:r>
      <w:r w:rsidR="00882DF7" w:rsidRPr="007658B5">
        <w:rPr>
          <w:lang w:val="es-ES_tradnl"/>
        </w:rPr>
        <w:t>Orientaciones para la redacción de leyes basadas en el Acta de 1991 del Convenio de la UPOV</w:t>
      </w:r>
      <w:r w:rsidR="00882DF7" w:rsidRPr="00882DF7">
        <w:rPr>
          <w:lang w:val="es-ES_tradnl"/>
        </w:rPr>
        <w:t>” (documento UPOV/INF/6/4), conforme a las modificaciones propuestas al documento UPOV/INF/6/3 que figuran en el Anexo IV del documento C/49/14.</w:t>
      </w:r>
    </w:p>
    <w:p w:rsidR="00D458AF" w:rsidRPr="009B75DA" w:rsidRDefault="00D458AF" w:rsidP="00D458AF">
      <w:pPr>
        <w:spacing w:line="360" w:lineRule="auto"/>
        <w:rPr>
          <w:lang w:val="es-ES"/>
        </w:rPr>
      </w:pPr>
    </w:p>
    <w:p w:rsidR="00D458AF" w:rsidRPr="009B75DA" w:rsidRDefault="00882DF7" w:rsidP="00D458AF">
      <w:pPr>
        <w:rPr>
          <w:i/>
          <w:lang w:val="es-ES"/>
        </w:rPr>
      </w:pPr>
      <w:r w:rsidRPr="00882DF7">
        <w:rPr>
          <w:i/>
          <w:lang w:val="es-ES_tradnl"/>
        </w:rPr>
        <w:t>UPOV/INF/12</w:t>
      </w:r>
      <w:proofErr w:type="gramStart"/>
      <w:r w:rsidRPr="00882DF7">
        <w:rPr>
          <w:i/>
          <w:lang w:val="es-ES_tradnl"/>
        </w:rPr>
        <w:t>:</w:t>
      </w:r>
      <w:r w:rsidR="00D458AF" w:rsidRPr="009B75DA">
        <w:rPr>
          <w:i/>
          <w:lang w:val="es-ES"/>
        </w:rPr>
        <w:t xml:space="preserve">  </w:t>
      </w:r>
      <w:r w:rsidRPr="007658B5">
        <w:rPr>
          <w:i/>
          <w:lang w:val="es-ES_tradnl"/>
        </w:rPr>
        <w:t>Notas</w:t>
      </w:r>
      <w:proofErr w:type="gramEnd"/>
      <w:r w:rsidRPr="007658B5">
        <w:rPr>
          <w:i/>
          <w:lang w:val="es-ES_tradnl"/>
        </w:rPr>
        <w:t xml:space="preserve"> explicativas sobre las denominaciones de variedade</w:t>
      </w:r>
      <w:r w:rsidR="00B54130">
        <w:rPr>
          <w:i/>
          <w:lang w:val="es-ES_tradnl"/>
        </w:rPr>
        <w:t>s con arreglo al Convenio de la </w:t>
      </w:r>
      <w:r w:rsidRPr="007658B5">
        <w:rPr>
          <w:i/>
          <w:lang w:val="es-ES_tradnl"/>
        </w:rPr>
        <w:t>UPOV</w:t>
      </w:r>
      <w:r w:rsidRPr="00882DF7">
        <w:rPr>
          <w:i/>
          <w:lang w:val="es-ES_tradnl"/>
        </w:rPr>
        <w:t xml:space="preserve"> (revisión)</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882DF7" w:rsidRPr="00882DF7">
        <w:rPr>
          <w:lang w:val="es-ES_tradnl"/>
        </w:rPr>
        <w:t>El Consejo aprobó una revisión del documento UPOV/INF/12/4 “</w:t>
      </w:r>
      <w:r w:rsidR="00882DF7" w:rsidRPr="007658B5">
        <w:rPr>
          <w:lang w:val="es-ES_tradnl"/>
        </w:rPr>
        <w:t>Notas explicativas sobre las denominaciones de variedades con arreglo al Convenio de la UPOV</w:t>
      </w:r>
      <w:r w:rsidR="00882DF7" w:rsidRPr="00882DF7">
        <w:rPr>
          <w:lang w:val="es-ES_tradnl"/>
        </w:rPr>
        <w:t>” (documento UPOV/INF/12/5), conforme a las modificaciones propuestas en el Anexo III del documento C/49/14.</w:t>
      </w:r>
    </w:p>
    <w:p w:rsidR="00D458AF" w:rsidRPr="009B75DA" w:rsidRDefault="00D458AF" w:rsidP="00D458AF">
      <w:pPr>
        <w:spacing w:line="360" w:lineRule="auto"/>
        <w:rPr>
          <w:lang w:val="es-ES"/>
        </w:rPr>
      </w:pPr>
    </w:p>
    <w:p w:rsidR="00D458AF" w:rsidRPr="009B75DA" w:rsidRDefault="00882DF7" w:rsidP="00D458AF">
      <w:pPr>
        <w:rPr>
          <w:i/>
          <w:lang w:val="es-ES"/>
        </w:rPr>
      </w:pPr>
      <w:r w:rsidRPr="00882DF7">
        <w:rPr>
          <w:i/>
          <w:lang w:val="es-ES_tradnl"/>
        </w:rPr>
        <w:t>UPOV/INF/16</w:t>
      </w:r>
      <w:proofErr w:type="gramStart"/>
      <w:r w:rsidRPr="00882DF7">
        <w:rPr>
          <w:i/>
          <w:lang w:val="es-ES_tradnl"/>
        </w:rPr>
        <w:t>:</w:t>
      </w:r>
      <w:r w:rsidR="00D458AF" w:rsidRPr="009B75DA">
        <w:rPr>
          <w:i/>
          <w:lang w:val="es-ES"/>
        </w:rPr>
        <w:t xml:space="preserve">  </w:t>
      </w:r>
      <w:r w:rsidRPr="007658B5">
        <w:rPr>
          <w:i/>
          <w:lang w:val="es-ES_tradnl"/>
        </w:rPr>
        <w:t>Programas</w:t>
      </w:r>
      <w:proofErr w:type="gramEnd"/>
      <w:r w:rsidRPr="007658B5">
        <w:rPr>
          <w:i/>
          <w:lang w:val="es-ES_tradnl"/>
        </w:rPr>
        <w:t xml:space="preserve"> informáticos para intercambio</w:t>
      </w:r>
      <w:r w:rsidRPr="00882DF7">
        <w:rPr>
          <w:i/>
          <w:lang w:val="es-ES_tradnl"/>
        </w:rPr>
        <w:t xml:space="preserve"> (revisión)</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882DF7" w:rsidRPr="00882DF7">
        <w:rPr>
          <w:lang w:val="es-ES_tradnl"/>
        </w:rPr>
        <w:t>El Consejo aprobó una revisión del documento UPOV/INF/16/4 “</w:t>
      </w:r>
      <w:r w:rsidR="00882DF7" w:rsidRPr="007658B5">
        <w:rPr>
          <w:lang w:val="es-ES_tradnl"/>
        </w:rPr>
        <w:t>Programas informáticos para intercambio</w:t>
      </w:r>
      <w:r w:rsidR="00882DF7" w:rsidRPr="00882DF7">
        <w:rPr>
          <w:lang w:val="es-ES_tradnl"/>
        </w:rPr>
        <w:t>” (documento UPOV/INF/16/5), conforme al documento UPOV/INF/16/5 </w:t>
      </w:r>
      <w:proofErr w:type="spellStart"/>
      <w:r w:rsidR="00882DF7" w:rsidRPr="00882DF7">
        <w:rPr>
          <w:lang w:val="es-ES_tradnl"/>
        </w:rPr>
        <w:t>Draft</w:t>
      </w:r>
      <w:proofErr w:type="spellEnd"/>
      <w:r w:rsidR="00882DF7" w:rsidRPr="00882DF7">
        <w:rPr>
          <w:lang w:val="es-ES_tradnl"/>
        </w:rPr>
        <w:t> 1.</w:t>
      </w:r>
    </w:p>
    <w:p w:rsidR="00D458AF" w:rsidRPr="009B75DA" w:rsidRDefault="00D458AF" w:rsidP="00D458AF">
      <w:pPr>
        <w:spacing w:line="360" w:lineRule="auto"/>
        <w:rPr>
          <w:lang w:val="es-ES"/>
        </w:rPr>
      </w:pPr>
    </w:p>
    <w:p w:rsidR="00D458AF" w:rsidRPr="009B75DA" w:rsidRDefault="00882DF7" w:rsidP="00027A88">
      <w:pPr>
        <w:keepNext/>
        <w:rPr>
          <w:i/>
          <w:lang w:val="es-ES"/>
        </w:rPr>
      </w:pPr>
      <w:r w:rsidRPr="00882DF7">
        <w:rPr>
          <w:i/>
          <w:lang w:val="es-ES_tradnl"/>
        </w:rPr>
        <w:t>UPOV/INF/22</w:t>
      </w:r>
      <w:proofErr w:type="gramStart"/>
      <w:r w:rsidRPr="00882DF7">
        <w:rPr>
          <w:i/>
          <w:lang w:val="es-ES_tradnl"/>
        </w:rPr>
        <w:t>:</w:t>
      </w:r>
      <w:r w:rsidR="00D458AF" w:rsidRPr="009B75DA">
        <w:rPr>
          <w:i/>
          <w:lang w:val="es-ES"/>
        </w:rPr>
        <w:t xml:space="preserve">  </w:t>
      </w:r>
      <w:r w:rsidRPr="007658B5">
        <w:rPr>
          <w:i/>
          <w:lang w:val="es-ES_tradnl"/>
        </w:rPr>
        <w:t>Programas</w:t>
      </w:r>
      <w:proofErr w:type="gramEnd"/>
      <w:r w:rsidRPr="007658B5">
        <w:rPr>
          <w:i/>
          <w:lang w:val="es-ES_tradnl"/>
        </w:rPr>
        <w:t xml:space="preserve"> informáticos y equipos utilizados por los miembros de la Unión</w:t>
      </w:r>
      <w:r w:rsidRPr="00882DF7">
        <w:rPr>
          <w:i/>
          <w:lang w:val="es-ES_tradnl"/>
        </w:rPr>
        <w:t xml:space="preserve"> (revisión)</w:t>
      </w:r>
    </w:p>
    <w:p w:rsidR="00D458AF" w:rsidRPr="009B75DA" w:rsidRDefault="00D458AF" w:rsidP="00027A88">
      <w:pPr>
        <w:keepNext/>
        <w:rPr>
          <w:lang w:val="es-ES"/>
        </w:rPr>
      </w:pPr>
    </w:p>
    <w:p w:rsidR="00D458AF" w:rsidRPr="009B75DA" w:rsidRDefault="00DF030B" w:rsidP="00027A88">
      <w:pPr>
        <w:keepNext/>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882DF7" w:rsidRPr="00882DF7">
        <w:rPr>
          <w:lang w:val="es-ES_tradnl"/>
        </w:rPr>
        <w:t>El Consejo aprobó una revisión del documento UPOV/INF/22/1 “</w:t>
      </w:r>
      <w:r w:rsidR="00882DF7" w:rsidRPr="007658B5">
        <w:rPr>
          <w:lang w:val="es-ES_tradnl"/>
        </w:rPr>
        <w:t xml:space="preserve">Programas informáticos y </w:t>
      </w:r>
      <w:r w:rsidR="00B54130">
        <w:rPr>
          <w:lang w:val="es-ES_tradnl"/>
        </w:rPr>
        <w:br/>
      </w:r>
      <w:r w:rsidR="00882DF7" w:rsidRPr="007658B5">
        <w:rPr>
          <w:lang w:val="es-ES_tradnl"/>
        </w:rPr>
        <w:t>equipos utilizados por los miembros de la Unión</w:t>
      </w:r>
      <w:r w:rsidR="00882DF7" w:rsidRPr="00882DF7">
        <w:rPr>
          <w:lang w:val="es-ES_tradnl"/>
        </w:rPr>
        <w:t>” (documento UPOV/INF/22/2), conforme al documento UPOV/INF/22/2 </w:t>
      </w:r>
      <w:proofErr w:type="spellStart"/>
      <w:r w:rsidR="00882DF7" w:rsidRPr="00882DF7">
        <w:rPr>
          <w:lang w:val="es-ES_tradnl"/>
        </w:rPr>
        <w:t>Draft</w:t>
      </w:r>
      <w:proofErr w:type="spellEnd"/>
      <w:r w:rsidR="00882DF7" w:rsidRPr="00882DF7">
        <w:rPr>
          <w:lang w:val="es-ES_tradnl"/>
        </w:rPr>
        <w:t> 1.</w:t>
      </w:r>
    </w:p>
    <w:p w:rsidR="00D458AF" w:rsidRPr="009B75DA" w:rsidRDefault="00D458AF" w:rsidP="00D458AF">
      <w:pPr>
        <w:spacing w:line="360" w:lineRule="auto"/>
        <w:rPr>
          <w:lang w:val="es-ES"/>
        </w:rPr>
      </w:pPr>
    </w:p>
    <w:p w:rsidR="00D458AF" w:rsidRPr="009B75DA" w:rsidRDefault="00882DF7" w:rsidP="00D458AF">
      <w:pPr>
        <w:rPr>
          <w:i/>
          <w:lang w:val="es-ES"/>
        </w:rPr>
      </w:pPr>
      <w:r w:rsidRPr="00882DF7">
        <w:rPr>
          <w:i/>
          <w:lang w:val="es-ES_tradnl"/>
        </w:rPr>
        <w:t>UPOV/INF-EXN</w:t>
      </w:r>
      <w:proofErr w:type="gramStart"/>
      <w:r w:rsidRPr="00882DF7">
        <w:rPr>
          <w:i/>
          <w:lang w:val="es-ES_tradnl"/>
        </w:rPr>
        <w:t>:</w:t>
      </w:r>
      <w:r w:rsidR="00D458AF" w:rsidRPr="009B75DA">
        <w:rPr>
          <w:i/>
          <w:lang w:val="es-ES"/>
        </w:rPr>
        <w:t xml:space="preserve">  </w:t>
      </w:r>
      <w:r w:rsidRPr="007658B5">
        <w:rPr>
          <w:i/>
          <w:lang w:val="es-ES_tradnl"/>
        </w:rPr>
        <w:t>Lista</w:t>
      </w:r>
      <w:proofErr w:type="gramEnd"/>
      <w:r w:rsidRPr="007658B5">
        <w:rPr>
          <w:i/>
          <w:lang w:val="es-ES_tradnl"/>
        </w:rPr>
        <w:t xml:space="preserve"> de documentos UPOV/INF-EXN y fechas de última publicación</w:t>
      </w:r>
      <w:r w:rsidRPr="00882DF7">
        <w:rPr>
          <w:i/>
          <w:lang w:val="es-ES_tradnl"/>
        </w:rPr>
        <w:t xml:space="preserve"> (revisión)</w:t>
      </w:r>
    </w:p>
    <w:p w:rsidR="00D458AF" w:rsidRPr="009B75DA" w:rsidRDefault="00D458AF" w:rsidP="00D458AF">
      <w:pPr>
        <w:rPr>
          <w:lang w:val="es-ES"/>
        </w:rPr>
      </w:pPr>
    </w:p>
    <w:p w:rsidR="00D458AF" w:rsidRDefault="00DF030B" w:rsidP="00B54130">
      <w:pPr>
        <w:rPr>
          <w:lang w:val="es-ES_tradnl"/>
        </w:rPr>
      </w:pPr>
      <w:r>
        <w:fldChar w:fldCharType="begin"/>
      </w:r>
      <w:r w:rsidR="00D458AF" w:rsidRPr="009B75DA">
        <w:rPr>
          <w:lang w:val="es-ES"/>
        </w:rPr>
        <w:instrText xml:space="preserve"> AUTONUM  </w:instrText>
      </w:r>
      <w:r>
        <w:fldChar w:fldCharType="end"/>
      </w:r>
      <w:r w:rsidR="00D458AF" w:rsidRPr="009B75DA">
        <w:rPr>
          <w:lang w:val="es-ES"/>
        </w:rPr>
        <w:tab/>
      </w:r>
      <w:r w:rsidR="00882DF7" w:rsidRPr="00882DF7">
        <w:rPr>
          <w:lang w:val="es-ES_tradnl"/>
        </w:rPr>
        <w:t>El Consejo aprobó una revisión del documento UPOV/INF</w:t>
      </w:r>
      <w:r w:rsidR="00882DF7" w:rsidRPr="00882DF7">
        <w:rPr>
          <w:lang w:val="es-ES_tradnl"/>
        </w:rPr>
        <w:noBreakHyphen/>
        <w:t xml:space="preserve">EXN/7 </w:t>
      </w:r>
      <w:r w:rsidR="00882DF7" w:rsidRPr="00B54130">
        <w:rPr>
          <w:lang w:val="es-ES_tradnl"/>
        </w:rPr>
        <w:t>“</w:t>
      </w:r>
      <w:r w:rsidR="00B54130" w:rsidRPr="00B54130">
        <w:rPr>
          <w:lang w:val="es-ES_tradnl"/>
        </w:rPr>
        <w:t>Lista de documentos UPOV/INF</w:t>
      </w:r>
      <w:r w:rsidR="00B54130" w:rsidRPr="00B54130">
        <w:rPr>
          <w:lang w:val="es-ES_tradnl"/>
        </w:rPr>
        <w:noBreakHyphen/>
      </w:r>
      <w:r w:rsidR="00882DF7" w:rsidRPr="00B54130">
        <w:rPr>
          <w:lang w:val="es-ES_tradnl"/>
        </w:rPr>
        <w:t>EXN y fechas de última publicación”</w:t>
      </w:r>
      <w:r w:rsidR="00882DF7" w:rsidRPr="00882DF7">
        <w:rPr>
          <w:lang w:val="es-ES_tradnl"/>
        </w:rPr>
        <w:t xml:space="preserve"> (documento UPOV/INF-EXN/8), conforme al documento UPOV/INF</w:t>
      </w:r>
      <w:r w:rsidR="00882DF7" w:rsidRPr="00882DF7">
        <w:rPr>
          <w:lang w:val="es-ES_tradnl"/>
        </w:rPr>
        <w:noBreakHyphen/>
        <w:t>EXN/8 </w:t>
      </w:r>
      <w:proofErr w:type="spellStart"/>
      <w:r w:rsidR="00882DF7" w:rsidRPr="00882DF7">
        <w:rPr>
          <w:lang w:val="es-ES_tradnl"/>
        </w:rPr>
        <w:t>Draft</w:t>
      </w:r>
      <w:proofErr w:type="spellEnd"/>
      <w:r w:rsidR="00882DF7" w:rsidRPr="00882DF7">
        <w:rPr>
          <w:lang w:val="es-ES_tradnl"/>
        </w:rPr>
        <w:t> 1.</w:t>
      </w:r>
    </w:p>
    <w:p w:rsidR="00B54130" w:rsidRDefault="00B54130" w:rsidP="00B54130">
      <w:pPr>
        <w:rPr>
          <w:lang w:val="es-ES_tradnl"/>
        </w:rPr>
      </w:pPr>
    </w:p>
    <w:p w:rsidR="00B54130" w:rsidRPr="009B75DA" w:rsidRDefault="00B54130" w:rsidP="00B54130">
      <w:pPr>
        <w:rPr>
          <w:lang w:val="es-ES"/>
        </w:rPr>
      </w:pPr>
    </w:p>
    <w:p w:rsidR="00D458AF" w:rsidRPr="009B75DA" w:rsidRDefault="004F24B0" w:rsidP="00D458AF">
      <w:pPr>
        <w:keepNext/>
        <w:rPr>
          <w:u w:val="single"/>
          <w:lang w:val="es-ES"/>
        </w:rPr>
      </w:pPr>
      <w:r w:rsidRPr="007658B5">
        <w:rPr>
          <w:u w:val="single"/>
          <w:lang w:val="es-ES_tradnl"/>
        </w:rPr>
        <w:t>Examen y aprobación del proyecto de programa y presupuesto de la Unión para el bienio 2016-2017</w:t>
      </w:r>
    </w:p>
    <w:p w:rsidR="00D458AF" w:rsidRPr="009B75DA" w:rsidRDefault="00D458AF" w:rsidP="00D458AF">
      <w:pPr>
        <w:keepNext/>
        <w:rPr>
          <w:lang w:val="es-ES"/>
        </w:rPr>
      </w:pPr>
    </w:p>
    <w:p w:rsidR="00D458AF" w:rsidRPr="009B75DA" w:rsidRDefault="00DF030B" w:rsidP="00D458AF">
      <w:pPr>
        <w:keepNext/>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4F24B0" w:rsidRPr="007658B5">
        <w:rPr>
          <w:lang w:val="es-ES_tradnl"/>
        </w:rPr>
        <w:t>El Consejo examinó el documento</w:t>
      </w:r>
      <w:r w:rsidR="004F24B0" w:rsidRPr="004F24B0">
        <w:rPr>
          <w:lang w:val="es-ES_tradnl"/>
        </w:rPr>
        <w:t> C/49/4.</w:t>
      </w:r>
    </w:p>
    <w:p w:rsidR="00D458AF" w:rsidRPr="009B75DA" w:rsidRDefault="00D458AF" w:rsidP="00D458AF">
      <w:pPr>
        <w:keepNext/>
        <w:rPr>
          <w:lang w:val="es-ES"/>
        </w:rPr>
      </w:pPr>
    </w:p>
    <w:p w:rsidR="00D458AF" w:rsidRPr="009B75DA" w:rsidRDefault="00DF030B" w:rsidP="00D458AF">
      <w:pPr>
        <w:keepNext/>
        <w:rPr>
          <w:lang w:val="es-ES"/>
        </w:rPr>
      </w:pPr>
      <w:r w:rsidRPr="009B5215">
        <w:fldChar w:fldCharType="begin"/>
      </w:r>
      <w:r w:rsidR="00D458AF" w:rsidRPr="009B75DA">
        <w:rPr>
          <w:lang w:val="es-ES"/>
        </w:rPr>
        <w:instrText xml:space="preserve"> AUTONUM  </w:instrText>
      </w:r>
      <w:r w:rsidRPr="009B5215">
        <w:fldChar w:fldCharType="end"/>
      </w:r>
      <w:r w:rsidR="00D458AF" w:rsidRPr="009B75DA">
        <w:rPr>
          <w:lang w:val="es-ES"/>
        </w:rPr>
        <w:tab/>
      </w:r>
      <w:r w:rsidR="004F24B0" w:rsidRPr="004F24B0">
        <w:rPr>
          <w:lang w:val="es-ES_tradnl"/>
        </w:rPr>
        <w:t>El Consejo aprobó:</w:t>
      </w:r>
    </w:p>
    <w:p w:rsidR="00D458AF" w:rsidRPr="009B75DA" w:rsidRDefault="00D458AF" w:rsidP="00B54130">
      <w:pPr>
        <w:rPr>
          <w:lang w:val="es-ES"/>
        </w:rPr>
      </w:pPr>
    </w:p>
    <w:p w:rsidR="00B54130" w:rsidRPr="005A652F" w:rsidRDefault="00B54130" w:rsidP="00B54130">
      <w:pPr>
        <w:rPr>
          <w:lang w:val="es-ES"/>
        </w:rPr>
      </w:pPr>
      <w:r w:rsidRPr="005A652F">
        <w:rPr>
          <w:lang w:val="es-ES"/>
        </w:rPr>
        <w:tab/>
      </w:r>
      <w:r w:rsidRPr="004813AA">
        <w:rPr>
          <w:lang w:val="es-ES_tradnl"/>
        </w:rPr>
        <w:t>a)</w:t>
      </w:r>
      <w:r w:rsidRPr="005A652F">
        <w:rPr>
          <w:lang w:val="es-ES"/>
        </w:rPr>
        <w:tab/>
      </w:r>
      <w:r w:rsidRPr="00E144F6">
        <w:rPr>
          <w:lang w:val="es-ES_tradnl"/>
        </w:rPr>
        <w:t>las propuestas que figuran en el proyecto de programa y presupuesto para el bienio 2016</w:t>
      </w:r>
      <w:r w:rsidRPr="00E144F6">
        <w:rPr>
          <w:lang w:val="es-ES_tradnl"/>
        </w:rPr>
        <w:noBreakHyphen/>
        <w:t>2017, que se exponen en el Anexo del documento C/49/4, incluido el importe de las contribuciones de los miembros de la Unión;</w:t>
      </w:r>
    </w:p>
    <w:p w:rsidR="00B54130" w:rsidRPr="005A652F" w:rsidRDefault="00B54130" w:rsidP="00B54130">
      <w:pPr>
        <w:rPr>
          <w:lang w:val="es-ES"/>
        </w:rPr>
      </w:pPr>
    </w:p>
    <w:p w:rsidR="00B54130" w:rsidRPr="005A652F" w:rsidRDefault="00B54130" w:rsidP="00B54130">
      <w:pPr>
        <w:keepNext/>
        <w:rPr>
          <w:lang w:val="es-ES"/>
        </w:rPr>
      </w:pPr>
      <w:r w:rsidRPr="005A652F">
        <w:rPr>
          <w:lang w:val="es-ES"/>
        </w:rPr>
        <w:tab/>
      </w:r>
      <w:r w:rsidRPr="004813AA">
        <w:rPr>
          <w:lang w:val="es-ES_tradnl"/>
        </w:rPr>
        <w:t>b)</w:t>
      </w:r>
      <w:r w:rsidRPr="005A652F">
        <w:rPr>
          <w:lang w:val="es-ES"/>
        </w:rPr>
        <w:tab/>
      </w:r>
      <w:r w:rsidRPr="004813AA">
        <w:rPr>
          <w:lang w:val="es-ES_tradnl"/>
        </w:rPr>
        <w:t>el tope máximo propuesto de gastos del presupuesto ordinario;</w:t>
      </w:r>
      <w:r w:rsidRPr="005A652F">
        <w:rPr>
          <w:lang w:val="es-ES"/>
        </w:rPr>
        <w:t xml:space="preserve">  </w:t>
      </w:r>
      <w:r w:rsidRPr="004813AA">
        <w:rPr>
          <w:lang w:val="es-ES_tradnl"/>
        </w:rPr>
        <w:t>y</w:t>
      </w:r>
    </w:p>
    <w:p w:rsidR="00B54130" w:rsidRPr="005A652F" w:rsidRDefault="00B54130" w:rsidP="00B54130">
      <w:pPr>
        <w:keepNext/>
        <w:rPr>
          <w:lang w:val="es-ES"/>
        </w:rPr>
      </w:pPr>
    </w:p>
    <w:p w:rsidR="00B54130" w:rsidRPr="005A652F" w:rsidRDefault="00B54130" w:rsidP="00B54130">
      <w:pPr>
        <w:rPr>
          <w:lang w:val="es-ES"/>
        </w:rPr>
      </w:pPr>
      <w:r w:rsidRPr="005A652F">
        <w:rPr>
          <w:lang w:val="es-ES"/>
        </w:rPr>
        <w:tab/>
      </w:r>
      <w:r w:rsidRPr="004813AA">
        <w:rPr>
          <w:lang w:val="es-ES_tradnl"/>
        </w:rPr>
        <w:t>c)</w:t>
      </w:r>
      <w:r w:rsidRPr="005A652F">
        <w:rPr>
          <w:lang w:val="es-ES"/>
        </w:rPr>
        <w:tab/>
      </w:r>
      <w:r w:rsidRPr="004813AA">
        <w:rPr>
          <w:lang w:val="es-ES_tradnl"/>
        </w:rPr>
        <w:t>el número total de puestos para la Oficina de la Unión.</w:t>
      </w:r>
    </w:p>
    <w:p w:rsidR="00D458AF" w:rsidRPr="009B75DA" w:rsidRDefault="00D458AF" w:rsidP="00D458AF">
      <w:pPr>
        <w:rPr>
          <w:lang w:val="es-ES"/>
        </w:rPr>
      </w:pPr>
    </w:p>
    <w:p w:rsidR="00D458AF" w:rsidRPr="009B75DA" w:rsidRDefault="00D458AF" w:rsidP="00D458AF">
      <w:pPr>
        <w:rPr>
          <w:lang w:val="es-ES"/>
        </w:rPr>
      </w:pPr>
    </w:p>
    <w:p w:rsidR="00D458AF" w:rsidRPr="009B75DA" w:rsidRDefault="009B71FC" w:rsidP="00D458AF">
      <w:pPr>
        <w:rPr>
          <w:u w:val="single"/>
          <w:lang w:val="es-ES"/>
        </w:rPr>
      </w:pPr>
      <w:r w:rsidRPr="007658B5">
        <w:rPr>
          <w:u w:val="single"/>
          <w:lang w:val="es-ES_tradnl"/>
        </w:rPr>
        <w:t>Estados financieros de 2014</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9B71FC" w:rsidRPr="007658B5">
        <w:rPr>
          <w:lang w:val="es-ES_tradnl"/>
        </w:rPr>
        <w:t>El Consejo examinó el documento</w:t>
      </w:r>
      <w:r w:rsidR="009B71FC" w:rsidRPr="009B71FC">
        <w:rPr>
          <w:lang w:val="es-ES_tradnl"/>
        </w:rPr>
        <w:t> C/49/12.</w:t>
      </w:r>
    </w:p>
    <w:p w:rsidR="00D458AF" w:rsidRPr="009B75DA" w:rsidRDefault="00D458AF" w:rsidP="00D458AF">
      <w:pPr>
        <w:rPr>
          <w:lang w:val="es-ES"/>
        </w:rPr>
      </w:pPr>
    </w:p>
    <w:p w:rsidR="00D458AF" w:rsidRPr="009B75DA" w:rsidRDefault="00DF030B" w:rsidP="00D458AF">
      <w:pPr>
        <w:rPr>
          <w:lang w:val="es-ES"/>
        </w:rPr>
      </w:pPr>
      <w:r w:rsidRPr="009B5215">
        <w:fldChar w:fldCharType="begin"/>
      </w:r>
      <w:r w:rsidR="00D458AF" w:rsidRPr="009B75DA">
        <w:rPr>
          <w:lang w:val="es-ES"/>
        </w:rPr>
        <w:instrText xml:space="preserve"> AUTONUM  </w:instrText>
      </w:r>
      <w:r w:rsidRPr="009B5215">
        <w:fldChar w:fldCharType="end"/>
      </w:r>
      <w:r w:rsidR="00D458AF" w:rsidRPr="009B75DA">
        <w:rPr>
          <w:lang w:val="es-ES"/>
        </w:rPr>
        <w:tab/>
      </w:r>
      <w:r w:rsidR="009B71FC" w:rsidRPr="007658B5">
        <w:rPr>
          <w:lang w:val="es-ES_tradnl"/>
        </w:rPr>
        <w:t>El Consejo</w:t>
      </w:r>
      <w:r w:rsidR="009B71FC" w:rsidRPr="009B71FC">
        <w:rPr>
          <w:lang w:val="es-ES_tradnl"/>
        </w:rPr>
        <w:t xml:space="preserve"> </w:t>
      </w:r>
      <w:r w:rsidR="009B71FC" w:rsidRPr="007658B5">
        <w:rPr>
          <w:lang w:val="es-ES_tradnl"/>
        </w:rPr>
        <w:t>aprobó los estados financieros de 2014</w:t>
      </w:r>
      <w:r w:rsidR="009B71FC" w:rsidRPr="009B71FC">
        <w:rPr>
          <w:lang w:val="es-ES_tradnl"/>
        </w:rPr>
        <w:t>.</w:t>
      </w:r>
    </w:p>
    <w:p w:rsidR="00D458AF" w:rsidRPr="009B75DA" w:rsidRDefault="00D458AF" w:rsidP="00D458AF">
      <w:pPr>
        <w:rPr>
          <w:lang w:val="es-ES"/>
        </w:rPr>
      </w:pPr>
    </w:p>
    <w:p w:rsidR="00D458AF" w:rsidRPr="009B75DA" w:rsidRDefault="00D458AF" w:rsidP="00D458AF">
      <w:pPr>
        <w:rPr>
          <w:lang w:val="es-ES"/>
        </w:rPr>
      </w:pPr>
    </w:p>
    <w:p w:rsidR="00D458AF" w:rsidRPr="009B75DA" w:rsidRDefault="009B71FC" w:rsidP="00D458AF">
      <w:pPr>
        <w:rPr>
          <w:u w:val="single"/>
          <w:lang w:val="es-ES"/>
        </w:rPr>
      </w:pPr>
      <w:r w:rsidRPr="007658B5">
        <w:rPr>
          <w:u w:val="single"/>
          <w:lang w:val="es-ES_tradnl"/>
        </w:rPr>
        <w:t>Informe del Auditor Externo</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9B71FC" w:rsidRPr="007658B5">
        <w:rPr>
          <w:lang w:val="es-ES_tradnl"/>
        </w:rPr>
        <w:t>El Consejo examinó el documento</w:t>
      </w:r>
      <w:r w:rsidR="009B71FC" w:rsidRPr="009B71FC">
        <w:rPr>
          <w:lang w:val="es-ES_tradnl"/>
        </w:rPr>
        <w:t xml:space="preserve"> C/49/13, </w:t>
      </w:r>
      <w:r w:rsidR="009B71FC" w:rsidRPr="007658B5">
        <w:rPr>
          <w:lang w:val="es-ES_tradnl"/>
        </w:rPr>
        <w:t>junto con la presentación que el Sr.</w:t>
      </w:r>
      <w:r w:rsidR="009B71FC" w:rsidRPr="009B71FC">
        <w:rPr>
          <w:lang w:val="es-ES_tradnl"/>
        </w:rPr>
        <w:t> Didier </w:t>
      </w:r>
      <w:proofErr w:type="spellStart"/>
      <w:r w:rsidR="009B71FC" w:rsidRPr="009B71FC">
        <w:rPr>
          <w:lang w:val="es-ES_tradnl"/>
        </w:rPr>
        <w:t>Monnot</w:t>
      </w:r>
      <w:proofErr w:type="spellEnd"/>
      <w:r w:rsidR="009B71FC" w:rsidRPr="009B71FC">
        <w:rPr>
          <w:lang w:val="es-ES_tradnl"/>
        </w:rPr>
        <w:t xml:space="preserve">, </w:t>
      </w:r>
      <w:r w:rsidR="009B71FC" w:rsidRPr="009B75DA">
        <w:rPr>
          <w:i/>
          <w:lang w:val="es-ES"/>
        </w:rPr>
        <w:t xml:space="preserve">Responsable de </w:t>
      </w:r>
      <w:proofErr w:type="spellStart"/>
      <w:r w:rsidR="009B71FC" w:rsidRPr="009B75DA">
        <w:rPr>
          <w:i/>
          <w:lang w:val="es-ES"/>
        </w:rPr>
        <w:t>mandats</w:t>
      </w:r>
      <w:proofErr w:type="spellEnd"/>
      <w:r w:rsidR="009B71FC" w:rsidRPr="009B75DA">
        <w:rPr>
          <w:i/>
          <w:lang w:val="es-ES"/>
        </w:rPr>
        <w:t xml:space="preserve">, </w:t>
      </w:r>
      <w:proofErr w:type="spellStart"/>
      <w:r w:rsidR="009B71FC" w:rsidRPr="009B75DA">
        <w:rPr>
          <w:i/>
          <w:lang w:val="es-ES"/>
        </w:rPr>
        <w:t>Contrôle</w:t>
      </w:r>
      <w:proofErr w:type="spellEnd"/>
      <w:r w:rsidR="009B71FC" w:rsidRPr="009B75DA">
        <w:rPr>
          <w:i/>
          <w:lang w:val="es-ES"/>
        </w:rPr>
        <w:t xml:space="preserve"> </w:t>
      </w:r>
      <w:proofErr w:type="spellStart"/>
      <w:r w:rsidR="009B71FC" w:rsidRPr="009B75DA">
        <w:rPr>
          <w:i/>
          <w:lang w:val="es-ES"/>
        </w:rPr>
        <w:t>fédéral</w:t>
      </w:r>
      <w:proofErr w:type="spellEnd"/>
      <w:r w:rsidR="009B71FC" w:rsidRPr="009B75DA">
        <w:rPr>
          <w:i/>
          <w:lang w:val="es-ES"/>
        </w:rPr>
        <w:t xml:space="preserve"> des </w:t>
      </w:r>
      <w:proofErr w:type="spellStart"/>
      <w:r w:rsidR="009B71FC" w:rsidRPr="009B75DA">
        <w:rPr>
          <w:i/>
          <w:lang w:val="es-ES"/>
        </w:rPr>
        <w:t>finances</w:t>
      </w:r>
      <w:proofErr w:type="spellEnd"/>
      <w:r w:rsidR="009B71FC" w:rsidRPr="009B71FC">
        <w:rPr>
          <w:lang w:val="es-ES_tradnl"/>
        </w:rPr>
        <w:t xml:space="preserve"> </w:t>
      </w:r>
      <w:r w:rsidR="009B71FC" w:rsidRPr="007658B5">
        <w:rPr>
          <w:lang w:val="es-ES_tradnl"/>
        </w:rPr>
        <w:t>(Suiza),</w:t>
      </w:r>
      <w:r w:rsidR="009B71FC" w:rsidRPr="009B71FC">
        <w:rPr>
          <w:lang w:val="es-ES_tradnl"/>
        </w:rPr>
        <w:t xml:space="preserve"> </w:t>
      </w:r>
      <w:r w:rsidR="009B71FC" w:rsidRPr="007658B5">
        <w:rPr>
          <w:lang w:val="es-ES_tradnl"/>
        </w:rPr>
        <w:t>hizo del</w:t>
      </w:r>
      <w:r w:rsidR="009B71FC" w:rsidRPr="009B71FC">
        <w:rPr>
          <w:lang w:val="es-ES_tradnl"/>
        </w:rPr>
        <w:t xml:space="preserve"> </w:t>
      </w:r>
      <w:r w:rsidR="009B71FC" w:rsidRPr="007658B5">
        <w:rPr>
          <w:lang w:val="es-ES_tradnl"/>
        </w:rPr>
        <w:t>Informe del Auditor Externo</w:t>
      </w:r>
      <w:r w:rsidR="009B71FC" w:rsidRPr="009B71FC">
        <w:rPr>
          <w:lang w:val="es-ES_tradnl"/>
        </w:rPr>
        <w:t>.</w:t>
      </w:r>
    </w:p>
    <w:p w:rsidR="00D458AF" w:rsidRPr="009B75DA" w:rsidRDefault="00D458AF" w:rsidP="00D458AF">
      <w:pPr>
        <w:rPr>
          <w:lang w:val="es-ES"/>
        </w:rPr>
      </w:pPr>
    </w:p>
    <w:p w:rsidR="00D458AF" w:rsidRPr="009B75DA" w:rsidRDefault="00DF030B" w:rsidP="00D458AF">
      <w:pPr>
        <w:rPr>
          <w:lang w:val="es-ES"/>
        </w:rPr>
      </w:pPr>
      <w:r w:rsidRPr="00342932">
        <w:fldChar w:fldCharType="begin"/>
      </w:r>
      <w:r w:rsidR="00D458AF" w:rsidRPr="009B75DA">
        <w:rPr>
          <w:lang w:val="es-ES"/>
        </w:rPr>
        <w:instrText xml:space="preserve"> AUTONUM  </w:instrText>
      </w:r>
      <w:r w:rsidRPr="00342932">
        <w:fldChar w:fldCharType="end"/>
      </w:r>
      <w:r w:rsidR="00D458AF" w:rsidRPr="009B75DA">
        <w:rPr>
          <w:lang w:val="es-ES"/>
        </w:rPr>
        <w:tab/>
      </w:r>
      <w:r w:rsidR="009B71FC" w:rsidRPr="007658B5">
        <w:rPr>
          <w:lang w:val="es-ES_tradnl"/>
        </w:rPr>
        <w:t>El Consejo expresó su gratitud al Gobierno de Suiza por actuar como Auditor Externo.</w:t>
      </w:r>
    </w:p>
    <w:p w:rsidR="00D458AF" w:rsidRPr="009B75DA" w:rsidRDefault="00D458AF" w:rsidP="00D458AF">
      <w:pPr>
        <w:rPr>
          <w:lang w:val="es-ES"/>
        </w:rPr>
      </w:pPr>
    </w:p>
    <w:p w:rsidR="00D458AF" w:rsidRPr="009B75DA" w:rsidRDefault="00D458AF" w:rsidP="00D458AF">
      <w:pPr>
        <w:rPr>
          <w:lang w:val="es-ES"/>
        </w:rPr>
      </w:pPr>
    </w:p>
    <w:p w:rsidR="00D458AF" w:rsidRPr="009B75DA" w:rsidRDefault="00683071" w:rsidP="00D458AF">
      <w:pPr>
        <w:rPr>
          <w:u w:val="single"/>
          <w:lang w:val="es-ES"/>
        </w:rPr>
      </w:pPr>
      <w:r w:rsidRPr="007658B5">
        <w:rPr>
          <w:u w:val="single"/>
          <w:lang w:val="es-ES_tradnl"/>
        </w:rPr>
        <w:t>Atrasos en el pago de las contribuciones al</w:t>
      </w:r>
      <w:r w:rsidRPr="00683071">
        <w:rPr>
          <w:u w:val="single"/>
          <w:lang w:val="es-ES_tradnl"/>
        </w:rPr>
        <w:t xml:space="preserve"> 30 de septiembre de 2015</w:t>
      </w:r>
    </w:p>
    <w:p w:rsidR="00D458AF" w:rsidRPr="009B75DA" w:rsidRDefault="00D458AF" w:rsidP="00D458AF">
      <w:pPr>
        <w:rPr>
          <w:lang w:val="es-ES"/>
        </w:rPr>
      </w:pPr>
    </w:p>
    <w:p w:rsidR="00D458AF" w:rsidRPr="009B75DA" w:rsidRDefault="00DF030B" w:rsidP="00D458AF">
      <w:pPr>
        <w:keepNext/>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683071" w:rsidRPr="007658B5">
        <w:rPr>
          <w:lang w:val="es-ES_tradnl"/>
        </w:rPr>
        <w:t>El Consejo examinó el documento</w:t>
      </w:r>
      <w:r w:rsidR="00683071" w:rsidRPr="00683071">
        <w:rPr>
          <w:lang w:val="es-ES_tradnl"/>
        </w:rPr>
        <w:t> C/49/11.</w:t>
      </w:r>
    </w:p>
    <w:p w:rsidR="00D458AF" w:rsidRPr="009B75DA" w:rsidRDefault="00D458AF" w:rsidP="00D458AF">
      <w:pPr>
        <w:keepNext/>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683071" w:rsidRPr="007658B5">
        <w:rPr>
          <w:lang w:val="es-ES_tradnl"/>
        </w:rPr>
        <w:t>El Consejo tomó nota de la intervención de la Delegación de</w:t>
      </w:r>
      <w:r w:rsidR="00683071" w:rsidRPr="00683071">
        <w:rPr>
          <w:lang w:val="es-ES_tradnl"/>
        </w:rPr>
        <w:t xml:space="preserve"> </w:t>
      </w:r>
      <w:proofErr w:type="spellStart"/>
      <w:r w:rsidR="00683071" w:rsidRPr="007658B5">
        <w:rPr>
          <w:lang w:val="es-ES_tradnl"/>
        </w:rPr>
        <w:t>Belarús</w:t>
      </w:r>
      <w:proofErr w:type="spellEnd"/>
      <w:r w:rsidR="00683071" w:rsidRPr="00683071">
        <w:rPr>
          <w:lang w:val="es-ES_tradnl"/>
        </w:rPr>
        <w:t>.</w:t>
      </w:r>
    </w:p>
    <w:p w:rsidR="00D458AF" w:rsidRPr="009B75DA" w:rsidRDefault="00D458AF" w:rsidP="00D458AF">
      <w:pPr>
        <w:keepNext/>
        <w:rPr>
          <w:lang w:val="es-ES"/>
        </w:rPr>
      </w:pPr>
    </w:p>
    <w:p w:rsidR="00D458AF" w:rsidRPr="009B75DA" w:rsidRDefault="00DF030B" w:rsidP="00D458AF">
      <w:pPr>
        <w:rPr>
          <w:lang w:val="es-ES"/>
        </w:rPr>
      </w:pPr>
      <w:r w:rsidRPr="00476E9C">
        <w:fldChar w:fldCharType="begin"/>
      </w:r>
      <w:r w:rsidR="00D458AF" w:rsidRPr="009B75DA">
        <w:rPr>
          <w:lang w:val="es-ES"/>
        </w:rPr>
        <w:instrText xml:space="preserve"> AUTONUM  </w:instrText>
      </w:r>
      <w:r w:rsidRPr="00476E9C">
        <w:fldChar w:fldCharType="end"/>
      </w:r>
      <w:r w:rsidR="00D458AF" w:rsidRPr="009B75DA">
        <w:rPr>
          <w:lang w:val="es-ES"/>
        </w:rPr>
        <w:tab/>
      </w:r>
      <w:r w:rsidR="00683071" w:rsidRPr="007658B5">
        <w:rPr>
          <w:lang w:val="es-ES_tradnl"/>
        </w:rPr>
        <w:t>El Consejo tomó nota de la situación del pago de las contribuciones al</w:t>
      </w:r>
      <w:r w:rsidR="00683071" w:rsidRPr="00683071">
        <w:rPr>
          <w:lang w:val="es-ES_tradnl"/>
        </w:rPr>
        <w:t xml:space="preserve"> 30 de septiembre de 2015, </w:t>
      </w:r>
      <w:r w:rsidR="00683071" w:rsidRPr="007658B5">
        <w:rPr>
          <w:lang w:val="es-ES_tradnl"/>
        </w:rPr>
        <w:t xml:space="preserve">y tomó nota de que, debido a pagos recientes, </w:t>
      </w:r>
      <w:proofErr w:type="spellStart"/>
      <w:r w:rsidR="00683071" w:rsidRPr="007658B5">
        <w:rPr>
          <w:lang w:val="es-ES_tradnl"/>
        </w:rPr>
        <w:t>Belarús</w:t>
      </w:r>
      <w:proofErr w:type="spellEnd"/>
      <w:r w:rsidR="00683071" w:rsidRPr="007658B5">
        <w:rPr>
          <w:lang w:val="es-ES_tradnl"/>
        </w:rPr>
        <w:t xml:space="preserve"> no tiene atrasos.</w:t>
      </w:r>
    </w:p>
    <w:p w:rsidR="00D458AF" w:rsidRPr="009B75DA" w:rsidRDefault="00D458AF" w:rsidP="00D458AF">
      <w:pPr>
        <w:rPr>
          <w:lang w:val="es-ES"/>
        </w:rPr>
      </w:pPr>
    </w:p>
    <w:p w:rsidR="00D458AF" w:rsidRPr="009B75DA" w:rsidRDefault="00D458AF" w:rsidP="00D458AF">
      <w:pPr>
        <w:rPr>
          <w:lang w:val="es-ES"/>
        </w:rPr>
      </w:pPr>
    </w:p>
    <w:p w:rsidR="00D458AF" w:rsidRPr="009B75DA" w:rsidRDefault="00683071" w:rsidP="00D458AF">
      <w:pPr>
        <w:rPr>
          <w:u w:val="single"/>
          <w:lang w:val="es-ES"/>
        </w:rPr>
      </w:pPr>
      <w:r w:rsidRPr="007658B5">
        <w:rPr>
          <w:u w:val="single"/>
          <w:lang w:val="es-ES_tradnl"/>
        </w:rPr>
        <w:t xml:space="preserve">Informe anual del </w:t>
      </w:r>
      <w:r w:rsidR="009A1071" w:rsidRPr="007658B5">
        <w:rPr>
          <w:u w:val="single"/>
          <w:lang w:val="es-ES_tradnl"/>
        </w:rPr>
        <w:t>S</w:t>
      </w:r>
      <w:r w:rsidRPr="007658B5">
        <w:rPr>
          <w:u w:val="single"/>
          <w:lang w:val="es-ES_tradnl"/>
        </w:rPr>
        <w:t xml:space="preserve">ecretario </w:t>
      </w:r>
      <w:r w:rsidR="009A1071" w:rsidRPr="007658B5">
        <w:rPr>
          <w:u w:val="single"/>
          <w:lang w:val="es-ES_tradnl"/>
        </w:rPr>
        <w:t>G</w:t>
      </w:r>
      <w:r w:rsidRPr="007658B5">
        <w:rPr>
          <w:u w:val="single"/>
          <w:lang w:val="es-ES_tradnl"/>
        </w:rPr>
        <w:t xml:space="preserve">eneral </w:t>
      </w:r>
      <w:r w:rsidR="009A1071" w:rsidRPr="007658B5">
        <w:rPr>
          <w:u w:val="single"/>
          <w:lang w:val="es-ES_tradnl"/>
        </w:rPr>
        <w:t>para</w:t>
      </w:r>
      <w:r w:rsidRPr="00683071">
        <w:rPr>
          <w:u w:val="single"/>
          <w:lang w:val="es-ES_tradnl"/>
        </w:rPr>
        <w:t xml:space="preserve"> 2014</w:t>
      </w:r>
      <w:r w:rsidR="003B3B6E">
        <w:rPr>
          <w:u w:val="single"/>
          <w:lang w:val="es-ES_tradnl"/>
        </w:rPr>
        <w:t>;</w:t>
      </w:r>
      <w:r w:rsidR="00D458AF" w:rsidRPr="009B75DA">
        <w:rPr>
          <w:u w:val="single"/>
          <w:lang w:val="es-ES"/>
        </w:rPr>
        <w:t xml:space="preserve">  </w:t>
      </w:r>
      <w:r w:rsidRPr="007658B5">
        <w:rPr>
          <w:u w:val="single"/>
          <w:lang w:val="es-ES_tradnl"/>
        </w:rPr>
        <w:t>Informe sobre las actividades realizadas en los nueve primeros meses de</w:t>
      </w:r>
      <w:r w:rsidRPr="00683071">
        <w:rPr>
          <w:u w:val="single"/>
          <w:lang w:val="es-ES_tradnl"/>
        </w:rPr>
        <w:t xml:space="preserve"> 2015</w:t>
      </w:r>
    </w:p>
    <w:p w:rsidR="00D458AF" w:rsidRPr="009B75DA" w:rsidRDefault="00D458AF" w:rsidP="00D458AF">
      <w:pPr>
        <w:rPr>
          <w:lang w:val="es-ES"/>
        </w:rPr>
      </w:pPr>
    </w:p>
    <w:p w:rsidR="00D458AF" w:rsidRPr="009B75DA" w:rsidRDefault="00DF030B" w:rsidP="00D458AF">
      <w:pPr>
        <w:keepNext/>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683071" w:rsidRPr="007658B5">
        <w:rPr>
          <w:lang w:val="es-ES_tradnl"/>
        </w:rPr>
        <w:t>El Consejo examinó los documentos</w:t>
      </w:r>
      <w:r w:rsidR="00683071" w:rsidRPr="00683071">
        <w:rPr>
          <w:lang w:val="es-ES_tradnl"/>
        </w:rPr>
        <w:t> C/49/2 y C/49/3.</w:t>
      </w:r>
    </w:p>
    <w:p w:rsidR="00D458AF" w:rsidRPr="009B75DA" w:rsidRDefault="00D458AF" w:rsidP="00D458AF">
      <w:pPr>
        <w:keepNext/>
        <w:rPr>
          <w:lang w:val="es-ES"/>
        </w:rPr>
      </w:pPr>
    </w:p>
    <w:p w:rsidR="00D458AF" w:rsidRPr="009B75DA" w:rsidRDefault="00DF030B" w:rsidP="00D458AF">
      <w:pPr>
        <w:rPr>
          <w:lang w:val="es-ES"/>
        </w:rPr>
      </w:pPr>
      <w:r w:rsidRPr="00FB2C4A">
        <w:fldChar w:fldCharType="begin"/>
      </w:r>
      <w:r w:rsidR="00D458AF" w:rsidRPr="009B75DA">
        <w:rPr>
          <w:lang w:val="es-ES"/>
        </w:rPr>
        <w:instrText xml:space="preserve"> AUTONUM  </w:instrText>
      </w:r>
      <w:r w:rsidRPr="00FB2C4A">
        <w:fldChar w:fldCharType="end"/>
      </w:r>
      <w:r w:rsidR="00D458AF" w:rsidRPr="009B75DA">
        <w:rPr>
          <w:lang w:val="es-ES"/>
        </w:rPr>
        <w:tab/>
      </w:r>
      <w:r w:rsidR="00683071" w:rsidRPr="007658B5">
        <w:rPr>
          <w:lang w:val="es-ES_tradnl"/>
        </w:rPr>
        <w:t>El Consejo tomó nota de la intervención de la Delegación de</w:t>
      </w:r>
      <w:r w:rsidR="00683071" w:rsidRPr="00683071">
        <w:rPr>
          <w:lang w:val="es-ES_tradnl"/>
        </w:rPr>
        <w:t xml:space="preserve"> la </w:t>
      </w:r>
      <w:r w:rsidR="00683071" w:rsidRPr="007658B5">
        <w:rPr>
          <w:lang w:val="es-ES_tradnl"/>
        </w:rPr>
        <w:t>Organización Africana de la Propiedad Intelectual (OAPI)</w:t>
      </w:r>
      <w:r w:rsidR="00683071" w:rsidRPr="00683071">
        <w:rPr>
          <w:lang w:val="es-ES_tradnl"/>
        </w:rPr>
        <w:t>.</w:t>
      </w:r>
    </w:p>
    <w:p w:rsidR="00D458AF" w:rsidRDefault="00D458AF" w:rsidP="003B3B6E">
      <w:pPr>
        <w:rPr>
          <w:lang w:val="es-ES"/>
        </w:rPr>
      </w:pPr>
    </w:p>
    <w:p w:rsidR="003B3B6E" w:rsidRPr="009B75DA" w:rsidRDefault="003B3B6E" w:rsidP="003B3B6E">
      <w:pPr>
        <w:rPr>
          <w:lang w:val="es-ES"/>
        </w:rPr>
      </w:pPr>
      <w:r w:rsidRPr="00BD03EE">
        <w:fldChar w:fldCharType="begin"/>
      </w:r>
      <w:r w:rsidRPr="009B75DA">
        <w:rPr>
          <w:lang w:val="es-ES"/>
        </w:rPr>
        <w:instrText xml:space="preserve"> AUTONUM  </w:instrText>
      </w:r>
      <w:r w:rsidRPr="00BD03EE">
        <w:fldChar w:fldCharType="end"/>
      </w:r>
      <w:r w:rsidRPr="009B75DA">
        <w:rPr>
          <w:lang w:val="es-ES"/>
        </w:rPr>
        <w:tab/>
      </w:r>
      <w:r w:rsidRPr="003B3B6E">
        <w:rPr>
          <w:lang w:val="es-ES"/>
        </w:rPr>
        <w:t>El Consejo tomó nota del informe del Secretario General sobre las actividades de la Unión en 2014 y los resultados e indicadores de rendimiento para 2014, contenido en el documento C/49/2.</w:t>
      </w:r>
    </w:p>
    <w:p w:rsidR="00D458AF" w:rsidRPr="009B75DA" w:rsidRDefault="00D458AF" w:rsidP="00D458AF">
      <w:pPr>
        <w:rPr>
          <w:lang w:val="es-ES"/>
        </w:rPr>
      </w:pPr>
    </w:p>
    <w:p w:rsidR="00D458AF" w:rsidRPr="009B75DA" w:rsidRDefault="00DF030B" w:rsidP="00D458AF">
      <w:pPr>
        <w:rPr>
          <w:lang w:val="es-ES"/>
        </w:rPr>
      </w:pPr>
      <w:r w:rsidRPr="00BD03EE">
        <w:fldChar w:fldCharType="begin"/>
      </w:r>
      <w:r w:rsidR="00D458AF" w:rsidRPr="009B75DA">
        <w:rPr>
          <w:lang w:val="es-ES"/>
        </w:rPr>
        <w:instrText xml:space="preserve"> AUTONUM  </w:instrText>
      </w:r>
      <w:r w:rsidRPr="00BD03EE">
        <w:fldChar w:fldCharType="end"/>
      </w:r>
      <w:r w:rsidR="00D458AF" w:rsidRPr="009B75DA">
        <w:rPr>
          <w:lang w:val="es-ES"/>
        </w:rPr>
        <w:tab/>
      </w:r>
      <w:r w:rsidR="00683071" w:rsidRPr="007658B5">
        <w:rPr>
          <w:lang w:val="es-ES_tradnl"/>
        </w:rPr>
        <w:t>El Consejo</w:t>
      </w:r>
      <w:r w:rsidR="00683071" w:rsidRPr="00683071">
        <w:rPr>
          <w:lang w:val="es-ES_tradnl"/>
        </w:rPr>
        <w:t xml:space="preserve"> </w:t>
      </w:r>
      <w:r w:rsidR="00683071" w:rsidRPr="007658B5">
        <w:rPr>
          <w:lang w:val="es-ES_tradnl"/>
        </w:rPr>
        <w:t>tomó nota del informe sobre las actividades realizadas</w:t>
      </w:r>
      <w:r w:rsidR="006C2887">
        <w:rPr>
          <w:lang w:val="es-ES_tradnl"/>
        </w:rPr>
        <w:t xml:space="preserve"> en los nueve primeros meses de </w:t>
      </w:r>
      <w:r w:rsidR="00683071" w:rsidRPr="00683071">
        <w:rPr>
          <w:lang w:val="es-ES_tradnl"/>
        </w:rPr>
        <w:t>2015</w:t>
      </w:r>
      <w:r w:rsidR="00683071" w:rsidRPr="007658B5">
        <w:rPr>
          <w:lang w:val="es-ES_tradnl"/>
        </w:rPr>
        <w:t>, contenido en el documento</w:t>
      </w:r>
      <w:r w:rsidR="00683071" w:rsidRPr="00683071">
        <w:rPr>
          <w:lang w:val="es-ES_tradnl"/>
        </w:rPr>
        <w:t> C/49/3.</w:t>
      </w:r>
    </w:p>
    <w:p w:rsidR="00D458AF" w:rsidRPr="009B75DA" w:rsidRDefault="00D458AF" w:rsidP="00D458AF">
      <w:pPr>
        <w:rPr>
          <w:lang w:val="es-ES"/>
        </w:rPr>
      </w:pPr>
    </w:p>
    <w:p w:rsidR="00D458AF" w:rsidRPr="009B75DA" w:rsidRDefault="00D458AF" w:rsidP="00D458AF">
      <w:pPr>
        <w:rPr>
          <w:lang w:val="es-ES"/>
        </w:rPr>
      </w:pPr>
    </w:p>
    <w:p w:rsidR="00D458AF" w:rsidRPr="009B75DA" w:rsidRDefault="003A50D4" w:rsidP="00D458AF">
      <w:pPr>
        <w:rPr>
          <w:lang w:val="es-ES"/>
        </w:rPr>
      </w:pPr>
      <w:r w:rsidRPr="007658B5">
        <w:rPr>
          <w:u w:val="single"/>
          <w:lang w:val="es-ES_tradnl"/>
        </w:rPr>
        <w:t>Informe sobre la marcha de los trabajos del Comité Administrativo y Jurídico</w:t>
      </w:r>
      <w:r w:rsidR="00D458AF" w:rsidRPr="009B75DA">
        <w:rPr>
          <w:u w:val="single"/>
          <w:lang w:val="es-ES"/>
        </w:rPr>
        <w:t xml:space="preserve"> </w:t>
      </w:r>
    </w:p>
    <w:p w:rsidR="00D458AF" w:rsidRPr="009B75DA" w:rsidRDefault="00D458AF" w:rsidP="00D458AF">
      <w:pPr>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3A50D4" w:rsidRPr="007658B5">
        <w:rPr>
          <w:lang w:val="es-ES_tradnl"/>
        </w:rPr>
        <w:t>El Consejo examinó el documento</w:t>
      </w:r>
      <w:r w:rsidR="003A50D4" w:rsidRPr="003A50D4">
        <w:rPr>
          <w:lang w:val="es-ES_tradnl"/>
        </w:rPr>
        <w:t> C/49/9.</w:t>
      </w:r>
    </w:p>
    <w:p w:rsidR="00D458AF" w:rsidRPr="009B75DA" w:rsidRDefault="00D458AF" w:rsidP="00D458AF">
      <w:pPr>
        <w:rPr>
          <w:lang w:val="es-ES"/>
        </w:rPr>
      </w:pPr>
    </w:p>
    <w:p w:rsidR="00D458AF" w:rsidRPr="009B75DA" w:rsidRDefault="00DF030B" w:rsidP="00D458AF">
      <w:pPr>
        <w:pStyle w:val="DecisionParagraphs"/>
        <w:tabs>
          <w:tab w:val="clear" w:pos="5387"/>
        </w:tabs>
        <w:ind w:left="0"/>
        <w:rPr>
          <w:i w:val="0"/>
          <w:lang w:val="es-ES"/>
        </w:rPr>
      </w:pPr>
      <w:r w:rsidRPr="00BD03EE">
        <w:rPr>
          <w:i w:val="0"/>
        </w:rPr>
        <w:fldChar w:fldCharType="begin"/>
      </w:r>
      <w:r w:rsidR="00D458AF" w:rsidRPr="009B75DA">
        <w:rPr>
          <w:i w:val="0"/>
          <w:lang w:val="es-ES"/>
        </w:rPr>
        <w:instrText xml:space="preserve"> AUTONUM  </w:instrText>
      </w:r>
      <w:r w:rsidRPr="00BD03EE">
        <w:rPr>
          <w:i w:val="0"/>
        </w:rPr>
        <w:fldChar w:fldCharType="end"/>
      </w:r>
      <w:r w:rsidR="00D458AF" w:rsidRPr="009B75DA">
        <w:rPr>
          <w:i w:val="0"/>
          <w:lang w:val="es-ES"/>
        </w:rPr>
        <w:tab/>
      </w:r>
      <w:r w:rsidR="003A50D4" w:rsidRPr="007658B5">
        <w:rPr>
          <w:i w:val="0"/>
          <w:lang w:val="es-ES_tradnl"/>
        </w:rPr>
        <w:t>El Consejo tomó nota de la labor del Comité Administrativo y Jurídico (CAJ)</w:t>
      </w:r>
      <w:r w:rsidR="003A50D4" w:rsidRPr="009740F9">
        <w:rPr>
          <w:i w:val="0"/>
          <w:lang w:val="es-ES_tradnl"/>
        </w:rPr>
        <w:t xml:space="preserve">, </w:t>
      </w:r>
      <w:r w:rsidR="003A50D4" w:rsidRPr="007658B5">
        <w:rPr>
          <w:i w:val="0"/>
          <w:lang w:val="es-ES_tradnl"/>
        </w:rPr>
        <w:t>de la que se informa en el documento</w:t>
      </w:r>
      <w:r w:rsidR="003A50D4" w:rsidRPr="009740F9">
        <w:rPr>
          <w:i w:val="0"/>
          <w:lang w:val="es-ES_tradnl"/>
        </w:rPr>
        <w:t xml:space="preserve"> C/49/9 </w:t>
      </w:r>
      <w:r w:rsidR="003A50D4" w:rsidRPr="007658B5">
        <w:rPr>
          <w:i w:val="0"/>
          <w:lang w:val="es-ES_tradnl"/>
        </w:rPr>
        <w:t>y en el inform</w:t>
      </w:r>
      <w:r w:rsidR="009740F9" w:rsidRPr="007658B5">
        <w:rPr>
          <w:i w:val="0"/>
          <w:lang w:val="es-ES_tradnl"/>
        </w:rPr>
        <w:t>e verbal del Presidente del CAJ</w:t>
      </w:r>
      <w:r w:rsidR="003A50D4" w:rsidRPr="009740F9">
        <w:rPr>
          <w:i w:val="0"/>
          <w:lang w:val="es-ES_tradnl"/>
        </w:rPr>
        <w:t xml:space="preserve"> (</w:t>
      </w:r>
      <w:r w:rsidR="003A50D4" w:rsidRPr="007658B5">
        <w:rPr>
          <w:i w:val="0"/>
          <w:lang w:val="es-ES_tradnl"/>
        </w:rPr>
        <w:t>véase el documento</w:t>
      </w:r>
      <w:r w:rsidR="009740F9" w:rsidRPr="009740F9">
        <w:rPr>
          <w:i w:val="0"/>
          <w:lang w:val="es-ES_tradnl"/>
        </w:rPr>
        <w:t> </w:t>
      </w:r>
      <w:r w:rsidR="003A50D4" w:rsidRPr="009740F9">
        <w:rPr>
          <w:i w:val="0"/>
          <w:lang w:val="es-ES_tradnl"/>
        </w:rPr>
        <w:t>CAJ/72/9 “</w:t>
      </w:r>
      <w:r w:rsidR="003A50D4" w:rsidRPr="007658B5">
        <w:rPr>
          <w:i w:val="0"/>
          <w:lang w:val="es-ES_tradnl"/>
        </w:rPr>
        <w:t>Informe sobre las conclusiones</w:t>
      </w:r>
      <w:r w:rsidR="003A50D4" w:rsidRPr="009740F9">
        <w:rPr>
          <w:i w:val="0"/>
          <w:lang w:val="es-ES_tradnl"/>
        </w:rPr>
        <w:t>”).</w:t>
      </w:r>
    </w:p>
    <w:p w:rsidR="00D458AF" w:rsidRPr="009B75DA" w:rsidRDefault="00D458AF" w:rsidP="00D458AF">
      <w:pPr>
        <w:pStyle w:val="DecisionParagraphs"/>
        <w:tabs>
          <w:tab w:val="clear" w:pos="5387"/>
        </w:tabs>
        <w:ind w:left="0"/>
        <w:rPr>
          <w:i w:val="0"/>
          <w:lang w:val="es-ES"/>
        </w:rPr>
      </w:pPr>
    </w:p>
    <w:p w:rsidR="00D458AF" w:rsidRPr="009B75DA" w:rsidRDefault="00DF030B" w:rsidP="00D458AF">
      <w:pPr>
        <w:rPr>
          <w:lang w:val="es-ES"/>
        </w:rPr>
      </w:pPr>
      <w:r w:rsidRPr="00393D08">
        <w:fldChar w:fldCharType="begin"/>
      </w:r>
      <w:r w:rsidR="00D458AF" w:rsidRPr="009B75DA">
        <w:rPr>
          <w:lang w:val="es-ES"/>
        </w:rPr>
        <w:instrText xml:space="preserve"> AUTONUM  </w:instrText>
      </w:r>
      <w:r w:rsidRPr="00393D08">
        <w:fldChar w:fldCharType="end"/>
      </w:r>
      <w:r w:rsidR="00D458AF" w:rsidRPr="009B75DA">
        <w:rPr>
          <w:lang w:val="es-ES"/>
        </w:rPr>
        <w:tab/>
      </w:r>
      <w:r w:rsidR="009740F9" w:rsidRPr="009740F9">
        <w:rPr>
          <w:lang w:val="es-ES_tradnl"/>
        </w:rPr>
        <w:t xml:space="preserve">El </w:t>
      </w:r>
      <w:r w:rsidR="009740F9" w:rsidRPr="007658B5">
        <w:rPr>
          <w:lang w:val="es-ES_tradnl"/>
        </w:rPr>
        <w:t>Presidente del CAJ</w:t>
      </w:r>
      <w:r w:rsidR="009740F9" w:rsidRPr="009740F9">
        <w:rPr>
          <w:lang w:val="es-ES_tradnl"/>
        </w:rPr>
        <w:t xml:space="preserve"> </w:t>
      </w:r>
      <w:r w:rsidR="009740F9" w:rsidRPr="007658B5">
        <w:rPr>
          <w:lang w:val="es-ES_tradnl"/>
        </w:rPr>
        <w:t>tomó nota de la solicitud de la Delegación de la Federación de Rusia de debatir una posible revisión futura de las “Notas explicativas sobre la protección provisional con arreglo al Convenio de la UPOV” en la septuagésima tercera sesión del</w:t>
      </w:r>
      <w:r w:rsidR="009740F9" w:rsidRPr="009740F9">
        <w:rPr>
          <w:lang w:val="es-ES_tradnl"/>
        </w:rPr>
        <w:t xml:space="preserve"> CAJ.</w:t>
      </w:r>
    </w:p>
    <w:p w:rsidR="00D458AF" w:rsidRPr="009B75DA" w:rsidRDefault="00D458AF" w:rsidP="00D458AF">
      <w:pPr>
        <w:pStyle w:val="DecisionParagraphs"/>
        <w:tabs>
          <w:tab w:val="clear" w:pos="5387"/>
        </w:tabs>
        <w:ind w:left="0"/>
        <w:rPr>
          <w:i w:val="0"/>
          <w:lang w:val="es-ES"/>
        </w:rPr>
      </w:pPr>
    </w:p>
    <w:p w:rsidR="00D458AF" w:rsidRPr="009B75DA" w:rsidRDefault="00DF030B" w:rsidP="00D458AF">
      <w:pPr>
        <w:pStyle w:val="DecisionParagraphs"/>
        <w:tabs>
          <w:tab w:val="clear" w:pos="5387"/>
        </w:tabs>
        <w:ind w:left="0"/>
        <w:rPr>
          <w:i w:val="0"/>
          <w:lang w:val="es-ES"/>
        </w:rPr>
      </w:pPr>
      <w:r w:rsidRPr="00BD03EE">
        <w:rPr>
          <w:i w:val="0"/>
        </w:rPr>
        <w:fldChar w:fldCharType="begin"/>
      </w:r>
      <w:r w:rsidR="00D458AF" w:rsidRPr="009B75DA">
        <w:rPr>
          <w:i w:val="0"/>
          <w:lang w:val="es-ES"/>
        </w:rPr>
        <w:instrText xml:space="preserve"> AUTONUM  </w:instrText>
      </w:r>
      <w:r w:rsidRPr="00BD03EE">
        <w:rPr>
          <w:i w:val="0"/>
        </w:rPr>
        <w:fldChar w:fldCharType="end"/>
      </w:r>
      <w:r w:rsidR="00D458AF" w:rsidRPr="009B75DA">
        <w:rPr>
          <w:i w:val="0"/>
          <w:lang w:val="es-ES"/>
        </w:rPr>
        <w:tab/>
      </w:r>
      <w:r w:rsidR="009740F9" w:rsidRPr="007658B5">
        <w:rPr>
          <w:i w:val="0"/>
          <w:lang w:val="es-ES_tradnl"/>
        </w:rPr>
        <w:t>El Consejo</w:t>
      </w:r>
      <w:r w:rsidR="009740F9" w:rsidRPr="009740F9">
        <w:rPr>
          <w:i w:val="0"/>
          <w:lang w:val="es-ES_tradnl"/>
        </w:rPr>
        <w:t xml:space="preserve"> </w:t>
      </w:r>
      <w:r w:rsidR="009740F9" w:rsidRPr="007658B5">
        <w:rPr>
          <w:i w:val="0"/>
          <w:lang w:val="es-ES_tradnl"/>
        </w:rPr>
        <w:t>aprobó el programa de trabajo para la</w:t>
      </w:r>
      <w:r w:rsidR="009740F9" w:rsidRPr="009740F9">
        <w:rPr>
          <w:i w:val="0"/>
          <w:lang w:val="es-ES_tradnl"/>
        </w:rPr>
        <w:t xml:space="preserve"> septuagésima tercera </w:t>
      </w:r>
      <w:r w:rsidR="009740F9" w:rsidRPr="007658B5">
        <w:rPr>
          <w:i w:val="0"/>
          <w:lang w:val="es-ES_tradnl"/>
        </w:rPr>
        <w:t>sesión del CAJ, presentado en el informe verbal del Presidente del CAJ</w:t>
      </w:r>
      <w:r w:rsidR="009740F9" w:rsidRPr="009740F9">
        <w:rPr>
          <w:i w:val="0"/>
          <w:lang w:val="es-ES_tradnl"/>
        </w:rPr>
        <w:t xml:space="preserve"> (</w:t>
      </w:r>
      <w:r w:rsidR="009740F9" w:rsidRPr="007658B5">
        <w:rPr>
          <w:i w:val="0"/>
          <w:lang w:val="es-ES_tradnl"/>
        </w:rPr>
        <w:t>véase también el documento</w:t>
      </w:r>
      <w:r w:rsidR="009740F9" w:rsidRPr="009740F9">
        <w:rPr>
          <w:i w:val="0"/>
          <w:lang w:val="es-ES_tradnl"/>
        </w:rPr>
        <w:t> CAJ/72/9 “</w:t>
      </w:r>
      <w:r w:rsidR="009740F9" w:rsidRPr="007658B5">
        <w:rPr>
          <w:i w:val="0"/>
          <w:lang w:val="es-ES_tradnl"/>
        </w:rPr>
        <w:t>Informe sobre las conclusiones</w:t>
      </w:r>
      <w:r w:rsidR="009740F9" w:rsidRPr="009740F9">
        <w:rPr>
          <w:i w:val="0"/>
          <w:lang w:val="es-ES_tradnl"/>
        </w:rPr>
        <w:t>”).</w:t>
      </w:r>
    </w:p>
    <w:p w:rsidR="00D458AF" w:rsidRPr="009B75DA" w:rsidRDefault="00D458AF" w:rsidP="00D458AF">
      <w:pPr>
        <w:rPr>
          <w:lang w:val="es-ES"/>
        </w:rPr>
      </w:pPr>
    </w:p>
    <w:p w:rsidR="00D458AF" w:rsidRPr="009B75DA" w:rsidRDefault="00D458AF" w:rsidP="00D458AF">
      <w:pPr>
        <w:rPr>
          <w:lang w:val="es-ES"/>
        </w:rPr>
      </w:pPr>
    </w:p>
    <w:p w:rsidR="00D458AF" w:rsidRPr="009B75DA" w:rsidRDefault="009740F9" w:rsidP="00D458AF">
      <w:pPr>
        <w:keepNext/>
        <w:rPr>
          <w:u w:val="single"/>
          <w:lang w:val="es-ES"/>
        </w:rPr>
      </w:pPr>
      <w:r w:rsidRPr="007658B5">
        <w:rPr>
          <w:u w:val="single"/>
          <w:lang w:val="es-ES_tradnl"/>
        </w:rPr>
        <w:t>Informe sobre la marcha de la labor del Comité Técnico, los Grupos de Trabajo Técnico y el Grupo de Trabajo sobre Técnicas Bioquímicas y Moleculares, y Perfiles de ADN en particular</w:t>
      </w:r>
    </w:p>
    <w:p w:rsidR="00D458AF" w:rsidRPr="009B75DA" w:rsidRDefault="00D458AF" w:rsidP="00D458AF">
      <w:pPr>
        <w:keepNext/>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9740F9" w:rsidRPr="007658B5">
        <w:rPr>
          <w:lang w:val="es-ES_tradnl"/>
        </w:rPr>
        <w:t>El Consejo examinó el documento</w:t>
      </w:r>
      <w:r w:rsidR="009740F9" w:rsidRPr="009740F9">
        <w:rPr>
          <w:lang w:val="es-ES_tradnl"/>
        </w:rPr>
        <w:t> C/49/10.</w:t>
      </w:r>
    </w:p>
    <w:p w:rsidR="00D458AF" w:rsidRPr="009B75DA" w:rsidRDefault="00D458AF" w:rsidP="00D458AF">
      <w:pPr>
        <w:rPr>
          <w:lang w:val="es-ES"/>
        </w:rPr>
      </w:pPr>
    </w:p>
    <w:p w:rsidR="00D458AF" w:rsidRPr="009B75DA" w:rsidRDefault="00DF030B" w:rsidP="00D458AF">
      <w:pPr>
        <w:rPr>
          <w:rFonts w:cs="Arial"/>
          <w:lang w:val="es-ES"/>
        </w:rPr>
      </w:pPr>
      <w:r w:rsidRPr="00BD03EE">
        <w:rPr>
          <w:rFonts w:cs="Arial"/>
        </w:rPr>
        <w:fldChar w:fldCharType="begin"/>
      </w:r>
      <w:r w:rsidR="00D458AF" w:rsidRPr="009B75DA">
        <w:rPr>
          <w:rFonts w:cs="Arial"/>
          <w:lang w:val="es-ES"/>
        </w:rPr>
        <w:instrText xml:space="preserve"> AUTONUM  </w:instrText>
      </w:r>
      <w:r w:rsidRPr="00BD03EE">
        <w:rPr>
          <w:rFonts w:cs="Arial"/>
        </w:rPr>
        <w:fldChar w:fldCharType="end"/>
      </w:r>
      <w:r w:rsidR="00D458AF" w:rsidRPr="009B75DA">
        <w:rPr>
          <w:rFonts w:cs="Arial"/>
          <w:lang w:val="es-ES"/>
        </w:rPr>
        <w:tab/>
      </w:r>
      <w:r w:rsidR="009740F9" w:rsidRPr="007658B5">
        <w:rPr>
          <w:rFonts w:cs="Arial"/>
          <w:lang w:val="es-ES_tradnl"/>
        </w:rPr>
        <w:t xml:space="preserve">El Consejo </w:t>
      </w:r>
      <w:r w:rsidR="009740F9" w:rsidRPr="007658B5">
        <w:rPr>
          <w:lang w:val="es-ES_tradnl"/>
        </w:rPr>
        <w:t>tomó nota de la labor del</w:t>
      </w:r>
      <w:r w:rsidR="009740F9" w:rsidRPr="009740F9">
        <w:rPr>
          <w:rFonts w:cs="Arial"/>
          <w:lang w:val="es-ES_tradnl"/>
        </w:rPr>
        <w:t xml:space="preserve"> </w:t>
      </w:r>
      <w:r w:rsidR="009740F9" w:rsidRPr="007658B5">
        <w:rPr>
          <w:rFonts w:cs="Arial"/>
          <w:lang w:val="es-ES_tradnl"/>
        </w:rPr>
        <w:t xml:space="preserve">Comité Técnico (TC) y sus Grupos de Trabajo Técnico (TWP), incluido el </w:t>
      </w:r>
      <w:r w:rsidR="009740F9" w:rsidRPr="007658B5">
        <w:rPr>
          <w:lang w:val="es-ES_tradnl"/>
        </w:rPr>
        <w:t>Grupo de Trabajo sobre Técnicas Bioquímicas y Moleculares, y Perfiles de ADN en particular (BMT)</w:t>
      </w:r>
      <w:r w:rsidR="009740F9" w:rsidRPr="007658B5">
        <w:rPr>
          <w:rFonts w:cs="Arial"/>
          <w:lang w:val="es-ES_tradnl"/>
        </w:rPr>
        <w:t>,</w:t>
      </w:r>
      <w:r w:rsidR="009740F9" w:rsidRPr="009740F9">
        <w:rPr>
          <w:rFonts w:cs="Arial"/>
          <w:lang w:val="es-ES_tradnl"/>
        </w:rPr>
        <w:t xml:space="preserve"> </w:t>
      </w:r>
      <w:r w:rsidR="009740F9" w:rsidRPr="007658B5">
        <w:rPr>
          <w:lang w:val="es-ES_tradnl"/>
        </w:rPr>
        <w:t>de la que se informa al TC en el documento</w:t>
      </w:r>
      <w:r w:rsidR="009740F9" w:rsidRPr="009740F9">
        <w:rPr>
          <w:rFonts w:cs="Arial"/>
          <w:lang w:val="es-ES_tradnl"/>
        </w:rPr>
        <w:t> C/49/10.</w:t>
      </w:r>
    </w:p>
    <w:p w:rsidR="00D458AF" w:rsidRPr="009B75DA" w:rsidRDefault="00D458AF" w:rsidP="00D458AF">
      <w:pPr>
        <w:rPr>
          <w:rFonts w:cs="Arial"/>
          <w:lang w:val="es-ES"/>
        </w:rPr>
      </w:pPr>
    </w:p>
    <w:p w:rsidR="00D458AF" w:rsidRPr="009B75DA" w:rsidRDefault="00DF030B" w:rsidP="00D458AF">
      <w:pPr>
        <w:rPr>
          <w:rFonts w:cs="Arial"/>
          <w:lang w:val="es-ES"/>
        </w:rPr>
      </w:pPr>
      <w:r w:rsidRPr="00BD03EE">
        <w:rPr>
          <w:rFonts w:cs="Arial"/>
        </w:rPr>
        <w:fldChar w:fldCharType="begin"/>
      </w:r>
      <w:r w:rsidR="00D458AF" w:rsidRPr="009B75DA">
        <w:rPr>
          <w:rFonts w:cs="Arial"/>
          <w:lang w:val="es-ES"/>
        </w:rPr>
        <w:instrText xml:space="preserve"> AUTONUM  </w:instrText>
      </w:r>
      <w:r w:rsidRPr="00BD03EE">
        <w:rPr>
          <w:rFonts w:cs="Arial"/>
        </w:rPr>
        <w:fldChar w:fldCharType="end"/>
      </w:r>
      <w:r w:rsidR="00D458AF" w:rsidRPr="009B75DA">
        <w:rPr>
          <w:rFonts w:cs="Arial"/>
          <w:lang w:val="es-ES"/>
        </w:rPr>
        <w:tab/>
      </w:r>
      <w:r w:rsidR="009740F9" w:rsidRPr="007658B5">
        <w:rPr>
          <w:rFonts w:cs="Arial"/>
          <w:lang w:val="es-ES_tradnl"/>
        </w:rPr>
        <w:t xml:space="preserve">El Consejo </w:t>
      </w:r>
      <w:r w:rsidR="009740F9" w:rsidRPr="007658B5">
        <w:rPr>
          <w:lang w:val="es-ES_tradnl"/>
        </w:rPr>
        <w:t>aprobó la labor del TC y los programas de trabajo del TWP y el BMT, expuestos en el documento</w:t>
      </w:r>
      <w:r w:rsidR="009740F9" w:rsidRPr="009740F9">
        <w:rPr>
          <w:rFonts w:cs="Arial"/>
          <w:lang w:val="es-ES_tradnl"/>
        </w:rPr>
        <w:t> C/49/10.</w:t>
      </w:r>
    </w:p>
    <w:p w:rsidR="00D458AF" w:rsidRPr="009B75DA" w:rsidRDefault="00D458AF" w:rsidP="00D458AF">
      <w:pPr>
        <w:rPr>
          <w:lang w:val="es-ES"/>
        </w:rPr>
      </w:pPr>
    </w:p>
    <w:p w:rsidR="00D458AF" w:rsidRPr="009B75DA" w:rsidRDefault="00D458AF" w:rsidP="00D458AF">
      <w:pPr>
        <w:rPr>
          <w:lang w:val="es-ES"/>
        </w:rPr>
      </w:pPr>
    </w:p>
    <w:p w:rsidR="00D458AF" w:rsidRPr="009B75DA" w:rsidRDefault="009740F9" w:rsidP="00D458AF">
      <w:pPr>
        <w:keepNext/>
        <w:rPr>
          <w:u w:val="single"/>
          <w:lang w:val="es-ES"/>
        </w:rPr>
      </w:pPr>
      <w:r w:rsidRPr="007658B5">
        <w:rPr>
          <w:u w:val="single"/>
          <w:lang w:val="es-ES_tradnl"/>
        </w:rPr>
        <w:t>Calendario de reuniones en</w:t>
      </w:r>
      <w:r w:rsidRPr="009740F9">
        <w:rPr>
          <w:u w:val="single"/>
          <w:lang w:val="es-ES_tradnl"/>
        </w:rPr>
        <w:t xml:space="preserve"> 2016</w:t>
      </w:r>
    </w:p>
    <w:p w:rsidR="00D458AF" w:rsidRPr="009B75DA" w:rsidRDefault="00D458AF" w:rsidP="00D458AF">
      <w:pPr>
        <w:keepNext/>
        <w:rPr>
          <w:lang w:val="es-ES"/>
        </w:rPr>
      </w:pPr>
    </w:p>
    <w:p w:rsidR="00D458AF" w:rsidRPr="009B75DA" w:rsidRDefault="00DF030B" w:rsidP="003B3B6E">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605706" w:rsidRPr="00605706">
        <w:rPr>
          <w:lang w:val="es-ES_tradnl"/>
        </w:rPr>
        <w:t>E</w:t>
      </w:r>
      <w:r w:rsidR="009740F9" w:rsidRPr="00605706">
        <w:rPr>
          <w:lang w:val="es-ES_tradnl"/>
        </w:rPr>
        <w:t xml:space="preserve">l Consejo </w:t>
      </w:r>
      <w:r w:rsidR="00605706" w:rsidRPr="007658B5">
        <w:rPr>
          <w:lang w:val="es-ES_tradnl"/>
        </w:rPr>
        <w:t>recibió un informe sobre</w:t>
      </w:r>
      <w:r w:rsidR="00605706" w:rsidRPr="00605706">
        <w:rPr>
          <w:lang w:val="es-ES_tradnl"/>
        </w:rPr>
        <w:t xml:space="preserve"> las</w:t>
      </w:r>
      <w:r w:rsidR="009740F9" w:rsidRPr="00605706">
        <w:rPr>
          <w:lang w:val="es-ES_tradnl"/>
        </w:rPr>
        <w:t xml:space="preserve"> </w:t>
      </w:r>
      <w:r w:rsidR="00605706" w:rsidRPr="007658B5">
        <w:rPr>
          <w:lang w:val="es-ES_tradnl"/>
        </w:rPr>
        <w:t>recomendaciones</w:t>
      </w:r>
      <w:r w:rsidR="009740F9" w:rsidRPr="007658B5">
        <w:rPr>
          <w:lang w:val="es-ES_tradnl"/>
        </w:rPr>
        <w:t xml:space="preserve"> </w:t>
      </w:r>
      <w:r w:rsidR="00605706" w:rsidRPr="007658B5">
        <w:rPr>
          <w:lang w:val="es-ES_tradnl"/>
        </w:rPr>
        <w:t>formuladas por</w:t>
      </w:r>
      <w:r w:rsidR="00605706" w:rsidRPr="00605706">
        <w:rPr>
          <w:lang w:val="es-ES_tradnl"/>
        </w:rPr>
        <w:t xml:space="preserve"> el </w:t>
      </w:r>
      <w:r w:rsidR="00605706" w:rsidRPr="007658B5">
        <w:rPr>
          <w:lang w:val="es-ES_tradnl"/>
        </w:rPr>
        <w:t>Comité Consultivo</w:t>
      </w:r>
      <w:r w:rsidR="00605706" w:rsidRPr="00605706">
        <w:rPr>
          <w:lang w:val="es-ES_tradnl"/>
        </w:rPr>
        <w:t xml:space="preserve"> </w:t>
      </w:r>
      <w:r w:rsidR="00605706" w:rsidRPr="007658B5">
        <w:rPr>
          <w:lang w:val="es-ES_tradnl"/>
        </w:rPr>
        <w:t xml:space="preserve">relativas al </w:t>
      </w:r>
      <w:r w:rsidR="009740F9" w:rsidRPr="007658B5">
        <w:rPr>
          <w:snapToGrid w:val="0"/>
          <w:lang w:val="es-ES_tradnl"/>
        </w:rPr>
        <w:t>calendar</w:t>
      </w:r>
      <w:r w:rsidR="00605706" w:rsidRPr="007658B5">
        <w:rPr>
          <w:snapToGrid w:val="0"/>
          <w:lang w:val="es-ES_tradnl"/>
        </w:rPr>
        <w:t xml:space="preserve">io </w:t>
      </w:r>
      <w:r w:rsidR="00605706" w:rsidRPr="007658B5">
        <w:rPr>
          <w:lang w:val="es-ES_tradnl"/>
        </w:rPr>
        <w:t>de reuniones en</w:t>
      </w:r>
      <w:r w:rsidR="009740F9" w:rsidRPr="00605706">
        <w:rPr>
          <w:snapToGrid w:val="0"/>
          <w:lang w:val="es-ES_tradnl"/>
        </w:rPr>
        <w:t xml:space="preserve"> 2016 (véase el documento</w:t>
      </w:r>
      <w:r w:rsidR="00605706" w:rsidRPr="00605706">
        <w:rPr>
          <w:snapToGrid w:val="0"/>
          <w:lang w:val="es-ES_tradnl"/>
        </w:rPr>
        <w:t> </w:t>
      </w:r>
      <w:r w:rsidR="009740F9" w:rsidRPr="00605706">
        <w:rPr>
          <w:snapToGrid w:val="0"/>
          <w:lang w:val="es-ES_tradnl"/>
        </w:rPr>
        <w:t>C/49/16 “</w:t>
      </w:r>
      <w:r w:rsidR="00605706" w:rsidRPr="007658B5">
        <w:rPr>
          <w:snapToGrid w:val="0"/>
          <w:lang w:val="es-ES_tradnl"/>
        </w:rPr>
        <w:t>Informe de la Presidenta sobre los trabajos de la nonagésima sesión del Comité Consultivo; aprobación, si procede, de las recomendaciones preparadas por dicho Comité</w:t>
      </w:r>
      <w:r w:rsidR="009740F9" w:rsidRPr="00605706">
        <w:rPr>
          <w:snapToGrid w:val="0"/>
          <w:lang w:val="es-ES_tradnl"/>
        </w:rPr>
        <w:t xml:space="preserve">”, párrafos 64 </w:t>
      </w:r>
      <w:r w:rsidR="00605706" w:rsidRPr="00605706">
        <w:rPr>
          <w:snapToGrid w:val="0"/>
          <w:lang w:val="es-ES_tradnl"/>
        </w:rPr>
        <w:t xml:space="preserve">al </w:t>
      </w:r>
      <w:r w:rsidR="009740F9" w:rsidRPr="00605706">
        <w:rPr>
          <w:snapToGrid w:val="0"/>
          <w:lang w:val="es-ES_tradnl"/>
        </w:rPr>
        <w:t xml:space="preserve">66), </w:t>
      </w:r>
      <w:r w:rsidR="00605706" w:rsidRPr="00605706">
        <w:rPr>
          <w:snapToGrid w:val="0"/>
          <w:lang w:val="es-ES_tradnl"/>
        </w:rPr>
        <w:t xml:space="preserve">en el que </w:t>
      </w:r>
      <w:r w:rsidR="00605706" w:rsidRPr="007658B5">
        <w:rPr>
          <w:snapToGrid w:val="0"/>
          <w:lang w:val="es-ES_tradnl"/>
        </w:rPr>
        <w:t xml:space="preserve">se </w:t>
      </w:r>
      <w:r w:rsidR="009740F9" w:rsidRPr="007658B5">
        <w:rPr>
          <w:snapToGrid w:val="0"/>
          <w:lang w:val="es-ES_tradnl"/>
        </w:rPr>
        <w:t>in</w:t>
      </w:r>
      <w:r w:rsidR="00605706" w:rsidRPr="007658B5">
        <w:rPr>
          <w:snapToGrid w:val="0"/>
          <w:lang w:val="es-ES_tradnl"/>
        </w:rPr>
        <w:t>formó</w:t>
      </w:r>
      <w:r w:rsidR="009740F9" w:rsidRPr="007658B5">
        <w:rPr>
          <w:snapToGrid w:val="0"/>
          <w:lang w:val="es-ES_tradnl"/>
        </w:rPr>
        <w:t xml:space="preserve"> </w:t>
      </w:r>
      <w:r w:rsidR="00605706" w:rsidRPr="007658B5">
        <w:rPr>
          <w:snapToGrid w:val="0"/>
          <w:lang w:val="es-ES_tradnl"/>
        </w:rPr>
        <w:t>de que</w:t>
      </w:r>
      <w:r w:rsidR="00605706" w:rsidRPr="00605706">
        <w:rPr>
          <w:snapToGrid w:val="0"/>
          <w:lang w:val="es-ES_tradnl"/>
        </w:rPr>
        <w:t xml:space="preserve"> el </w:t>
      </w:r>
      <w:r w:rsidR="009740F9" w:rsidRPr="00605706">
        <w:rPr>
          <w:snapToGrid w:val="0"/>
          <w:lang w:val="es-ES_tradnl"/>
        </w:rPr>
        <w:t>CAJ:</w:t>
      </w:r>
    </w:p>
    <w:p w:rsidR="00D458AF" w:rsidRPr="009B75DA" w:rsidRDefault="00D458AF" w:rsidP="00D458AF">
      <w:pPr>
        <w:rPr>
          <w:snapToGrid w:val="0"/>
          <w:lang w:val="es-ES"/>
        </w:rPr>
      </w:pPr>
    </w:p>
    <w:p w:rsidR="00E53324" w:rsidRPr="009B75DA" w:rsidRDefault="00E53324" w:rsidP="003B3B6E">
      <w:pPr>
        <w:ind w:firstLine="567"/>
        <w:rPr>
          <w:snapToGrid w:val="0"/>
          <w:lang w:val="es-ES"/>
        </w:rPr>
      </w:pPr>
      <w:r w:rsidRPr="009B75DA">
        <w:rPr>
          <w:snapToGrid w:val="0"/>
          <w:lang w:val="es-ES"/>
        </w:rPr>
        <w:t>a)</w:t>
      </w:r>
      <w:r w:rsidRPr="009B75DA">
        <w:rPr>
          <w:snapToGrid w:val="0"/>
          <w:lang w:val="es-ES"/>
        </w:rPr>
        <w:tab/>
      </w:r>
      <w:r w:rsidRPr="00910D94">
        <w:rPr>
          <w:snapToGrid w:val="0"/>
          <w:lang w:val="es-ES_tradnl"/>
        </w:rPr>
        <w:t xml:space="preserve">propuso que no se celebrara una </w:t>
      </w:r>
      <w:r w:rsidRPr="007658B5">
        <w:rPr>
          <w:snapToGrid w:val="0"/>
          <w:lang w:val="es-ES_tradnl"/>
        </w:rPr>
        <w:t>sesión del CAJ</w:t>
      </w:r>
      <w:r w:rsidRPr="00910D94">
        <w:rPr>
          <w:snapToGrid w:val="0"/>
          <w:lang w:val="es-ES_tradnl"/>
        </w:rPr>
        <w:t xml:space="preserve"> en marzo de 2016 y que se celebrara una </w:t>
      </w:r>
      <w:r w:rsidRPr="007658B5">
        <w:rPr>
          <w:snapToGrid w:val="0"/>
          <w:lang w:val="es-ES_tradnl"/>
        </w:rPr>
        <w:t>sesión del CAJ</w:t>
      </w:r>
      <w:r w:rsidRPr="00910D94">
        <w:rPr>
          <w:snapToGrid w:val="0"/>
          <w:lang w:val="es-ES_tradnl"/>
        </w:rPr>
        <w:t xml:space="preserve"> </w:t>
      </w:r>
      <w:r w:rsidRPr="007658B5">
        <w:rPr>
          <w:snapToGrid w:val="0"/>
          <w:lang w:val="es-ES_tradnl"/>
        </w:rPr>
        <w:t xml:space="preserve">de dos días </w:t>
      </w:r>
      <w:r w:rsidRPr="00910D94">
        <w:rPr>
          <w:snapToGrid w:val="0"/>
          <w:lang w:val="es-ES_tradnl"/>
        </w:rPr>
        <w:t>en octubre de 2016;</w:t>
      </w:r>
    </w:p>
    <w:p w:rsidR="00E53324" w:rsidRPr="009B75DA" w:rsidRDefault="00E53324" w:rsidP="003B3B6E">
      <w:pPr>
        <w:ind w:firstLine="567"/>
        <w:rPr>
          <w:snapToGrid w:val="0"/>
          <w:lang w:val="es-ES"/>
        </w:rPr>
      </w:pPr>
    </w:p>
    <w:p w:rsidR="00E53324" w:rsidRPr="009B75DA" w:rsidRDefault="00E53324" w:rsidP="003B3B6E">
      <w:pPr>
        <w:ind w:firstLine="567"/>
        <w:rPr>
          <w:rFonts w:cs="Arial"/>
          <w:snapToGrid w:val="0"/>
          <w:lang w:val="es-ES" w:eastAsia="ja-JP"/>
        </w:rPr>
      </w:pPr>
      <w:r w:rsidRPr="009B75DA">
        <w:rPr>
          <w:snapToGrid w:val="0"/>
          <w:lang w:val="es-ES"/>
        </w:rPr>
        <w:t>b)</w:t>
      </w:r>
      <w:r w:rsidRPr="009B75DA">
        <w:rPr>
          <w:snapToGrid w:val="0"/>
          <w:lang w:val="es-ES"/>
        </w:rPr>
        <w:tab/>
      </w:r>
      <w:r w:rsidRPr="00D210E3">
        <w:rPr>
          <w:snapToGrid w:val="0"/>
          <w:lang w:val="es-ES_tradnl"/>
        </w:rPr>
        <w:t xml:space="preserve">acordó ampliar el </w:t>
      </w:r>
      <w:r w:rsidRPr="007658B5">
        <w:rPr>
          <w:lang w:val="es-ES_tradnl"/>
        </w:rPr>
        <w:t>mandato</w:t>
      </w:r>
      <w:r w:rsidRPr="00D210E3">
        <w:rPr>
          <w:lang w:val="es-ES_tradnl"/>
        </w:rPr>
        <w:t xml:space="preserve"> y la composición del </w:t>
      </w:r>
      <w:r w:rsidRPr="007658B5">
        <w:rPr>
          <w:rFonts w:cs="Arial"/>
          <w:snapToGrid w:val="0"/>
          <w:lang w:val="es-ES_tradnl" w:eastAsia="ja-JP"/>
        </w:rPr>
        <w:t xml:space="preserve">Grupo de trabajo para la elaboración de un instrumento de la UPOV de búsqueda de </w:t>
      </w:r>
      <w:r>
        <w:rPr>
          <w:rFonts w:cs="Arial"/>
          <w:snapToGrid w:val="0"/>
          <w:lang w:val="es-ES_tradnl" w:eastAsia="ja-JP"/>
        </w:rPr>
        <w:t xml:space="preserve">similitud a los fines de la </w:t>
      </w:r>
      <w:r w:rsidRPr="007658B5">
        <w:rPr>
          <w:rFonts w:cs="Arial"/>
          <w:snapToGrid w:val="0"/>
          <w:lang w:val="es-ES_tradnl" w:eastAsia="ja-JP"/>
        </w:rPr>
        <w:t>denominaci</w:t>
      </w:r>
      <w:r>
        <w:rPr>
          <w:rFonts w:cs="Arial"/>
          <w:snapToGrid w:val="0"/>
          <w:lang w:val="es-ES_tradnl" w:eastAsia="ja-JP"/>
        </w:rPr>
        <w:t>ón</w:t>
      </w:r>
      <w:r w:rsidRPr="007658B5">
        <w:rPr>
          <w:rFonts w:cs="Arial"/>
          <w:snapToGrid w:val="0"/>
          <w:lang w:val="es-ES_tradnl" w:eastAsia="ja-JP"/>
        </w:rPr>
        <w:t xml:space="preserve"> </w:t>
      </w:r>
      <w:r>
        <w:rPr>
          <w:rFonts w:cs="Arial"/>
          <w:snapToGrid w:val="0"/>
          <w:lang w:val="es-ES_tradnl" w:eastAsia="ja-JP"/>
        </w:rPr>
        <w:t xml:space="preserve">de variedades </w:t>
      </w:r>
      <w:r w:rsidRPr="00D210E3">
        <w:rPr>
          <w:rFonts w:cs="Arial"/>
          <w:snapToGrid w:val="0"/>
          <w:lang w:val="es-ES_tradnl" w:eastAsia="ja-JP"/>
        </w:rPr>
        <w:t>(</w:t>
      </w:r>
      <w:r>
        <w:rPr>
          <w:rFonts w:cs="Arial"/>
          <w:snapToGrid w:val="0"/>
          <w:lang w:val="es-ES_tradnl" w:eastAsia="ja-JP"/>
        </w:rPr>
        <w:t>con el nuevo nombre de “</w:t>
      </w:r>
      <w:r w:rsidRPr="00D210E3">
        <w:rPr>
          <w:rFonts w:cs="Arial"/>
          <w:snapToGrid w:val="0"/>
          <w:lang w:val="es-ES_tradnl" w:eastAsia="ja-JP"/>
        </w:rPr>
        <w:t>Grupo de Trabajo sobre Denominaciones de Variedades (WG-DEN)</w:t>
      </w:r>
      <w:r>
        <w:rPr>
          <w:rFonts w:cs="Arial"/>
          <w:snapToGrid w:val="0"/>
          <w:lang w:val="es-ES_tradnl" w:eastAsia="ja-JP"/>
        </w:rPr>
        <w:t>”</w:t>
      </w:r>
      <w:r w:rsidRPr="00D210E3">
        <w:rPr>
          <w:rFonts w:cs="Arial"/>
          <w:snapToGrid w:val="0"/>
          <w:lang w:val="es-ES_tradnl" w:eastAsia="ja-JP"/>
        </w:rPr>
        <w:t xml:space="preserve">) </w:t>
      </w:r>
      <w:r w:rsidR="00292DD5" w:rsidRPr="00CB7C2B">
        <w:t xml:space="preserve">a fin de que </w:t>
      </w:r>
      <w:proofErr w:type="spellStart"/>
      <w:r w:rsidR="00292DD5" w:rsidRPr="00CB7C2B">
        <w:t>formule</w:t>
      </w:r>
      <w:proofErr w:type="spellEnd"/>
      <w:r w:rsidR="00292DD5" w:rsidRPr="00CB7C2B">
        <w:t xml:space="preserve"> </w:t>
      </w:r>
      <w:r w:rsidRPr="00D210E3">
        <w:rPr>
          <w:rFonts w:cs="Arial"/>
          <w:snapToGrid w:val="0"/>
          <w:lang w:val="es-ES_tradnl" w:eastAsia="ja-JP"/>
        </w:rPr>
        <w:t xml:space="preserve">recomendaciones para el CAJ </w:t>
      </w:r>
      <w:r w:rsidR="00292DD5">
        <w:rPr>
          <w:rFonts w:cs="Arial"/>
          <w:snapToGrid w:val="0"/>
          <w:lang w:val="es-ES_tradnl" w:eastAsia="ja-JP"/>
        </w:rPr>
        <w:t xml:space="preserve">en relación con </w:t>
      </w:r>
      <w:r w:rsidRPr="00D210E3">
        <w:rPr>
          <w:rFonts w:cs="Arial"/>
          <w:snapToGrid w:val="0"/>
          <w:lang w:val="es-ES_tradnl" w:eastAsia="ja-JP"/>
        </w:rPr>
        <w:t>la revisión del documento UPOV/INF/12 “</w:t>
      </w:r>
      <w:r w:rsidRPr="007658B5">
        <w:rPr>
          <w:rFonts w:cs="Arial"/>
          <w:snapToGrid w:val="0"/>
          <w:lang w:val="es-ES_tradnl" w:eastAsia="ja-JP"/>
        </w:rPr>
        <w:t>Notas explicativas sobre las denominaciones de variedades con arreglo al Convenio de la UPOV</w:t>
      </w:r>
      <w:r w:rsidRPr="00D210E3">
        <w:rPr>
          <w:rFonts w:cs="Arial"/>
          <w:snapToGrid w:val="0"/>
          <w:lang w:val="es-ES_tradnl" w:eastAsia="ja-JP"/>
        </w:rPr>
        <w:t>”</w:t>
      </w:r>
      <w:r>
        <w:rPr>
          <w:rFonts w:cs="Arial"/>
          <w:snapToGrid w:val="0"/>
          <w:lang w:val="es-ES_tradnl" w:eastAsia="ja-JP"/>
        </w:rPr>
        <w:t>,</w:t>
      </w:r>
      <w:r w:rsidRPr="00D210E3">
        <w:rPr>
          <w:rFonts w:cs="Arial"/>
          <w:snapToGrid w:val="0"/>
          <w:lang w:val="es-ES_tradnl" w:eastAsia="ja-JP"/>
        </w:rPr>
        <w:t xml:space="preserve"> y propuso que el WG-DEN se reuniera durante la semana de las </w:t>
      </w:r>
      <w:r w:rsidRPr="007658B5">
        <w:rPr>
          <w:rFonts w:cs="Arial"/>
          <w:snapToGrid w:val="0"/>
          <w:lang w:val="es-ES_tradnl" w:eastAsia="ja-JP"/>
        </w:rPr>
        <w:t>sesiones de la UPOV</w:t>
      </w:r>
      <w:r w:rsidRPr="00D210E3">
        <w:rPr>
          <w:rFonts w:cs="Arial"/>
          <w:snapToGrid w:val="0"/>
          <w:lang w:val="es-ES_tradnl" w:eastAsia="ja-JP"/>
        </w:rPr>
        <w:t xml:space="preserve"> en marzo de 2016;</w:t>
      </w:r>
    </w:p>
    <w:p w:rsidR="00E53324" w:rsidRPr="009B75DA" w:rsidRDefault="00E53324" w:rsidP="003B3B6E">
      <w:pPr>
        <w:ind w:firstLine="567"/>
        <w:rPr>
          <w:rFonts w:cs="Arial"/>
          <w:snapToGrid w:val="0"/>
          <w:lang w:val="es-ES" w:eastAsia="ja-JP"/>
        </w:rPr>
      </w:pPr>
    </w:p>
    <w:p w:rsidR="00E53324" w:rsidRPr="005736F7" w:rsidRDefault="00E53324" w:rsidP="003B3B6E">
      <w:pPr>
        <w:ind w:firstLine="567"/>
        <w:rPr>
          <w:rFonts w:cs="Arial"/>
          <w:snapToGrid w:val="0"/>
          <w:vanish/>
          <w:lang w:val="es-ES" w:eastAsia="ja-JP"/>
        </w:rPr>
      </w:pPr>
      <w:r w:rsidRPr="009B75DA">
        <w:rPr>
          <w:rFonts w:cs="Arial"/>
          <w:snapToGrid w:val="0"/>
          <w:lang w:val="es-ES" w:eastAsia="ja-JP"/>
        </w:rPr>
        <w:t>c)</w:t>
      </w:r>
      <w:r w:rsidRPr="009B75DA">
        <w:rPr>
          <w:rFonts w:cs="Arial"/>
          <w:snapToGrid w:val="0"/>
          <w:lang w:val="es-ES" w:eastAsia="ja-JP"/>
        </w:rPr>
        <w:tab/>
      </w:r>
      <w:r w:rsidRPr="00173B0C">
        <w:rPr>
          <w:rFonts w:cs="Arial"/>
          <w:snapToGrid w:val="0"/>
          <w:lang w:val="es-ES_tradnl" w:eastAsia="ja-JP"/>
        </w:rPr>
        <w:t xml:space="preserve">acordó proponer al Consejo la organización de un seminario de un día sobre el </w:t>
      </w:r>
      <w:r w:rsidRPr="007658B5">
        <w:rPr>
          <w:rFonts w:cs="Arial"/>
          <w:snapToGrid w:val="0"/>
          <w:lang w:val="es-ES_tradnl" w:eastAsia="ja-JP"/>
        </w:rPr>
        <w:t>material de reproducción o de multiplicación vegetativa</w:t>
      </w:r>
      <w:r w:rsidRPr="00173B0C">
        <w:rPr>
          <w:rFonts w:cs="Arial"/>
          <w:snapToGrid w:val="0"/>
          <w:lang w:val="es-ES_tradnl" w:eastAsia="ja-JP"/>
        </w:rPr>
        <w:t xml:space="preserve"> y el </w:t>
      </w:r>
      <w:r w:rsidRPr="007658B5">
        <w:rPr>
          <w:rFonts w:cs="Arial"/>
          <w:snapToGrid w:val="0"/>
          <w:lang w:val="es-ES_tradnl" w:eastAsia="ja-JP"/>
        </w:rPr>
        <w:t>producto de la cosecha</w:t>
      </w:r>
      <w:r w:rsidRPr="00173B0C">
        <w:rPr>
          <w:rFonts w:cs="Arial"/>
          <w:snapToGrid w:val="0"/>
          <w:lang w:val="es-ES_tradnl" w:eastAsia="ja-JP"/>
        </w:rPr>
        <w:t xml:space="preserve">, que se celebraría junto con las </w:t>
      </w:r>
      <w:r w:rsidRPr="007658B5">
        <w:rPr>
          <w:rFonts w:cs="Arial"/>
          <w:snapToGrid w:val="0"/>
          <w:lang w:val="es-ES_tradnl" w:eastAsia="ja-JP"/>
        </w:rPr>
        <w:t>sesiones de la UPOV</w:t>
      </w:r>
      <w:r w:rsidRPr="00173B0C">
        <w:rPr>
          <w:rFonts w:cs="Arial"/>
          <w:snapToGrid w:val="0"/>
          <w:lang w:val="es-ES_tradnl" w:eastAsia="ja-JP"/>
        </w:rPr>
        <w:t xml:space="preserve"> en octubre de 2016.</w:t>
      </w:r>
      <w:r w:rsidRPr="009B75DA">
        <w:rPr>
          <w:rFonts w:cs="Arial"/>
          <w:snapToGrid w:val="0"/>
          <w:lang w:val="es-ES" w:eastAsia="ja-JP"/>
        </w:rPr>
        <w:t xml:space="preserve">  </w:t>
      </w:r>
      <w:r w:rsidRPr="00816279">
        <w:rPr>
          <w:rFonts w:cs="Arial"/>
          <w:snapToGrid w:val="0"/>
          <w:lang w:val="es-ES_tradnl" w:eastAsia="ja-JP"/>
        </w:rPr>
        <w:t>En el seminario participarían oradores que informarían sobre casos en los que se ha</w:t>
      </w:r>
      <w:r>
        <w:rPr>
          <w:rFonts w:cs="Arial"/>
          <w:snapToGrid w:val="0"/>
          <w:lang w:val="es-ES_tradnl" w:eastAsia="ja-JP"/>
        </w:rPr>
        <w:t>bí</w:t>
      </w:r>
      <w:r w:rsidRPr="00816279">
        <w:rPr>
          <w:rFonts w:cs="Arial"/>
          <w:snapToGrid w:val="0"/>
          <w:lang w:val="es-ES_tradnl" w:eastAsia="ja-JP"/>
        </w:rPr>
        <w:t xml:space="preserve">an examinado las nociones de </w:t>
      </w:r>
      <w:r w:rsidRPr="007658B5">
        <w:rPr>
          <w:rFonts w:cs="Arial"/>
          <w:snapToGrid w:val="0"/>
          <w:lang w:val="es-ES_tradnl" w:eastAsia="ja-JP"/>
        </w:rPr>
        <w:t>producto de la cosecha</w:t>
      </w:r>
      <w:r w:rsidRPr="00816279">
        <w:rPr>
          <w:rFonts w:cs="Arial"/>
          <w:snapToGrid w:val="0"/>
          <w:lang w:val="es-ES_tradnl" w:eastAsia="ja-JP"/>
        </w:rPr>
        <w:t xml:space="preserve"> o de </w:t>
      </w:r>
      <w:r w:rsidRPr="007658B5">
        <w:rPr>
          <w:rFonts w:cs="Arial"/>
          <w:snapToGrid w:val="0"/>
          <w:lang w:val="es-ES_tradnl" w:eastAsia="ja-JP"/>
        </w:rPr>
        <w:t>material de reproducción o de multiplicación vegetativa</w:t>
      </w:r>
      <w:r w:rsidRPr="00816279">
        <w:rPr>
          <w:rFonts w:cs="Arial"/>
          <w:snapToGrid w:val="0"/>
          <w:lang w:val="es-ES_tradnl" w:eastAsia="ja-JP"/>
        </w:rPr>
        <w:t xml:space="preserve">, o ambas, y oradores de </w:t>
      </w:r>
      <w:r w:rsidRPr="007658B5">
        <w:rPr>
          <w:rFonts w:cs="Arial"/>
          <w:snapToGrid w:val="0"/>
          <w:lang w:val="es-ES_tradnl" w:eastAsia="ja-JP"/>
        </w:rPr>
        <w:t>autoridades judiciales</w:t>
      </w:r>
      <w:r w:rsidRPr="00816279">
        <w:rPr>
          <w:rFonts w:cs="Arial"/>
          <w:snapToGrid w:val="0"/>
          <w:lang w:val="es-ES_tradnl" w:eastAsia="ja-JP"/>
        </w:rPr>
        <w:t xml:space="preserve"> </w:t>
      </w:r>
      <w:r>
        <w:rPr>
          <w:rFonts w:cs="Arial"/>
          <w:snapToGrid w:val="0"/>
          <w:lang w:val="es-ES_tradnl" w:eastAsia="ja-JP"/>
        </w:rPr>
        <w:t xml:space="preserve">e </w:t>
      </w:r>
      <w:r w:rsidRPr="00816279">
        <w:rPr>
          <w:rFonts w:cs="Arial"/>
          <w:snapToGrid w:val="0"/>
          <w:lang w:val="es-ES_tradnl" w:eastAsia="ja-JP"/>
        </w:rPr>
        <w:t xml:space="preserve">instituciones universitarias pertinentes </w:t>
      </w:r>
      <w:r>
        <w:rPr>
          <w:rFonts w:cs="Arial"/>
          <w:snapToGrid w:val="0"/>
          <w:lang w:val="es-ES_tradnl" w:eastAsia="ja-JP"/>
        </w:rPr>
        <w:t xml:space="preserve">que </w:t>
      </w:r>
      <w:r w:rsidRPr="00816279">
        <w:rPr>
          <w:rFonts w:cs="Arial"/>
          <w:snapToGrid w:val="0"/>
          <w:lang w:val="es-ES_tradnl" w:eastAsia="ja-JP"/>
        </w:rPr>
        <w:t>ofrecer</w:t>
      </w:r>
      <w:r>
        <w:rPr>
          <w:rFonts w:cs="Arial"/>
          <w:snapToGrid w:val="0"/>
          <w:lang w:val="es-ES_tradnl" w:eastAsia="ja-JP"/>
        </w:rPr>
        <w:t>ían</w:t>
      </w:r>
      <w:r w:rsidRPr="00816279">
        <w:rPr>
          <w:rFonts w:cs="Arial"/>
          <w:snapToGrid w:val="0"/>
          <w:lang w:val="es-ES_tradnl" w:eastAsia="ja-JP"/>
        </w:rPr>
        <w:t xml:space="preserve"> perspectivas sobre el asunto.</w:t>
      </w:r>
      <w:r w:rsidRPr="009B75DA">
        <w:rPr>
          <w:rFonts w:cs="Arial"/>
          <w:snapToGrid w:val="0"/>
          <w:lang w:val="es-ES" w:eastAsia="ja-JP"/>
        </w:rPr>
        <w:t xml:space="preserve">  </w:t>
      </w:r>
      <w:r w:rsidRPr="00816279">
        <w:rPr>
          <w:rFonts w:cs="Arial"/>
          <w:snapToGrid w:val="0"/>
          <w:lang w:val="es-ES_tradnl" w:eastAsia="ja-JP"/>
        </w:rPr>
        <w:t xml:space="preserve">Se invitaría a los </w:t>
      </w:r>
      <w:r w:rsidRPr="007658B5">
        <w:rPr>
          <w:rFonts w:cs="Arial"/>
          <w:snapToGrid w:val="0"/>
          <w:lang w:val="es-ES_tradnl" w:eastAsia="ja-JP"/>
        </w:rPr>
        <w:t>miembros y observadores del CAJ</w:t>
      </w:r>
      <w:r w:rsidRPr="00816279">
        <w:rPr>
          <w:rFonts w:cs="Arial"/>
          <w:snapToGrid w:val="0"/>
          <w:lang w:val="es-ES_tradnl" w:eastAsia="ja-JP"/>
        </w:rPr>
        <w:t xml:space="preserve"> a que propongan </w:t>
      </w:r>
      <w:r w:rsidRPr="007658B5">
        <w:rPr>
          <w:rFonts w:cs="Arial"/>
          <w:snapToGrid w:val="0"/>
          <w:lang w:val="es-ES_tradnl" w:eastAsia="ja-JP"/>
        </w:rPr>
        <w:t>oradores</w:t>
      </w:r>
      <w:r w:rsidRPr="00816279">
        <w:rPr>
          <w:rFonts w:cs="Arial"/>
          <w:snapToGrid w:val="0"/>
          <w:lang w:val="es-ES_tradnl" w:eastAsia="ja-JP"/>
        </w:rPr>
        <w:t>.</w:t>
      </w:r>
      <w:r w:rsidRPr="009B75DA">
        <w:rPr>
          <w:rFonts w:cs="Arial"/>
          <w:snapToGrid w:val="0"/>
          <w:lang w:val="es-ES" w:eastAsia="ja-JP"/>
        </w:rPr>
        <w:t xml:space="preserve">  </w:t>
      </w:r>
      <w:r w:rsidRPr="00816279">
        <w:rPr>
          <w:rFonts w:cs="Arial"/>
          <w:snapToGrid w:val="0"/>
          <w:lang w:val="es-ES_tradnl" w:eastAsia="ja-JP"/>
        </w:rPr>
        <w:t>La Oficina de la Unión,</w:t>
      </w:r>
      <w:r w:rsidRPr="00E623EC">
        <w:rPr>
          <w:rFonts w:cs="Arial"/>
          <w:snapToGrid w:val="0"/>
          <w:lang w:val="es-ES_tradnl" w:eastAsia="ja-JP"/>
        </w:rPr>
        <w:t xml:space="preserve"> el </w:t>
      </w:r>
      <w:r w:rsidRPr="007658B5">
        <w:rPr>
          <w:lang w:val="es-ES_tradnl"/>
        </w:rPr>
        <w:t>Presidente del CAJ</w:t>
      </w:r>
      <w:r w:rsidRPr="00816279">
        <w:rPr>
          <w:rFonts w:cs="Arial"/>
          <w:snapToGrid w:val="0"/>
          <w:lang w:val="es-ES_tradnl" w:eastAsia="ja-JP"/>
        </w:rPr>
        <w:t xml:space="preserve"> y </w:t>
      </w:r>
      <w:r>
        <w:rPr>
          <w:rFonts w:cs="Arial"/>
          <w:snapToGrid w:val="0"/>
          <w:lang w:val="es-ES_tradnl" w:eastAsia="ja-JP"/>
        </w:rPr>
        <w:t>el </w:t>
      </w:r>
      <w:r>
        <w:rPr>
          <w:lang w:val="es-ES_tradnl"/>
        </w:rPr>
        <w:t>Presidente</w:t>
      </w:r>
      <w:r w:rsidRPr="007658B5">
        <w:rPr>
          <w:lang w:val="es-ES_tradnl"/>
        </w:rPr>
        <w:t xml:space="preserve"> del Consejo</w:t>
      </w:r>
      <w:r w:rsidRPr="00816279">
        <w:rPr>
          <w:rFonts w:cs="Arial"/>
          <w:snapToGrid w:val="0"/>
          <w:lang w:val="es-ES_tradnl" w:eastAsia="ja-JP"/>
        </w:rPr>
        <w:t xml:space="preserve"> elaborarían un proyecto de programa </w:t>
      </w:r>
      <w:r>
        <w:rPr>
          <w:rFonts w:cs="Arial"/>
          <w:snapToGrid w:val="0"/>
          <w:lang w:val="es-ES_tradnl" w:eastAsia="ja-JP"/>
        </w:rPr>
        <w:t xml:space="preserve">para someterlo </w:t>
      </w:r>
      <w:r w:rsidRPr="00816279">
        <w:rPr>
          <w:rFonts w:cs="Arial"/>
          <w:snapToGrid w:val="0"/>
          <w:lang w:val="es-ES_tradnl" w:eastAsia="ja-JP"/>
        </w:rPr>
        <w:t>a</w:t>
      </w:r>
      <w:r>
        <w:rPr>
          <w:rFonts w:cs="Arial"/>
          <w:snapToGrid w:val="0"/>
          <w:lang w:val="es-ES_tradnl" w:eastAsia="ja-JP"/>
        </w:rPr>
        <w:t xml:space="preserve"> </w:t>
      </w:r>
      <w:r w:rsidRPr="007658B5">
        <w:rPr>
          <w:rFonts w:cs="Arial"/>
          <w:snapToGrid w:val="0"/>
          <w:lang w:val="es-ES_tradnl" w:eastAsia="ja-JP"/>
        </w:rPr>
        <w:t>examen</w:t>
      </w:r>
      <w:r>
        <w:rPr>
          <w:rFonts w:cs="Arial"/>
          <w:snapToGrid w:val="0"/>
          <w:lang w:val="es-ES_tradnl" w:eastAsia="ja-JP"/>
        </w:rPr>
        <w:t xml:space="preserve"> por e</w:t>
      </w:r>
      <w:r w:rsidRPr="00816279">
        <w:rPr>
          <w:rFonts w:cs="Arial"/>
          <w:snapToGrid w:val="0"/>
          <w:lang w:val="es-ES_tradnl" w:eastAsia="ja-JP"/>
        </w:rPr>
        <w:t>l Comité Consultivo y a</w:t>
      </w:r>
      <w:r>
        <w:rPr>
          <w:rFonts w:cs="Arial"/>
          <w:snapToGrid w:val="0"/>
          <w:lang w:val="es-ES_tradnl" w:eastAsia="ja-JP"/>
        </w:rPr>
        <w:t xml:space="preserve"> </w:t>
      </w:r>
      <w:r w:rsidRPr="00816279">
        <w:rPr>
          <w:rFonts w:cs="Arial"/>
          <w:snapToGrid w:val="0"/>
          <w:lang w:val="es-ES_tradnl" w:eastAsia="ja-JP"/>
        </w:rPr>
        <w:t>l</w:t>
      </w:r>
      <w:r>
        <w:rPr>
          <w:rFonts w:cs="Arial"/>
          <w:snapToGrid w:val="0"/>
          <w:lang w:val="es-ES_tradnl" w:eastAsia="ja-JP"/>
        </w:rPr>
        <w:t>a</w:t>
      </w:r>
      <w:r w:rsidRPr="00816279">
        <w:rPr>
          <w:rFonts w:cs="Arial"/>
          <w:snapToGrid w:val="0"/>
          <w:lang w:val="es-ES_tradnl" w:eastAsia="ja-JP"/>
        </w:rPr>
        <w:t xml:space="preserve"> aprobación</w:t>
      </w:r>
      <w:r>
        <w:rPr>
          <w:rFonts w:cs="Arial"/>
          <w:snapToGrid w:val="0"/>
          <w:lang w:val="es-ES_tradnl" w:eastAsia="ja-JP"/>
        </w:rPr>
        <w:t xml:space="preserve"> por el </w:t>
      </w:r>
      <w:r w:rsidRPr="00816279">
        <w:rPr>
          <w:rFonts w:cs="Arial"/>
          <w:snapToGrid w:val="0"/>
          <w:lang w:val="es-ES_tradnl" w:eastAsia="ja-JP"/>
        </w:rPr>
        <w:t>Consejo en marzo de 2016.</w:t>
      </w:r>
    </w:p>
    <w:p w:rsidR="00D458AF" w:rsidRPr="009B75DA" w:rsidRDefault="00D458AF" w:rsidP="00D458AF">
      <w:pPr>
        <w:rPr>
          <w:snapToGrid w:val="0"/>
          <w:lang w:val="es-ES"/>
        </w:rPr>
      </w:pPr>
    </w:p>
    <w:p w:rsidR="00D458AF" w:rsidRPr="009B75DA" w:rsidRDefault="00DF030B" w:rsidP="00D458AF">
      <w:pPr>
        <w:rPr>
          <w:lang w:val="es-ES"/>
        </w:rPr>
      </w:pPr>
      <w:r w:rsidRPr="00BD03EE">
        <w:fldChar w:fldCharType="begin"/>
      </w:r>
      <w:r w:rsidR="00D458AF" w:rsidRPr="009B75DA">
        <w:rPr>
          <w:lang w:val="es-ES"/>
        </w:rPr>
        <w:instrText xml:space="preserve"> AUTONUM  </w:instrText>
      </w:r>
      <w:r w:rsidRPr="00BD03EE">
        <w:fldChar w:fldCharType="end"/>
      </w:r>
      <w:r w:rsidR="00D458AF" w:rsidRPr="009B75DA">
        <w:rPr>
          <w:lang w:val="es-ES"/>
        </w:rPr>
        <w:tab/>
      </w:r>
      <w:r w:rsidR="00816279" w:rsidRPr="00816279">
        <w:rPr>
          <w:lang w:val="es-ES_tradnl"/>
        </w:rPr>
        <w:t>El Consejo</w:t>
      </w:r>
      <w:r w:rsidR="00816279" w:rsidRPr="00816279">
        <w:rPr>
          <w:snapToGrid w:val="0"/>
          <w:lang w:val="es-ES_tradnl"/>
        </w:rPr>
        <w:t xml:space="preserve"> aprobó el </w:t>
      </w:r>
      <w:r w:rsidR="00816279" w:rsidRPr="007658B5">
        <w:rPr>
          <w:lang w:val="es-ES_tradnl"/>
        </w:rPr>
        <w:t>calendario de reuniones</w:t>
      </w:r>
      <w:r w:rsidR="00816279" w:rsidRPr="00816279">
        <w:rPr>
          <w:lang w:val="es-ES_tradnl"/>
        </w:rPr>
        <w:t xml:space="preserve"> en 2016, según figura en el documento C/49/8, con las modificaciones siguientes:</w:t>
      </w:r>
    </w:p>
    <w:p w:rsidR="00D458AF" w:rsidRPr="009B75DA" w:rsidRDefault="00D458AF" w:rsidP="00D458AF">
      <w:pPr>
        <w:rPr>
          <w:lang w:val="es-ES"/>
        </w:rPr>
      </w:pPr>
    </w:p>
    <w:p w:rsidR="00D458AF" w:rsidRPr="009B75DA" w:rsidRDefault="00816279" w:rsidP="00D458AF">
      <w:pPr>
        <w:ind w:left="567"/>
        <w:rPr>
          <w:rFonts w:cs="Arial"/>
          <w:u w:val="single"/>
          <w:lang w:val="es-ES"/>
        </w:rPr>
      </w:pPr>
      <w:r w:rsidRPr="00A95151">
        <w:rPr>
          <w:rFonts w:cs="Arial"/>
          <w:u w:val="single"/>
          <w:lang w:val="es-ES_tradnl"/>
        </w:rPr>
        <w:t>Consejo</w:t>
      </w:r>
    </w:p>
    <w:p w:rsidR="00D458AF" w:rsidRPr="009B75DA" w:rsidRDefault="00D458AF" w:rsidP="00D458AF">
      <w:pPr>
        <w:ind w:left="567"/>
        <w:rPr>
          <w:rFonts w:cs="Arial"/>
          <w:u w:val="single"/>
          <w:lang w:val="es-ES"/>
        </w:rPr>
      </w:pPr>
    </w:p>
    <w:p w:rsidR="00D458AF" w:rsidRPr="009B75DA" w:rsidRDefault="00D458AF" w:rsidP="00D458AF">
      <w:pPr>
        <w:tabs>
          <w:tab w:val="left" w:pos="567"/>
          <w:tab w:val="left" w:pos="2552"/>
        </w:tabs>
        <w:ind w:left="1134" w:hanging="567"/>
        <w:rPr>
          <w:rFonts w:cs="Arial"/>
          <w:lang w:val="es-ES"/>
        </w:rPr>
      </w:pPr>
      <w:r w:rsidRPr="009B75DA">
        <w:rPr>
          <w:rFonts w:cs="Arial"/>
          <w:lang w:val="es-ES"/>
        </w:rPr>
        <w:tab/>
      </w:r>
      <w:proofErr w:type="gramStart"/>
      <w:r w:rsidR="00A95151" w:rsidRPr="00A95151">
        <w:rPr>
          <w:rFonts w:cs="Arial"/>
          <w:lang w:val="es-ES_tradnl"/>
        </w:rPr>
        <w:t>C(</w:t>
      </w:r>
      <w:proofErr w:type="spellStart"/>
      <w:proofErr w:type="gramEnd"/>
      <w:r w:rsidR="00A95151" w:rsidRPr="00A95151">
        <w:rPr>
          <w:rFonts w:cs="Arial"/>
          <w:lang w:val="es-ES_tradnl"/>
        </w:rPr>
        <w:t>Extr</w:t>
      </w:r>
      <w:proofErr w:type="spellEnd"/>
      <w:r w:rsidR="00A95151" w:rsidRPr="00A95151">
        <w:rPr>
          <w:rFonts w:cs="Arial"/>
          <w:lang w:val="es-ES_tradnl"/>
        </w:rPr>
        <w:t>.)/33</w:t>
      </w:r>
      <w:r w:rsidRPr="009B75DA">
        <w:rPr>
          <w:rFonts w:cs="Arial"/>
          <w:lang w:val="es-ES"/>
        </w:rPr>
        <w:tab/>
      </w:r>
      <w:r w:rsidR="00A95151" w:rsidRPr="00A95151">
        <w:rPr>
          <w:rFonts w:cs="Arial"/>
          <w:strike/>
          <w:highlight w:val="lightGray"/>
          <w:lang w:val="es-ES_tradnl"/>
        </w:rPr>
        <w:t>18</w:t>
      </w:r>
      <w:r w:rsidR="00A95151" w:rsidRPr="00A95151">
        <w:rPr>
          <w:rFonts w:cs="Arial"/>
          <w:highlight w:val="lightGray"/>
          <w:lang w:val="es-ES_tradnl"/>
        </w:rPr>
        <w:t xml:space="preserve"> </w:t>
      </w:r>
      <w:r w:rsidR="00A95151" w:rsidRPr="00A95151">
        <w:rPr>
          <w:rFonts w:cs="Arial"/>
          <w:highlight w:val="lightGray"/>
          <w:u w:val="single"/>
          <w:lang w:val="es-ES_tradnl"/>
        </w:rPr>
        <w:t>17</w:t>
      </w:r>
      <w:r w:rsidR="00A95151" w:rsidRPr="00A95151">
        <w:rPr>
          <w:rFonts w:cs="Arial"/>
          <w:lang w:val="es-ES_tradnl"/>
        </w:rPr>
        <w:t xml:space="preserve"> </w:t>
      </w:r>
      <w:r w:rsidR="00A95151" w:rsidRPr="007658B5">
        <w:rPr>
          <w:rFonts w:cs="Arial"/>
          <w:lang w:val="es-ES_tradnl"/>
        </w:rPr>
        <w:t>de marzo (</w:t>
      </w:r>
      <w:r w:rsidR="00A95151" w:rsidRPr="007658B5">
        <w:rPr>
          <w:lang w:val="es-ES_tradnl"/>
        </w:rPr>
        <w:t>por la tarde) (sesión extraordinaria)</w:t>
      </w:r>
    </w:p>
    <w:p w:rsidR="00D458AF" w:rsidRPr="009B75DA" w:rsidRDefault="00D458AF" w:rsidP="00D458AF">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C/50</w:t>
      </w:r>
      <w:r w:rsidRPr="009B75DA">
        <w:rPr>
          <w:rFonts w:cs="Arial"/>
          <w:lang w:val="es-ES"/>
        </w:rPr>
        <w:tab/>
      </w:r>
      <w:r w:rsidR="00A95151" w:rsidRPr="00A95151">
        <w:rPr>
          <w:rFonts w:cs="Arial"/>
          <w:strike/>
          <w:highlight w:val="lightGray"/>
          <w:lang w:val="es-ES_tradnl"/>
        </w:rPr>
        <w:t>27</w:t>
      </w:r>
      <w:r w:rsidR="00A95151" w:rsidRPr="00A95151">
        <w:rPr>
          <w:rFonts w:cs="Arial"/>
          <w:highlight w:val="lightGray"/>
          <w:lang w:val="es-ES_tradnl"/>
        </w:rPr>
        <w:t xml:space="preserve"> </w:t>
      </w:r>
      <w:r w:rsidR="00A95151" w:rsidRPr="00A95151">
        <w:rPr>
          <w:rFonts w:cs="Arial"/>
          <w:highlight w:val="lightGray"/>
          <w:u w:val="single"/>
          <w:lang w:val="es-ES_tradnl"/>
        </w:rPr>
        <w:t>28</w:t>
      </w:r>
      <w:r w:rsidR="00A95151" w:rsidRPr="00A95151">
        <w:rPr>
          <w:rFonts w:cs="Arial"/>
          <w:lang w:val="es-ES_tradnl"/>
        </w:rPr>
        <w:t xml:space="preserve"> de octubre</w:t>
      </w:r>
    </w:p>
    <w:p w:rsidR="00D458AF" w:rsidRPr="009B75DA" w:rsidRDefault="00D458AF" w:rsidP="00D458AF">
      <w:pPr>
        <w:spacing w:before="120"/>
        <w:ind w:left="2268" w:hanging="1701"/>
        <w:rPr>
          <w:rFonts w:cs="Arial"/>
          <w:u w:val="single"/>
          <w:lang w:val="es-ES"/>
        </w:rPr>
      </w:pPr>
    </w:p>
    <w:p w:rsidR="00D458AF" w:rsidRPr="009B75DA" w:rsidRDefault="00A95151" w:rsidP="00D458AF">
      <w:pPr>
        <w:spacing w:before="120"/>
        <w:ind w:left="2268" w:hanging="1701"/>
        <w:rPr>
          <w:rFonts w:cs="Arial"/>
          <w:lang w:val="es-ES"/>
        </w:rPr>
      </w:pPr>
      <w:r w:rsidRPr="007658B5">
        <w:rPr>
          <w:rFonts w:cs="Arial"/>
          <w:u w:val="single"/>
          <w:lang w:val="es-ES_tradnl"/>
        </w:rPr>
        <w:t>Comité Consultivo</w:t>
      </w:r>
    </w:p>
    <w:p w:rsidR="00D458AF" w:rsidRPr="009B75DA" w:rsidRDefault="00D458AF" w:rsidP="00D458AF">
      <w:pPr>
        <w:ind w:left="2268" w:hanging="1701"/>
        <w:rPr>
          <w:rFonts w:cs="Arial"/>
          <w:u w:val="single"/>
          <w:lang w:val="es-ES"/>
        </w:rPr>
      </w:pPr>
    </w:p>
    <w:p w:rsidR="00D458AF" w:rsidRPr="009B75DA" w:rsidRDefault="00D458AF" w:rsidP="00D458AF">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CC/91</w:t>
      </w:r>
      <w:r w:rsidRPr="009B75DA">
        <w:rPr>
          <w:rFonts w:cs="Arial"/>
          <w:lang w:val="es-ES"/>
        </w:rPr>
        <w:tab/>
      </w:r>
      <w:r w:rsidR="00A95151" w:rsidRPr="00A95151">
        <w:rPr>
          <w:rFonts w:cs="Arial"/>
          <w:strike/>
          <w:highlight w:val="lightGray"/>
          <w:lang w:val="es-ES_tradnl"/>
        </w:rPr>
        <w:t>18</w:t>
      </w:r>
      <w:r w:rsidR="00A95151" w:rsidRPr="00A95151">
        <w:rPr>
          <w:rFonts w:cs="Arial"/>
          <w:highlight w:val="lightGray"/>
          <w:lang w:val="es-ES_tradnl"/>
        </w:rPr>
        <w:t xml:space="preserve"> </w:t>
      </w:r>
      <w:r w:rsidR="00A95151" w:rsidRPr="00A95151">
        <w:rPr>
          <w:rFonts w:cs="Arial"/>
          <w:highlight w:val="lightGray"/>
          <w:u w:val="single"/>
          <w:lang w:val="es-ES_tradnl"/>
        </w:rPr>
        <w:t>17</w:t>
      </w:r>
      <w:r w:rsidR="00A95151" w:rsidRPr="00A95151">
        <w:rPr>
          <w:rFonts w:cs="Arial"/>
          <w:lang w:val="es-ES_tradnl"/>
        </w:rPr>
        <w:t xml:space="preserve"> </w:t>
      </w:r>
      <w:r w:rsidR="00A95151" w:rsidRPr="007658B5">
        <w:rPr>
          <w:rFonts w:cs="Arial"/>
          <w:lang w:val="es-ES_tradnl"/>
        </w:rPr>
        <w:t>de marzo (por la mañana)</w:t>
      </w:r>
    </w:p>
    <w:p w:rsidR="00D458AF" w:rsidRPr="009B75DA" w:rsidRDefault="00D458AF" w:rsidP="00D458AF">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CC/92</w:t>
      </w:r>
      <w:r w:rsidRPr="009B75DA">
        <w:rPr>
          <w:rFonts w:cs="Arial"/>
          <w:lang w:val="es-ES"/>
        </w:rPr>
        <w:tab/>
      </w:r>
      <w:r w:rsidR="00A95151" w:rsidRPr="00A95151">
        <w:rPr>
          <w:rFonts w:cs="Arial"/>
          <w:strike/>
          <w:highlight w:val="lightGray"/>
          <w:lang w:val="es-ES_tradnl"/>
        </w:rPr>
        <w:t>26</w:t>
      </w:r>
      <w:r w:rsidR="00A95151" w:rsidRPr="00A95151">
        <w:rPr>
          <w:rFonts w:cs="Arial"/>
          <w:highlight w:val="lightGray"/>
          <w:lang w:val="es-ES_tradnl"/>
        </w:rPr>
        <w:t xml:space="preserve"> </w:t>
      </w:r>
      <w:r w:rsidR="00A95151" w:rsidRPr="00A95151">
        <w:rPr>
          <w:rFonts w:cs="Arial"/>
          <w:highlight w:val="lightGray"/>
          <w:u w:val="single"/>
          <w:lang w:val="es-ES_tradnl"/>
        </w:rPr>
        <w:t>27</w:t>
      </w:r>
      <w:r w:rsidR="00A95151" w:rsidRPr="00A95151">
        <w:rPr>
          <w:rFonts w:cs="Arial"/>
          <w:lang w:val="es-ES_tradnl"/>
        </w:rPr>
        <w:t xml:space="preserve"> de octubre</w:t>
      </w:r>
    </w:p>
    <w:p w:rsidR="00D458AF" w:rsidRPr="009B75DA" w:rsidRDefault="00D458AF" w:rsidP="00D458AF">
      <w:pPr>
        <w:tabs>
          <w:tab w:val="left" w:pos="2552"/>
        </w:tabs>
        <w:ind w:left="1276" w:hanging="709"/>
        <w:rPr>
          <w:lang w:val="es-ES"/>
        </w:rPr>
      </w:pPr>
    </w:p>
    <w:p w:rsidR="00D458AF" w:rsidRPr="009B75DA" w:rsidRDefault="00A95151" w:rsidP="00D458AF">
      <w:pPr>
        <w:spacing w:before="120"/>
        <w:ind w:left="2268" w:hanging="1701"/>
        <w:rPr>
          <w:rFonts w:cs="Arial"/>
          <w:lang w:val="es-ES"/>
        </w:rPr>
      </w:pPr>
      <w:r w:rsidRPr="007658B5">
        <w:rPr>
          <w:rFonts w:cs="Arial"/>
          <w:u w:val="single"/>
          <w:lang w:val="es-ES_tradnl"/>
        </w:rPr>
        <w:t>Comité Administrativo y Jurídico</w:t>
      </w:r>
    </w:p>
    <w:p w:rsidR="00D458AF" w:rsidRPr="009B75DA" w:rsidRDefault="00D458AF" w:rsidP="00D458AF">
      <w:pPr>
        <w:ind w:left="2268" w:hanging="1701"/>
        <w:rPr>
          <w:rFonts w:cs="Arial"/>
          <w:u w:val="single"/>
          <w:lang w:val="es-ES"/>
        </w:rPr>
      </w:pPr>
    </w:p>
    <w:p w:rsidR="00D458AF" w:rsidRPr="009B75DA" w:rsidRDefault="00D458AF" w:rsidP="00D458AF">
      <w:pPr>
        <w:tabs>
          <w:tab w:val="left" w:pos="567"/>
          <w:tab w:val="left" w:pos="2552"/>
        </w:tabs>
        <w:ind w:left="1134" w:hanging="567"/>
        <w:rPr>
          <w:rFonts w:cs="Arial"/>
          <w:strike/>
          <w:lang w:val="es-ES"/>
        </w:rPr>
      </w:pPr>
      <w:r w:rsidRPr="009B75DA">
        <w:rPr>
          <w:rFonts w:cs="Arial"/>
          <w:lang w:val="es-ES"/>
        </w:rPr>
        <w:tab/>
      </w:r>
      <w:r w:rsidR="00A95151" w:rsidRPr="00A95151">
        <w:rPr>
          <w:rFonts w:cs="Arial"/>
          <w:strike/>
          <w:highlight w:val="lightGray"/>
          <w:lang w:val="es-ES_tradnl"/>
        </w:rPr>
        <w:t>CAJ/73</w:t>
      </w:r>
      <w:r w:rsidRPr="009B75DA">
        <w:rPr>
          <w:rFonts w:cs="Arial"/>
          <w:strike/>
          <w:highlight w:val="lightGray"/>
          <w:lang w:val="es-ES"/>
        </w:rPr>
        <w:tab/>
      </w:r>
      <w:r w:rsidR="00A95151" w:rsidRPr="00A95151">
        <w:rPr>
          <w:rFonts w:cs="Arial"/>
          <w:strike/>
          <w:highlight w:val="lightGray"/>
          <w:lang w:val="es-ES_tradnl"/>
        </w:rPr>
        <w:t>17 de marzo</w:t>
      </w:r>
    </w:p>
    <w:p w:rsidR="00D458AF" w:rsidRPr="009B75DA" w:rsidRDefault="00A95151" w:rsidP="00D458AF">
      <w:pPr>
        <w:tabs>
          <w:tab w:val="left" w:pos="2552"/>
        </w:tabs>
        <w:ind w:left="1701" w:hanging="567"/>
        <w:rPr>
          <w:rFonts w:cs="Arial"/>
          <w:u w:val="single"/>
          <w:lang w:val="es-ES"/>
        </w:rPr>
      </w:pPr>
      <w:r w:rsidRPr="00A95151">
        <w:rPr>
          <w:rFonts w:cs="Arial"/>
          <w:highlight w:val="lightGray"/>
          <w:u w:val="single"/>
          <w:lang w:val="es-ES_tradnl"/>
        </w:rPr>
        <w:t>(EAF/7:</w:t>
      </w:r>
      <w:r w:rsidR="00D458AF" w:rsidRPr="009B75DA">
        <w:rPr>
          <w:rFonts w:cs="Arial"/>
          <w:highlight w:val="lightGray"/>
          <w:u w:val="single"/>
          <w:lang w:val="es-ES"/>
        </w:rPr>
        <w:tab/>
      </w:r>
      <w:r w:rsidRPr="00A95151">
        <w:rPr>
          <w:rFonts w:cs="Arial"/>
          <w:highlight w:val="lightGray"/>
          <w:u w:val="single"/>
          <w:lang w:val="es-ES_tradnl"/>
        </w:rPr>
        <w:t>16 de marzo (</w:t>
      </w:r>
      <w:r w:rsidRPr="006B7F71">
        <w:rPr>
          <w:rFonts w:cs="Arial"/>
          <w:highlight w:val="lightGray"/>
          <w:u w:val="single"/>
          <w:lang w:val="es-ES_tradnl"/>
        </w:rPr>
        <w:t>por la noche</w:t>
      </w:r>
      <w:r w:rsidRPr="00A95151">
        <w:rPr>
          <w:rFonts w:cs="Arial"/>
          <w:highlight w:val="lightGray"/>
          <w:u w:val="single"/>
          <w:lang w:val="es-ES_tradnl"/>
        </w:rPr>
        <w:t>)</w:t>
      </w:r>
      <w:r w:rsidRPr="00A95151">
        <w:rPr>
          <w:rFonts w:cs="Arial"/>
          <w:u w:val="single"/>
          <w:lang w:val="es-ES_tradnl"/>
        </w:rPr>
        <w:t>)</w:t>
      </w:r>
    </w:p>
    <w:p w:rsidR="00D458AF" w:rsidRPr="009B75DA" w:rsidRDefault="00A95151" w:rsidP="00D458AF">
      <w:pPr>
        <w:tabs>
          <w:tab w:val="left" w:pos="2552"/>
        </w:tabs>
        <w:ind w:left="1701" w:hanging="567"/>
        <w:rPr>
          <w:rFonts w:cs="Arial"/>
          <w:u w:val="single"/>
          <w:lang w:val="es-ES"/>
        </w:rPr>
      </w:pPr>
      <w:r w:rsidRPr="00A95151">
        <w:rPr>
          <w:rFonts w:cs="Arial"/>
          <w:highlight w:val="lightGray"/>
          <w:u w:val="single"/>
          <w:lang w:val="es-ES_tradnl"/>
        </w:rPr>
        <w:t>(WG-DEN:</w:t>
      </w:r>
      <w:r w:rsidR="00D458AF" w:rsidRPr="009B75DA">
        <w:rPr>
          <w:rFonts w:cs="Arial"/>
          <w:highlight w:val="lightGray"/>
          <w:u w:val="single"/>
          <w:lang w:val="es-ES"/>
        </w:rPr>
        <w:tab/>
      </w:r>
      <w:r w:rsidRPr="00A95151">
        <w:rPr>
          <w:rFonts w:cs="Arial"/>
          <w:highlight w:val="lightGray"/>
          <w:u w:val="single"/>
          <w:lang w:val="es-ES_tradnl"/>
        </w:rPr>
        <w:t>18 de marzo</w:t>
      </w:r>
    </w:p>
    <w:p w:rsidR="00D458AF" w:rsidRPr="009B75DA" w:rsidRDefault="00D458AF" w:rsidP="00D458AF">
      <w:pPr>
        <w:tabs>
          <w:tab w:val="left" w:pos="567"/>
          <w:tab w:val="left" w:pos="2552"/>
        </w:tabs>
        <w:ind w:left="1134" w:hanging="567"/>
        <w:rPr>
          <w:rFonts w:cs="Arial"/>
          <w:lang w:val="es-ES"/>
        </w:rPr>
      </w:pPr>
      <w:r w:rsidRPr="009B75DA">
        <w:rPr>
          <w:rFonts w:cs="Arial"/>
          <w:lang w:val="es-ES"/>
        </w:rPr>
        <w:tab/>
      </w:r>
      <w:r w:rsidR="00A95151" w:rsidRPr="00A95151">
        <w:rPr>
          <w:rFonts w:cs="Arial"/>
          <w:lang w:val="es-ES_tradnl"/>
        </w:rPr>
        <w:t>CAJ/</w:t>
      </w:r>
      <w:r w:rsidR="00A95151" w:rsidRPr="00A95151">
        <w:rPr>
          <w:rFonts w:cs="Arial"/>
          <w:strike/>
          <w:highlight w:val="lightGray"/>
          <w:lang w:val="es-ES_tradnl"/>
        </w:rPr>
        <w:t>74</w:t>
      </w:r>
      <w:r w:rsidR="00A95151" w:rsidRPr="00A95151">
        <w:rPr>
          <w:rFonts w:cs="Arial"/>
          <w:highlight w:val="lightGray"/>
          <w:u w:val="single"/>
          <w:lang w:val="es-ES_tradnl"/>
        </w:rPr>
        <w:t>73</w:t>
      </w:r>
      <w:r w:rsidRPr="009B75DA">
        <w:rPr>
          <w:rFonts w:cs="Arial"/>
          <w:lang w:val="es-ES"/>
        </w:rPr>
        <w:tab/>
      </w:r>
      <w:r w:rsidR="00A95151" w:rsidRPr="00A95151">
        <w:rPr>
          <w:rFonts w:cs="Arial"/>
          <w:strike/>
          <w:highlight w:val="lightGray"/>
          <w:lang w:val="es-ES_tradnl"/>
        </w:rPr>
        <w:t>24</w:t>
      </w:r>
      <w:r w:rsidR="00A95151" w:rsidRPr="00A95151">
        <w:rPr>
          <w:rFonts w:cs="Arial"/>
          <w:highlight w:val="lightGray"/>
          <w:lang w:val="es-ES_tradnl"/>
        </w:rPr>
        <w:t xml:space="preserve"> </w:t>
      </w:r>
      <w:r w:rsidR="00A95151" w:rsidRPr="00A95151">
        <w:rPr>
          <w:rFonts w:cs="Arial"/>
          <w:highlight w:val="lightGray"/>
          <w:u w:val="single"/>
          <w:lang w:val="es-ES_tradnl"/>
        </w:rPr>
        <w:t>25</w:t>
      </w:r>
      <w:r w:rsidR="00A95151" w:rsidRPr="00A95151">
        <w:rPr>
          <w:rFonts w:cs="Arial"/>
          <w:lang w:val="es-ES_tradnl"/>
        </w:rPr>
        <w:t xml:space="preserve"> y </w:t>
      </w:r>
      <w:r w:rsidR="00A95151" w:rsidRPr="00A95151">
        <w:rPr>
          <w:rFonts w:cs="Arial"/>
          <w:strike/>
          <w:highlight w:val="lightGray"/>
          <w:lang w:val="es-ES_tradnl"/>
        </w:rPr>
        <w:t>25</w:t>
      </w:r>
      <w:r w:rsidR="00A95151" w:rsidRPr="00A95151">
        <w:rPr>
          <w:rFonts w:cs="Arial"/>
          <w:highlight w:val="lightGray"/>
          <w:lang w:val="es-ES_tradnl"/>
        </w:rPr>
        <w:t xml:space="preserve"> </w:t>
      </w:r>
      <w:r w:rsidR="00A95151" w:rsidRPr="00A95151">
        <w:rPr>
          <w:rFonts w:cs="Arial"/>
          <w:highlight w:val="lightGray"/>
          <w:u w:val="single"/>
          <w:lang w:val="es-ES_tradnl"/>
        </w:rPr>
        <w:t>26</w:t>
      </w:r>
      <w:r w:rsidR="00A95151" w:rsidRPr="00A95151">
        <w:rPr>
          <w:rFonts w:cs="Arial"/>
          <w:lang w:val="es-ES_tradnl"/>
        </w:rPr>
        <w:t xml:space="preserve"> de octubre</w:t>
      </w:r>
    </w:p>
    <w:p w:rsidR="00D458AF" w:rsidRPr="009B75DA" w:rsidRDefault="00D458AF" w:rsidP="00D458AF">
      <w:pPr>
        <w:ind w:left="567"/>
        <w:rPr>
          <w:lang w:val="es-ES"/>
        </w:rPr>
      </w:pPr>
    </w:p>
    <w:p w:rsidR="00D458AF" w:rsidRPr="009B75DA" w:rsidRDefault="00A95151" w:rsidP="00D458AF">
      <w:pPr>
        <w:spacing w:before="120"/>
        <w:ind w:left="567"/>
        <w:rPr>
          <w:rFonts w:cs="Arial"/>
          <w:highlight w:val="lightGray"/>
          <w:u w:val="single"/>
          <w:lang w:val="es-ES"/>
        </w:rPr>
      </w:pPr>
      <w:r w:rsidRPr="00A95151">
        <w:rPr>
          <w:rFonts w:cs="Arial"/>
          <w:highlight w:val="lightGray"/>
          <w:u w:val="single"/>
          <w:lang w:val="es-ES_tradnl"/>
        </w:rPr>
        <w:t>Seminario sobre</w:t>
      </w:r>
      <w:r w:rsidRPr="006B7F71">
        <w:rPr>
          <w:rFonts w:cs="Arial"/>
          <w:highlight w:val="lightGray"/>
          <w:u w:val="single"/>
          <w:lang w:val="es-ES_tradnl"/>
        </w:rPr>
        <w:t xml:space="preserve"> el material de reproducción o de multiplicación vegetativa y el producto de la cosecha en el contexto del Convenio de la UPOV</w:t>
      </w:r>
    </w:p>
    <w:p w:rsidR="00D458AF" w:rsidRPr="009B75DA" w:rsidRDefault="00D458AF" w:rsidP="00D458AF">
      <w:pPr>
        <w:ind w:left="567"/>
        <w:rPr>
          <w:highlight w:val="lightGray"/>
          <w:lang w:val="es-ES"/>
        </w:rPr>
      </w:pPr>
    </w:p>
    <w:p w:rsidR="00D458AF" w:rsidRPr="009B75DA" w:rsidRDefault="00A95151" w:rsidP="00502281">
      <w:pPr>
        <w:ind w:left="1134"/>
        <w:rPr>
          <w:u w:val="single"/>
          <w:lang w:val="es-ES"/>
        </w:rPr>
      </w:pPr>
      <w:r w:rsidRPr="00A95151">
        <w:rPr>
          <w:highlight w:val="lightGray"/>
          <w:u w:val="single"/>
          <w:lang w:val="es-ES_tradnl"/>
        </w:rPr>
        <w:t>24 de octubre</w:t>
      </w:r>
    </w:p>
    <w:p w:rsidR="00D458AF" w:rsidRPr="009B75DA" w:rsidRDefault="00D458AF" w:rsidP="00D458AF">
      <w:pPr>
        <w:rPr>
          <w:lang w:val="es-ES"/>
        </w:rPr>
      </w:pPr>
    </w:p>
    <w:p w:rsidR="00D458AF" w:rsidRPr="009B75DA" w:rsidRDefault="00DF030B" w:rsidP="00D458AF">
      <w:pPr>
        <w:rPr>
          <w:lang w:val="es-ES"/>
        </w:rPr>
      </w:pPr>
      <w:r w:rsidRPr="00BD03EE">
        <w:fldChar w:fldCharType="begin"/>
      </w:r>
      <w:r w:rsidR="00D458AF" w:rsidRPr="009B75DA">
        <w:rPr>
          <w:lang w:val="es-ES"/>
        </w:rPr>
        <w:instrText xml:space="preserve"> AUTONUM  </w:instrText>
      </w:r>
      <w:r w:rsidRPr="00BD03EE">
        <w:fldChar w:fldCharType="end"/>
      </w:r>
      <w:r w:rsidR="00D458AF" w:rsidRPr="009B75DA">
        <w:rPr>
          <w:lang w:val="es-ES"/>
        </w:rPr>
        <w:tab/>
      </w:r>
      <w:r w:rsidR="00A95151" w:rsidRPr="007658B5">
        <w:rPr>
          <w:lang w:val="es-ES_tradnl"/>
        </w:rPr>
        <w:t>El Consejo</w:t>
      </w:r>
      <w:r w:rsidR="00A95151" w:rsidRPr="00A95151">
        <w:rPr>
          <w:lang w:val="es-ES_tradnl"/>
        </w:rPr>
        <w:t xml:space="preserve"> </w:t>
      </w:r>
      <w:r w:rsidR="00A95151" w:rsidRPr="007658B5">
        <w:rPr>
          <w:lang w:val="es-ES_tradnl"/>
        </w:rPr>
        <w:t>tomó nota de las fechas propuestas para las reuniones de</w:t>
      </w:r>
      <w:r w:rsidR="00A95151" w:rsidRPr="00A95151">
        <w:rPr>
          <w:lang w:val="es-ES_tradnl"/>
        </w:rPr>
        <w:t xml:space="preserve"> 2017.</w:t>
      </w:r>
    </w:p>
    <w:p w:rsidR="00D458AF" w:rsidRPr="009B75DA" w:rsidRDefault="00D458AF" w:rsidP="00D458AF">
      <w:pPr>
        <w:rPr>
          <w:lang w:val="es-ES"/>
        </w:rPr>
      </w:pPr>
    </w:p>
    <w:p w:rsidR="00D458AF" w:rsidRPr="009B75DA" w:rsidRDefault="00D458AF" w:rsidP="00D458AF">
      <w:pPr>
        <w:rPr>
          <w:lang w:val="es-ES"/>
        </w:rPr>
      </w:pPr>
    </w:p>
    <w:p w:rsidR="00D458AF" w:rsidRPr="009B75DA" w:rsidRDefault="00A95151" w:rsidP="00D458AF">
      <w:pPr>
        <w:rPr>
          <w:u w:val="single"/>
          <w:lang w:val="es-ES"/>
        </w:rPr>
      </w:pPr>
      <w:r w:rsidRPr="007658B5">
        <w:rPr>
          <w:u w:val="single"/>
          <w:lang w:val="es-ES_tradnl"/>
        </w:rPr>
        <w:t>Elección del nuevo Presidente y del nuevo Vicepresidente del Consejo</w:t>
      </w:r>
    </w:p>
    <w:p w:rsidR="00D458AF" w:rsidRPr="009B75DA" w:rsidRDefault="00D458AF" w:rsidP="00D458AF">
      <w:pPr>
        <w:rPr>
          <w:lang w:val="es-ES"/>
        </w:rPr>
      </w:pPr>
      <w:bookmarkStart w:id="5" w:name="_GoBack"/>
      <w:bookmarkEnd w:id="5"/>
    </w:p>
    <w:p w:rsidR="00D458AF" w:rsidRPr="009B75DA" w:rsidRDefault="00DF030B" w:rsidP="00D458AF">
      <w:pPr>
        <w:rPr>
          <w:lang w:val="es-ES"/>
        </w:rPr>
      </w:pPr>
      <w:r w:rsidRPr="00BD03EE">
        <w:fldChar w:fldCharType="begin"/>
      </w:r>
      <w:r w:rsidR="00D458AF" w:rsidRPr="009B75DA">
        <w:rPr>
          <w:lang w:val="es-ES"/>
        </w:rPr>
        <w:instrText xml:space="preserve"> AUTONUM  </w:instrText>
      </w:r>
      <w:r w:rsidRPr="00BD03EE">
        <w:fldChar w:fldCharType="end"/>
      </w:r>
      <w:r w:rsidR="00D458AF" w:rsidRPr="009B75DA">
        <w:rPr>
          <w:lang w:val="es-ES"/>
        </w:rPr>
        <w:tab/>
      </w:r>
      <w:r w:rsidR="0015584D" w:rsidRPr="007658B5">
        <w:rPr>
          <w:lang w:val="es-ES_tradnl"/>
        </w:rPr>
        <w:t>El Consejo</w:t>
      </w:r>
      <w:r w:rsidR="0015584D" w:rsidRPr="0015584D">
        <w:rPr>
          <w:lang w:val="es-ES_tradnl"/>
        </w:rPr>
        <w:t xml:space="preserve"> </w:t>
      </w:r>
      <w:r w:rsidR="0015584D" w:rsidRPr="007658B5">
        <w:rPr>
          <w:lang w:val="es-ES_tradnl"/>
        </w:rPr>
        <w:t>eligió a las personas siguientes, en cada caso por un mandato de tres años, que concluirá con la</w:t>
      </w:r>
      <w:r w:rsidR="0015584D" w:rsidRPr="0015584D">
        <w:rPr>
          <w:lang w:val="es-ES_tradnl"/>
        </w:rPr>
        <w:t xml:space="preserve"> quincuagésima segunda </w:t>
      </w:r>
      <w:r w:rsidR="0015584D" w:rsidRPr="007658B5">
        <w:rPr>
          <w:lang w:val="es-ES_tradnl"/>
        </w:rPr>
        <w:t>sesión ordinaria del Consejo en</w:t>
      </w:r>
      <w:r w:rsidR="0015584D" w:rsidRPr="0015584D">
        <w:rPr>
          <w:lang w:val="es-ES_tradnl"/>
        </w:rPr>
        <w:t xml:space="preserve"> 2018:</w:t>
      </w:r>
    </w:p>
    <w:p w:rsidR="00D458AF" w:rsidRPr="009B75DA" w:rsidRDefault="00D458AF" w:rsidP="00D458AF">
      <w:pPr>
        <w:rPr>
          <w:lang w:val="es-ES"/>
        </w:rPr>
      </w:pPr>
    </w:p>
    <w:p w:rsidR="00D458AF" w:rsidRPr="009B75DA" w:rsidRDefault="00D458AF" w:rsidP="00D458AF">
      <w:pPr>
        <w:rPr>
          <w:lang w:val="es-ES"/>
        </w:rPr>
      </w:pPr>
      <w:r w:rsidRPr="009B75DA">
        <w:rPr>
          <w:lang w:val="es-ES"/>
        </w:rPr>
        <w:tab/>
        <w:t>a)</w:t>
      </w:r>
      <w:r w:rsidRPr="009B75DA">
        <w:rPr>
          <w:lang w:val="es-ES"/>
        </w:rPr>
        <w:tab/>
      </w:r>
      <w:r w:rsidR="0015584D" w:rsidRPr="0015584D">
        <w:rPr>
          <w:lang w:val="es-ES_tradnl"/>
        </w:rPr>
        <w:t xml:space="preserve">Sr. Luis </w:t>
      </w:r>
      <w:proofErr w:type="spellStart"/>
      <w:r w:rsidR="0015584D" w:rsidRPr="0015584D">
        <w:rPr>
          <w:lang w:val="es-ES_tradnl"/>
        </w:rPr>
        <w:t>Salaices</w:t>
      </w:r>
      <w:proofErr w:type="spellEnd"/>
      <w:r w:rsidR="0015584D" w:rsidRPr="0015584D">
        <w:rPr>
          <w:lang w:val="es-ES_tradnl"/>
        </w:rPr>
        <w:t xml:space="preserve"> Sánchez (España), </w:t>
      </w:r>
      <w:r w:rsidR="0015584D" w:rsidRPr="007658B5">
        <w:rPr>
          <w:lang w:val="es-ES_tradnl"/>
        </w:rPr>
        <w:t>Presidente del Consejo</w:t>
      </w:r>
      <w:r w:rsidR="0015584D" w:rsidRPr="0015584D">
        <w:rPr>
          <w:lang w:val="es-ES_tradnl"/>
        </w:rPr>
        <w:t>;</w:t>
      </w:r>
    </w:p>
    <w:p w:rsidR="00D458AF" w:rsidRPr="009B75DA" w:rsidRDefault="00D458AF" w:rsidP="00D458AF">
      <w:pPr>
        <w:rPr>
          <w:lang w:val="es-ES"/>
        </w:rPr>
      </w:pPr>
    </w:p>
    <w:p w:rsidR="00D458AF" w:rsidRPr="009B75DA" w:rsidRDefault="00D458AF" w:rsidP="00D458AF">
      <w:pPr>
        <w:rPr>
          <w:lang w:val="es-ES"/>
        </w:rPr>
      </w:pPr>
      <w:r w:rsidRPr="009B75DA">
        <w:rPr>
          <w:lang w:val="es-ES"/>
        </w:rPr>
        <w:tab/>
        <w:t>b)</w:t>
      </w:r>
      <w:r w:rsidRPr="009B75DA">
        <w:rPr>
          <w:lang w:val="es-ES"/>
        </w:rPr>
        <w:tab/>
      </w:r>
      <w:r w:rsidR="0015584D" w:rsidRPr="0015584D">
        <w:rPr>
          <w:lang w:val="es-ES_tradnl"/>
        </w:rPr>
        <w:t xml:space="preserve">Sr. Raimundo </w:t>
      </w:r>
      <w:proofErr w:type="spellStart"/>
      <w:r w:rsidR="0015584D" w:rsidRPr="0015584D">
        <w:rPr>
          <w:lang w:val="es-ES_tradnl"/>
        </w:rPr>
        <w:t>Lavignolle</w:t>
      </w:r>
      <w:proofErr w:type="spellEnd"/>
      <w:r w:rsidR="0015584D" w:rsidRPr="0015584D">
        <w:rPr>
          <w:lang w:val="es-ES_tradnl"/>
        </w:rPr>
        <w:t xml:space="preserve"> (Argentina), </w:t>
      </w:r>
      <w:r w:rsidR="0015584D" w:rsidRPr="007658B5">
        <w:rPr>
          <w:lang w:val="es-ES_tradnl"/>
        </w:rPr>
        <w:t>Vicepresidente del Consejo</w:t>
      </w:r>
      <w:r w:rsidR="0015584D" w:rsidRPr="0015584D">
        <w:rPr>
          <w:lang w:val="es-ES_tradnl"/>
        </w:rPr>
        <w:t>.</w:t>
      </w:r>
    </w:p>
    <w:p w:rsidR="00D458AF" w:rsidRPr="009B75DA" w:rsidRDefault="00D458AF" w:rsidP="00D458AF">
      <w:pPr>
        <w:rPr>
          <w:lang w:val="es-ES"/>
        </w:rPr>
      </w:pPr>
    </w:p>
    <w:p w:rsidR="00D458AF" w:rsidRPr="009B75DA" w:rsidRDefault="00DF030B" w:rsidP="00D458AF">
      <w:pPr>
        <w:rPr>
          <w:lang w:val="es-ES"/>
        </w:rPr>
      </w:pPr>
      <w:r w:rsidRPr="00BD03EE">
        <w:fldChar w:fldCharType="begin"/>
      </w:r>
      <w:r w:rsidR="00D458AF" w:rsidRPr="009B75DA">
        <w:rPr>
          <w:lang w:val="es-ES"/>
        </w:rPr>
        <w:instrText xml:space="preserve"> AUTONUM  </w:instrText>
      </w:r>
      <w:r w:rsidRPr="00BD03EE">
        <w:fldChar w:fldCharType="end"/>
      </w:r>
      <w:r w:rsidR="00D458AF" w:rsidRPr="009B75DA">
        <w:rPr>
          <w:lang w:val="es-ES"/>
        </w:rPr>
        <w:tab/>
      </w:r>
      <w:r w:rsidR="0015584D" w:rsidRPr="0015584D">
        <w:rPr>
          <w:lang w:val="es-ES_tradnl"/>
        </w:rPr>
        <w:t xml:space="preserve">El Consejo </w:t>
      </w:r>
      <w:r w:rsidR="0015584D" w:rsidRPr="007658B5">
        <w:rPr>
          <w:lang w:val="es-ES_tradnl"/>
        </w:rPr>
        <w:t xml:space="preserve">agradeció </w:t>
      </w:r>
      <w:r w:rsidR="0015584D" w:rsidRPr="0015584D">
        <w:rPr>
          <w:lang w:val="es-ES_tradnl"/>
        </w:rPr>
        <w:t>a la</w:t>
      </w:r>
      <w:r w:rsidR="0015584D" w:rsidRPr="007658B5">
        <w:rPr>
          <w:lang w:val="es-ES_tradnl"/>
        </w:rPr>
        <w:t xml:space="preserve"> President</w:t>
      </w:r>
      <w:r w:rsidR="0015584D" w:rsidRPr="0015584D">
        <w:rPr>
          <w:lang w:val="es-ES_tradnl"/>
        </w:rPr>
        <w:t>a</w:t>
      </w:r>
      <w:r w:rsidR="0015584D" w:rsidRPr="007658B5">
        <w:rPr>
          <w:lang w:val="es-ES_tradnl"/>
        </w:rPr>
        <w:t xml:space="preserve"> saliente</w:t>
      </w:r>
      <w:r w:rsidR="0015584D" w:rsidRPr="0015584D">
        <w:rPr>
          <w:lang w:val="es-ES_tradnl"/>
        </w:rPr>
        <w:t>, Sra. Kitisri Sukhapinda (</w:t>
      </w:r>
      <w:r w:rsidR="0015584D" w:rsidRPr="007658B5">
        <w:rPr>
          <w:lang w:val="es-ES_tradnl"/>
        </w:rPr>
        <w:t>Estados Unidos de América</w:t>
      </w:r>
      <w:r w:rsidR="0015584D" w:rsidRPr="0015584D">
        <w:rPr>
          <w:lang w:val="es-ES_tradnl"/>
        </w:rPr>
        <w:t>)</w:t>
      </w:r>
      <w:r w:rsidR="0015584D" w:rsidRPr="007658B5">
        <w:rPr>
          <w:lang w:val="es-ES_tradnl"/>
        </w:rPr>
        <w:t>, la labor efectuada durante su mandato</w:t>
      </w:r>
      <w:r w:rsidR="0015584D" w:rsidRPr="0015584D">
        <w:rPr>
          <w:lang w:val="es-ES_tradnl"/>
        </w:rPr>
        <w:t>.</w:t>
      </w:r>
    </w:p>
    <w:p w:rsidR="00D458AF" w:rsidRPr="009B75DA" w:rsidRDefault="00D458AF" w:rsidP="00D458AF">
      <w:pPr>
        <w:rPr>
          <w:lang w:val="es-ES"/>
        </w:rPr>
      </w:pPr>
    </w:p>
    <w:p w:rsidR="00D458AF" w:rsidRPr="009B75DA" w:rsidRDefault="00D458AF" w:rsidP="00D458AF">
      <w:pPr>
        <w:rPr>
          <w:lang w:val="es-ES"/>
        </w:rPr>
      </w:pPr>
    </w:p>
    <w:p w:rsidR="00D458AF" w:rsidRPr="009B75DA" w:rsidRDefault="0015584D" w:rsidP="00D458AF">
      <w:pPr>
        <w:keepNext/>
        <w:rPr>
          <w:u w:val="single"/>
          <w:lang w:val="es-ES"/>
        </w:rPr>
      </w:pPr>
      <w:r w:rsidRPr="007658B5">
        <w:rPr>
          <w:u w:val="single"/>
          <w:lang w:val="es-ES_tradnl"/>
        </w:rPr>
        <w:t>Situación en los campos legislativo, administrativo y técnico</w:t>
      </w:r>
    </w:p>
    <w:p w:rsidR="00D458AF" w:rsidRPr="009B75DA" w:rsidRDefault="00D458AF" w:rsidP="00D458AF">
      <w:pPr>
        <w:keepNext/>
        <w:rPr>
          <w:lang w:val="es-ES"/>
        </w:rPr>
      </w:pPr>
    </w:p>
    <w:p w:rsidR="00D458AF" w:rsidRPr="009B75DA" w:rsidRDefault="00D7662D" w:rsidP="00D458AF">
      <w:pPr>
        <w:pStyle w:val="Heading3"/>
        <w:rPr>
          <w:lang w:val="es-ES"/>
        </w:rPr>
      </w:pPr>
      <w:r w:rsidRPr="007658B5">
        <w:rPr>
          <w:lang w:val="es-ES_tradnl"/>
        </w:rPr>
        <w:t>Informes de representantes de miembros y observadores</w:t>
      </w:r>
    </w:p>
    <w:p w:rsidR="00D458AF" w:rsidRPr="009B75DA" w:rsidRDefault="00D458AF" w:rsidP="00D458AF">
      <w:pPr>
        <w:keepNext/>
        <w:rPr>
          <w:lang w:val="es-ES"/>
        </w:rPr>
      </w:pPr>
    </w:p>
    <w:p w:rsidR="00D458AF" w:rsidRPr="009B75DA" w:rsidRDefault="00DF030B" w:rsidP="00D458AF">
      <w:pPr>
        <w:keepNext/>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D7662D" w:rsidRPr="007658B5">
        <w:rPr>
          <w:rFonts w:eastAsia="MS Mincho" w:cs="Arial"/>
          <w:lang w:val="es-ES_tradnl" w:eastAsia="ja-JP"/>
        </w:rPr>
        <w:t>El Consejo examinó el documento</w:t>
      </w:r>
      <w:r w:rsidR="00D7662D" w:rsidRPr="00D7662D">
        <w:rPr>
          <w:rFonts w:eastAsia="MS Mincho" w:cs="Arial"/>
          <w:lang w:val="es-ES_tradnl" w:eastAsia="ja-JP"/>
        </w:rPr>
        <w:t> C/49/15.</w:t>
      </w:r>
    </w:p>
    <w:p w:rsidR="00D458AF" w:rsidRPr="009B75DA" w:rsidRDefault="00D458AF" w:rsidP="00D458AF">
      <w:pPr>
        <w:keepNext/>
        <w:rPr>
          <w:lang w:val="es-ES"/>
        </w:rPr>
      </w:pPr>
    </w:p>
    <w:p w:rsidR="00D458AF" w:rsidRPr="009B75DA" w:rsidRDefault="00DF030B" w:rsidP="00D458AF">
      <w:pPr>
        <w:rPr>
          <w:lang w:val="es-ES"/>
        </w:rPr>
      </w:pPr>
      <w:r w:rsidRPr="00393D08">
        <w:fldChar w:fldCharType="begin"/>
      </w:r>
      <w:r w:rsidR="00D458AF" w:rsidRPr="009B75DA">
        <w:rPr>
          <w:lang w:val="es-ES"/>
        </w:rPr>
        <w:instrText xml:space="preserve"> AUTONUM  </w:instrText>
      </w:r>
      <w:r w:rsidRPr="00393D08">
        <w:fldChar w:fldCharType="end"/>
      </w:r>
      <w:r w:rsidR="00D458AF" w:rsidRPr="009B75DA">
        <w:rPr>
          <w:lang w:val="es-ES"/>
        </w:rPr>
        <w:tab/>
      </w:r>
      <w:r w:rsidR="00D7662D" w:rsidRPr="007658B5">
        <w:rPr>
          <w:lang w:val="es-ES_tradnl"/>
        </w:rPr>
        <w:t>El Consejo</w:t>
      </w:r>
      <w:r w:rsidR="00D7662D" w:rsidRPr="001E45FE">
        <w:rPr>
          <w:lang w:val="es-ES_tradnl"/>
        </w:rPr>
        <w:t xml:space="preserve"> </w:t>
      </w:r>
      <w:r w:rsidR="001E45FE" w:rsidRPr="007658B5">
        <w:rPr>
          <w:lang w:val="es-ES_tradnl"/>
        </w:rPr>
        <w:t>tomó nota de la intervención de</w:t>
      </w:r>
      <w:r w:rsidR="001E45FE" w:rsidRPr="00541184">
        <w:rPr>
          <w:lang w:val="es-ES_tradnl"/>
        </w:rPr>
        <w:t xml:space="preserve">l </w:t>
      </w:r>
      <w:r w:rsidR="001E45FE" w:rsidRPr="007658B5">
        <w:rPr>
          <w:lang w:val="es-ES_tradnl"/>
        </w:rPr>
        <w:t>Secretario del Tratado Internacional sobre los Recursos Fitogenéticos para la Alimentación y la Agricultura (ITPGRFA)</w:t>
      </w:r>
      <w:r w:rsidR="00D7662D" w:rsidRPr="001E45FE">
        <w:rPr>
          <w:lang w:val="es-ES_tradnl"/>
        </w:rPr>
        <w:t>.</w:t>
      </w:r>
      <w:r w:rsidR="00D458AF" w:rsidRPr="009B75DA">
        <w:rPr>
          <w:lang w:val="es-ES"/>
        </w:rPr>
        <w:t xml:space="preserve"> </w:t>
      </w:r>
    </w:p>
    <w:p w:rsidR="00D458AF" w:rsidRPr="009B75DA" w:rsidRDefault="00D458AF" w:rsidP="00D458AF">
      <w:pPr>
        <w:keepNext/>
        <w:rPr>
          <w:lang w:val="es-ES"/>
        </w:rPr>
      </w:pPr>
    </w:p>
    <w:p w:rsidR="00D458AF" w:rsidRPr="009B75DA" w:rsidRDefault="00DF030B" w:rsidP="00D458AF">
      <w:pPr>
        <w:rPr>
          <w:lang w:val="es-ES"/>
        </w:rPr>
      </w:pPr>
      <w:r w:rsidRPr="00393D08">
        <w:fldChar w:fldCharType="begin"/>
      </w:r>
      <w:r w:rsidR="00D458AF" w:rsidRPr="009B75DA">
        <w:rPr>
          <w:lang w:val="es-ES"/>
        </w:rPr>
        <w:instrText xml:space="preserve"> AUTONUM  </w:instrText>
      </w:r>
      <w:r w:rsidRPr="00393D08">
        <w:fldChar w:fldCharType="end"/>
      </w:r>
      <w:r w:rsidR="00D458AF" w:rsidRPr="009B75DA">
        <w:rPr>
          <w:lang w:val="es-ES"/>
        </w:rPr>
        <w:tab/>
      </w:r>
      <w:r w:rsidR="001E45FE" w:rsidRPr="007658B5">
        <w:rPr>
          <w:lang w:val="es-ES_tradnl"/>
        </w:rPr>
        <w:t>El Consejo</w:t>
      </w:r>
      <w:r w:rsidR="001E45FE" w:rsidRPr="001E45FE">
        <w:rPr>
          <w:lang w:val="es-ES_tradnl"/>
        </w:rPr>
        <w:t xml:space="preserve"> </w:t>
      </w:r>
      <w:r w:rsidR="001E45FE" w:rsidRPr="007658B5">
        <w:rPr>
          <w:lang w:val="es-ES_tradnl"/>
        </w:rPr>
        <w:t>tomó nota de la intervención de</w:t>
      </w:r>
      <w:r w:rsidR="001E45FE" w:rsidRPr="00541184">
        <w:rPr>
          <w:lang w:val="es-ES_tradnl"/>
        </w:rPr>
        <w:t>l rep</w:t>
      </w:r>
      <w:r w:rsidR="001E45FE" w:rsidRPr="001E45FE">
        <w:rPr>
          <w:lang w:val="es-ES_tradnl"/>
        </w:rPr>
        <w:t xml:space="preserve">resentante de la </w:t>
      </w:r>
      <w:r w:rsidR="001E45FE" w:rsidRPr="007658B5">
        <w:rPr>
          <w:lang w:val="es-ES_tradnl"/>
        </w:rPr>
        <w:t>Organización Regional Africana de la Propiedad Intelectual (ARIPO)</w:t>
      </w:r>
      <w:r w:rsidR="001E45FE" w:rsidRPr="001E45FE">
        <w:rPr>
          <w:lang w:val="es-ES_tradnl"/>
        </w:rPr>
        <w:t>.</w:t>
      </w:r>
    </w:p>
    <w:p w:rsidR="00D458AF" w:rsidRPr="009B75DA" w:rsidRDefault="00D458AF" w:rsidP="00D458AF">
      <w:pPr>
        <w:keepNext/>
        <w:rPr>
          <w:lang w:val="es-ES"/>
        </w:rPr>
      </w:pPr>
    </w:p>
    <w:p w:rsidR="00D458AF" w:rsidRPr="009B75DA" w:rsidRDefault="00DF030B" w:rsidP="00D458AF">
      <w:pPr>
        <w:keepNext/>
        <w:rPr>
          <w:lang w:val="es-ES"/>
        </w:rPr>
      </w:pPr>
      <w:r w:rsidRPr="00BD03EE">
        <w:fldChar w:fldCharType="begin"/>
      </w:r>
      <w:r w:rsidR="00D458AF" w:rsidRPr="009B75DA">
        <w:rPr>
          <w:lang w:val="es-ES"/>
        </w:rPr>
        <w:instrText xml:space="preserve"> AUTONUM  </w:instrText>
      </w:r>
      <w:r w:rsidRPr="00BD03EE">
        <w:fldChar w:fldCharType="end"/>
      </w:r>
      <w:r w:rsidR="00D458AF" w:rsidRPr="009B75DA">
        <w:rPr>
          <w:lang w:val="es-ES"/>
        </w:rPr>
        <w:tab/>
      </w:r>
      <w:r w:rsidR="001E45FE" w:rsidRPr="007658B5">
        <w:rPr>
          <w:lang w:val="es-ES_tradnl"/>
        </w:rPr>
        <w:t>El Consejo</w:t>
      </w:r>
      <w:r w:rsidR="001E45FE" w:rsidRPr="001E45FE">
        <w:rPr>
          <w:lang w:val="es-ES_tradnl"/>
        </w:rPr>
        <w:t xml:space="preserve"> </w:t>
      </w:r>
      <w:r w:rsidR="001E45FE" w:rsidRPr="007658B5">
        <w:rPr>
          <w:lang w:val="es-ES_tradnl"/>
        </w:rPr>
        <w:t>tomó nota de la información que figura en el documento</w:t>
      </w:r>
      <w:r w:rsidR="001E45FE" w:rsidRPr="001E45FE">
        <w:rPr>
          <w:lang w:val="es-ES_tradnl"/>
        </w:rPr>
        <w:t> C/49/15.</w:t>
      </w:r>
    </w:p>
    <w:p w:rsidR="00D458AF" w:rsidRPr="009B75DA" w:rsidRDefault="00D458AF" w:rsidP="00D458AF">
      <w:pPr>
        <w:spacing w:line="360" w:lineRule="auto"/>
        <w:rPr>
          <w:lang w:val="es-ES"/>
        </w:rPr>
      </w:pPr>
    </w:p>
    <w:p w:rsidR="00D458AF" w:rsidRPr="009B75DA" w:rsidRDefault="001E45FE" w:rsidP="00502281">
      <w:pPr>
        <w:pStyle w:val="Heading3"/>
        <w:rPr>
          <w:lang w:val="es-ES"/>
        </w:rPr>
      </w:pPr>
      <w:r w:rsidRPr="007658B5">
        <w:rPr>
          <w:lang w:val="es-ES_tradnl"/>
        </w:rPr>
        <w:t>Lista de los taxones protegidos por los Miembros de la Unión</w:t>
      </w:r>
    </w:p>
    <w:p w:rsidR="00D458AF" w:rsidRPr="009B75DA" w:rsidRDefault="00D458AF" w:rsidP="00502281">
      <w:pPr>
        <w:keepNext/>
        <w:autoSpaceDE w:val="0"/>
        <w:autoSpaceDN w:val="0"/>
        <w:adjustRightInd w:val="0"/>
        <w:rPr>
          <w:rFonts w:eastAsia="MS Mincho" w:cs="Arial"/>
          <w:lang w:val="es-ES" w:eastAsia="ja-JP"/>
        </w:rPr>
      </w:pPr>
    </w:p>
    <w:p w:rsidR="00D458AF" w:rsidRPr="009B75DA" w:rsidRDefault="00DF030B" w:rsidP="00502281">
      <w:pPr>
        <w:keepNext/>
        <w:autoSpaceDE w:val="0"/>
        <w:autoSpaceDN w:val="0"/>
        <w:adjustRightInd w:val="0"/>
        <w:rPr>
          <w:rFonts w:eastAsia="MS Mincho" w:cs="Arial"/>
          <w:lang w:val="es-ES" w:eastAsia="ja-JP"/>
        </w:rPr>
      </w:pPr>
      <w:r>
        <w:rPr>
          <w:rFonts w:eastAsia="MS Mincho" w:cs="Arial"/>
          <w:lang w:eastAsia="ja-JP"/>
        </w:rPr>
        <w:fldChar w:fldCharType="begin"/>
      </w:r>
      <w:r w:rsidR="00D458AF" w:rsidRPr="009B75DA">
        <w:rPr>
          <w:rFonts w:eastAsia="MS Mincho" w:cs="Arial"/>
          <w:lang w:val="es-ES" w:eastAsia="ja-JP"/>
        </w:rPr>
        <w:instrText xml:space="preserve"> AUTONUM  </w:instrText>
      </w:r>
      <w:r>
        <w:rPr>
          <w:rFonts w:eastAsia="MS Mincho" w:cs="Arial"/>
          <w:lang w:eastAsia="ja-JP"/>
        </w:rPr>
        <w:fldChar w:fldCharType="end"/>
      </w:r>
      <w:r w:rsidR="00D458AF" w:rsidRPr="009B75DA">
        <w:rPr>
          <w:rFonts w:eastAsia="MS Mincho" w:cs="Arial"/>
          <w:lang w:val="es-ES" w:eastAsia="ja-JP"/>
        </w:rPr>
        <w:tab/>
      </w:r>
      <w:r w:rsidR="001E45FE" w:rsidRPr="007658B5">
        <w:rPr>
          <w:rFonts w:eastAsia="MS Mincho" w:cs="Arial"/>
          <w:lang w:val="es-ES_tradnl" w:eastAsia="ja-JP"/>
        </w:rPr>
        <w:t>El Consejo examinó el documento</w:t>
      </w:r>
      <w:r w:rsidR="001E45FE" w:rsidRPr="001E45FE">
        <w:rPr>
          <w:rFonts w:eastAsia="MS Mincho" w:cs="Arial"/>
          <w:lang w:val="es-ES_tradnl" w:eastAsia="ja-JP"/>
        </w:rPr>
        <w:t> C/49/6.</w:t>
      </w:r>
    </w:p>
    <w:p w:rsidR="00D458AF" w:rsidRPr="009B75DA" w:rsidRDefault="00D458AF" w:rsidP="00D458AF">
      <w:pPr>
        <w:autoSpaceDE w:val="0"/>
        <w:autoSpaceDN w:val="0"/>
        <w:adjustRightInd w:val="0"/>
        <w:rPr>
          <w:rFonts w:eastAsia="MS Mincho" w:cs="Arial"/>
          <w:lang w:val="es-ES" w:eastAsia="ja-JP"/>
        </w:rPr>
      </w:pPr>
    </w:p>
    <w:p w:rsidR="00D458AF" w:rsidRPr="009B75DA" w:rsidRDefault="00DF030B" w:rsidP="00D458AF">
      <w:pPr>
        <w:autoSpaceDE w:val="0"/>
        <w:autoSpaceDN w:val="0"/>
        <w:adjustRightInd w:val="0"/>
        <w:rPr>
          <w:rFonts w:eastAsia="MS Mincho" w:cs="Arial"/>
          <w:lang w:val="es-ES" w:eastAsia="ja-JP"/>
        </w:rPr>
      </w:pPr>
      <w:r>
        <w:rPr>
          <w:rFonts w:eastAsia="MS Mincho" w:cs="Arial"/>
          <w:lang w:eastAsia="ja-JP"/>
        </w:rPr>
        <w:fldChar w:fldCharType="begin"/>
      </w:r>
      <w:r w:rsidR="00D458AF" w:rsidRPr="009B75DA">
        <w:rPr>
          <w:rFonts w:eastAsia="MS Mincho" w:cs="Arial"/>
          <w:lang w:val="es-ES" w:eastAsia="ja-JP"/>
        </w:rPr>
        <w:instrText xml:space="preserve"> AUTONUM  </w:instrText>
      </w:r>
      <w:r>
        <w:rPr>
          <w:rFonts w:eastAsia="MS Mincho" w:cs="Arial"/>
          <w:lang w:eastAsia="ja-JP"/>
        </w:rPr>
        <w:fldChar w:fldCharType="end"/>
      </w:r>
      <w:r w:rsidR="00D458AF" w:rsidRPr="009B75DA">
        <w:rPr>
          <w:rFonts w:eastAsia="MS Mincho" w:cs="Arial"/>
          <w:lang w:val="es-ES" w:eastAsia="ja-JP"/>
        </w:rPr>
        <w:tab/>
      </w:r>
      <w:r w:rsidR="001E45FE" w:rsidRPr="001E45FE">
        <w:rPr>
          <w:rFonts w:eastAsia="MS Mincho" w:cs="Arial"/>
          <w:lang w:val="es-ES_tradnl" w:eastAsia="ja-JP"/>
        </w:rPr>
        <w:t xml:space="preserve">El Consejo tomó nota de que un total de 59 </w:t>
      </w:r>
      <w:r w:rsidR="001E45FE" w:rsidRPr="007658B5">
        <w:rPr>
          <w:rFonts w:eastAsia="MS Mincho" w:cs="Arial"/>
          <w:lang w:val="es-ES_tradnl" w:eastAsia="ja-JP"/>
        </w:rPr>
        <w:t>miembros de la Unión brindaban protección a todos los géneros y especies vegetales</w:t>
      </w:r>
      <w:r w:rsidR="001E45FE" w:rsidRPr="001E45FE">
        <w:rPr>
          <w:rFonts w:eastAsia="MS Mincho" w:cs="Arial"/>
          <w:lang w:val="es-ES_tradnl" w:eastAsia="ja-JP"/>
        </w:rPr>
        <w:t xml:space="preserve"> (58 en 2014) </w:t>
      </w:r>
      <w:r w:rsidR="001E45FE" w:rsidRPr="007658B5">
        <w:rPr>
          <w:rFonts w:eastAsia="MS Mincho" w:cs="Arial"/>
          <w:lang w:val="es-ES_tradnl" w:eastAsia="ja-JP"/>
        </w:rPr>
        <w:t xml:space="preserve">y </w:t>
      </w:r>
      <w:r w:rsidR="001E45FE" w:rsidRPr="001E45FE">
        <w:rPr>
          <w:lang w:val="es-ES_tradnl" w:eastAsia="ja-JP"/>
        </w:rPr>
        <w:t>1</w:t>
      </w:r>
      <w:r w:rsidR="001E45FE" w:rsidRPr="001E45FE">
        <w:rPr>
          <w:rFonts w:eastAsia="MS Mincho"/>
          <w:lang w:val="es-ES_tradnl"/>
        </w:rPr>
        <w:t>4</w:t>
      </w:r>
      <w:r w:rsidR="001E45FE" w:rsidRPr="007658B5">
        <w:rPr>
          <w:rFonts w:eastAsia="MS Mincho" w:cs="Arial"/>
          <w:lang w:val="es-ES_tradnl" w:eastAsia="ja-JP"/>
        </w:rPr>
        <w:t xml:space="preserve"> miembros de la Unión brindaban protección a un número limitado de géneros y especies vegetales</w:t>
      </w:r>
      <w:r w:rsidR="001E45FE" w:rsidRPr="001E45FE">
        <w:rPr>
          <w:rFonts w:eastAsia="MS Mincho" w:cs="Arial"/>
          <w:lang w:val="es-ES_tradnl" w:eastAsia="ja-JP"/>
        </w:rPr>
        <w:t>.</w:t>
      </w:r>
      <w:r w:rsidR="00D458AF" w:rsidRPr="009B75DA">
        <w:rPr>
          <w:rFonts w:eastAsia="MS Mincho" w:cs="Arial"/>
          <w:lang w:val="es-ES" w:eastAsia="ja-JP"/>
        </w:rPr>
        <w:t xml:space="preserve">  </w:t>
      </w:r>
      <w:r w:rsidR="001E45FE" w:rsidRPr="007658B5">
        <w:rPr>
          <w:rFonts w:eastAsia="MS Mincho" w:cs="Arial"/>
          <w:lang w:val="es-ES_tradnl" w:eastAsia="ja-JP"/>
        </w:rPr>
        <w:t>De esos</w:t>
      </w:r>
      <w:r w:rsidR="001E45FE" w:rsidRPr="001E45FE">
        <w:rPr>
          <w:rFonts w:eastAsia="MS Mincho" w:cs="Arial"/>
          <w:lang w:val="es-ES_tradnl" w:eastAsia="ja-JP"/>
        </w:rPr>
        <w:t xml:space="preserve"> 14, </w:t>
      </w:r>
      <w:r w:rsidR="001E45FE" w:rsidRPr="007658B5">
        <w:rPr>
          <w:rFonts w:eastAsia="MS Mincho" w:cs="Arial"/>
          <w:lang w:val="es-ES_tradnl" w:eastAsia="ja-JP"/>
        </w:rPr>
        <w:t>dos países</w:t>
      </w:r>
      <w:r w:rsidR="001E45FE" w:rsidRPr="001E45FE">
        <w:rPr>
          <w:rFonts w:eastAsia="MS Mincho" w:cs="Arial"/>
          <w:lang w:val="es-ES_tradnl" w:eastAsia="ja-JP"/>
        </w:rPr>
        <w:t xml:space="preserve"> (el Brasil y Marruecos) </w:t>
      </w:r>
      <w:r w:rsidR="001E45FE" w:rsidRPr="007658B5">
        <w:rPr>
          <w:lang w:val="es-ES_tradnl"/>
        </w:rPr>
        <w:t xml:space="preserve">extendieron la protección a otros géneros y especies </w:t>
      </w:r>
      <w:r w:rsidR="001E45FE" w:rsidRPr="001E45FE">
        <w:rPr>
          <w:lang w:val="es-ES_tradnl"/>
        </w:rPr>
        <w:t>vegetales</w:t>
      </w:r>
      <w:r w:rsidR="001E45FE" w:rsidRPr="007658B5">
        <w:rPr>
          <w:lang w:val="es-ES_tradnl"/>
        </w:rPr>
        <w:t xml:space="preserve"> en</w:t>
      </w:r>
      <w:r w:rsidR="001E45FE" w:rsidRPr="001E45FE">
        <w:rPr>
          <w:rFonts w:eastAsia="MS Mincho" w:cs="Arial"/>
          <w:lang w:val="es-ES_tradnl" w:eastAsia="ja-JP"/>
        </w:rPr>
        <w:t> 2015.</w:t>
      </w:r>
    </w:p>
    <w:p w:rsidR="00D458AF" w:rsidRPr="009B75DA" w:rsidRDefault="00D458AF" w:rsidP="00D458AF">
      <w:pPr>
        <w:autoSpaceDE w:val="0"/>
        <w:autoSpaceDN w:val="0"/>
        <w:adjustRightInd w:val="0"/>
        <w:spacing w:line="360" w:lineRule="auto"/>
        <w:rPr>
          <w:rFonts w:eastAsia="MS Mincho" w:cs="Arial"/>
          <w:lang w:val="es-ES" w:eastAsia="ja-JP"/>
        </w:rPr>
      </w:pPr>
    </w:p>
    <w:p w:rsidR="00D458AF" w:rsidRPr="009B75DA" w:rsidRDefault="001E45FE" w:rsidP="00D458AF">
      <w:pPr>
        <w:pStyle w:val="Heading3"/>
        <w:rPr>
          <w:lang w:val="es-ES"/>
        </w:rPr>
      </w:pPr>
      <w:r w:rsidRPr="007658B5">
        <w:rPr>
          <w:lang w:val="es-ES_tradnl"/>
        </w:rPr>
        <w:t>Estadísticas sobre la protección de las obtenciones vegetales para el período</w:t>
      </w:r>
      <w:r w:rsidRPr="001E45FE">
        <w:rPr>
          <w:lang w:val="es-ES_tradnl"/>
        </w:rPr>
        <w:t xml:space="preserve"> 2010-2014</w:t>
      </w:r>
    </w:p>
    <w:p w:rsidR="00D458AF" w:rsidRPr="009B75DA" w:rsidRDefault="00D458AF" w:rsidP="00D458AF">
      <w:pPr>
        <w:keepNext/>
        <w:autoSpaceDE w:val="0"/>
        <w:autoSpaceDN w:val="0"/>
        <w:adjustRightInd w:val="0"/>
        <w:rPr>
          <w:rFonts w:eastAsia="MS Mincho" w:cs="Arial"/>
          <w:lang w:val="es-ES" w:eastAsia="ja-JP"/>
        </w:rPr>
      </w:pPr>
    </w:p>
    <w:p w:rsidR="00D458AF" w:rsidRPr="009B75DA" w:rsidRDefault="00DF030B" w:rsidP="00D458AF">
      <w:pPr>
        <w:keepNext/>
        <w:autoSpaceDE w:val="0"/>
        <w:autoSpaceDN w:val="0"/>
        <w:adjustRightInd w:val="0"/>
        <w:rPr>
          <w:rFonts w:eastAsia="MS Mincho" w:cs="Arial"/>
          <w:lang w:val="es-ES" w:eastAsia="ja-JP"/>
        </w:rPr>
      </w:pPr>
      <w:r>
        <w:rPr>
          <w:rFonts w:eastAsia="MS Mincho" w:cs="Arial"/>
          <w:lang w:eastAsia="ja-JP"/>
        </w:rPr>
        <w:fldChar w:fldCharType="begin"/>
      </w:r>
      <w:r w:rsidR="00D458AF" w:rsidRPr="009B75DA">
        <w:rPr>
          <w:rFonts w:eastAsia="MS Mincho" w:cs="Arial"/>
          <w:lang w:val="es-ES" w:eastAsia="ja-JP"/>
        </w:rPr>
        <w:instrText xml:space="preserve"> AUTONUM  </w:instrText>
      </w:r>
      <w:r>
        <w:rPr>
          <w:rFonts w:eastAsia="MS Mincho" w:cs="Arial"/>
          <w:lang w:eastAsia="ja-JP"/>
        </w:rPr>
        <w:fldChar w:fldCharType="end"/>
      </w:r>
      <w:r w:rsidR="00D458AF" w:rsidRPr="009B75DA">
        <w:rPr>
          <w:rFonts w:eastAsia="MS Mincho" w:cs="Arial"/>
          <w:lang w:val="es-ES" w:eastAsia="ja-JP"/>
        </w:rPr>
        <w:tab/>
      </w:r>
      <w:r w:rsidR="001E45FE" w:rsidRPr="007658B5">
        <w:rPr>
          <w:rFonts w:eastAsia="MS Mincho" w:cs="Arial"/>
          <w:lang w:val="es-ES_tradnl" w:eastAsia="ja-JP"/>
        </w:rPr>
        <w:t>El Consejo examinó el documento</w:t>
      </w:r>
      <w:r w:rsidR="001E45FE" w:rsidRPr="001E45FE">
        <w:rPr>
          <w:rFonts w:eastAsia="MS Mincho" w:cs="Arial"/>
          <w:lang w:val="es-ES_tradnl" w:eastAsia="ja-JP"/>
        </w:rPr>
        <w:t> C/49/7.</w:t>
      </w:r>
    </w:p>
    <w:p w:rsidR="00D458AF" w:rsidRPr="009B75DA" w:rsidRDefault="00D458AF" w:rsidP="00D458AF">
      <w:pPr>
        <w:keepNext/>
        <w:autoSpaceDE w:val="0"/>
        <w:autoSpaceDN w:val="0"/>
        <w:adjustRightInd w:val="0"/>
        <w:rPr>
          <w:rFonts w:eastAsia="MS Mincho" w:cs="Arial"/>
          <w:lang w:val="es-ES" w:eastAsia="ja-JP"/>
        </w:rPr>
      </w:pPr>
    </w:p>
    <w:p w:rsidR="00D458AF" w:rsidRPr="009B75DA" w:rsidRDefault="00DF030B" w:rsidP="00D458AF">
      <w:pPr>
        <w:autoSpaceDE w:val="0"/>
        <w:autoSpaceDN w:val="0"/>
        <w:rPr>
          <w:lang w:val="es-ES"/>
        </w:rPr>
      </w:pPr>
      <w:r>
        <w:rPr>
          <w:rFonts w:eastAsia="MS Mincho" w:cs="Arial"/>
          <w:lang w:eastAsia="ja-JP"/>
        </w:rPr>
        <w:fldChar w:fldCharType="begin"/>
      </w:r>
      <w:r w:rsidR="00D458AF" w:rsidRPr="009B75DA">
        <w:rPr>
          <w:rFonts w:eastAsia="MS Mincho" w:cs="Arial"/>
          <w:lang w:val="es-ES" w:eastAsia="ja-JP"/>
        </w:rPr>
        <w:instrText xml:space="preserve"> AUTONUM  </w:instrText>
      </w:r>
      <w:r>
        <w:rPr>
          <w:rFonts w:eastAsia="MS Mincho" w:cs="Arial"/>
          <w:lang w:eastAsia="ja-JP"/>
        </w:rPr>
        <w:fldChar w:fldCharType="end"/>
      </w:r>
      <w:r w:rsidR="00D458AF" w:rsidRPr="009B75DA">
        <w:rPr>
          <w:rFonts w:eastAsia="MS Mincho" w:cs="Arial"/>
          <w:lang w:val="es-ES" w:eastAsia="ja-JP"/>
        </w:rPr>
        <w:tab/>
      </w:r>
      <w:r w:rsidR="001E45FE" w:rsidRPr="007658B5">
        <w:rPr>
          <w:lang w:val="es-ES_tradnl"/>
        </w:rPr>
        <w:t xml:space="preserve">El Consejo </w:t>
      </w:r>
      <w:r w:rsidR="00062F1A" w:rsidRPr="007658B5">
        <w:rPr>
          <w:lang w:val="es-ES_tradnl"/>
        </w:rPr>
        <w:t>tomó nota de que</w:t>
      </w:r>
      <w:r w:rsidR="001E45FE" w:rsidRPr="007658B5">
        <w:rPr>
          <w:lang w:val="es-ES_tradnl"/>
        </w:rPr>
        <w:t xml:space="preserve">, </w:t>
      </w:r>
      <w:r w:rsidR="00062F1A" w:rsidRPr="007658B5">
        <w:rPr>
          <w:lang w:val="es-ES_tradnl"/>
        </w:rPr>
        <w:t>e</w:t>
      </w:r>
      <w:r w:rsidR="001E45FE" w:rsidRPr="007658B5">
        <w:rPr>
          <w:lang w:val="es-ES_tradnl"/>
        </w:rPr>
        <w:t xml:space="preserve">n 2014, </w:t>
      </w:r>
      <w:r w:rsidR="00062F1A" w:rsidRPr="007658B5">
        <w:rPr>
          <w:lang w:val="es-ES_tradnl"/>
        </w:rPr>
        <w:t xml:space="preserve">el número de solicitudes de miembros de la UPOV había superado las </w:t>
      </w:r>
      <w:r w:rsidR="001E45FE" w:rsidRPr="007658B5">
        <w:rPr>
          <w:lang w:val="es-ES_tradnl"/>
        </w:rPr>
        <w:t>15</w:t>
      </w:r>
      <w:r w:rsidR="00062F1A" w:rsidRPr="007658B5">
        <w:rPr>
          <w:lang w:val="es-ES_tradnl"/>
        </w:rPr>
        <w:t>.</w:t>
      </w:r>
      <w:r w:rsidR="001E45FE" w:rsidRPr="007658B5">
        <w:rPr>
          <w:lang w:val="es-ES_tradnl"/>
        </w:rPr>
        <w:t>000</w:t>
      </w:r>
      <w:r w:rsidR="001E45FE" w:rsidRPr="006006FC">
        <w:rPr>
          <w:lang w:val="es-ES_tradnl"/>
        </w:rPr>
        <w:t xml:space="preserve"> </w:t>
      </w:r>
      <w:r w:rsidR="001E45FE" w:rsidRPr="007658B5">
        <w:rPr>
          <w:lang w:val="es-ES_tradnl"/>
        </w:rPr>
        <w:t>por primera</w:t>
      </w:r>
      <w:r w:rsidR="00062F1A" w:rsidRPr="007658B5">
        <w:rPr>
          <w:lang w:val="es-ES_tradnl"/>
        </w:rPr>
        <w:t xml:space="preserve"> vez</w:t>
      </w:r>
      <w:r w:rsidR="001E45FE" w:rsidRPr="00062F1A">
        <w:rPr>
          <w:lang w:val="es-ES_tradnl"/>
        </w:rPr>
        <w:t>.</w:t>
      </w:r>
      <w:r w:rsidR="00D458AF" w:rsidRPr="009B75DA">
        <w:rPr>
          <w:lang w:val="es-ES"/>
        </w:rPr>
        <w:t xml:space="preserve">  </w:t>
      </w:r>
      <w:r w:rsidR="00062F1A" w:rsidRPr="007658B5">
        <w:rPr>
          <w:lang w:val="es-ES_tradnl"/>
        </w:rPr>
        <w:t>El aumento del número de solicitudes de protección de variedades vegetales fue del 4,8% (15.499 en 2014; 14.788 en 2013), cifra que comprende un aumento del 2,8% del número de solicitudes presentadas por residentes (9.770 en 2014; 9.502 en 2013) y un aumento del 8,4% del número de solicitudes presentadas por no residentes (5.729 en 2014; 5.286 en 2013).</w:t>
      </w:r>
      <w:r w:rsidR="00D458AF" w:rsidRPr="009B75DA">
        <w:rPr>
          <w:lang w:val="es-ES"/>
        </w:rPr>
        <w:t xml:space="preserve">  </w:t>
      </w:r>
      <w:r w:rsidR="00062F1A" w:rsidRPr="007658B5">
        <w:rPr>
          <w:lang w:val="es-ES_tradnl"/>
        </w:rPr>
        <w:t>El número de títulos concedidos pasó de 10.052 en 2013 a 10.569 en 2014 (15,1% de aumento).</w:t>
      </w:r>
    </w:p>
    <w:p w:rsidR="00D458AF" w:rsidRPr="009B75DA" w:rsidRDefault="00D458AF" w:rsidP="00D458AF">
      <w:pPr>
        <w:spacing w:line="360" w:lineRule="auto"/>
        <w:rPr>
          <w:rFonts w:eastAsia="MS Mincho"/>
          <w:lang w:val="es-ES"/>
        </w:rPr>
      </w:pPr>
    </w:p>
    <w:p w:rsidR="00D458AF" w:rsidRPr="009B75DA" w:rsidRDefault="00062F1A" w:rsidP="00D458AF">
      <w:pPr>
        <w:pStyle w:val="Heading3"/>
        <w:rPr>
          <w:lang w:val="es-ES"/>
        </w:rPr>
      </w:pPr>
      <w:r w:rsidRPr="007658B5">
        <w:rPr>
          <w:lang w:val="es-ES_tradnl"/>
        </w:rPr>
        <w:t>Cooperación en materia de</w:t>
      </w:r>
      <w:r w:rsidRPr="007658B5">
        <w:rPr>
          <w:rFonts w:ascii="Segoe UI" w:hAnsi="Segoe UI" w:cs="Segoe UI"/>
          <w:sz w:val="28"/>
          <w:szCs w:val="28"/>
          <w:lang w:val="es-ES_tradnl"/>
        </w:rPr>
        <w:t xml:space="preserve"> </w:t>
      </w:r>
      <w:r w:rsidRPr="007658B5">
        <w:rPr>
          <w:lang w:val="es-ES_tradnl"/>
        </w:rPr>
        <w:t>examen</w:t>
      </w:r>
    </w:p>
    <w:p w:rsidR="00D458AF" w:rsidRPr="009B75DA" w:rsidRDefault="00D458AF" w:rsidP="00D458AF">
      <w:pPr>
        <w:keepNext/>
        <w:tabs>
          <w:tab w:val="num" w:pos="1440"/>
        </w:tabs>
        <w:autoSpaceDE w:val="0"/>
        <w:autoSpaceDN w:val="0"/>
        <w:adjustRightInd w:val="0"/>
        <w:rPr>
          <w:rFonts w:cs="Arial"/>
          <w:lang w:val="es-ES"/>
        </w:rPr>
      </w:pPr>
    </w:p>
    <w:p w:rsidR="00D458AF" w:rsidRPr="009B75DA" w:rsidRDefault="00DF030B" w:rsidP="00D458AF">
      <w:pPr>
        <w:autoSpaceDE w:val="0"/>
        <w:autoSpaceDN w:val="0"/>
        <w:adjustRightInd w:val="0"/>
        <w:rPr>
          <w:rFonts w:eastAsia="MS Mincho" w:cs="Arial"/>
          <w:lang w:val="es-ES" w:eastAsia="ja-JP"/>
        </w:rPr>
      </w:pPr>
      <w:r>
        <w:rPr>
          <w:rFonts w:eastAsia="MS Mincho" w:cs="Arial"/>
          <w:lang w:eastAsia="ja-JP"/>
        </w:rPr>
        <w:fldChar w:fldCharType="begin"/>
      </w:r>
      <w:r w:rsidR="00D458AF" w:rsidRPr="009B75DA">
        <w:rPr>
          <w:rFonts w:eastAsia="MS Mincho" w:cs="Arial"/>
          <w:lang w:val="es-ES" w:eastAsia="ja-JP"/>
        </w:rPr>
        <w:instrText xml:space="preserve"> AUTONUM  </w:instrText>
      </w:r>
      <w:r>
        <w:rPr>
          <w:rFonts w:eastAsia="MS Mincho" w:cs="Arial"/>
          <w:lang w:eastAsia="ja-JP"/>
        </w:rPr>
        <w:fldChar w:fldCharType="end"/>
      </w:r>
      <w:r w:rsidR="00D458AF" w:rsidRPr="009B75DA">
        <w:rPr>
          <w:rFonts w:eastAsia="MS Mincho" w:cs="Arial"/>
          <w:lang w:val="es-ES" w:eastAsia="ja-JP"/>
        </w:rPr>
        <w:tab/>
      </w:r>
      <w:r w:rsidR="00062F1A" w:rsidRPr="007658B5">
        <w:rPr>
          <w:rFonts w:eastAsia="MS Mincho" w:cs="Arial"/>
          <w:lang w:val="es-ES_tradnl" w:eastAsia="ja-JP"/>
        </w:rPr>
        <w:t>El Consejo examinó el documento</w:t>
      </w:r>
      <w:r w:rsidR="00062F1A" w:rsidRPr="000F26F1">
        <w:rPr>
          <w:rFonts w:eastAsia="MS Mincho" w:cs="Arial"/>
          <w:lang w:val="es-ES_tradnl" w:eastAsia="ja-JP"/>
        </w:rPr>
        <w:t> C/49/5.</w:t>
      </w:r>
    </w:p>
    <w:p w:rsidR="00D458AF" w:rsidRPr="009B75DA" w:rsidRDefault="00D458AF" w:rsidP="00D458AF">
      <w:pPr>
        <w:keepNext/>
        <w:tabs>
          <w:tab w:val="num" w:pos="1440"/>
        </w:tabs>
        <w:autoSpaceDE w:val="0"/>
        <w:autoSpaceDN w:val="0"/>
        <w:adjustRightInd w:val="0"/>
        <w:rPr>
          <w:rFonts w:cs="Arial"/>
          <w:lang w:val="es-ES"/>
        </w:rPr>
      </w:pPr>
    </w:p>
    <w:p w:rsidR="00D458AF" w:rsidRPr="009B75DA" w:rsidRDefault="00DF030B" w:rsidP="00D458AF">
      <w:pPr>
        <w:keepNext/>
        <w:autoSpaceDE w:val="0"/>
        <w:autoSpaceDN w:val="0"/>
        <w:adjustRightInd w:val="0"/>
        <w:rPr>
          <w:rFonts w:cs="Arial"/>
          <w:lang w:val="es-ES"/>
        </w:rPr>
      </w:pPr>
      <w:r>
        <w:rPr>
          <w:rFonts w:eastAsia="MS Mincho" w:cs="Arial"/>
          <w:lang w:eastAsia="ja-JP"/>
        </w:rPr>
        <w:fldChar w:fldCharType="begin"/>
      </w:r>
      <w:r w:rsidR="00D458AF" w:rsidRPr="009B75DA">
        <w:rPr>
          <w:rFonts w:eastAsia="MS Mincho" w:cs="Arial"/>
          <w:lang w:val="es-ES" w:eastAsia="ja-JP"/>
        </w:rPr>
        <w:instrText xml:space="preserve"> AUTONUM  </w:instrText>
      </w:r>
      <w:r>
        <w:rPr>
          <w:rFonts w:eastAsia="MS Mincho" w:cs="Arial"/>
          <w:lang w:eastAsia="ja-JP"/>
        </w:rPr>
        <w:fldChar w:fldCharType="end"/>
      </w:r>
      <w:r w:rsidR="00D458AF" w:rsidRPr="009B75DA">
        <w:rPr>
          <w:rFonts w:eastAsia="MS Mincho" w:cs="Arial"/>
          <w:lang w:val="es-ES" w:eastAsia="ja-JP"/>
        </w:rPr>
        <w:tab/>
      </w:r>
      <w:r w:rsidR="000F26F1" w:rsidRPr="000F26F1">
        <w:rPr>
          <w:rFonts w:eastAsia="MS Mincho" w:cs="Arial"/>
          <w:lang w:val="es-ES_tradnl" w:eastAsia="ja-JP"/>
        </w:rPr>
        <w:t xml:space="preserve">El Consejo tomó nota de que </w:t>
      </w:r>
      <w:r w:rsidR="000F26F1" w:rsidRPr="007658B5">
        <w:rPr>
          <w:rFonts w:eastAsia="MS Mincho" w:cs="Arial"/>
          <w:lang w:val="es-ES_tradnl" w:eastAsia="ja-JP"/>
        </w:rPr>
        <w:t xml:space="preserve">en </w:t>
      </w:r>
      <w:r w:rsidR="000F26F1" w:rsidRPr="000F26F1">
        <w:rPr>
          <w:rFonts w:eastAsia="MS Mincho"/>
          <w:lang w:val="es-ES_tradnl"/>
        </w:rPr>
        <w:t xml:space="preserve">2015 </w:t>
      </w:r>
      <w:r w:rsidR="000F26F1" w:rsidRPr="007658B5">
        <w:rPr>
          <w:lang w:val="es-ES_tradnl"/>
        </w:rPr>
        <w:t>se suscribieron acuerdos de c</w:t>
      </w:r>
      <w:r w:rsidR="003B3B6E">
        <w:rPr>
          <w:lang w:val="es-ES_tradnl"/>
        </w:rPr>
        <w:t>ooperación entre miembros de la </w:t>
      </w:r>
      <w:r w:rsidR="000F26F1" w:rsidRPr="007658B5">
        <w:rPr>
          <w:lang w:val="es-ES_tradnl"/>
        </w:rPr>
        <w:t xml:space="preserve">Unión para el examen de la distinción, la homogeneidad y la estabilidad respecto de </w:t>
      </w:r>
      <w:r w:rsidR="000F26F1" w:rsidRPr="006006FC">
        <w:rPr>
          <w:lang w:val="es-ES_tradnl"/>
        </w:rPr>
        <w:t>2.002</w:t>
      </w:r>
      <w:r w:rsidR="000F26F1" w:rsidRPr="007658B5">
        <w:rPr>
          <w:lang w:val="es-ES_tradnl"/>
        </w:rPr>
        <w:t xml:space="preserve"> géneros y especies vegetales, en comparación con la cifra de </w:t>
      </w:r>
      <w:r w:rsidR="000F26F1" w:rsidRPr="006006FC">
        <w:rPr>
          <w:lang w:val="es-ES_tradnl"/>
        </w:rPr>
        <w:t>2.005</w:t>
      </w:r>
      <w:r w:rsidR="000F26F1" w:rsidRPr="007658B5">
        <w:rPr>
          <w:lang w:val="es-ES_tradnl"/>
        </w:rPr>
        <w:t xml:space="preserve"> géneros y espec</w:t>
      </w:r>
      <w:r w:rsidR="00404BB7">
        <w:rPr>
          <w:lang w:val="es-ES_tradnl"/>
        </w:rPr>
        <w:t xml:space="preserve">ies </w:t>
      </w:r>
      <w:proofErr w:type="gramStart"/>
      <w:r w:rsidR="00404BB7">
        <w:rPr>
          <w:lang w:val="es-ES_tradnl"/>
        </w:rPr>
        <w:t>vegetales correspondiente</w:t>
      </w:r>
      <w:proofErr w:type="gramEnd"/>
      <w:r w:rsidR="00404BB7">
        <w:rPr>
          <w:lang w:val="es-ES_tradnl"/>
        </w:rPr>
        <w:t xml:space="preserve"> a </w:t>
      </w:r>
      <w:r w:rsidR="000F26F1" w:rsidRPr="000F26F1">
        <w:rPr>
          <w:lang w:val="es-ES_tradnl"/>
        </w:rPr>
        <w:t>2014</w:t>
      </w:r>
      <w:r w:rsidR="000F26F1" w:rsidRPr="000F26F1">
        <w:rPr>
          <w:rFonts w:eastAsia="MS Mincho" w:cs="Arial"/>
          <w:lang w:val="es-ES_tradnl" w:eastAsia="ja-JP"/>
        </w:rPr>
        <w:t>.</w:t>
      </w:r>
    </w:p>
    <w:p w:rsidR="00D458AF" w:rsidRPr="009B75DA" w:rsidRDefault="00D458AF" w:rsidP="00D458AF">
      <w:pPr>
        <w:rPr>
          <w:rFonts w:cs="Arial"/>
          <w:lang w:val="es-ES"/>
        </w:rPr>
      </w:pPr>
    </w:p>
    <w:p w:rsidR="00D458AF" w:rsidRPr="009B75DA" w:rsidRDefault="00D458AF" w:rsidP="00D458AF">
      <w:pPr>
        <w:rPr>
          <w:lang w:val="es-ES"/>
        </w:rPr>
      </w:pPr>
    </w:p>
    <w:p w:rsidR="00D458AF" w:rsidRPr="009B75DA" w:rsidRDefault="000F26F1" w:rsidP="00D458AF">
      <w:pPr>
        <w:keepNext/>
        <w:rPr>
          <w:lang w:val="es-ES"/>
        </w:rPr>
      </w:pPr>
      <w:r w:rsidRPr="007658B5">
        <w:rPr>
          <w:u w:val="single"/>
          <w:lang w:val="es-ES_tradnl"/>
        </w:rPr>
        <w:t>Comunicado de prensa</w:t>
      </w:r>
    </w:p>
    <w:p w:rsidR="00D458AF" w:rsidRPr="009B75DA" w:rsidRDefault="00D458AF" w:rsidP="00D458AF">
      <w:pPr>
        <w:keepNext/>
        <w:rPr>
          <w:lang w:val="es-ES"/>
        </w:rPr>
      </w:pPr>
    </w:p>
    <w:p w:rsidR="00D458AF" w:rsidRPr="009B75DA" w:rsidRDefault="00DF030B" w:rsidP="00D458AF">
      <w:pPr>
        <w:rPr>
          <w:lang w:val="es-ES"/>
        </w:rPr>
      </w:pPr>
      <w:r>
        <w:fldChar w:fldCharType="begin"/>
      </w:r>
      <w:r w:rsidR="00D458AF" w:rsidRPr="009B75DA">
        <w:rPr>
          <w:lang w:val="es-ES"/>
        </w:rPr>
        <w:instrText xml:space="preserve"> AUTONUM  </w:instrText>
      </w:r>
      <w:r>
        <w:fldChar w:fldCharType="end"/>
      </w:r>
      <w:r w:rsidR="00D458AF" w:rsidRPr="009B75DA">
        <w:rPr>
          <w:lang w:val="es-ES"/>
        </w:rPr>
        <w:tab/>
      </w:r>
      <w:r w:rsidR="000F26F1" w:rsidRPr="007658B5">
        <w:rPr>
          <w:lang w:val="es-ES_tradnl"/>
        </w:rPr>
        <w:t>El Consejo examinó el borrador de comunicado de prensa que figura en el documento</w:t>
      </w:r>
      <w:r w:rsidR="000F26F1" w:rsidRPr="000F26F1">
        <w:rPr>
          <w:lang w:val="es-ES_tradnl"/>
        </w:rPr>
        <w:t> C/49/17.</w:t>
      </w:r>
    </w:p>
    <w:p w:rsidR="00D458AF" w:rsidRPr="009B75DA" w:rsidRDefault="00D458AF" w:rsidP="00D458AF">
      <w:pPr>
        <w:rPr>
          <w:lang w:val="es-ES"/>
        </w:rPr>
      </w:pPr>
    </w:p>
    <w:p w:rsidR="00D458AF" w:rsidRPr="009B75DA" w:rsidRDefault="00DF030B" w:rsidP="00D458AF">
      <w:pPr>
        <w:rPr>
          <w:szCs w:val="24"/>
          <w:lang w:val="es-ES"/>
        </w:rPr>
      </w:pPr>
      <w:r w:rsidRPr="0052707B">
        <w:rPr>
          <w:szCs w:val="24"/>
        </w:rPr>
        <w:fldChar w:fldCharType="begin"/>
      </w:r>
      <w:r w:rsidR="00D458AF" w:rsidRPr="009B75DA">
        <w:rPr>
          <w:szCs w:val="24"/>
          <w:lang w:val="es-ES"/>
        </w:rPr>
        <w:instrText xml:space="preserve"> AUTONUM  </w:instrText>
      </w:r>
      <w:r w:rsidRPr="0052707B">
        <w:rPr>
          <w:szCs w:val="24"/>
        </w:rPr>
        <w:fldChar w:fldCharType="end"/>
      </w:r>
      <w:r w:rsidR="00D458AF" w:rsidRPr="009B75DA">
        <w:rPr>
          <w:szCs w:val="24"/>
          <w:lang w:val="es-ES"/>
        </w:rPr>
        <w:tab/>
      </w:r>
      <w:r w:rsidR="00493655" w:rsidRPr="007658B5">
        <w:rPr>
          <w:szCs w:val="24"/>
          <w:lang w:val="es-ES_tradnl"/>
        </w:rPr>
        <w:t>E</w:t>
      </w:r>
      <w:r w:rsidR="000F26F1" w:rsidRPr="007658B5">
        <w:rPr>
          <w:szCs w:val="24"/>
          <w:lang w:val="es-ES_tradnl"/>
        </w:rPr>
        <w:t xml:space="preserve">l Consejo </w:t>
      </w:r>
      <w:r w:rsidR="00493655" w:rsidRPr="007658B5">
        <w:rPr>
          <w:lang w:val="es-ES_tradnl"/>
        </w:rPr>
        <w:t>aprobó</w:t>
      </w:r>
      <w:r w:rsidR="00493655" w:rsidRPr="00493655">
        <w:rPr>
          <w:lang w:val="es-ES_tradnl"/>
        </w:rPr>
        <w:t xml:space="preserve"> </w:t>
      </w:r>
      <w:r w:rsidR="00493655" w:rsidRPr="007658B5">
        <w:rPr>
          <w:lang w:val="es-ES_tradnl"/>
        </w:rPr>
        <w:t>el proyecto de comunicado de prensa, que se reproduce en el Anexo II del presente informe</w:t>
      </w:r>
      <w:r w:rsidR="000F26F1" w:rsidRPr="00493655">
        <w:rPr>
          <w:szCs w:val="24"/>
          <w:lang w:val="es-ES_tradnl"/>
        </w:rPr>
        <w:t>.</w:t>
      </w:r>
    </w:p>
    <w:p w:rsidR="00D458AF" w:rsidRPr="009B75DA" w:rsidRDefault="00D458AF" w:rsidP="00D458AF">
      <w:pPr>
        <w:rPr>
          <w:lang w:val="es-ES"/>
        </w:rPr>
      </w:pPr>
    </w:p>
    <w:p w:rsidR="00D458AF" w:rsidRPr="009B75DA" w:rsidRDefault="00DF030B" w:rsidP="00D458AF">
      <w:pPr>
        <w:pStyle w:val="DecisionParagraphs"/>
        <w:rPr>
          <w:lang w:val="es-ES"/>
        </w:rPr>
      </w:pPr>
      <w:r w:rsidRPr="00226CCA">
        <w:fldChar w:fldCharType="begin"/>
      </w:r>
      <w:r w:rsidR="00D458AF" w:rsidRPr="009B75DA">
        <w:rPr>
          <w:lang w:val="es-ES"/>
        </w:rPr>
        <w:instrText xml:space="preserve"> AUTONUM  </w:instrText>
      </w:r>
      <w:r w:rsidRPr="00226CCA">
        <w:fldChar w:fldCharType="end"/>
      </w:r>
      <w:r w:rsidR="00D458AF" w:rsidRPr="009B75DA">
        <w:rPr>
          <w:lang w:val="es-ES"/>
        </w:rPr>
        <w:tab/>
      </w:r>
      <w:r w:rsidR="00493655" w:rsidRPr="007658B5">
        <w:rPr>
          <w:lang w:val="es-ES_tradnl"/>
        </w:rPr>
        <w:t>El Consejo aprobó el presente informe en la clausura de su sesión, el</w:t>
      </w:r>
      <w:r w:rsidR="00493655" w:rsidRPr="00493655">
        <w:rPr>
          <w:lang w:val="es-ES_tradnl"/>
        </w:rPr>
        <w:t xml:space="preserve"> 29 de octubre de 2015.</w:t>
      </w:r>
    </w:p>
    <w:p w:rsidR="00D458AF" w:rsidRPr="009B75DA" w:rsidRDefault="00D458AF" w:rsidP="00D458AF">
      <w:pPr>
        <w:rPr>
          <w:lang w:val="es-ES"/>
        </w:rPr>
      </w:pPr>
    </w:p>
    <w:p w:rsidR="00D458AF" w:rsidRPr="009B75DA" w:rsidRDefault="00D458AF" w:rsidP="00D458AF">
      <w:pPr>
        <w:rPr>
          <w:lang w:val="es-ES"/>
        </w:rPr>
      </w:pPr>
    </w:p>
    <w:p w:rsidR="00D458AF" w:rsidRPr="009B75DA" w:rsidRDefault="00D458AF" w:rsidP="00D458AF">
      <w:pPr>
        <w:rPr>
          <w:lang w:val="es-ES"/>
        </w:rPr>
      </w:pPr>
    </w:p>
    <w:p w:rsidR="00D458AF" w:rsidRPr="00563401" w:rsidRDefault="00D458AF" w:rsidP="00D458AF">
      <w:pPr>
        <w:jc w:val="right"/>
      </w:pPr>
      <w:r w:rsidRPr="00563401">
        <w:t>[</w:t>
      </w:r>
      <w:proofErr w:type="spellStart"/>
      <w:r w:rsidR="000A2F65" w:rsidRPr="00563401">
        <w:t>Siguen</w:t>
      </w:r>
      <w:proofErr w:type="spellEnd"/>
      <w:r w:rsidR="000A2F65" w:rsidRPr="00563401">
        <w:t xml:space="preserve"> </w:t>
      </w:r>
      <w:proofErr w:type="spellStart"/>
      <w:r w:rsidR="000A2F65" w:rsidRPr="00563401">
        <w:t>los</w:t>
      </w:r>
      <w:proofErr w:type="spellEnd"/>
      <w:r w:rsidR="000A2F65" w:rsidRPr="00563401">
        <w:t xml:space="preserve"> </w:t>
      </w:r>
      <w:proofErr w:type="spellStart"/>
      <w:r w:rsidR="000A2F65" w:rsidRPr="00563401">
        <w:t>Anexos</w:t>
      </w:r>
      <w:proofErr w:type="spellEnd"/>
      <w:r w:rsidRPr="00563401">
        <w:t>]</w:t>
      </w:r>
    </w:p>
    <w:p w:rsidR="000A2F65" w:rsidRPr="000C3490" w:rsidRDefault="000A2F65" w:rsidP="00D458AF">
      <w:pPr>
        <w:jc w:val="right"/>
        <w:rPr>
          <w:dstrike/>
        </w:rPr>
      </w:pPr>
    </w:p>
    <w:p w:rsidR="000A2F65" w:rsidRPr="000C3490" w:rsidRDefault="000A2F65" w:rsidP="000A2F65">
      <w:pPr>
        <w:rPr>
          <w:dstrike/>
        </w:rPr>
      </w:pPr>
    </w:p>
    <w:p w:rsidR="00D458AF" w:rsidRPr="000C3490" w:rsidRDefault="00D458AF" w:rsidP="000A2F65">
      <w:pPr>
        <w:rPr>
          <w:dstrike/>
        </w:rPr>
        <w:sectPr w:rsidR="00D458AF" w:rsidRPr="000C3490" w:rsidSect="00906DDC">
          <w:headerReference w:type="default" r:id="rId10"/>
          <w:pgSz w:w="11907" w:h="16840" w:code="9"/>
          <w:pgMar w:top="510" w:right="1134" w:bottom="1134" w:left="1134" w:header="510" w:footer="680" w:gutter="0"/>
          <w:cols w:space="720"/>
          <w:titlePg/>
        </w:sectPr>
      </w:pPr>
    </w:p>
    <w:p w:rsidR="003B3B6E" w:rsidRPr="00B00EEA" w:rsidRDefault="003B3B6E" w:rsidP="003B3B6E">
      <w:pPr>
        <w:jc w:val="center"/>
      </w:pPr>
      <w:r w:rsidRPr="00B00EEA">
        <w:t>C/49/18</w:t>
      </w:r>
    </w:p>
    <w:p w:rsidR="003B3B6E" w:rsidRPr="00B00EEA" w:rsidRDefault="003B3B6E" w:rsidP="003B3B6E">
      <w:pPr>
        <w:jc w:val="center"/>
      </w:pPr>
    </w:p>
    <w:p w:rsidR="003B3B6E" w:rsidRPr="00B00EEA" w:rsidRDefault="003B3B6E" w:rsidP="003B3B6E">
      <w:pPr>
        <w:jc w:val="center"/>
      </w:pPr>
      <w:r w:rsidRPr="00B00EEA">
        <w:t>ANNEXE I / ANNEX I / ANLAGE I / ANEXO I</w:t>
      </w:r>
    </w:p>
    <w:p w:rsidR="003B3B6E" w:rsidRPr="00B00EEA" w:rsidRDefault="003B3B6E" w:rsidP="003B3B6E">
      <w:pPr>
        <w:jc w:val="center"/>
      </w:pPr>
    </w:p>
    <w:p w:rsidR="003B3B6E" w:rsidRPr="00E47457" w:rsidRDefault="003B3B6E" w:rsidP="003B3B6E">
      <w:pPr>
        <w:jc w:val="center"/>
        <w:rPr>
          <w:rFonts w:cs="Arial"/>
          <w:lang w:val="fr-FR"/>
        </w:rPr>
      </w:pPr>
      <w:r w:rsidRPr="00E47457">
        <w:rPr>
          <w:rFonts w:cs="Arial"/>
          <w:lang w:val="fr-FR"/>
        </w:rPr>
        <w:t>LISTE DES PARTICIPANTS / LIST OF PARTICIPANTS /</w:t>
      </w:r>
    </w:p>
    <w:p w:rsidR="003B3B6E" w:rsidRDefault="003B3B6E" w:rsidP="003B3B6E">
      <w:pPr>
        <w:jc w:val="center"/>
        <w:rPr>
          <w:rFonts w:cs="Arial"/>
          <w:lang w:val="fr-FR"/>
        </w:rPr>
      </w:pPr>
      <w:r w:rsidRPr="00E47457">
        <w:rPr>
          <w:rFonts w:cs="Arial"/>
          <w:lang w:val="fr-FR"/>
        </w:rPr>
        <w:t>TEILNEHMERLISTE / LISTA DE PARTICIPANTES</w:t>
      </w:r>
    </w:p>
    <w:p w:rsidR="003B3B6E" w:rsidRPr="00533596" w:rsidRDefault="003B3B6E" w:rsidP="003B3B6E">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3B3B6E" w:rsidRPr="00731E91" w:rsidRDefault="003B3B6E" w:rsidP="003B3B6E">
      <w:pPr>
        <w:pStyle w:val="plheading"/>
        <w:rPr>
          <w:lang w:val="de-DE"/>
        </w:rPr>
      </w:pPr>
      <w:r w:rsidRPr="00731E91">
        <w:rPr>
          <w:lang w:val="de-DE"/>
        </w:rPr>
        <w:t>I. MEMBRES / MEMBERS / VERBANDSMITGLIEDER / MIEMBROS</w:t>
      </w:r>
    </w:p>
    <w:p w:rsidR="003B3B6E" w:rsidRPr="00731E91" w:rsidRDefault="003B3B6E" w:rsidP="003B3B6E">
      <w:pPr>
        <w:pStyle w:val="plcountry"/>
        <w:rPr>
          <w:lang w:val="de-DE"/>
        </w:rPr>
      </w:pPr>
      <w:r w:rsidRPr="00731E91">
        <w:rPr>
          <w:lang w:val="de-DE"/>
        </w:rPr>
        <w:t>ALLEMAGNE / GERMANY / DEUTSCHLAND / ALEMANIA</w:t>
      </w:r>
    </w:p>
    <w:p w:rsidR="003B3B6E" w:rsidRPr="00731E91" w:rsidRDefault="003B3B6E" w:rsidP="003B3B6E">
      <w:pPr>
        <w:pStyle w:val="pldetails"/>
        <w:rPr>
          <w:lang w:val="de-DE"/>
        </w:rPr>
      </w:pPr>
      <w:r w:rsidRPr="00731E91">
        <w:rPr>
          <w:lang w:val="de-DE"/>
        </w:rPr>
        <w:t>Udo VON KROECHER, Präsident, Bundessortenamt, Hannover (e-mail: Postfach.Praesident@bundessortenamt.de)</w:t>
      </w:r>
    </w:p>
    <w:p w:rsidR="003B3B6E" w:rsidRPr="00731E91" w:rsidRDefault="003B3B6E" w:rsidP="003B3B6E">
      <w:pPr>
        <w:pStyle w:val="plcountry"/>
        <w:rPr>
          <w:lang w:val="es-ES_tradnl"/>
        </w:rPr>
      </w:pPr>
      <w:r w:rsidRPr="00731E91">
        <w:rPr>
          <w:lang w:val="es-ES_tradnl"/>
        </w:rPr>
        <w:t>ARGENTINE / ARGENTINA / ARGENTINIEN / ARGENTINA</w:t>
      </w:r>
    </w:p>
    <w:p w:rsidR="003B3B6E" w:rsidRPr="00731E91" w:rsidRDefault="003B3B6E" w:rsidP="003B3B6E">
      <w:pPr>
        <w:pStyle w:val="pldetails"/>
        <w:rPr>
          <w:lang w:val="es-ES_tradnl"/>
        </w:rPr>
      </w:pPr>
      <w:r w:rsidRPr="00731E91">
        <w:rPr>
          <w:lang w:val="es-ES_tradnl"/>
        </w:rPr>
        <w:t xml:space="preserve">Raimundo LAVIGNOLLE, Presidente del directorio, Instituto Nacional de Semillas (INASE), Buenos Aires </w:t>
      </w:r>
      <w:r w:rsidRPr="00731E91">
        <w:rPr>
          <w:lang w:val="es-ES_tradnl"/>
        </w:rPr>
        <w:br/>
        <w:t xml:space="preserve">(e-mail: rlavignolle@inase.gov.ar)  </w:t>
      </w:r>
    </w:p>
    <w:p w:rsidR="003B3B6E" w:rsidRDefault="003B3B6E" w:rsidP="003B3B6E">
      <w:pPr>
        <w:pStyle w:val="pldetails"/>
        <w:rPr>
          <w:lang w:val="es-ES_tradnl"/>
        </w:rPr>
      </w:pPr>
      <w:r w:rsidRPr="00731E91">
        <w:rPr>
          <w:lang w:val="es-ES_tradnl"/>
        </w:rPr>
        <w:t xml:space="preserve">Carmen Amelia M. GIANNI (Sra.), Coordinadora de Propiedad Intelectual / Recursos Fitogenéticos, Instituto Nacional de Semillas (INASE), Buenos Aires (e-mail: cgianni@inase.gov.ar) </w:t>
      </w:r>
    </w:p>
    <w:p w:rsidR="003B3B6E" w:rsidRPr="00731E91" w:rsidRDefault="003B3B6E" w:rsidP="003B3B6E">
      <w:pPr>
        <w:pStyle w:val="pldetails"/>
        <w:rPr>
          <w:lang w:val="es-ES_tradnl"/>
        </w:rPr>
      </w:pPr>
      <w:r>
        <w:rPr>
          <w:lang w:val="es-ES_tradnl"/>
        </w:rPr>
        <w:t>María Inés RODRIGUEZ (Sra.), Consejera, Misión Permanente de la República Argentina, Ginebra (e-mail: </w:t>
      </w:r>
      <w:r w:rsidRPr="00025D9C">
        <w:rPr>
          <w:lang w:val="es-ES_tradnl"/>
        </w:rPr>
        <w:t>mariaines.rodriguez@missionarg.ch</w:t>
      </w:r>
      <w:r>
        <w:rPr>
          <w:lang w:val="es-ES_tradnl"/>
        </w:rPr>
        <w:t>)</w:t>
      </w:r>
    </w:p>
    <w:p w:rsidR="003B3B6E" w:rsidRPr="00731E91" w:rsidRDefault="003B3B6E" w:rsidP="003B3B6E">
      <w:pPr>
        <w:pStyle w:val="plcountry"/>
      </w:pPr>
      <w:r w:rsidRPr="00731E91">
        <w:t>AUSTRALIE / AUSTRALIA / AUSTRALIEN / AUSTRALIA</w:t>
      </w:r>
    </w:p>
    <w:p w:rsidR="003B3B6E" w:rsidRPr="00731E91" w:rsidRDefault="003B3B6E" w:rsidP="003B3B6E">
      <w:pPr>
        <w:pStyle w:val="pldetails"/>
      </w:pPr>
      <w:r w:rsidRPr="00731E91">
        <w:t xml:space="preserve">Nik HULSE, Senior Examiner of PBR, Plant Breeder's Rights Office, IP Australia, Woden </w:t>
      </w:r>
      <w:r w:rsidRPr="00731E91">
        <w:br/>
        <w:t xml:space="preserve">(e-mail: nik.hulse@ipaustralia.gov.au)  </w:t>
      </w:r>
    </w:p>
    <w:p w:rsidR="003B3B6E" w:rsidRPr="00731E91" w:rsidRDefault="003B3B6E" w:rsidP="003B3B6E">
      <w:pPr>
        <w:pStyle w:val="plcountry"/>
      </w:pPr>
      <w:r w:rsidRPr="00731E91">
        <w:t>BÉLARUS / BELARUS / BELARUS / BELARÚS</w:t>
      </w:r>
    </w:p>
    <w:p w:rsidR="003B3B6E" w:rsidRDefault="003B3B6E" w:rsidP="003B3B6E">
      <w:pPr>
        <w:pStyle w:val="pldetails"/>
      </w:pPr>
      <w:r w:rsidRPr="00731E91">
        <w:t xml:space="preserve">Uladzimir BEINIA, Director, State Inspection for Testing and Protection of Plant Varieties, Minsk </w:t>
      </w:r>
      <w:r w:rsidRPr="00731E91">
        <w:br/>
        <w:t xml:space="preserve">(e-mail: belsort@mail.ru) </w:t>
      </w:r>
    </w:p>
    <w:p w:rsidR="003B3B6E" w:rsidRPr="00731E91" w:rsidRDefault="003B3B6E" w:rsidP="003B3B6E">
      <w:pPr>
        <w:pStyle w:val="pldetails"/>
      </w:pPr>
      <w:r>
        <w:t>Tatsiana SIAMASHKA (M</w:t>
      </w:r>
      <w:r w:rsidRPr="00731E91">
        <w:t xml:space="preserve">s.), Deputy Director of DUS Testing, State Inspection for Testing and Protection of Plant Varieties, Minsk (e-mail: tatianasortr@mail.ru) </w:t>
      </w:r>
    </w:p>
    <w:p w:rsidR="003B3B6E" w:rsidRPr="00731E91" w:rsidRDefault="003B3B6E" w:rsidP="003B3B6E">
      <w:pPr>
        <w:pStyle w:val="pldetails"/>
      </w:pPr>
      <w:r w:rsidRPr="00731E91">
        <w:t xml:space="preserve">Marina SALADUKHA (Ms.), Head, International Cooperation Department, State Inspection for Testing and Protection of Plant Varieties, Minsk (e-mail: belsort@mail.ru)  </w:t>
      </w:r>
    </w:p>
    <w:p w:rsidR="003B3B6E" w:rsidRPr="0060089C" w:rsidRDefault="003B3B6E" w:rsidP="003B3B6E">
      <w:pPr>
        <w:pStyle w:val="plcountry"/>
        <w:rPr>
          <w:lang w:val="fr-CH"/>
        </w:rPr>
      </w:pPr>
      <w:r w:rsidRPr="0060089C">
        <w:rPr>
          <w:lang w:val="fr-CH"/>
        </w:rPr>
        <w:t>BELGIQUE / BELGIUM / BELGIEN / béLGICA</w:t>
      </w:r>
    </w:p>
    <w:p w:rsidR="003B3B6E" w:rsidRPr="005A455F" w:rsidRDefault="003B3B6E" w:rsidP="003B3B6E">
      <w:pPr>
        <w:pStyle w:val="pldetails"/>
        <w:rPr>
          <w:lang w:val="fr-CH"/>
        </w:rPr>
      </w:pPr>
      <w:r w:rsidRPr="005A455F">
        <w:rPr>
          <w:lang w:val="fr-CH"/>
        </w:rPr>
        <w:t>Françoise DE SCHUTTER (Mme), Attachée, Office belge de la Propriété intellectuelle (OPRI), Bruxelles (e-mail: francoise.deschutter@economie.fgov.be)</w:t>
      </w:r>
    </w:p>
    <w:p w:rsidR="003B3B6E" w:rsidRPr="00731E91" w:rsidRDefault="003B3B6E" w:rsidP="003B3B6E">
      <w:pPr>
        <w:pStyle w:val="plcountry"/>
        <w:rPr>
          <w:lang w:val="es-ES_tradnl"/>
        </w:rPr>
      </w:pPr>
      <w:r w:rsidRPr="00731E91">
        <w:rPr>
          <w:lang w:val="es-ES_tradnl"/>
        </w:rPr>
        <w:t xml:space="preserve">BOLIVIE (ÉTAT PLURINATIONAL DE) / BOLIVIA (PLURINATIONAL STATE OF) / </w:t>
      </w:r>
      <w:r w:rsidRPr="00731E91">
        <w:rPr>
          <w:lang w:val="es-ES_tradnl"/>
        </w:rPr>
        <w:br/>
        <w:t>BOLIVIEN (PLURINATIONALER STAAT) / BOLIVIA (ESTADO PLURINACIONAL DE)</w:t>
      </w:r>
    </w:p>
    <w:p w:rsidR="003B3B6E" w:rsidRPr="00731E91" w:rsidRDefault="003B3B6E" w:rsidP="003B3B6E">
      <w:pPr>
        <w:pStyle w:val="pldetails"/>
        <w:rPr>
          <w:lang w:val="es-ES_tradnl"/>
        </w:rPr>
      </w:pPr>
      <w:r w:rsidRPr="00731E91">
        <w:rPr>
          <w:lang w:val="es-ES_tradnl"/>
        </w:rPr>
        <w:t xml:space="preserve">Sergio Rider ANDRADE CÁCERES, Director Nacional de Semillas del INIAF, Instituto Nacional de Innovación Agropecuaria y Forestal (INIAF), La Paz (e-mail: rideran@yahoo.es)  </w:t>
      </w:r>
    </w:p>
    <w:p w:rsidR="003B3B6E" w:rsidRPr="00731E91" w:rsidRDefault="003B3B6E" w:rsidP="003B3B6E">
      <w:pPr>
        <w:pStyle w:val="pldetails"/>
        <w:rPr>
          <w:lang w:val="es-ES_tradnl"/>
        </w:rPr>
      </w:pPr>
      <w:r w:rsidRPr="00731E91">
        <w:rPr>
          <w:lang w:val="es-ES_tradnl"/>
        </w:rPr>
        <w:t>Freddy CABALLERO LEDEZMA, Responsable de la Unidad de Fiscalización y Registro de Semillas, Registros y protección de Variedades Vegetales, Instituto Nacional de Innovación Agropecuaria y Forestal (INIAF), La Paz (e-mail: calefred@yahoo.es)</w:t>
      </w:r>
    </w:p>
    <w:p w:rsidR="003B3B6E" w:rsidRPr="00731E91" w:rsidRDefault="003B3B6E" w:rsidP="003B3B6E">
      <w:pPr>
        <w:pStyle w:val="pldetails"/>
        <w:rPr>
          <w:lang w:val="es-ES_tradnl"/>
        </w:rPr>
      </w:pPr>
      <w:r w:rsidRPr="00731E91">
        <w:rPr>
          <w:lang w:val="es-ES_tradnl"/>
        </w:rPr>
        <w:t xml:space="preserve">Carlos ROMÁN ESCOBAR, Especialista en Semillas, Instituto Nacional de Innovación Agropecuaria y Forestal (INIAF), La Paz (e-mail: romancarlitos@gmail.com)  </w:t>
      </w:r>
    </w:p>
    <w:p w:rsidR="003B3B6E" w:rsidRPr="002D48C4" w:rsidRDefault="003B3B6E" w:rsidP="003B3B6E">
      <w:pPr>
        <w:pStyle w:val="plcountry"/>
      </w:pPr>
      <w:r>
        <w:t>Brésil</w:t>
      </w:r>
      <w:r w:rsidRPr="002D48C4">
        <w:t xml:space="preserve"> / B</w:t>
      </w:r>
      <w:r>
        <w:t>razil</w:t>
      </w:r>
      <w:r w:rsidRPr="002D48C4">
        <w:t xml:space="preserve"> / B</w:t>
      </w:r>
      <w:r>
        <w:t>RASILIEN</w:t>
      </w:r>
      <w:r w:rsidRPr="002D48C4">
        <w:t xml:space="preserve"> / </w:t>
      </w:r>
      <w:r>
        <w:t>BRASIL</w:t>
      </w:r>
    </w:p>
    <w:p w:rsidR="003B3B6E" w:rsidRPr="002D48C4" w:rsidRDefault="003B3B6E" w:rsidP="003B3B6E">
      <w:pPr>
        <w:pStyle w:val="pldetails"/>
      </w:pPr>
      <w:r>
        <w:t xml:space="preserve">Cleiton SCHENKEL, First Secretary, Permanent Mission of Brazil to the World Trade Organization and Other Economic Organizations in Geneva, Geneva </w:t>
      </w:r>
      <w:r w:rsidRPr="002D48C4">
        <w:t>(e-mail: </w:t>
      </w:r>
      <w:r w:rsidRPr="00DA466C">
        <w:t>cleiton.schenkel@itamaraty.gov.br</w:t>
      </w:r>
      <w:r w:rsidRPr="002D48C4">
        <w:t xml:space="preserve">)  </w:t>
      </w:r>
    </w:p>
    <w:p w:rsidR="003B3B6E" w:rsidRPr="00731E91" w:rsidRDefault="003B3B6E" w:rsidP="003B3B6E">
      <w:pPr>
        <w:pStyle w:val="plcountry"/>
      </w:pPr>
      <w:r w:rsidRPr="00731E91">
        <w:t>CANADA / CANADA / KANADA / CANADá</w:t>
      </w:r>
    </w:p>
    <w:p w:rsidR="003B3B6E" w:rsidRPr="00731E91" w:rsidRDefault="003B3B6E" w:rsidP="003B3B6E">
      <w:pPr>
        <w:pStyle w:val="pldetails"/>
      </w:pPr>
      <w:r w:rsidRPr="00731E91">
        <w:t>Anthony PARKER, Commissioner, Plant Breeders’ Rights Office, Canadian Food Inspection Agency (CFIA), Ottawa (e-mail: anthony.parker@inspection.gc.ca)</w:t>
      </w:r>
    </w:p>
    <w:p w:rsidR="003B3B6E" w:rsidRPr="00731E91" w:rsidRDefault="003B3B6E" w:rsidP="003B3B6E">
      <w:pPr>
        <w:pStyle w:val="plcountry"/>
      </w:pPr>
      <w:r w:rsidRPr="00731E91">
        <w:t>CHINE / CHINA / CHINA / CHINA</w:t>
      </w:r>
    </w:p>
    <w:p w:rsidR="003B3B6E" w:rsidRPr="00731E91" w:rsidRDefault="003B3B6E" w:rsidP="003B3B6E">
      <w:pPr>
        <w:pStyle w:val="pldetails"/>
      </w:pPr>
      <w:r w:rsidRPr="00731E91">
        <w:t>Yinghui ZHANG (Ms.), Project Administrator, International Cooperation Department, State Intellectual Property Office, Beijing (e-mail: zhangyinghui@sipo.gov.cn)</w:t>
      </w:r>
    </w:p>
    <w:p w:rsidR="003B3B6E" w:rsidRPr="006C487C" w:rsidRDefault="003B3B6E" w:rsidP="003B3B6E">
      <w:pPr>
        <w:pStyle w:val="plcountry"/>
        <w:rPr>
          <w:lang w:val="es-ES_tradnl"/>
        </w:rPr>
      </w:pPr>
      <w:r w:rsidRPr="006C487C">
        <w:rPr>
          <w:lang w:val="es-ES_tradnl"/>
        </w:rPr>
        <w:t>CHILI / CHILE / CHILE / CHILE</w:t>
      </w:r>
    </w:p>
    <w:p w:rsidR="003B3B6E" w:rsidRPr="006C487C" w:rsidRDefault="003B3B6E" w:rsidP="003B3B6E">
      <w:pPr>
        <w:pStyle w:val="pldetails"/>
        <w:rPr>
          <w:lang w:val="es-ES_tradnl"/>
        </w:rPr>
      </w:pPr>
      <w:r w:rsidRPr="006C487C">
        <w:rPr>
          <w:lang w:val="es-ES_tradnl"/>
        </w:rPr>
        <w:t>Manuel TORO UGALDE, Jefe Subdepartamento, Registro de Variedades Protegidas, División Semillas, Servicio Agrícola y Ganadero (SAG), Santiago de Chile (e-mail: manuel.toro@sag.gob.cl)</w:t>
      </w:r>
    </w:p>
    <w:p w:rsidR="003B3B6E" w:rsidRPr="00453442" w:rsidRDefault="003B3B6E" w:rsidP="003B3B6E">
      <w:pPr>
        <w:pStyle w:val="pldetails"/>
        <w:rPr>
          <w:lang w:val="es-ES_tradnl"/>
        </w:rPr>
      </w:pPr>
      <w:r w:rsidRPr="00453442">
        <w:rPr>
          <w:lang w:val="es-ES_tradnl"/>
        </w:rPr>
        <w:t>Marcela PAIVA VÉLIZ (Sra.), Consejera, Misión Permanente de Chile ante la Organización Mundial del Comercio (WTO), Ginebra</w:t>
      </w:r>
    </w:p>
    <w:p w:rsidR="003B3B6E" w:rsidRPr="00453442" w:rsidRDefault="003B3B6E" w:rsidP="003B3B6E">
      <w:pPr>
        <w:pStyle w:val="plcountry"/>
        <w:rPr>
          <w:lang w:val="es-ES_tradnl"/>
        </w:rPr>
      </w:pPr>
      <w:r w:rsidRPr="00453442">
        <w:rPr>
          <w:lang w:val="es-ES_tradnl"/>
        </w:rPr>
        <w:t>COLOMBIE / COLOMBIA / KOLUMBIEN / COLOMBIA</w:t>
      </w:r>
    </w:p>
    <w:p w:rsidR="003B3B6E" w:rsidRPr="00453442" w:rsidRDefault="003B3B6E" w:rsidP="003B3B6E">
      <w:pPr>
        <w:pStyle w:val="pldetails"/>
        <w:rPr>
          <w:lang w:val="es-ES_tradnl"/>
        </w:rPr>
      </w:pPr>
      <w:r w:rsidRPr="00453442">
        <w:rPr>
          <w:lang w:val="es-ES_tradnl"/>
        </w:rPr>
        <w:t xml:space="preserve">Ana Luisa DÍAZ JIMÉNEZ (Sra.), Directora Técnica de Semillas, Dirección Técnica de Semillas, Instituto Colombiano Agropecuario (ICA), Bogotá (e-mail: ana.diaz@ica.gov.co)  </w:t>
      </w:r>
    </w:p>
    <w:p w:rsidR="003B3B6E" w:rsidRPr="0019517B" w:rsidRDefault="003B3B6E" w:rsidP="003B3B6E">
      <w:pPr>
        <w:pStyle w:val="pldetails"/>
        <w:rPr>
          <w:lang w:val="es-ES_tradnl"/>
        </w:rPr>
      </w:pPr>
      <w:r w:rsidRPr="0019517B">
        <w:rPr>
          <w:lang w:val="es-ES_tradnl"/>
        </w:rPr>
        <w:t>Juan Camilo SARETZKI-FORERO, Consejero, Misión Permanente de Colombia ante las Naciones Unidas, Ginebra (e-mail: juan.saretzki@misioncolombia.ch)</w:t>
      </w:r>
    </w:p>
    <w:p w:rsidR="003B3B6E" w:rsidRPr="00731E91" w:rsidRDefault="003B3B6E" w:rsidP="003B3B6E">
      <w:pPr>
        <w:pStyle w:val="plcountry"/>
      </w:pPr>
      <w:r w:rsidRPr="00731E91">
        <w:t>CROATIE / CROATIA / KROATIEN / CROACIA</w:t>
      </w:r>
    </w:p>
    <w:p w:rsidR="003B3B6E" w:rsidRPr="00731E91" w:rsidRDefault="003B3B6E" w:rsidP="003B3B6E">
      <w:pPr>
        <w:pStyle w:val="pldetails"/>
      </w:pPr>
      <w:r w:rsidRPr="00731E91">
        <w:t xml:space="preserve">Ivana BULAJIĆ (Ms.), Head of Plant Health Service, Directorate for Food Quality and Fitosanitary Policy, Ministry of Agriculture, Zagreb (e-mail: ivana.bulajic@mps.hr)  </w:t>
      </w:r>
    </w:p>
    <w:p w:rsidR="003B3B6E" w:rsidRPr="00731E91" w:rsidRDefault="003B3B6E" w:rsidP="003B3B6E">
      <w:pPr>
        <w:pStyle w:val="plcountry"/>
      </w:pPr>
      <w:r w:rsidRPr="00731E91">
        <w:t>DANEMARK / DENMARK / DÄNEMARK / DINAMARCA</w:t>
      </w:r>
    </w:p>
    <w:p w:rsidR="003B3B6E" w:rsidRPr="00731E91" w:rsidRDefault="003B3B6E" w:rsidP="003B3B6E">
      <w:pPr>
        <w:pStyle w:val="pldetails"/>
      </w:pPr>
      <w:r w:rsidRPr="00731E91">
        <w:t>Maria LILLIE SONNE (Ms.), Head of Legal, Centre of Plants and Agricultural Holdings Act, Danish AgriFish Agency, Copenhagen (e-mail: maliso@naturerhverv.dk)</w:t>
      </w:r>
    </w:p>
    <w:p w:rsidR="003B3B6E" w:rsidRPr="00731E91" w:rsidRDefault="003B3B6E" w:rsidP="003B3B6E">
      <w:pPr>
        <w:pStyle w:val="plcountry"/>
        <w:rPr>
          <w:lang w:val="es-ES_tradnl"/>
        </w:rPr>
      </w:pPr>
      <w:r w:rsidRPr="00731E91">
        <w:rPr>
          <w:lang w:val="es-ES_tradnl"/>
        </w:rPr>
        <w:t>ESPAGNE / SPAIN / SPANIEN / ESPAÑA</w:t>
      </w:r>
    </w:p>
    <w:p w:rsidR="003B3B6E" w:rsidRDefault="003B3B6E" w:rsidP="003B3B6E">
      <w:pPr>
        <w:pStyle w:val="pldetails"/>
        <w:rPr>
          <w:lang w:val="es-ES_tradnl"/>
        </w:rPr>
      </w:pPr>
      <w:r w:rsidRPr="00731E91">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3B3B6E" w:rsidRPr="003F57E9" w:rsidRDefault="003B3B6E" w:rsidP="003B3B6E">
      <w:pPr>
        <w:pStyle w:val="pldetails"/>
        <w:rPr>
          <w:lang w:val="es-ES_tradnl"/>
        </w:rPr>
      </w:pPr>
      <w:r w:rsidRPr="003F57E9">
        <w:rPr>
          <w:lang w:val="es-ES_tradnl"/>
        </w:rPr>
        <w:t>Teresa RODRÍGUEZ-TRENCHS (Ms.), Consejera, Misión Permanente de España</w:t>
      </w:r>
      <w:r>
        <w:rPr>
          <w:lang w:val="es-ES_tradnl"/>
        </w:rPr>
        <w:t xml:space="preserve"> ante las O</w:t>
      </w:r>
      <w:r w:rsidRPr="003F57E9">
        <w:rPr>
          <w:lang w:val="es-ES_tradnl"/>
        </w:rPr>
        <w:t>rganizaciones Internacionales</w:t>
      </w:r>
      <w:r>
        <w:rPr>
          <w:lang w:val="es-ES_tradnl"/>
        </w:rPr>
        <w:t>, Ginebra (e-mail: trtenchs@magrama.es)</w:t>
      </w:r>
    </w:p>
    <w:p w:rsidR="003B3B6E" w:rsidRPr="00731E91" w:rsidRDefault="003B3B6E" w:rsidP="003B3B6E">
      <w:pPr>
        <w:pStyle w:val="plcountry"/>
      </w:pPr>
      <w:r w:rsidRPr="00731E91">
        <w:t>ESTONIE / ESTONIA / ESTLAND / ESTONIA</w:t>
      </w:r>
    </w:p>
    <w:p w:rsidR="003B3B6E" w:rsidRPr="001D7A23" w:rsidRDefault="003B3B6E" w:rsidP="003B3B6E">
      <w:pPr>
        <w:pStyle w:val="pldetails"/>
      </w:pPr>
      <w:r w:rsidRPr="001D7A23">
        <w:t xml:space="preserve">Renata TSATURJAN (Ms.), Chief Specialist, Plant Production Bureau, Ministry of Rural Affairs, Tallinn </w:t>
      </w:r>
      <w:r w:rsidRPr="001D7A23">
        <w:br/>
        <w:t xml:space="preserve">(e-mail: renata.tsaturjan@agri.ee)  </w:t>
      </w:r>
    </w:p>
    <w:p w:rsidR="003B3B6E" w:rsidRPr="00B00EEA" w:rsidRDefault="003B3B6E" w:rsidP="003B3B6E">
      <w:pPr>
        <w:pStyle w:val="plcountry"/>
      </w:pPr>
      <w:r w:rsidRPr="00B00EEA">
        <w:t>ÉTATS-UNIS D'AMÉRIQUE / UNITED STATES OF AMERICA / VEREINIGTE STAATEN VON AMERIKA / ESTADOS UNIDOS DE AMÉRICA</w:t>
      </w:r>
    </w:p>
    <w:p w:rsidR="003B3B6E" w:rsidRPr="00731E91" w:rsidRDefault="003B3B6E" w:rsidP="003B3B6E">
      <w:pPr>
        <w:pStyle w:val="pldetails"/>
      </w:pPr>
      <w:r w:rsidRPr="00731E91">
        <w:t xml:space="preserve">Kitisri SUKHAPINDA (Ms.), Patent Attorney, Office of Policy and External Affairs, United States Patent and Trademark Office (USPTO), Alexandria (e-mail: kitisri.sukhapinda@uspto.gov) </w:t>
      </w:r>
    </w:p>
    <w:p w:rsidR="003B3B6E" w:rsidRPr="00731E91" w:rsidRDefault="003B3B6E" w:rsidP="003B3B6E">
      <w:pPr>
        <w:pStyle w:val="pldetails"/>
      </w:pPr>
      <w:r w:rsidRPr="00731E91">
        <w:t xml:space="preserve">Elaine WU (Ms.), Attorney - Advisor, United States Patent and Trademark Office, Alexandria </w:t>
      </w:r>
      <w:r w:rsidRPr="00731E91">
        <w:br/>
        <w:t xml:space="preserve">(e-mail: elaine.wu@uspto.gov)  </w:t>
      </w:r>
    </w:p>
    <w:p w:rsidR="003B3B6E" w:rsidRPr="00731E91" w:rsidRDefault="003B3B6E" w:rsidP="003B3B6E">
      <w:pPr>
        <w:pStyle w:val="pldetails"/>
      </w:pPr>
      <w:r w:rsidRPr="00731E91">
        <w:t xml:space="preserve">Ruihong GUO (Ms.), Deputy Administrator, AMS, Science &amp; Technology Program, United States Department of Agriculture (USDA), Washington D.C. (e-mail: ruihong.guo@ams.usda.gov)  </w:t>
      </w:r>
    </w:p>
    <w:p w:rsidR="003B3B6E" w:rsidRPr="00B00EEA" w:rsidRDefault="003B3B6E" w:rsidP="003B3B6E">
      <w:pPr>
        <w:pStyle w:val="plcountry"/>
      </w:pPr>
      <w:r w:rsidRPr="00B00EEA">
        <w:t xml:space="preserve">FÉDÉRATION DE RUSSIE / RUSSIAN FEDERATION / RUSSISCHE FÖDERATION / </w:t>
      </w:r>
      <w:r w:rsidRPr="00B00EEA">
        <w:br/>
        <w:t>FEDERACIÓN DE RUSIA</w:t>
      </w:r>
    </w:p>
    <w:p w:rsidR="003B3B6E" w:rsidRPr="00731E91" w:rsidRDefault="003B3B6E" w:rsidP="003B3B6E">
      <w:pPr>
        <w:pStyle w:val="pldetails"/>
      </w:pPr>
      <w:r w:rsidRPr="00731E91">
        <w:t xml:space="preserve">Vitaly S. VOLOSHCHENKO, Chairman, State Commission of the Russian Federation for Selection Achievements Test and Protection, Moscow (e-mail: gossort@gossort.com)  </w:t>
      </w:r>
    </w:p>
    <w:p w:rsidR="003B3B6E" w:rsidRPr="00731E91" w:rsidRDefault="003B3B6E" w:rsidP="003B3B6E">
      <w:pPr>
        <w:pStyle w:val="pldetails"/>
      </w:pPr>
      <w:r w:rsidRPr="00731E91">
        <w:t xml:space="preserve">Yury A. ROGOVSKIY, Deputy Chairman, Head of Methodology and International Cooperation, State Commission of the Russian Federation for Selection Achievements Test and Protection, Moscow (e-mail: yrogovskij@yandex.ru)  </w:t>
      </w:r>
    </w:p>
    <w:p w:rsidR="003B3B6E" w:rsidRPr="0019517B" w:rsidRDefault="003B3B6E" w:rsidP="003B3B6E">
      <w:pPr>
        <w:pStyle w:val="pldetails"/>
      </w:pPr>
      <w:r w:rsidRPr="0019517B">
        <w:t xml:space="preserve">Viktor I. STARTCEV, Deputy Chairman, State Commission of the Russian Federation for Selection Achievements Test and Protection, Moscow (e-mail: gossort@gossort.com)  </w:t>
      </w:r>
    </w:p>
    <w:p w:rsidR="003B3B6E" w:rsidRPr="00731E91" w:rsidRDefault="003B3B6E" w:rsidP="003B3B6E">
      <w:pPr>
        <w:pStyle w:val="pldetails"/>
      </w:pPr>
      <w:r w:rsidRPr="00731E91">
        <w:t xml:space="preserve">Antonina TRETINNIKOVA (Ms.), Deputy Head, Methodology and International Cooperation Department, State Commission of the Russian Federation for Selection Achievements Test and Protection, Moscow </w:t>
      </w:r>
      <w:r w:rsidRPr="00731E91">
        <w:br/>
        <w:t xml:space="preserve">(e-mail: tretinnikova@mail.ru)  </w:t>
      </w:r>
    </w:p>
    <w:p w:rsidR="003B3B6E" w:rsidRPr="00731E91" w:rsidRDefault="003B3B6E" w:rsidP="003B3B6E">
      <w:pPr>
        <w:pStyle w:val="plcountry"/>
      </w:pPr>
      <w:r w:rsidRPr="00731E91">
        <w:t>FINLANDE / FINLAND / FINNLAND / FINLANDIA</w:t>
      </w:r>
    </w:p>
    <w:p w:rsidR="003B3B6E" w:rsidRPr="00731E91" w:rsidRDefault="003B3B6E" w:rsidP="003B3B6E">
      <w:pPr>
        <w:pStyle w:val="pldetails"/>
      </w:pPr>
      <w:r w:rsidRPr="00731E91">
        <w:t xml:space="preserve">Tarja Päivikki HIETARANTA (Ms.), Senior Officer, Seed Certification Unit, Finnish Food and Safety Authority (EVIRA), Loimaa (e-mail: tarja.hietaranta@evira.fi)  </w:t>
      </w:r>
    </w:p>
    <w:p w:rsidR="003B3B6E" w:rsidRPr="00731E91" w:rsidRDefault="003B3B6E" w:rsidP="003B3B6E">
      <w:pPr>
        <w:pStyle w:val="plcountry"/>
        <w:rPr>
          <w:lang w:val="fr-CH"/>
        </w:rPr>
      </w:pPr>
      <w:r w:rsidRPr="00731E91">
        <w:rPr>
          <w:lang w:val="fr-CH"/>
        </w:rPr>
        <w:t>FRANCE / FRANCE / FRANKREICH / FRANCIA</w:t>
      </w:r>
    </w:p>
    <w:p w:rsidR="003B3B6E" w:rsidRPr="00731E91" w:rsidRDefault="003B3B6E" w:rsidP="003B3B6E">
      <w:pPr>
        <w:pStyle w:val="pldetails"/>
        <w:rPr>
          <w:lang w:val="fr-CH"/>
        </w:rPr>
      </w:pPr>
      <w:r w:rsidRPr="00731E91">
        <w:rPr>
          <w:lang w:val="fr-CH"/>
        </w:rPr>
        <w:t xml:space="preserve">Arnaud DELTOUR, Directeur général, Groupe d'étude et de contrôle des variétés et des semences (GEVES), Beaucouzé (e-mail: arnaud.deltour@geves.fr)  </w:t>
      </w:r>
    </w:p>
    <w:p w:rsidR="003B3B6E" w:rsidRPr="00731E91" w:rsidRDefault="003B3B6E" w:rsidP="003B3B6E">
      <w:pPr>
        <w:pStyle w:val="pldetails"/>
        <w:rPr>
          <w:lang w:val="fr-CH"/>
        </w:rPr>
      </w:pPr>
      <w:r w:rsidRPr="00731E91">
        <w:rPr>
          <w:lang w:val="fr-CH"/>
        </w:rPr>
        <w:t>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w:t>
      </w:r>
    </w:p>
    <w:p w:rsidR="003B3B6E" w:rsidRPr="00731E91" w:rsidRDefault="003B3B6E" w:rsidP="003B3B6E">
      <w:pPr>
        <w:pStyle w:val="plcountry"/>
      </w:pPr>
      <w:r w:rsidRPr="00731E91">
        <w:t>HONGRIE / HUNGARY / UNGARN / HUNGRÍA</w:t>
      </w:r>
    </w:p>
    <w:p w:rsidR="003B3B6E" w:rsidRPr="00731E91" w:rsidRDefault="003B3B6E" w:rsidP="003B3B6E">
      <w:pPr>
        <w:pStyle w:val="pldetails"/>
      </w:pPr>
      <w:r w:rsidRPr="00731E91">
        <w:t xml:space="preserve">Krisztina KOVÁCS (Ms.), Head, Industrial Property Law Section, Hungarian Intellectual Property Office (HIPO), Budapest (e-mail: krisztina.kovacs@hipo.gov.hu)  </w:t>
      </w:r>
    </w:p>
    <w:p w:rsidR="003B3B6E" w:rsidRPr="00731E91" w:rsidRDefault="003B3B6E" w:rsidP="003B3B6E">
      <w:pPr>
        <w:pStyle w:val="plcountry"/>
        <w:rPr>
          <w:caps w:val="0"/>
          <w:u w:val="none"/>
        </w:rPr>
      </w:pPr>
      <w:r w:rsidRPr="00731E91">
        <w:rPr>
          <w:caps w:val="0"/>
          <w:u w:val="none"/>
        </w:rPr>
        <w:t>Mónika HORTOBÁGYINÉ SPEKLA (Ms.), Patent Examiner, Hungarian Intellectual Property Office (HIPO), Budapest (e-mail: monika.spekla@hipo.gov.hu)</w:t>
      </w:r>
    </w:p>
    <w:p w:rsidR="003B3B6E" w:rsidRPr="00731E91" w:rsidRDefault="003B3B6E" w:rsidP="003B3B6E">
      <w:pPr>
        <w:pStyle w:val="plcountry"/>
      </w:pPr>
      <w:r w:rsidRPr="00731E91">
        <w:t>IRLANDE / IRELAND / IRLAND / IRLANDA</w:t>
      </w:r>
    </w:p>
    <w:p w:rsidR="003B3B6E" w:rsidRPr="00731E91" w:rsidRDefault="003B3B6E" w:rsidP="003B3B6E">
      <w:pPr>
        <w:pStyle w:val="pldetails"/>
      </w:pPr>
      <w:r w:rsidRPr="00731E91">
        <w:t xml:space="preserve">John CLAFFEY, Officer, Office of the Controller of Plant Breeders' Rights, National Crop Evaluation Centre, Department of Agriculture, Leixlip (e-mail: john.claffey@agriculture.gov.ie) </w:t>
      </w:r>
    </w:p>
    <w:p w:rsidR="003B3B6E" w:rsidRPr="00731E91" w:rsidRDefault="003B3B6E" w:rsidP="003B3B6E">
      <w:pPr>
        <w:pStyle w:val="plcountry"/>
      </w:pPr>
      <w:r w:rsidRPr="00731E91">
        <w:t>ISRAËL / ISRAEL / ISRAEL / ISRAEL</w:t>
      </w:r>
    </w:p>
    <w:p w:rsidR="003B3B6E" w:rsidRPr="00731E91" w:rsidRDefault="003B3B6E" w:rsidP="003B3B6E">
      <w:pPr>
        <w:pStyle w:val="pldetails"/>
      </w:pPr>
      <w:r w:rsidRPr="00453442">
        <w:t>David OPATOWSKI, Minister, Counsellor, Agricultural Affairs, Permanent Mission of Israel to the United Nations and International Organizations, Geneva (e-mail: agriculture@geneva.mfa.gov.il)</w:t>
      </w:r>
    </w:p>
    <w:p w:rsidR="003B3B6E" w:rsidRPr="00731E91" w:rsidRDefault="003B3B6E" w:rsidP="003B3B6E">
      <w:pPr>
        <w:pStyle w:val="plcountry"/>
      </w:pPr>
      <w:r w:rsidRPr="00731E91">
        <w:t>JAPON / JAPAN / JAPAN / JAPÓN</w:t>
      </w:r>
    </w:p>
    <w:p w:rsidR="003B3B6E" w:rsidRPr="00731E91" w:rsidRDefault="003B3B6E" w:rsidP="003B3B6E">
      <w:pPr>
        <w:pStyle w:val="pldetails"/>
      </w:pPr>
      <w:r w:rsidRPr="00731E91">
        <w:t>Katsumi YAMAGUCHI, Director, Plant Variety Protection Office, Ministry of Agriculture, Forestry and Fisheries (MAFF), Tokyo (e-mail: katsumi_yamaguchi@nm.maff.go.jp)</w:t>
      </w:r>
    </w:p>
    <w:p w:rsidR="003B3B6E" w:rsidRPr="00731E91" w:rsidRDefault="003B3B6E" w:rsidP="003B3B6E">
      <w:pPr>
        <w:pStyle w:val="pldetails"/>
      </w:pPr>
      <w:r w:rsidRPr="00731E91">
        <w:t xml:space="preserve">Akira MIYAKE, Senior Policy Advisor, Intellectual Property Division, Food Industry Affairs Bureau, Ministry of Agriculture, Forestry and Fisheries (MAFF), Tokyo (e-mail: akira_miyake@nm.maff.go.jp)  </w:t>
      </w:r>
    </w:p>
    <w:p w:rsidR="003B3B6E" w:rsidRPr="00731E91" w:rsidRDefault="003B3B6E" w:rsidP="003B3B6E">
      <w:pPr>
        <w:pStyle w:val="plcountry"/>
      </w:pPr>
      <w:r w:rsidRPr="00731E91">
        <w:t>KENYA / KENYA / KENIA / KENYA</w:t>
      </w:r>
    </w:p>
    <w:p w:rsidR="003B3B6E" w:rsidRPr="00731E91" w:rsidRDefault="003B3B6E" w:rsidP="003B3B6E">
      <w:pPr>
        <w:pStyle w:val="pldetails"/>
      </w:pPr>
      <w:r w:rsidRPr="00731E91">
        <w:rPr>
          <w:rStyle w:val="pldetailsChar"/>
        </w:rPr>
        <w:t>E</w:t>
      </w:r>
      <w:r w:rsidRPr="00731E91">
        <w:t>sther KIMANI</w:t>
      </w:r>
      <w:r>
        <w:t xml:space="preserve"> (Ms.)</w:t>
      </w:r>
      <w:r w:rsidRPr="00731E91">
        <w:t xml:space="preserve">, Acting Managing Director, Kenya Plant Health Inspectorate Service (KEPHIS), Nairobi </w:t>
      </w:r>
      <w:r w:rsidRPr="00731E91">
        <w:br/>
        <w:t xml:space="preserve">(e-mail: director@kephis.org)  </w:t>
      </w:r>
    </w:p>
    <w:p w:rsidR="003B3B6E" w:rsidRPr="00731E91" w:rsidRDefault="003B3B6E" w:rsidP="003B3B6E">
      <w:pPr>
        <w:pStyle w:val="plcountry"/>
      </w:pPr>
      <w:r w:rsidRPr="00731E91">
        <w:t>LITUANIE / LITHUANIA / LITAUEN / LITUANIA</w:t>
      </w:r>
    </w:p>
    <w:p w:rsidR="003B3B6E" w:rsidRPr="00731E91" w:rsidRDefault="003B3B6E" w:rsidP="003B3B6E">
      <w:pPr>
        <w:pStyle w:val="pldetails"/>
      </w:pPr>
      <w:r w:rsidRPr="00731E91">
        <w:t xml:space="preserve">Sigita JUCIUVIENE (Ms.), Head, Division of Plant Variety, Registration and Legal Protection, State Plant Service under the Ministry of Agriculture of the Republic of Lithuania, Vilnius (e-mail: sigita.juciuviene@vatzum.lt)  </w:t>
      </w:r>
    </w:p>
    <w:p w:rsidR="003B3B6E" w:rsidRPr="00731E91" w:rsidRDefault="003B3B6E" w:rsidP="003B3B6E">
      <w:pPr>
        <w:pStyle w:val="plcountry"/>
        <w:rPr>
          <w:lang w:val="fr-CH"/>
        </w:rPr>
      </w:pPr>
      <w:r w:rsidRPr="00731E91">
        <w:rPr>
          <w:lang w:val="fr-CH"/>
        </w:rPr>
        <w:t>MAROC / MOROCCO / MAROKKO / MARRUECOS</w:t>
      </w:r>
    </w:p>
    <w:p w:rsidR="003B3B6E" w:rsidRPr="00731E91" w:rsidRDefault="003B3B6E" w:rsidP="003B3B6E">
      <w:pPr>
        <w:pStyle w:val="pldetails"/>
        <w:rPr>
          <w:lang w:val="fr-CH"/>
        </w:rPr>
      </w:pPr>
      <w:r w:rsidRPr="00731E91">
        <w:rPr>
          <w:lang w:val="fr-CH"/>
        </w:rPr>
        <w:t xml:space="preserve">Zoubida TAOUSSI (Ms.), Chargée de la protection des obtentions végétales, Office National de Sécurité de Produits Alimentaires, Rabat (e-mail: ztaoussi67@gmail.com)  </w:t>
      </w:r>
    </w:p>
    <w:p w:rsidR="003B3B6E" w:rsidRPr="000B1D84" w:rsidRDefault="003B3B6E" w:rsidP="003B3B6E">
      <w:pPr>
        <w:pStyle w:val="plcountry"/>
        <w:rPr>
          <w:lang w:val="es-ES_tradnl"/>
        </w:rPr>
      </w:pPr>
      <w:r w:rsidRPr="000B1D84">
        <w:rPr>
          <w:lang w:val="es-ES_tradnl"/>
        </w:rPr>
        <w:t>MEXIQUE / MEXICO / MEXIKO / MéXICO</w:t>
      </w:r>
    </w:p>
    <w:p w:rsidR="003B3B6E" w:rsidRPr="000B1D84" w:rsidRDefault="003B3B6E" w:rsidP="003B3B6E">
      <w:pPr>
        <w:pStyle w:val="pldetails"/>
        <w:rPr>
          <w:lang w:val="es-ES_tradnl"/>
        </w:rPr>
      </w:pPr>
      <w:r w:rsidRPr="000B1D84">
        <w:rPr>
          <w:lang w:val="es-ES_tradnl"/>
        </w:rPr>
        <w:t xml:space="preserve">Maria del Pilar ESCOBAR BAUTISTA (Sra.), First Secretary, Permanent Mission of Mexico, Geneva (e-mail: pescobar@sre.gob.mx) </w:t>
      </w:r>
    </w:p>
    <w:p w:rsidR="003B3B6E" w:rsidRDefault="003B3B6E" w:rsidP="003B3B6E">
      <w:pPr>
        <w:pStyle w:val="plcountry"/>
      </w:pPr>
      <w:r>
        <w:t>MONTéNéGRO</w:t>
      </w:r>
      <w:r w:rsidRPr="00731E91">
        <w:t xml:space="preserve"> / </w:t>
      </w:r>
      <w:r>
        <w:t>MONTENEGRO</w:t>
      </w:r>
      <w:r w:rsidRPr="00731E91">
        <w:t xml:space="preserve"> / </w:t>
      </w:r>
      <w:r>
        <w:t>MONTENEGRO</w:t>
      </w:r>
      <w:r w:rsidRPr="00731E91">
        <w:t xml:space="preserve"> / </w:t>
      </w:r>
      <w:r>
        <w:t>MONTENEGRO</w:t>
      </w:r>
    </w:p>
    <w:p w:rsidR="003B3B6E" w:rsidRPr="0019517B" w:rsidRDefault="003B3B6E" w:rsidP="003B3B6E">
      <w:pPr>
        <w:pStyle w:val="plcountry"/>
        <w:rPr>
          <w:caps w:val="0"/>
          <w:u w:val="none"/>
        </w:rPr>
      </w:pPr>
      <w:r w:rsidRPr="0019517B">
        <w:rPr>
          <w:caps w:val="0"/>
          <w:u w:val="none"/>
        </w:rPr>
        <w:t xml:space="preserve">Nebojsa KALUDJEROVIC, Ambassador, Permanent Mission of Montenegro to the United Nations Office and other international organizations in Geneva, Geneva </w:t>
      </w:r>
    </w:p>
    <w:p w:rsidR="003B3B6E" w:rsidRDefault="003B3B6E" w:rsidP="003B3B6E">
      <w:pPr>
        <w:pStyle w:val="plcountry"/>
        <w:rPr>
          <w:caps w:val="0"/>
          <w:u w:val="none"/>
        </w:rPr>
      </w:pPr>
      <w:r w:rsidRPr="00593C2F">
        <w:rPr>
          <w:caps w:val="0"/>
          <w:u w:val="none"/>
        </w:rPr>
        <w:t>Andjelka ROGAC</w:t>
      </w:r>
      <w:r>
        <w:rPr>
          <w:caps w:val="0"/>
          <w:u w:val="none"/>
        </w:rPr>
        <w:t xml:space="preserve"> (Ms.), </w:t>
      </w:r>
      <w:r w:rsidRPr="00593C2F">
        <w:rPr>
          <w:caps w:val="0"/>
          <w:u w:val="none"/>
        </w:rPr>
        <w:t>Second Secretary</w:t>
      </w:r>
      <w:r>
        <w:rPr>
          <w:caps w:val="0"/>
          <w:u w:val="none"/>
        </w:rPr>
        <w:t xml:space="preserve">, </w:t>
      </w:r>
      <w:r w:rsidRPr="00593C2F">
        <w:rPr>
          <w:caps w:val="0"/>
          <w:u w:val="none"/>
        </w:rPr>
        <w:t>Permanent Mission of Montenegro to the United Nations Office and other international organizations in Geneva</w:t>
      </w:r>
      <w:r>
        <w:rPr>
          <w:caps w:val="0"/>
          <w:u w:val="none"/>
        </w:rPr>
        <w:t>, Geneva (e-mail: </w:t>
      </w:r>
      <w:r w:rsidRPr="00000E67">
        <w:rPr>
          <w:caps w:val="0"/>
          <w:u w:val="none"/>
        </w:rPr>
        <w:t>missionofmontenegro@bluewin.ch</w:t>
      </w:r>
      <w:r>
        <w:rPr>
          <w:caps w:val="0"/>
          <w:u w:val="none"/>
        </w:rPr>
        <w:t>)</w:t>
      </w:r>
    </w:p>
    <w:p w:rsidR="003B3B6E" w:rsidRPr="00731E91" w:rsidRDefault="003B3B6E" w:rsidP="003B3B6E">
      <w:pPr>
        <w:pStyle w:val="plcountry"/>
      </w:pPr>
      <w:r w:rsidRPr="00731E91">
        <w:t>NORVÈGE / NORWAY / NORWEGEN / NORUEGA</w:t>
      </w:r>
    </w:p>
    <w:p w:rsidR="003B3B6E" w:rsidRPr="00731E91" w:rsidRDefault="003B3B6E" w:rsidP="003B3B6E">
      <w:pPr>
        <w:pStyle w:val="pldetails"/>
      </w:pPr>
      <w:r w:rsidRPr="00731E91">
        <w:t xml:space="preserve">Marianne SMITH (Ms.), Senior Advisor, Norwegian Ministry of Agriculture and Food, Oslo </w:t>
      </w:r>
      <w:r w:rsidRPr="00731E91">
        <w:br/>
        <w:t>(e-mail: marianne.smith@lmd.dep.no)</w:t>
      </w:r>
    </w:p>
    <w:p w:rsidR="003B3B6E" w:rsidRPr="00731E91" w:rsidRDefault="003B3B6E" w:rsidP="003B3B6E">
      <w:pPr>
        <w:pStyle w:val="pldetails"/>
      </w:pPr>
      <w:r w:rsidRPr="00731E91">
        <w:t xml:space="preserve">Tor Erik JØRGENSEN, Head of Section, National Approvals, Norwegian Food Safety Authority, Brumunddal </w:t>
      </w:r>
      <w:r w:rsidRPr="00731E91">
        <w:br/>
        <w:t xml:space="preserve">(e-mail: tor.erik.jorgensen@mattilsynet.no)  </w:t>
      </w:r>
    </w:p>
    <w:p w:rsidR="003B3B6E" w:rsidRPr="00731E91" w:rsidRDefault="003B3B6E" w:rsidP="003B3B6E">
      <w:pPr>
        <w:pStyle w:val="pldetails"/>
      </w:pPr>
      <w:r w:rsidRPr="00731E91">
        <w:t xml:space="preserve">Martin GARFJELL, Advisor, Norwegian Food Safety Authority, Brumunddal (e-mail: Martin.garfjell@mattilsynet.no) </w:t>
      </w:r>
    </w:p>
    <w:p w:rsidR="003B3B6E" w:rsidRPr="00B00EEA" w:rsidRDefault="003B3B6E" w:rsidP="003B3B6E">
      <w:pPr>
        <w:pStyle w:val="plcountry"/>
      </w:pPr>
      <w:r w:rsidRPr="00B00EEA">
        <w:t>NOUVELLE-ZÉLANDE / NEW ZEALAND / NEUSEELAND / NUEVA ZELANDIA</w:t>
      </w:r>
    </w:p>
    <w:p w:rsidR="003B3B6E" w:rsidRPr="00731E91" w:rsidRDefault="003B3B6E" w:rsidP="003B3B6E">
      <w:pPr>
        <w:pStyle w:val="pldetails"/>
      </w:pPr>
      <w:r w:rsidRPr="00731E91">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3B3B6E" w:rsidRPr="00B00EEA" w:rsidRDefault="003B3B6E" w:rsidP="003B3B6E">
      <w:pPr>
        <w:pStyle w:val="plcountry"/>
      </w:pPr>
      <w:r w:rsidRPr="00B00EEA">
        <w:t xml:space="preserve">ORGANISATION AFRICAINE DE LA PROPRIÉTÉ INTELLECTUELLE (OAPI) / </w:t>
      </w:r>
      <w:r w:rsidRPr="00B00EEA">
        <w:br/>
        <w:t xml:space="preserve">AFRICAN INTELLECTUAL PROPERTY ORGANIZATION (OAPI) / </w:t>
      </w:r>
      <w:r w:rsidRPr="00B00EEA">
        <w:br/>
        <w:t xml:space="preserve">AFRIKANISCHE ORGANISATION FÜR GEISTIGES EIGENTUM (OAPI) / </w:t>
      </w:r>
      <w:r w:rsidRPr="00B00EEA">
        <w:br/>
        <w:t>ORGANIZACIÓN AFRICANA DE LA PROPIEDAD INTELECTUAL (OAPI)</w:t>
      </w:r>
    </w:p>
    <w:p w:rsidR="003B3B6E" w:rsidRPr="00453442" w:rsidRDefault="003B3B6E" w:rsidP="003B3B6E">
      <w:pPr>
        <w:pStyle w:val="pldetails"/>
        <w:rPr>
          <w:lang w:val="fr-CH"/>
        </w:rPr>
      </w:pPr>
      <w:r w:rsidRPr="00453442">
        <w:rPr>
          <w:lang w:val="fr-CH"/>
        </w:rPr>
        <w:t xml:space="preserve">Juliette DOUMATEY AYITE (Mme), Directeur Général Adjoint, Organisation africaine de la propriété intellectuelle (OAPI), Yaoundé (e-mail: ayijuliette@yahoo.fr)  </w:t>
      </w:r>
    </w:p>
    <w:p w:rsidR="003B3B6E" w:rsidRPr="00453442" w:rsidRDefault="003B3B6E" w:rsidP="003B3B6E">
      <w:pPr>
        <w:pStyle w:val="pldetails"/>
        <w:rPr>
          <w:lang w:val="fr-CH"/>
        </w:rPr>
      </w:pPr>
      <w:r w:rsidRPr="00453442">
        <w:rPr>
          <w:lang w:val="fr-CH"/>
        </w:rPr>
        <w:t xml:space="preserve">Wéré Régine GAZARO (Mme), Directeur, Protection de la propriété industrielle, Organisation africaine de la propriété intellectuelle (OAPI), Yaoundé (e-mail: were_regine@yahoo.fr)  </w:t>
      </w:r>
    </w:p>
    <w:p w:rsidR="003B3B6E" w:rsidRPr="00453442" w:rsidRDefault="003B3B6E" w:rsidP="003B3B6E">
      <w:pPr>
        <w:pStyle w:val="plcountry"/>
        <w:rPr>
          <w:lang w:val="es-ES_tradnl"/>
        </w:rPr>
      </w:pPr>
      <w:r w:rsidRPr="00453442">
        <w:rPr>
          <w:lang w:val="es-ES_tradnl"/>
        </w:rPr>
        <w:t>PARAGUAY / PARAGUAY / PARAGUAY / PARAGUAY</w:t>
      </w:r>
    </w:p>
    <w:p w:rsidR="003B3B6E" w:rsidRPr="00453442" w:rsidRDefault="003B3B6E" w:rsidP="003B3B6E">
      <w:pPr>
        <w:pStyle w:val="pldetails"/>
        <w:rPr>
          <w:lang w:val="es-ES_tradnl"/>
        </w:rPr>
      </w:pPr>
      <w:r w:rsidRPr="00453442">
        <w:rPr>
          <w:lang w:val="es-ES_tradnl"/>
        </w:rPr>
        <w:t xml:space="preserve">Blanca Julia NÚÑEZ DE MATTO (Sra.), Jefa, Departamento de Protección y Uso de Variedades, Dirección de Semillas (DISE), Servicio Nacional de Calidad y Sanidad Vegetal y de Semillas (SENAVE), San Lorenzo (e-mail: blanca.nunez@senave.gov.py) </w:t>
      </w:r>
    </w:p>
    <w:p w:rsidR="003B3B6E" w:rsidRPr="006C487C" w:rsidRDefault="003B3B6E" w:rsidP="003B3B6E">
      <w:pPr>
        <w:pStyle w:val="pldetails"/>
        <w:rPr>
          <w:lang w:val="es-ES_tradnl"/>
        </w:rPr>
      </w:pPr>
      <w:r w:rsidRPr="00453442">
        <w:rPr>
          <w:lang w:val="es-ES_tradnl"/>
        </w:rPr>
        <w:t>Daysi Carolina O’HIGGINIS DURÉ (Sra.), Técnica, Departamento de Protección y Uso de Variedades, Dirección de Semillas (DISE), Servicio Nacional de Calidad y Sanidad Vegetal y de Semillas (SENAVE), San Lorenzo (e-mail: daysi.ohigginis@senave.gov.py)</w:t>
      </w:r>
    </w:p>
    <w:p w:rsidR="003B3B6E" w:rsidRPr="00B00EEA" w:rsidRDefault="003B3B6E" w:rsidP="003B3B6E">
      <w:pPr>
        <w:pStyle w:val="plcountry"/>
      </w:pPr>
      <w:r w:rsidRPr="00B00EEA">
        <w:t>PAYS-BAS / NETHERLANDS / NIEDERLANDE / PAÍSES BAJOS</w:t>
      </w:r>
    </w:p>
    <w:p w:rsidR="003B3B6E" w:rsidRPr="00731E91" w:rsidRDefault="003B3B6E" w:rsidP="003B3B6E">
      <w:pPr>
        <w:pStyle w:val="pldetails"/>
      </w:pPr>
      <w:r w:rsidRPr="00731E91">
        <w:t xml:space="preserve">Marien VALSTAR, Senior Policy Officer, Seeds and Plant Propagation Material, Ministry of Economic Affairs, DG AGRO, The Hague (e-mail: m.valstar@minez.nl)  </w:t>
      </w:r>
    </w:p>
    <w:p w:rsidR="003B3B6E" w:rsidRPr="00731E91" w:rsidRDefault="003B3B6E" w:rsidP="003B3B6E">
      <w:pPr>
        <w:pStyle w:val="pldetails"/>
      </w:pPr>
      <w:r w:rsidRPr="00731E91">
        <w:t xml:space="preserve">Kees Jan GROENEWOUD, Secretary, Plant Variety Board (Raad voor Plantenrassen), Naktuinbouw, Roelofarendsveen (e-mail: c.j.a.groenewoud@naktuinbouw.nl)  </w:t>
      </w:r>
    </w:p>
    <w:p w:rsidR="003B3B6E" w:rsidRPr="00731E91" w:rsidRDefault="003B3B6E" w:rsidP="003B3B6E">
      <w:pPr>
        <w:pStyle w:val="plcountry"/>
      </w:pPr>
      <w:r w:rsidRPr="00731E91">
        <w:t>POLOGNE / POLAND / POLEN / POLONIA</w:t>
      </w:r>
    </w:p>
    <w:p w:rsidR="003B3B6E" w:rsidRPr="00731E91" w:rsidRDefault="003B3B6E" w:rsidP="003B3B6E">
      <w:pPr>
        <w:pStyle w:val="pldetails"/>
      </w:pPr>
      <w:r w:rsidRPr="00731E91">
        <w:t xml:space="preserve">Edward S. GACEK, Director General, Research Centre for Cultivar Testing (COBORU), Slupia Wielka </w:t>
      </w:r>
      <w:r w:rsidRPr="00731E91">
        <w:br/>
        <w:t xml:space="preserve">(e-mail: e.gacek@coboru.pl)  </w:t>
      </w:r>
    </w:p>
    <w:p w:rsidR="003B3B6E" w:rsidRPr="00731E91" w:rsidRDefault="003B3B6E" w:rsidP="003B3B6E">
      <w:pPr>
        <w:pStyle w:val="pldetails"/>
      </w:pPr>
      <w:r w:rsidRPr="00731E91">
        <w:t xml:space="preserve">Marcin BEHNKE, Deputy Director General for Experimental Affairs, Research Centre for Cultivar Testing (COBORU), Slupia Wielka (e-mail: m.behnke@coboru.pl)  </w:t>
      </w:r>
    </w:p>
    <w:p w:rsidR="003B3B6E" w:rsidRPr="00731E91" w:rsidRDefault="003B3B6E" w:rsidP="003B3B6E">
      <w:pPr>
        <w:pStyle w:val="pldetails"/>
      </w:pPr>
      <w:r w:rsidRPr="00731E91">
        <w:t xml:space="preserve">Alicja RUTKOWSKA-ŁOŚ </w:t>
      </w:r>
      <w:r>
        <w:t>(M</w:t>
      </w:r>
      <w:r w:rsidRPr="00731E91">
        <w:t xml:space="preserve">s.), Head, National Listing and Plant Breeders' Rights Protection Office, The Research Centre for Cultivar Testing (COBORU), Slupia Wielka (e-mail: a.rutkowska@coboru.pl)  </w:t>
      </w:r>
    </w:p>
    <w:p w:rsidR="003B3B6E" w:rsidRPr="00B00EEA" w:rsidRDefault="003B3B6E" w:rsidP="003B3B6E">
      <w:pPr>
        <w:pStyle w:val="plcountry"/>
      </w:pPr>
      <w:r w:rsidRPr="00B00EEA">
        <w:t>RÉPUBLIQUE DE CORÉE / REPUBLIC OF KOREA / REPUBLIK KOREA / REPÚBLICA DE COREA</w:t>
      </w:r>
    </w:p>
    <w:p w:rsidR="003B3B6E" w:rsidRPr="00731E91" w:rsidRDefault="003B3B6E" w:rsidP="003B3B6E">
      <w:pPr>
        <w:pStyle w:val="pldetails"/>
      </w:pPr>
      <w:r w:rsidRPr="00731E91">
        <w:t xml:space="preserve">Eun-Sun CHUNG (Ms.), Senior Examiner, Plant Variety  Division, Korea Seed and Variety Service (KSVS), Ministry for Food, Agriculture, Forestry and Fisheries (MIFAFF), Anyang City (e-mail: eschung@korea.kr)  </w:t>
      </w:r>
    </w:p>
    <w:p w:rsidR="003B3B6E" w:rsidRPr="00731E91" w:rsidRDefault="003B3B6E" w:rsidP="003B3B6E">
      <w:pPr>
        <w:pStyle w:val="pldetails"/>
      </w:pPr>
      <w:r w:rsidRPr="00731E91">
        <w:t xml:space="preserve">LEE Beonkoo, Examiner, Dongbu Office, Korea Seed and Variety Service (KSVS) (e-mail: gilttara@korea.kr)  </w:t>
      </w:r>
    </w:p>
    <w:p w:rsidR="003B3B6E" w:rsidRPr="00731E91" w:rsidRDefault="003B3B6E" w:rsidP="003B3B6E">
      <w:pPr>
        <w:pStyle w:val="plcountry"/>
        <w:rPr>
          <w:lang w:val="es-ES_tradnl"/>
        </w:rPr>
      </w:pPr>
      <w:r w:rsidRPr="00731E91">
        <w:rPr>
          <w:lang w:val="es-ES_tradnl"/>
        </w:rPr>
        <w:t xml:space="preserve">RÉPUBLIQUE DE MOLDOVA / REPUBLIC OF MOLDOVA / REPUBLIK MOLDAU / </w:t>
      </w:r>
      <w:r w:rsidRPr="00731E91">
        <w:rPr>
          <w:lang w:val="es-ES_tradnl"/>
        </w:rPr>
        <w:br/>
        <w:t>REPÚBLICA DE MOLDOVA</w:t>
      </w:r>
    </w:p>
    <w:p w:rsidR="003B3B6E" w:rsidRPr="00731E91" w:rsidRDefault="003B3B6E" w:rsidP="003B3B6E">
      <w:pPr>
        <w:pStyle w:val="pldetails"/>
      </w:pPr>
      <w:r w:rsidRPr="00731E91">
        <w:t xml:space="preserve">Mihail MACHIDON, Chairman, State Commission for Crops Variety Testing and Registration (SCCVTR), Chisinau (e-mail: info@cstsp.md)  </w:t>
      </w:r>
    </w:p>
    <w:p w:rsidR="003B3B6E" w:rsidRPr="00731E91" w:rsidRDefault="003B3B6E" w:rsidP="003B3B6E">
      <w:pPr>
        <w:pStyle w:val="plcountry"/>
      </w:pPr>
      <w:r w:rsidRPr="00731E91">
        <w:t>RÉPUBLIQUE TCHÈQUE / CZECH REPUBLIC / TSCHECHISCHE REPUBLIK / REPÚBLICA CHECA</w:t>
      </w:r>
    </w:p>
    <w:p w:rsidR="003B3B6E" w:rsidRPr="00731E91" w:rsidRDefault="003B3B6E" w:rsidP="003B3B6E">
      <w:pPr>
        <w:pStyle w:val="pldetails"/>
      </w:pPr>
      <w:r w:rsidRPr="00731E91">
        <w:t xml:space="preserve">Radmila </w:t>
      </w:r>
      <w:r w:rsidRPr="002D48C4">
        <w:rPr>
          <w:rFonts w:cs="Arial"/>
        </w:rPr>
        <w:t>ŠAFAŘÍKOVÁ</w:t>
      </w:r>
      <w:r>
        <w:t xml:space="preserve"> (M</w:t>
      </w:r>
      <w:r w:rsidRPr="00731E91">
        <w:t>s.), Head of Division, Central Institute for Supervising and Testing in Agriculture (UKZUZ), National Plant Variety Office, Brno (e-mail: radmila.safarikova@ukzuz.cz)</w:t>
      </w:r>
    </w:p>
    <w:p w:rsidR="003B3B6E" w:rsidRPr="00B00EEA" w:rsidRDefault="003B3B6E" w:rsidP="003B3B6E">
      <w:pPr>
        <w:pStyle w:val="plcountry"/>
        <w:rPr>
          <w:lang w:val="es-ES_tradnl"/>
        </w:rPr>
      </w:pPr>
      <w:r w:rsidRPr="00B00EEA">
        <w:rPr>
          <w:lang w:val="es-ES_tradnl"/>
        </w:rPr>
        <w:t xml:space="preserve">RÉPUBLIQUE-UNIE DE TANZANIE / UNITED REPUBLIC OF TANZANIA / </w:t>
      </w:r>
      <w:r w:rsidRPr="00B00EEA">
        <w:rPr>
          <w:lang w:val="es-ES_tradnl"/>
        </w:rPr>
        <w:br/>
        <w:t>VEREINIGTE REPUBLIK TANSANIA / REPÚBLICA UNIDA DE TANZANÍA</w:t>
      </w:r>
    </w:p>
    <w:p w:rsidR="003B3B6E" w:rsidRDefault="003B3B6E" w:rsidP="003B3B6E">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3B3B6E" w:rsidRPr="00E05599" w:rsidRDefault="003B3B6E" w:rsidP="003B3B6E">
      <w:pPr>
        <w:pStyle w:val="pldetails"/>
      </w:pPr>
      <w:r w:rsidRPr="00731E91">
        <w:t>Patrick NGWEDIAGI, Registrar, Plant Breeders' Rights Office, Ministry of Agriculture, Food Security and Cooperatives, Dar es Sal</w:t>
      </w:r>
      <w:r>
        <w:t>aam (e-mail: ngwedi@yahoo.com)</w:t>
      </w:r>
    </w:p>
    <w:p w:rsidR="003B3B6E" w:rsidRPr="002D48C4" w:rsidRDefault="003B3B6E" w:rsidP="003B3B6E">
      <w:pPr>
        <w:pStyle w:val="pldetails"/>
      </w:pPr>
      <w:r>
        <w:t>Elia Nelson MTWEVE, Counsellor, Permanent Mission of the United Republic of Tanzania to the United Nations Office and other International Organizations in Geneva (e-mail: mission.tanzania@ties.itu.int)</w:t>
      </w:r>
    </w:p>
    <w:p w:rsidR="003B3B6E" w:rsidRPr="00731E91" w:rsidRDefault="003B3B6E" w:rsidP="003B3B6E">
      <w:pPr>
        <w:pStyle w:val="plcountry"/>
      </w:pPr>
      <w:r w:rsidRPr="00731E91">
        <w:t>ROUMANIE / ROMANIA / RUMÄNIEN / RUMANIA</w:t>
      </w:r>
    </w:p>
    <w:p w:rsidR="003B3B6E" w:rsidRPr="00731E91" w:rsidRDefault="003B3B6E" w:rsidP="003B3B6E">
      <w:pPr>
        <w:pStyle w:val="pldetails"/>
      </w:pPr>
      <w:r w:rsidRPr="00731E91">
        <w:t>Cristian Irinel MOCANU, Head of Legal Department, State Institute for Variety Testing and Registration, Bucharest (e-mail: irinel_mocanu@istis.ro)</w:t>
      </w:r>
    </w:p>
    <w:p w:rsidR="003B3B6E" w:rsidRPr="00731E91" w:rsidRDefault="003B3B6E" w:rsidP="003B3B6E">
      <w:pPr>
        <w:pStyle w:val="pldetails"/>
      </w:pPr>
      <w:r w:rsidRPr="00731E91">
        <w:t xml:space="preserve">Aura Giorgiana MINDRUTA (Ms.), Expert, State Institute for Variety Testing and Registration (ISTIS), Bucarest (e-mail: aura_mindruta@istis.ro)  </w:t>
      </w:r>
    </w:p>
    <w:p w:rsidR="003B3B6E" w:rsidRPr="005A455F" w:rsidRDefault="003B3B6E" w:rsidP="003B3B6E">
      <w:pPr>
        <w:pStyle w:val="plcountry"/>
      </w:pPr>
      <w:r w:rsidRPr="005A455F">
        <w:t>ROYAUME-UNI / UNITED KINGDOM / VEREINIGTES KÖNIGREICH / REINO UNIDO</w:t>
      </w:r>
    </w:p>
    <w:p w:rsidR="003B3B6E" w:rsidRPr="005A455F" w:rsidRDefault="003B3B6E" w:rsidP="003B3B6E">
      <w:pPr>
        <w:pStyle w:val="pldetails"/>
      </w:pPr>
      <w:r w:rsidRPr="005A455F">
        <w:t>Andrew MITCHELL, Head of Varieties and Seeds, Department for Environment, Food and Rural Affairs (DEFRA), Cambridge (e-mail: andrew.mitchell@defra.gsi.gov.uk)</w:t>
      </w:r>
    </w:p>
    <w:p w:rsidR="003B3B6E" w:rsidRPr="00731E91" w:rsidRDefault="003B3B6E" w:rsidP="003B3B6E">
      <w:pPr>
        <w:pStyle w:val="plcountry"/>
      </w:pPr>
      <w:r w:rsidRPr="00731E91">
        <w:t>SLOVAQUIE / SLOVAKIA / SLOWAKEI / ESLOVAQUIA</w:t>
      </w:r>
    </w:p>
    <w:p w:rsidR="003B3B6E" w:rsidRPr="00731E91" w:rsidRDefault="003B3B6E" w:rsidP="003B3B6E">
      <w:pPr>
        <w:pStyle w:val="pldetails"/>
      </w:pPr>
      <w:r>
        <w:t>Bronislava BÁTOROVÁ (M</w:t>
      </w:r>
      <w:r w:rsidRPr="00731E91">
        <w:t xml:space="preserve">s.), National Coordinator for the Cooperation of the Slovak Republic with UPOV/ Senior Officer, Department of Variety Testing, Central Controlling and Testing Institute in Agriculture (ÚKSÚP), Nitra (e-mail: bronislava.batorova@uksup.sk)  </w:t>
      </w:r>
    </w:p>
    <w:p w:rsidR="003B3B6E" w:rsidRPr="00731E91" w:rsidRDefault="003B3B6E" w:rsidP="003B3B6E">
      <w:pPr>
        <w:pStyle w:val="pldetails"/>
      </w:pPr>
      <w:r w:rsidRPr="00731E91">
        <w:t xml:space="preserve">Ľuba GASPAROVÁ (Ms.), Senior Officer, Deputy of the National Coordinator for the Cooperation of the Slovak Republic with UPOV, Central Controlling and Testing Institute in Agriculture (UKSUP), Bratislava (e-mail: Luba.Gasparova@uksup.sk)  </w:t>
      </w:r>
    </w:p>
    <w:p w:rsidR="003B3B6E" w:rsidRPr="00731E91" w:rsidRDefault="003B3B6E" w:rsidP="003B3B6E">
      <w:pPr>
        <w:pStyle w:val="plcountry"/>
      </w:pPr>
      <w:r w:rsidRPr="00731E91">
        <w:t>SUÈDE / SWEDEN / SCHWEDEN / SUECIA</w:t>
      </w:r>
    </w:p>
    <w:p w:rsidR="003B3B6E" w:rsidRPr="00731E91" w:rsidRDefault="003B3B6E" w:rsidP="003B3B6E">
      <w:pPr>
        <w:pStyle w:val="pldetails"/>
      </w:pPr>
      <w:r w:rsidRPr="00731E91">
        <w:t>Olof JOHANSSON, Head, Plant and Environment Department, Swedish Board of Agriculture, Jönköping (e-mail: olof.johansson@jordbruksverket.se)</w:t>
      </w:r>
    </w:p>
    <w:p w:rsidR="003B3B6E" w:rsidRPr="00731E91" w:rsidRDefault="003B3B6E" w:rsidP="003B3B6E">
      <w:pPr>
        <w:pStyle w:val="plcountry"/>
      </w:pPr>
      <w:r w:rsidRPr="00731E91">
        <w:t>SUISSE / SWITZERLAND / SCHWEIZ / SUIZA</w:t>
      </w:r>
    </w:p>
    <w:p w:rsidR="003B3B6E" w:rsidRPr="00731E91" w:rsidRDefault="003B3B6E" w:rsidP="003B3B6E">
      <w:pPr>
        <w:pStyle w:val="pldetails"/>
      </w:pPr>
      <w:r w:rsidRPr="00731E91">
        <w:t xml:space="preserve">Manuela BRAND (Ms.), Plant Variety Rights Office, Federal Department of Economic Affairs, Education and Research (EAER) Plant Health and Varieties, Federal Office for Agriculture FOAG, Bern (e-mail: manuela.brand@blw.admin.ch)  </w:t>
      </w:r>
    </w:p>
    <w:p w:rsidR="003B3B6E" w:rsidRPr="00731E91" w:rsidRDefault="003B3B6E" w:rsidP="003B3B6E">
      <w:pPr>
        <w:pStyle w:val="plcountry"/>
        <w:rPr>
          <w:lang w:val="fr-CH"/>
        </w:rPr>
      </w:pPr>
      <w:r w:rsidRPr="00731E91">
        <w:rPr>
          <w:lang w:val="fr-CH"/>
        </w:rPr>
        <w:t>TUNISIE / TUNISIA / TUNESIEN / TÚNEZ</w:t>
      </w:r>
    </w:p>
    <w:p w:rsidR="003B3B6E" w:rsidRPr="00731E91" w:rsidRDefault="003B3B6E" w:rsidP="003B3B6E">
      <w:pPr>
        <w:pStyle w:val="pldetails"/>
        <w:rPr>
          <w:lang w:val="fr-CH"/>
        </w:rPr>
      </w:pPr>
      <w:r w:rsidRPr="00731E91">
        <w:rPr>
          <w:lang w:val="fr-CH"/>
        </w:rPr>
        <w:t xml:space="preserve">Tarek CHIBOUB, Directeur général, Direction générale de la protection et du contrôle de la qualité des produits agricoles, Ministère de l'Agriculture, des Ressources Hydrauliques et de la Pêche, Tunis (e-mail: tarechib@yahoo.fr)  </w:t>
      </w:r>
    </w:p>
    <w:p w:rsidR="003B3B6E" w:rsidRPr="00731E91" w:rsidRDefault="003B3B6E" w:rsidP="003B3B6E">
      <w:pPr>
        <w:pStyle w:val="plcountry"/>
      </w:pPr>
      <w:r w:rsidRPr="00731E91">
        <w:t>TURQUIE / TURKEY / TÜRKEI / TURQUÍA</w:t>
      </w:r>
    </w:p>
    <w:p w:rsidR="003B3B6E" w:rsidRPr="00731E91" w:rsidRDefault="003B3B6E" w:rsidP="003B3B6E">
      <w:pPr>
        <w:pStyle w:val="pldetails"/>
        <w:keepNext/>
      </w:pPr>
      <w:r w:rsidRPr="00731E91">
        <w:t xml:space="preserve">Mehmet SAHIN, Director, Variety Registration and Seed Certification Centre, Ministry of Agriculture and Rural Affairs, Yenimahalle - Ankara (e-mail: mehmet_sahin@gthb.gov.tr) </w:t>
      </w:r>
    </w:p>
    <w:p w:rsidR="003B3B6E" w:rsidRPr="00731E91" w:rsidRDefault="003B3B6E" w:rsidP="003B3B6E">
      <w:pPr>
        <w:pStyle w:val="pldetails"/>
        <w:keepNext/>
      </w:pPr>
      <w:r w:rsidRPr="00731E91">
        <w:t xml:space="preserve">Mehmet SIĞIRCI, Head, Seed Department, Ministry of Agriculture and Rural Affairs, Ankara (e-mail: mehmet.sigirci@tarim.gov.tr) </w:t>
      </w:r>
    </w:p>
    <w:p w:rsidR="003B3B6E" w:rsidRPr="00731E91" w:rsidRDefault="003B3B6E" w:rsidP="003B3B6E">
      <w:pPr>
        <w:pStyle w:val="pldetails"/>
      </w:pPr>
      <w:r w:rsidRPr="00731E91">
        <w:t xml:space="preserve">Hasan ÇELEN, Variety Protection Expert, Ministry of Agriculture and Rural Affairs, Ankara </w:t>
      </w:r>
      <w:r w:rsidRPr="00731E91">
        <w:br/>
        <w:t xml:space="preserve">(e-mail: hcelen@kkgm.gov.tr) </w:t>
      </w:r>
    </w:p>
    <w:p w:rsidR="003B3B6E" w:rsidRDefault="003B3B6E" w:rsidP="003B3B6E">
      <w:pPr>
        <w:pStyle w:val="pldetails"/>
      </w:pPr>
      <w:r w:rsidRPr="00731E91">
        <w:t xml:space="preserve">Alper ŞAHIN, Coordinator, PBR Unit, Ministry of Agriculture and Rural Affairs, Ankara </w:t>
      </w:r>
      <w:r w:rsidRPr="00731E91">
        <w:br/>
        <w:t xml:space="preserve">(e-mail: alper.sahin@tarim.gov.tr) </w:t>
      </w:r>
    </w:p>
    <w:p w:rsidR="003B3B6E" w:rsidRPr="002C0411" w:rsidRDefault="003B3B6E" w:rsidP="003B3B6E">
      <w:pPr>
        <w:pStyle w:val="pldetails"/>
        <w:keepNext/>
        <w:rPr>
          <w:lang w:val="fr-CH"/>
        </w:rPr>
      </w:pPr>
      <w:r w:rsidRPr="00E050B5">
        <w:rPr>
          <w:lang w:val="fr-CH"/>
        </w:rPr>
        <w:t>Osman GÖKTÜRK, Second Secretary, Mission Permanente de Turquie auprès de l’OMC, Genève (e-mail: </w:t>
      </w:r>
      <w:r>
        <w:rPr>
          <w:lang w:val="fr-CH"/>
        </w:rPr>
        <w:t>osman.gokturk@mfa.gov.tr)</w:t>
      </w:r>
    </w:p>
    <w:p w:rsidR="003B3B6E" w:rsidRPr="00E84016" w:rsidRDefault="003B3B6E" w:rsidP="003B3B6E">
      <w:pPr>
        <w:pStyle w:val="plcountry"/>
        <w:rPr>
          <w:lang w:val="fr-CH"/>
        </w:rPr>
      </w:pPr>
      <w:r w:rsidRPr="00E84016">
        <w:rPr>
          <w:lang w:val="fr-CH"/>
        </w:rPr>
        <w:t>UNION EUROPÉENNE / EUROPEAN UNION / EUROPÄISCHE UNION / UNIÓN EUROPEA</w:t>
      </w:r>
    </w:p>
    <w:p w:rsidR="003B3B6E" w:rsidRPr="00731E91" w:rsidRDefault="003B3B6E" w:rsidP="003B3B6E">
      <w:pPr>
        <w:pStyle w:val="pldetails"/>
        <w:rPr>
          <w:lang w:val="fr-CH"/>
        </w:rPr>
      </w:pPr>
      <w:r w:rsidRPr="00731E91">
        <w:rPr>
          <w:lang w:val="fr-CH"/>
        </w:rPr>
        <w:t xml:space="preserve">Päivi MANNERKORPI (Ms.), Head of Sector - Unit E2, Plant Reproductive Material, Section Direction Générale Santé et Sécurité Alimentaire, Commission européenne (DG SANCO), Bruxelles (e-mail: paivi.mannerkorpi@ec.europa.eu)  </w:t>
      </w:r>
    </w:p>
    <w:p w:rsidR="003B3B6E" w:rsidRPr="00731E91" w:rsidRDefault="003B3B6E" w:rsidP="003B3B6E">
      <w:pPr>
        <w:pStyle w:val="pldetails"/>
        <w:rPr>
          <w:lang w:val="fr-CH"/>
        </w:rPr>
      </w:pPr>
      <w:r w:rsidRPr="00731E91">
        <w:rPr>
          <w:lang w:val="fr-CH"/>
        </w:rPr>
        <w:t>Isabelle CLEMENT-NISSOU (Ms.), Policy Officer - Unité E2, Plant Reproductive Material Sector, Direction Générale Santé et Sécurité Alimentaire, Commission européenne (DG SANCO), Bruxelles (e-mail: isabelle.clement-nissou@ec.europa.eu)</w:t>
      </w:r>
    </w:p>
    <w:p w:rsidR="003B3B6E" w:rsidRPr="00731E91" w:rsidRDefault="003B3B6E" w:rsidP="003B3B6E">
      <w:pPr>
        <w:pStyle w:val="pldetails"/>
      </w:pPr>
      <w:r w:rsidRPr="00731E91">
        <w:t>Martin EKVAD, President, Community Plant Variety Office (CPVO), Angers (e-mail: ekvad@cpvo.europa.eu)</w:t>
      </w:r>
    </w:p>
    <w:p w:rsidR="003B3B6E" w:rsidRPr="00731E91" w:rsidRDefault="003B3B6E" w:rsidP="003B3B6E">
      <w:pPr>
        <w:pStyle w:val="pldetails"/>
      </w:pPr>
      <w:r w:rsidRPr="00731E91">
        <w:t>Carlos GODINHO, Vice-President, Community Plant Variety Office (CPVO), Angers (e-mail: godinho@cpvo.europa.eu)</w:t>
      </w:r>
    </w:p>
    <w:p w:rsidR="003B3B6E" w:rsidRPr="00731E91" w:rsidRDefault="003B3B6E" w:rsidP="003B3B6E">
      <w:pPr>
        <w:pStyle w:val="pldetails"/>
      </w:pPr>
      <w:r w:rsidRPr="005A455F">
        <w:t>Marien VALSTAR, Senior Policy Officer, Seeds and Plant Propagation Material, Ministry of Economic Affairs, DG AGRO, The Hague (e-mail: m.valstar@minez.nl)</w:t>
      </w:r>
    </w:p>
    <w:p w:rsidR="003B3B6E" w:rsidRPr="00731E91" w:rsidRDefault="003B3B6E" w:rsidP="003B3B6E">
      <w:pPr>
        <w:pStyle w:val="plheading"/>
      </w:pPr>
      <w:r w:rsidRPr="00731E91">
        <w:t>II. OBSERVATEURS / OBSERVERS / BEOBACHTER / OBSERVADORES</w:t>
      </w:r>
    </w:p>
    <w:p w:rsidR="003B3B6E" w:rsidRPr="00183665" w:rsidRDefault="003B3B6E" w:rsidP="003B3B6E">
      <w:pPr>
        <w:pStyle w:val="plcountry"/>
      </w:pPr>
      <w:r w:rsidRPr="00183665">
        <w:t>ARABIE SAOUDITE / SAUDI ARABIA / SAUDI-ARABIEN / ARABIA SAUDITA</w:t>
      </w:r>
    </w:p>
    <w:p w:rsidR="003B3B6E" w:rsidRPr="002C0411" w:rsidRDefault="003B3B6E" w:rsidP="003B3B6E">
      <w:pPr>
        <w:pStyle w:val="pldetails"/>
      </w:pPr>
      <w:r>
        <w:t xml:space="preserve">Ahmed Khalaf D. </w:t>
      </w:r>
      <w:r w:rsidRPr="002C0411">
        <w:t>ALSHAMARI, Director Plant Genebank, National Agriculture &amp; Animal Resources, Research Center, Ministry of Agriculture, Riyadh (e-mail: ahamed-a@hotmail.com)</w:t>
      </w:r>
    </w:p>
    <w:p w:rsidR="003B3B6E" w:rsidRPr="002C0411" w:rsidRDefault="003B3B6E" w:rsidP="003B3B6E">
      <w:pPr>
        <w:pStyle w:val="pldetails"/>
      </w:pPr>
      <w:r w:rsidRPr="002C0411">
        <w:t>Fahad AL HARBI, Director, Examination Department, General Directorate of Patents, King Abdulaziz City for Science and Technology (KACST), Riyadh (e-mail: falharbi@kacst.edu.sa)</w:t>
      </w:r>
    </w:p>
    <w:p w:rsidR="003B3B6E" w:rsidRDefault="003B3B6E" w:rsidP="003B3B6E">
      <w:pPr>
        <w:pStyle w:val="pldetails"/>
      </w:pPr>
      <w:r w:rsidRPr="002C0411">
        <w:t>Abdulmohsen Ibrahim A. BINSULAIMAN, Deputy Director of National Center for Agriculture, Ministry of Agriculture, Riyadh (e-mail: a_binsulaiman@hotmail.com)</w:t>
      </w:r>
    </w:p>
    <w:p w:rsidR="003B3B6E" w:rsidRPr="00731E91" w:rsidRDefault="003B3B6E" w:rsidP="003B3B6E">
      <w:pPr>
        <w:pStyle w:val="plcountry"/>
      </w:pPr>
      <w:r w:rsidRPr="00731E91">
        <w:t>ÉGYPTE / EGYPT / ÄGYPTEN / EGIPTO</w:t>
      </w:r>
    </w:p>
    <w:p w:rsidR="003B3B6E" w:rsidRPr="00731E91" w:rsidRDefault="003B3B6E" w:rsidP="003B3B6E">
      <w:pPr>
        <w:pStyle w:val="pldetails"/>
      </w:pPr>
      <w:r w:rsidRPr="00731E91">
        <w:t xml:space="preserve">Ahmed AGIBA, Head of CASC - Under Secretary of the Ministry of Agriculture, Agricultural Services Sector, Ministry of Agriculture &amp; Land Reclamation, Central Administration for Seed Testing and Certification (CASC), Giza (e-mail: casc.egypt@hotmail.com)  </w:t>
      </w:r>
    </w:p>
    <w:p w:rsidR="003B3B6E" w:rsidRPr="00731E91" w:rsidRDefault="003B3B6E" w:rsidP="003B3B6E">
      <w:pPr>
        <w:pStyle w:val="pldetails"/>
      </w:pPr>
      <w:r w:rsidRPr="00731E91">
        <w:t xml:space="preserve">Samy Hamed EL DEIB SALLAM, Head, Technical Secretary of Variety Registration Committee, Central Administration for Seed Certification (CASC), Giza (e-mail: sllamsamy@yahoo.com) </w:t>
      </w:r>
    </w:p>
    <w:p w:rsidR="003B3B6E" w:rsidRPr="00731E91" w:rsidRDefault="003B3B6E" w:rsidP="003B3B6E">
      <w:pPr>
        <w:pStyle w:val="pldetails"/>
      </w:pPr>
      <w:r w:rsidRPr="00731E91">
        <w:t xml:space="preserve">Saad NASSAR, Head of Working Group Review, Formulation Policies and Agricultural Legislations, Ministry of Agriculture and Land Reclamation, Giza (e-mail: Casc.egypt@hotmail.com) </w:t>
      </w:r>
    </w:p>
    <w:p w:rsidR="003B3B6E" w:rsidRPr="00B00EEA" w:rsidRDefault="003B3B6E" w:rsidP="003B3B6E">
      <w:pPr>
        <w:pStyle w:val="plcountry"/>
      </w:pPr>
      <w:r w:rsidRPr="00B00EEA">
        <w:t xml:space="preserve">Émirats arabes unis / United Arab Emirates / Vereinigte Arabische Emirate / </w:t>
      </w:r>
      <w:r w:rsidRPr="00B00EEA">
        <w:br/>
        <w:t>Emiratos Árabes Unidos</w:t>
      </w:r>
    </w:p>
    <w:p w:rsidR="003B3B6E" w:rsidRPr="00731E91" w:rsidRDefault="003B3B6E" w:rsidP="003B3B6E">
      <w:pPr>
        <w:pStyle w:val="pldetails"/>
      </w:pPr>
      <w:r w:rsidRPr="00731E91">
        <w:t>Nasir AL ALI, Director, Legal Affairs Department, Ministry of Environment and Water, Dubai (e-mail nmsultan@moew.gov.ae)</w:t>
      </w:r>
    </w:p>
    <w:p w:rsidR="003B3B6E" w:rsidRPr="00731E91" w:rsidRDefault="003B3B6E" w:rsidP="003B3B6E">
      <w:pPr>
        <w:pStyle w:val="pldetails"/>
      </w:pPr>
      <w:r w:rsidRPr="00731E91">
        <w:t>Fatmah AL KALBANI</w:t>
      </w:r>
      <w:r>
        <w:t xml:space="preserve"> (Ms.)</w:t>
      </w:r>
      <w:r w:rsidRPr="00731E91">
        <w:t>, Director, Health and Agriculture Development Department, Ministry of Environment and Water, Dubai</w:t>
      </w:r>
    </w:p>
    <w:p w:rsidR="003B3B6E" w:rsidRPr="00731E91" w:rsidRDefault="003B3B6E" w:rsidP="003B3B6E">
      <w:pPr>
        <w:pStyle w:val="pldetails"/>
      </w:pPr>
      <w:r w:rsidRPr="00731E91">
        <w:t>Habib AL ABOUDI, Assistant Expert, Ministry of Environment and Water, Dubai (e-mail: hhalabodi@moew.gov.ae)</w:t>
      </w:r>
    </w:p>
    <w:p w:rsidR="003B3B6E" w:rsidRPr="00731E91" w:rsidRDefault="003B3B6E" w:rsidP="003B3B6E">
      <w:pPr>
        <w:pStyle w:val="pldetails"/>
      </w:pPr>
      <w:r w:rsidRPr="00731E91">
        <w:t>Hana AL ASLAI (Ms.), International Relations Coordinator, Ministry of Environment and Water, Dubai (e-mail: haalasli@moew.gov.ae)</w:t>
      </w:r>
    </w:p>
    <w:p w:rsidR="003B3B6E" w:rsidRPr="00731E91" w:rsidRDefault="003B3B6E" w:rsidP="003B3B6E">
      <w:pPr>
        <w:pStyle w:val="pldetails"/>
      </w:pPr>
      <w:r w:rsidRPr="00731E91">
        <w:t>Amal LOUBARI (Ms.), Accountant, Ministry of Environment and Water, Dubai (e-mail: amloubari@moew.gov.ae)</w:t>
      </w:r>
    </w:p>
    <w:p w:rsidR="003B3B6E" w:rsidRPr="00B00EEA" w:rsidRDefault="003B3B6E" w:rsidP="003B3B6E">
      <w:pPr>
        <w:pStyle w:val="plcountry"/>
      </w:pPr>
      <w:r w:rsidRPr="00B00EEA">
        <w:t>IRAN (RÉPUBLIQUE ISLAMIQUE D’) / Iran (Islamic Republic of) / Iran (Islamische Republik) / Irán (República islámica del)</w:t>
      </w:r>
    </w:p>
    <w:p w:rsidR="003B3B6E" w:rsidRPr="00731E91" w:rsidRDefault="003B3B6E" w:rsidP="003B3B6E">
      <w:pPr>
        <w:pStyle w:val="pldetails"/>
      </w:pPr>
      <w:r w:rsidRPr="00731E91">
        <w:t>Nabi</w:t>
      </w:r>
      <w:r>
        <w:t>ollah</w:t>
      </w:r>
      <w:r w:rsidRPr="00731E91">
        <w:t xml:space="preserve"> AZAMI</w:t>
      </w:r>
      <w:r>
        <w:t xml:space="preserve"> SARDOUEI, First Secretary, </w:t>
      </w:r>
      <w:r w:rsidRPr="00731E91">
        <w:t>Permanent Miss</w:t>
      </w:r>
      <w:r>
        <w:t>i</w:t>
      </w:r>
      <w:r w:rsidRPr="00731E91">
        <w:t>on of the Islamic Republic of Iran to the United Nations Office in Geneva, Geneva (e-mail: azaminabi@yahoo.com)</w:t>
      </w:r>
    </w:p>
    <w:p w:rsidR="003B3B6E" w:rsidRPr="00731E91" w:rsidRDefault="003B3B6E" w:rsidP="003B3B6E">
      <w:pPr>
        <w:pStyle w:val="pldetails"/>
      </w:pPr>
      <w:r w:rsidRPr="002C0411">
        <w:t xml:space="preserve">Khademi HOJJAT, Legal Advisor, Ministry of Jehad- e- Agriculture, Tehran </w:t>
      </w:r>
      <w:r>
        <w:t>(e-mail: </w:t>
      </w:r>
      <w:r w:rsidRPr="002C0411">
        <w:t>hojjat.khademi@gmail.com</w:t>
      </w:r>
      <w:r>
        <w:t>)</w:t>
      </w:r>
    </w:p>
    <w:p w:rsidR="003B3B6E" w:rsidRPr="00731E91" w:rsidRDefault="003B3B6E" w:rsidP="003B3B6E">
      <w:pPr>
        <w:pStyle w:val="plheading"/>
      </w:pPr>
      <w:r w:rsidRPr="00731E91">
        <w:t>III. ORGANISATIONS / ORGANIZATIONS / ORGANISATIONEN / ORGANIZACIONES</w:t>
      </w:r>
    </w:p>
    <w:p w:rsidR="003B3B6E" w:rsidRPr="00731E91" w:rsidRDefault="003B3B6E" w:rsidP="003B3B6E">
      <w:pPr>
        <w:pStyle w:val="plcountry"/>
      </w:pPr>
      <w:r w:rsidRPr="00731E91">
        <w:t>ASSOCIATION FOR PLANT BREEDING FOR THE BENEFIT OF SOCIETY (APBREBES)</w:t>
      </w:r>
    </w:p>
    <w:p w:rsidR="003B3B6E" w:rsidRPr="00731E91" w:rsidRDefault="003B3B6E" w:rsidP="003B3B6E">
      <w:pPr>
        <w:pStyle w:val="pldetails"/>
      </w:pPr>
      <w:r w:rsidRPr="00731E91">
        <w:t>Sangeeta SHASHIKANT (Ms.), President, Association for Plant Breeding for the Benefit of Society (APBREBES), Bonn, Germany (e-mail: ssangeeta@myjaring.net)</w:t>
      </w:r>
    </w:p>
    <w:p w:rsidR="003B3B6E" w:rsidRPr="00731E91" w:rsidRDefault="003B3B6E" w:rsidP="003B3B6E">
      <w:pPr>
        <w:pStyle w:val="pldetails"/>
      </w:pPr>
      <w:r w:rsidRPr="00731E91">
        <w:t>Susanne GURA (Ms.), Coordinator, Association for Plant Breeding for the Benefit of Society (APBREBES), Bonn, Germany (e-mail: food@evb.ch)</w:t>
      </w:r>
    </w:p>
    <w:p w:rsidR="003B3B6E" w:rsidRPr="00B00EEA" w:rsidRDefault="003B3B6E" w:rsidP="003B3B6E">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AFRIKANISCHE REGIONALORGANISATION ZUM SCHUTZ GEISTIGEN EIGENTUMS (ARIPO) / ORGANIZACIÓN REGIONAL AFRICANA DE LA PROPIEDAD INTELECTUAL (ARIPO)</w:t>
      </w:r>
    </w:p>
    <w:p w:rsidR="003B3B6E" w:rsidRPr="00731E91" w:rsidRDefault="003B3B6E" w:rsidP="003B3B6E">
      <w:pPr>
        <w:pStyle w:val="pldetails"/>
      </w:pPr>
      <w:r w:rsidRPr="00731E91">
        <w:t xml:space="preserve">Emmanuel SACKEY, Chief Examiner, Industrial Property Directorate, Harare, Zimbabwe (e-mail: esackey@aripo.org)  </w:t>
      </w:r>
    </w:p>
    <w:p w:rsidR="003B3B6E" w:rsidRPr="00731E91" w:rsidRDefault="003B3B6E" w:rsidP="003B3B6E">
      <w:pPr>
        <w:pStyle w:val="plcountry"/>
        <w:rPr>
          <w:lang w:val="fr-CH"/>
        </w:rPr>
      </w:pPr>
      <w:r w:rsidRPr="00731E91">
        <w:rPr>
          <w:lang w:val="fr-CH"/>
        </w:rPr>
        <w:t>CROPLIFE INTERNATIONAL</w:t>
      </w:r>
    </w:p>
    <w:p w:rsidR="003B3B6E" w:rsidRPr="00731E91" w:rsidRDefault="003B3B6E" w:rsidP="003B3B6E">
      <w:pPr>
        <w:pStyle w:val="pldetails"/>
        <w:rPr>
          <w:lang w:val="fr-CH"/>
        </w:rPr>
      </w:pPr>
      <w:r w:rsidRPr="00731E91">
        <w:rPr>
          <w:lang w:val="fr-CH"/>
        </w:rPr>
        <w:t xml:space="preserve">Marcel BRUINS, Consultant, CropLife International, Bruxelles, Belgique (e-mail: mbruins1964@gmail.com)  </w:t>
      </w:r>
    </w:p>
    <w:p w:rsidR="003B3B6E" w:rsidRPr="00892ACD" w:rsidRDefault="003B3B6E" w:rsidP="003B3B6E">
      <w:pPr>
        <w:pStyle w:val="plcountry"/>
        <w:rPr>
          <w:lang w:val="fr-CH"/>
        </w:rPr>
      </w:pPr>
      <w:r w:rsidRPr="00892ACD">
        <w:rPr>
          <w:lang w:val="fr-CH"/>
        </w:rPr>
        <w:t>Food and Agriculture Organization of the United Nations (FAO) / Organisation des Nations Unies pour l’alimentation et l’agriculture (FAO) / Ernährungs- und Landwirtschaftsorganisation der Vereinten Nationen (FAO) / Organización de las Naciones Unidas para la Agricultura y la Alimentación (FAO)</w:t>
      </w:r>
    </w:p>
    <w:p w:rsidR="003B3B6E" w:rsidRDefault="003B3B6E" w:rsidP="003B3B6E">
      <w:pPr>
        <w:pStyle w:val="pldetails"/>
      </w:pPr>
      <w:r>
        <w:t>Shakeel BHATTI</w:t>
      </w:r>
      <w:r w:rsidRPr="00731E91">
        <w:t xml:space="preserve">, </w:t>
      </w:r>
      <w:r>
        <w:t>Secretary, International Treaty on Plant Genetic Resources for Food and Agriculture (ITPGRFA), Rome, Italy</w:t>
      </w:r>
      <w:r w:rsidRPr="00731E91">
        <w:t xml:space="preserve"> (e-mail: </w:t>
      </w:r>
      <w:r w:rsidRPr="00C743CF">
        <w:t>shakeel.bhatti@fao.org</w:t>
      </w:r>
      <w:r>
        <w:t>)</w:t>
      </w:r>
    </w:p>
    <w:p w:rsidR="003B3B6E" w:rsidRPr="002C0411" w:rsidRDefault="003B3B6E" w:rsidP="003B3B6E">
      <w:pPr>
        <w:pStyle w:val="pldetails"/>
      </w:pPr>
      <w:r w:rsidRPr="002C0411">
        <w:t>Muhamad SABRAN, Chairperson, Bureau of the Seventh Governing Body of the International Treaty on Plant Genetic Resources for Food and Agriculture (ITPGRFA), Rome, Italy</w:t>
      </w:r>
    </w:p>
    <w:p w:rsidR="003B3B6E" w:rsidRPr="00731E91" w:rsidRDefault="003B3B6E" w:rsidP="003B3B6E">
      <w:pPr>
        <w:pStyle w:val="plcountry"/>
      </w:pPr>
      <w:r w:rsidRPr="00731E91">
        <w:t>SOUTH CENTRE</w:t>
      </w:r>
    </w:p>
    <w:p w:rsidR="003B3B6E" w:rsidRPr="00731E91" w:rsidRDefault="003B3B6E" w:rsidP="003B3B6E">
      <w:pPr>
        <w:pStyle w:val="pldetails"/>
      </w:pPr>
      <w:r w:rsidRPr="00731E91">
        <w:t>Mirza ALAS PORTILLO (Ms.), Research Associate, South Centre, Geneva, Switzerland (e-mail: alas@southcentre.int)</w:t>
      </w:r>
    </w:p>
    <w:p w:rsidR="003B3B6E" w:rsidRPr="00991E99" w:rsidRDefault="003B3B6E" w:rsidP="003B3B6E">
      <w:pPr>
        <w:pStyle w:val="pldetails"/>
      </w:pPr>
      <w:r w:rsidRPr="00991E99">
        <w:t xml:space="preserve">Viviana MUÑOZ TELLEZ (Ms.), Coordinator, Development, Innovation and Intellectual Property Program, South Centre, Geneva, Switzerland (e-mail: munoz@southcentre.int)  </w:t>
      </w:r>
    </w:p>
    <w:p w:rsidR="003B3B6E" w:rsidRPr="00731E91" w:rsidRDefault="003B3B6E" w:rsidP="003B3B6E">
      <w:pPr>
        <w:pStyle w:val="plheading"/>
        <w:rPr>
          <w:lang w:val="es-ES_tradnl"/>
        </w:rPr>
      </w:pPr>
      <w:r w:rsidRPr="00731E91">
        <w:rPr>
          <w:lang w:val="es-ES_tradnl"/>
        </w:rPr>
        <w:t>IV. BUREAU DE L’OMPI / OFFICE OF WIPO / BÜRO DER WIPO / OFICINA DE LA OMPI</w:t>
      </w:r>
    </w:p>
    <w:p w:rsidR="003B3B6E" w:rsidRPr="00731E91" w:rsidRDefault="003B3B6E" w:rsidP="003B3B6E">
      <w:pPr>
        <w:pStyle w:val="pldetails"/>
      </w:pPr>
      <w:r w:rsidRPr="00731E91">
        <w:t>Chitra NARAYANASWANY (Ms.), Director, Program Planning and Finance (Controller), Department of Program Planning and Finance</w:t>
      </w:r>
    </w:p>
    <w:p w:rsidR="003B3B6E" w:rsidRPr="00731E91" w:rsidRDefault="003B3B6E" w:rsidP="003B3B6E">
      <w:pPr>
        <w:pStyle w:val="pldetails"/>
      </w:pPr>
      <w:r w:rsidRPr="00731E91">
        <w:t>Janice COOK ROBBINS (Ms.), Director, Finance Division, Department of Program Planning and Finance</w:t>
      </w:r>
    </w:p>
    <w:p w:rsidR="003B3B6E" w:rsidRPr="00731E91" w:rsidRDefault="003B3B6E" w:rsidP="003B3B6E">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3B3B6E" w:rsidRPr="00731E91" w:rsidRDefault="003B3B6E" w:rsidP="003B3B6E">
      <w:pPr>
        <w:pStyle w:val="pldetails"/>
        <w:rPr>
          <w:lang w:val="fr-CH"/>
        </w:rPr>
      </w:pPr>
      <w:r w:rsidRPr="00731E91">
        <w:rPr>
          <w:lang w:val="fr-CH"/>
        </w:rPr>
        <w:t>Didier MONNOT, vérificateur externe, Contrôle fédéral des finances de la Confédération suisse, Berne</w:t>
      </w:r>
    </w:p>
    <w:p w:rsidR="003B3B6E" w:rsidRPr="00731E91" w:rsidRDefault="003B3B6E" w:rsidP="003B3B6E">
      <w:pPr>
        <w:pStyle w:val="plheading"/>
      </w:pPr>
      <w:r w:rsidRPr="00731E91">
        <w:t>VI. BUREAU / OFFICER / VORSITZ / OFICINA</w:t>
      </w:r>
    </w:p>
    <w:p w:rsidR="003B3B6E" w:rsidRPr="00731E91" w:rsidRDefault="003B3B6E" w:rsidP="003B3B6E">
      <w:pPr>
        <w:pStyle w:val="pldetails"/>
      </w:pPr>
      <w:r w:rsidRPr="00731E91">
        <w:t>Kitisri SUKHAPINDA (Ms.), President</w:t>
      </w:r>
    </w:p>
    <w:p w:rsidR="003B3B6E" w:rsidRPr="00731E91" w:rsidRDefault="003B3B6E" w:rsidP="003B3B6E">
      <w:pPr>
        <w:pStyle w:val="pldetails"/>
        <w:rPr>
          <w:lang w:val="fr-CH"/>
        </w:rPr>
      </w:pPr>
      <w:r w:rsidRPr="00731E91">
        <w:rPr>
          <w:lang w:val="fr-CH"/>
        </w:rPr>
        <w:t>Luis SALAICES, Vice-President</w:t>
      </w:r>
    </w:p>
    <w:p w:rsidR="003B3B6E" w:rsidRDefault="003B3B6E" w:rsidP="003B3B6E">
      <w:pPr>
        <w:spacing w:before="240"/>
        <w:rPr>
          <w:caps/>
          <w:noProof/>
          <w:snapToGrid w:val="0"/>
          <w:u w:val="single"/>
          <w:lang w:val="fr-CH"/>
        </w:rPr>
      </w:pPr>
      <w:r>
        <w:rPr>
          <w:lang w:val="fr-CH"/>
        </w:rPr>
        <w:br w:type="page"/>
      </w:r>
    </w:p>
    <w:p w:rsidR="003B3B6E" w:rsidRPr="00731E91" w:rsidRDefault="003B3B6E" w:rsidP="003B3B6E">
      <w:pPr>
        <w:pStyle w:val="plheading"/>
        <w:rPr>
          <w:lang w:val="fr-CH"/>
        </w:rPr>
      </w:pPr>
      <w:r w:rsidRPr="00731E91">
        <w:rPr>
          <w:lang w:val="fr-CH"/>
        </w:rPr>
        <w:t>VII. BUREAU DE L’UPOV / OFFICE OF UPOV / BÜRO DER UPOV / OFICINA DE LA UPOV</w:t>
      </w:r>
    </w:p>
    <w:p w:rsidR="003B3B6E" w:rsidRPr="00731E91" w:rsidRDefault="003B3B6E" w:rsidP="003B3B6E">
      <w:pPr>
        <w:pStyle w:val="pldetails"/>
      </w:pPr>
      <w:r w:rsidRPr="00731E91">
        <w:t>Francis GURRY, Secretary-General</w:t>
      </w:r>
    </w:p>
    <w:p w:rsidR="003B3B6E" w:rsidRPr="00731E91" w:rsidRDefault="003B3B6E" w:rsidP="003B3B6E">
      <w:pPr>
        <w:pStyle w:val="pldetails"/>
      </w:pPr>
      <w:r w:rsidRPr="00731E91">
        <w:t>Peter BUTTON, Vice Secretary-General</w:t>
      </w:r>
    </w:p>
    <w:p w:rsidR="003B3B6E" w:rsidRPr="00731E91" w:rsidRDefault="003B3B6E" w:rsidP="003B3B6E">
      <w:pPr>
        <w:pStyle w:val="pldetails"/>
      </w:pPr>
      <w:r w:rsidRPr="00731E91">
        <w:t>Yolanda HUERTA (Ms.), Legal Counsel</w:t>
      </w:r>
    </w:p>
    <w:p w:rsidR="003B3B6E" w:rsidRPr="00731E91" w:rsidRDefault="003B3B6E" w:rsidP="003B3B6E">
      <w:pPr>
        <w:pStyle w:val="pldetails"/>
      </w:pPr>
      <w:r w:rsidRPr="00731E91">
        <w:t>Jun KOIDE, Technical/Regional Officer (Asia)</w:t>
      </w:r>
    </w:p>
    <w:p w:rsidR="003B3B6E" w:rsidRPr="00731E91" w:rsidRDefault="003B3B6E" w:rsidP="003B3B6E">
      <w:pPr>
        <w:pStyle w:val="pldetails"/>
      </w:pPr>
      <w:r w:rsidRPr="00731E91">
        <w:t>Ben RIVOIRE, Technical/Regional Officer (Africa, Arab countries)</w:t>
      </w:r>
    </w:p>
    <w:p w:rsidR="003B3B6E" w:rsidRDefault="003B3B6E" w:rsidP="003B3B6E">
      <w:pPr>
        <w:pStyle w:val="pldetails"/>
      </w:pPr>
      <w:r w:rsidRPr="00731E91">
        <w:t>Leontino TAVEIRA, Technical/Regional Officer (Latin America, Caribbean countries)</w:t>
      </w:r>
    </w:p>
    <w:p w:rsidR="003B3B6E" w:rsidRDefault="003B3B6E" w:rsidP="003B3B6E">
      <w:pPr>
        <w:pStyle w:val="pldetails"/>
      </w:pPr>
      <w:r>
        <w:t>Hend MADHOUR (Ms.), Data Modeler</w:t>
      </w:r>
    </w:p>
    <w:p w:rsidR="003B3B6E" w:rsidRPr="00731E91" w:rsidRDefault="003B3B6E" w:rsidP="003B3B6E">
      <w:pPr>
        <w:pStyle w:val="pldetails"/>
      </w:pPr>
      <w:r>
        <w:t>Ariane Besse (Ms.), Administrative Assistant</w:t>
      </w:r>
    </w:p>
    <w:p w:rsidR="003B3B6E" w:rsidRPr="00731E91" w:rsidRDefault="003B3B6E" w:rsidP="003B3B6E"/>
    <w:p w:rsidR="003B3B6E" w:rsidRPr="00731E91" w:rsidRDefault="003B3B6E" w:rsidP="003B3B6E"/>
    <w:p w:rsidR="00D458AF" w:rsidRPr="00563401" w:rsidRDefault="003B3B6E" w:rsidP="003B3B6E">
      <w:pPr>
        <w:widowControl w:val="0"/>
        <w:tabs>
          <w:tab w:val="left" w:pos="90"/>
        </w:tabs>
        <w:autoSpaceDE w:val="0"/>
        <w:autoSpaceDN w:val="0"/>
        <w:adjustRightInd w:val="0"/>
        <w:jc w:val="right"/>
        <w:rPr>
          <w:rFonts w:cs="Arial"/>
          <w:color w:val="000000"/>
          <w:lang w:val="fr-CH"/>
        </w:rPr>
      </w:pPr>
      <w:r w:rsidRPr="00563401">
        <w:rPr>
          <w:rFonts w:cs="Arial"/>
          <w:color w:val="000000"/>
          <w:lang w:val="fr-CH"/>
        </w:rPr>
        <w:t xml:space="preserve"> </w:t>
      </w:r>
      <w:r w:rsidR="00D458AF" w:rsidRPr="00563401">
        <w:rPr>
          <w:rFonts w:cs="Arial"/>
          <w:color w:val="000000"/>
          <w:lang w:val="fr-CH"/>
        </w:rPr>
        <w:t>[L’annexe II suit /</w:t>
      </w:r>
      <w:r w:rsidR="00D458AF" w:rsidRPr="00563401">
        <w:rPr>
          <w:rFonts w:cs="Arial"/>
          <w:color w:val="000000"/>
          <w:lang w:val="fr-CH"/>
        </w:rPr>
        <w:br/>
      </w:r>
      <w:proofErr w:type="spellStart"/>
      <w:r w:rsidR="00D458AF" w:rsidRPr="00563401">
        <w:rPr>
          <w:rFonts w:cs="Arial"/>
          <w:color w:val="000000"/>
          <w:lang w:val="fr-CH"/>
        </w:rPr>
        <w:t>Annex</w:t>
      </w:r>
      <w:proofErr w:type="spellEnd"/>
      <w:r w:rsidR="00D458AF" w:rsidRPr="00563401">
        <w:rPr>
          <w:rFonts w:cs="Arial"/>
          <w:color w:val="000000"/>
          <w:lang w:val="fr-CH"/>
        </w:rPr>
        <w:t xml:space="preserve"> II </w:t>
      </w:r>
      <w:proofErr w:type="spellStart"/>
      <w:r w:rsidR="00D458AF" w:rsidRPr="00563401">
        <w:rPr>
          <w:rFonts w:cs="Arial"/>
          <w:color w:val="000000"/>
          <w:lang w:val="fr-CH"/>
        </w:rPr>
        <w:t>follows</w:t>
      </w:r>
      <w:proofErr w:type="spellEnd"/>
      <w:r w:rsidR="00D458AF" w:rsidRPr="00563401">
        <w:rPr>
          <w:rFonts w:cs="Arial"/>
          <w:color w:val="000000"/>
          <w:lang w:val="fr-CH"/>
        </w:rPr>
        <w:t xml:space="preserve"> /</w:t>
      </w:r>
      <w:r w:rsidR="00D458AF" w:rsidRPr="00563401">
        <w:rPr>
          <w:rFonts w:cs="Arial"/>
          <w:color w:val="000000"/>
          <w:lang w:val="fr-CH"/>
        </w:rPr>
        <w:br/>
      </w:r>
      <w:proofErr w:type="spellStart"/>
      <w:r w:rsidR="00D458AF" w:rsidRPr="00563401">
        <w:rPr>
          <w:rFonts w:cs="Arial"/>
          <w:color w:val="000000"/>
          <w:lang w:val="fr-CH"/>
        </w:rPr>
        <w:t>Anlage</w:t>
      </w:r>
      <w:proofErr w:type="spellEnd"/>
      <w:r w:rsidR="00D458AF" w:rsidRPr="00563401">
        <w:rPr>
          <w:rFonts w:cs="Arial"/>
          <w:color w:val="000000"/>
          <w:lang w:val="fr-CH"/>
        </w:rPr>
        <w:t xml:space="preserve"> II </w:t>
      </w:r>
      <w:proofErr w:type="spellStart"/>
      <w:r w:rsidR="00D458AF" w:rsidRPr="00563401">
        <w:rPr>
          <w:rFonts w:cs="Arial"/>
          <w:color w:val="000000"/>
          <w:lang w:val="fr-CH"/>
        </w:rPr>
        <w:t>folgt</w:t>
      </w:r>
      <w:proofErr w:type="spellEnd"/>
      <w:r w:rsidR="00D458AF" w:rsidRPr="00563401">
        <w:rPr>
          <w:rFonts w:cs="Arial"/>
          <w:color w:val="000000"/>
          <w:lang w:val="fr-CH"/>
        </w:rPr>
        <w:t xml:space="preserve"> /</w:t>
      </w:r>
      <w:r w:rsidR="00D458AF" w:rsidRPr="00563401">
        <w:rPr>
          <w:rFonts w:cs="Arial"/>
          <w:color w:val="000000"/>
          <w:lang w:val="fr-CH"/>
        </w:rPr>
        <w:br/>
        <w:t xml:space="preserve">Sigue el </w:t>
      </w:r>
      <w:proofErr w:type="spellStart"/>
      <w:r w:rsidR="00D458AF" w:rsidRPr="00563401">
        <w:rPr>
          <w:rFonts w:cs="Arial"/>
          <w:color w:val="000000"/>
          <w:lang w:val="fr-CH"/>
        </w:rPr>
        <w:t>Anexo</w:t>
      </w:r>
      <w:proofErr w:type="spellEnd"/>
      <w:r w:rsidR="00D458AF" w:rsidRPr="00563401">
        <w:rPr>
          <w:rFonts w:cs="Arial"/>
          <w:color w:val="000000"/>
          <w:lang w:val="fr-CH"/>
        </w:rPr>
        <w:t xml:space="preserve"> II]</w:t>
      </w:r>
    </w:p>
    <w:p w:rsidR="00D458AF" w:rsidRPr="00563401" w:rsidRDefault="00D458AF" w:rsidP="00D458AF">
      <w:pPr>
        <w:jc w:val="left"/>
        <w:rPr>
          <w:lang w:val="fr-CH"/>
        </w:rPr>
        <w:sectPr w:rsidR="00D458AF" w:rsidRPr="00563401" w:rsidSect="0098166A">
          <w:headerReference w:type="default" r:id="rId11"/>
          <w:pgSz w:w="11907" w:h="16840" w:code="9"/>
          <w:pgMar w:top="510" w:right="1134" w:bottom="1134" w:left="1134" w:header="510" w:footer="680" w:gutter="0"/>
          <w:pgNumType w:start="1"/>
          <w:cols w:space="720"/>
          <w:titlePg/>
        </w:sectPr>
      </w:pPr>
    </w:p>
    <w:p w:rsidR="00D458AF" w:rsidRPr="00563401" w:rsidRDefault="00D458AF" w:rsidP="00D458AF">
      <w:pPr>
        <w:jc w:val="center"/>
        <w:rPr>
          <w:rFonts w:cs="Arial"/>
          <w:lang w:val="fr-CH"/>
        </w:rPr>
      </w:pPr>
      <w:r w:rsidRPr="00563401">
        <w:rPr>
          <w:rFonts w:cs="Arial"/>
          <w:lang w:val="fr-CH"/>
        </w:rPr>
        <w:t>C/49/18</w:t>
      </w:r>
    </w:p>
    <w:p w:rsidR="00D458AF" w:rsidRPr="00563401" w:rsidRDefault="00D458AF" w:rsidP="00D458AF">
      <w:pPr>
        <w:jc w:val="center"/>
        <w:rPr>
          <w:rFonts w:cs="Arial"/>
          <w:lang w:val="fr-CH"/>
        </w:rPr>
      </w:pPr>
    </w:p>
    <w:p w:rsidR="00D458AF" w:rsidRPr="00563401" w:rsidRDefault="000A2F65" w:rsidP="00D458AF">
      <w:pPr>
        <w:jc w:val="center"/>
        <w:rPr>
          <w:rFonts w:cs="Arial"/>
          <w:lang w:val="fr-CH"/>
        </w:rPr>
      </w:pPr>
      <w:r w:rsidRPr="00563401">
        <w:rPr>
          <w:rFonts w:cs="Arial"/>
          <w:lang w:val="fr-CH"/>
        </w:rPr>
        <w:t>AN</w:t>
      </w:r>
      <w:r w:rsidR="00D458AF" w:rsidRPr="00563401">
        <w:rPr>
          <w:rFonts w:cs="Arial"/>
          <w:lang w:val="fr-CH"/>
        </w:rPr>
        <w:t>EX</w:t>
      </w:r>
      <w:r w:rsidRPr="00563401">
        <w:rPr>
          <w:rFonts w:cs="Arial"/>
          <w:lang w:val="fr-CH"/>
        </w:rPr>
        <w:t>O</w:t>
      </w:r>
      <w:r w:rsidR="00D458AF" w:rsidRPr="00563401">
        <w:rPr>
          <w:rFonts w:cs="Arial"/>
          <w:lang w:val="fr-CH"/>
        </w:rPr>
        <w:t xml:space="preserve"> II</w:t>
      </w:r>
    </w:p>
    <w:p w:rsidR="00D458AF" w:rsidRPr="00563401" w:rsidRDefault="00D458AF" w:rsidP="00D458AF">
      <w:pPr>
        <w:rPr>
          <w:rFonts w:cs="Arial"/>
          <w:lang w:val="fr-CH"/>
        </w:rPr>
      </w:pPr>
    </w:p>
    <w:p w:rsidR="00F90439" w:rsidRPr="00327F75" w:rsidRDefault="00F90439" w:rsidP="00F90439">
      <w:pPr>
        <w:rPr>
          <w:rFonts w:cs="Arial"/>
          <w:lang w:val="es-ES_tradnl"/>
        </w:rPr>
      </w:pPr>
      <w:r w:rsidRPr="00327F75">
        <w:rPr>
          <w:u w:val="single"/>
          <w:lang w:val="es-ES_tradnl"/>
        </w:rPr>
        <w:t>Comunicado de prensa de la UPOV Nº 103</w:t>
      </w:r>
    </w:p>
    <w:p w:rsidR="00F90439" w:rsidRPr="00327F75" w:rsidRDefault="00F90439" w:rsidP="00F90439">
      <w:pPr>
        <w:rPr>
          <w:rFonts w:cs="Arial"/>
          <w:lang w:val="es-ES_tradnl"/>
        </w:rPr>
      </w:pPr>
    </w:p>
    <w:p w:rsidR="00F90439" w:rsidRPr="00327F75" w:rsidRDefault="00F90439" w:rsidP="00F90439">
      <w:pPr>
        <w:rPr>
          <w:rFonts w:cs="Arial"/>
          <w:lang w:val="es-ES_tradnl"/>
        </w:rPr>
      </w:pPr>
      <w:r w:rsidRPr="00327F75">
        <w:rPr>
          <w:lang w:val="es-ES_tradnl"/>
        </w:rPr>
        <w:t>Ginebra, 29 de octubre de 2015</w:t>
      </w:r>
    </w:p>
    <w:p w:rsidR="00F90439" w:rsidRPr="00327F75" w:rsidRDefault="00F90439" w:rsidP="00F90439">
      <w:pPr>
        <w:rPr>
          <w:rFonts w:cs="Arial"/>
          <w:lang w:val="es-ES_tradnl"/>
        </w:rPr>
      </w:pPr>
    </w:p>
    <w:p w:rsidR="00F90439" w:rsidRPr="00327F75" w:rsidRDefault="00F90439" w:rsidP="00F90439">
      <w:pPr>
        <w:jc w:val="center"/>
        <w:rPr>
          <w:rFonts w:cs="Arial"/>
          <w:lang w:val="es-ES_tradnl"/>
        </w:rPr>
      </w:pPr>
    </w:p>
    <w:p w:rsidR="00F90439" w:rsidRPr="00327F75" w:rsidRDefault="00F90439" w:rsidP="00F90439">
      <w:pPr>
        <w:jc w:val="center"/>
        <w:rPr>
          <w:rFonts w:cs="Arial"/>
          <w:b/>
          <w:lang w:val="es-ES_tradnl"/>
        </w:rPr>
      </w:pPr>
      <w:r w:rsidRPr="00327F75">
        <w:rPr>
          <w:b/>
          <w:lang w:val="es-ES_tradnl"/>
        </w:rPr>
        <w:t>El Consejo de la UPOV celebra su cuadragésima novena sesión ordinaria</w:t>
      </w:r>
    </w:p>
    <w:p w:rsidR="00F90439" w:rsidRPr="00327F75" w:rsidRDefault="00F90439" w:rsidP="00F90439">
      <w:pPr>
        <w:jc w:val="center"/>
        <w:rPr>
          <w:rFonts w:cs="Arial"/>
          <w:lang w:val="es-ES_tradnl"/>
        </w:rPr>
      </w:pPr>
    </w:p>
    <w:p w:rsidR="00F90439" w:rsidRPr="00327F75" w:rsidRDefault="00F90439" w:rsidP="00F90439">
      <w:pPr>
        <w:rPr>
          <w:rFonts w:cs="Arial"/>
          <w:lang w:val="es-ES_tradnl"/>
        </w:rPr>
      </w:pPr>
    </w:p>
    <w:p w:rsidR="00F90439" w:rsidRPr="00327F75" w:rsidRDefault="00F90439" w:rsidP="00F90439">
      <w:pPr>
        <w:rPr>
          <w:rFonts w:cs="Arial"/>
          <w:lang w:val="es-ES_tradnl"/>
        </w:rPr>
      </w:pPr>
      <w:r w:rsidRPr="00327F75">
        <w:rPr>
          <w:lang w:val="es-ES_tradnl"/>
        </w:rPr>
        <w:t>El Consejo de la Unión Internacional para la Protección de las Obtenciones Vegetales (UPOV) celebró su cuadragésima novena sesión ordinaria en Ginebra, el 29 de octubre de 2015.</w:t>
      </w:r>
    </w:p>
    <w:p w:rsidR="00F90439" w:rsidRPr="00327F75" w:rsidRDefault="00F90439" w:rsidP="00F90439">
      <w:pPr>
        <w:rPr>
          <w:rFonts w:cs="Arial"/>
          <w:lang w:val="es-ES_tradnl"/>
        </w:rPr>
      </w:pPr>
    </w:p>
    <w:p w:rsidR="00F90439" w:rsidRPr="00327F75" w:rsidRDefault="00F90439" w:rsidP="00F90439">
      <w:pPr>
        <w:rPr>
          <w:rFonts w:cs="Arial"/>
          <w:b/>
          <w:lang w:val="es-ES_tradnl"/>
        </w:rPr>
      </w:pPr>
      <w:r w:rsidRPr="00327F75">
        <w:rPr>
          <w:b/>
          <w:lang w:val="es-ES_tradnl"/>
        </w:rPr>
        <w:t>Resumen de lo más destacado de dicha sesión:</w:t>
      </w:r>
    </w:p>
    <w:p w:rsidR="00F90439" w:rsidRPr="00327F75" w:rsidRDefault="00F90439" w:rsidP="00F90439">
      <w:pPr>
        <w:rPr>
          <w:rFonts w:cs="Arial"/>
          <w:lang w:val="es-ES_tradnl"/>
        </w:rPr>
      </w:pPr>
    </w:p>
    <w:p w:rsidR="00F90439" w:rsidRPr="00327F75" w:rsidRDefault="00F90439" w:rsidP="00F90439">
      <w:pPr>
        <w:rPr>
          <w:rFonts w:cs="Arial"/>
          <w:u w:val="single"/>
          <w:lang w:val="es-ES_tradnl"/>
        </w:rPr>
      </w:pPr>
      <w:r w:rsidRPr="00327F75">
        <w:rPr>
          <w:u w:val="single"/>
          <w:lang w:val="es-ES_tradnl"/>
        </w:rPr>
        <w:t xml:space="preserve">Examen de la conformidad de la “Ley de 2003 de Registro de Variedades Vegetales y Control y Certificación de Semillas y Material Vegetal” de la República Islámica </w:t>
      </w:r>
      <w:proofErr w:type="spellStart"/>
      <w:r w:rsidRPr="00327F75">
        <w:rPr>
          <w:u w:val="single"/>
          <w:lang w:val="es-ES_tradnl"/>
        </w:rPr>
        <w:t>del</w:t>
      </w:r>
      <w:proofErr w:type="spellEnd"/>
      <w:r w:rsidRPr="00327F75">
        <w:rPr>
          <w:u w:val="single"/>
          <w:lang w:val="es-ES_tradnl"/>
        </w:rPr>
        <w:t xml:space="preserve"> Irán con el Acta de 1991 del Convenio de la UPOV</w:t>
      </w:r>
    </w:p>
    <w:p w:rsidR="00F90439" w:rsidRPr="00327F75" w:rsidRDefault="00F90439" w:rsidP="00F90439">
      <w:pPr>
        <w:rPr>
          <w:rFonts w:cs="Arial"/>
          <w:lang w:val="es-ES_tradnl"/>
        </w:rPr>
      </w:pPr>
    </w:p>
    <w:p w:rsidR="00F90439" w:rsidRPr="00327F75" w:rsidRDefault="00F90439" w:rsidP="00F90439">
      <w:pPr>
        <w:rPr>
          <w:rFonts w:cs="Arial"/>
          <w:lang w:val="es-ES_tradnl"/>
        </w:rPr>
      </w:pPr>
      <w:r w:rsidRPr="00327F75">
        <w:rPr>
          <w:lang w:val="es-ES_tradnl"/>
        </w:rPr>
        <w:t xml:space="preserve">El Consejo recomendó que la República Islámica </w:t>
      </w:r>
      <w:proofErr w:type="spellStart"/>
      <w:r w:rsidRPr="00327F75">
        <w:rPr>
          <w:lang w:val="es-ES_tradnl"/>
        </w:rPr>
        <w:t>del</w:t>
      </w:r>
      <w:proofErr w:type="spellEnd"/>
      <w:r w:rsidRPr="00327F75">
        <w:rPr>
          <w:lang w:val="es-ES_tradnl"/>
        </w:rPr>
        <w:t xml:space="preserve"> Irán incorpore ciertas disposiciones adicionales y enmiendas a la “Ley de 2003 de Registro de Variedades Vegetales y Control y Certificación de Semillas y Material Vegetal” y que, una vez incorporadas a dicha Ley las disposiciones y enmiendas adicionales necesarias, se someta la Ley modificada a examen del Consejo, de conformidad con el Artículo 34.3) del Acta de 1991.</w:t>
      </w:r>
    </w:p>
    <w:p w:rsidR="00F90439" w:rsidRPr="00327F75" w:rsidRDefault="00F90439" w:rsidP="00F90439">
      <w:pPr>
        <w:rPr>
          <w:rFonts w:cs="Arial"/>
          <w:lang w:val="es-ES_tradnl"/>
        </w:rPr>
      </w:pPr>
    </w:p>
    <w:p w:rsidR="00F90439" w:rsidRPr="00327F75" w:rsidRDefault="00F90439" w:rsidP="00F90439">
      <w:pPr>
        <w:rPr>
          <w:rFonts w:cs="Arial"/>
          <w:u w:val="single"/>
          <w:lang w:val="es-ES_tradnl"/>
        </w:rPr>
      </w:pPr>
      <w:r w:rsidRPr="00327F75">
        <w:rPr>
          <w:u w:val="single"/>
          <w:lang w:val="es-ES_tradnl"/>
        </w:rPr>
        <w:t>Programa y presupuesto de la Unión para el bienio 2016-2017</w:t>
      </w:r>
    </w:p>
    <w:p w:rsidR="00F90439" w:rsidRPr="00327F75" w:rsidRDefault="00F90439" w:rsidP="00F90439">
      <w:pPr>
        <w:rPr>
          <w:rFonts w:cs="Arial"/>
          <w:u w:val="single"/>
          <w:lang w:val="es-ES_tradnl"/>
        </w:rPr>
      </w:pPr>
    </w:p>
    <w:p w:rsidR="00F90439" w:rsidRPr="00327F75" w:rsidRDefault="00F90439" w:rsidP="00F90439">
      <w:pPr>
        <w:rPr>
          <w:rFonts w:cs="Arial"/>
          <w:lang w:val="es-ES_tradnl"/>
        </w:rPr>
      </w:pPr>
      <w:r w:rsidRPr="00327F75">
        <w:rPr>
          <w:lang w:val="es-ES_tradnl"/>
        </w:rPr>
        <w:t>El Consejo aprobó el programa y presupuesto para el bienio 2016</w:t>
      </w:r>
      <w:r w:rsidRPr="00327F75">
        <w:rPr>
          <w:lang w:val="es-ES_tradnl"/>
        </w:rPr>
        <w:noBreakHyphen/>
        <w:t>2017, por un monto de 6.823.000 francos suizos, que representa un aumento del 0,4% con respecto al bienio 2014</w:t>
      </w:r>
      <w:r w:rsidRPr="00327F75">
        <w:rPr>
          <w:lang w:val="es-ES_tradnl"/>
        </w:rPr>
        <w:noBreakHyphen/>
        <w:t>2015 (6.794.000 francos suizos).  Este presupuesto no contempla cambios en el valor de las contribuciones de los miembros de la Unión, ni en el total del número de puestos para la Oficina de la Unión.</w:t>
      </w:r>
    </w:p>
    <w:p w:rsidR="00F90439" w:rsidRPr="00327F75" w:rsidRDefault="00F90439" w:rsidP="00F90439">
      <w:pPr>
        <w:rPr>
          <w:rFonts w:cs="Arial"/>
          <w:lang w:val="es-ES_tradnl"/>
        </w:rPr>
      </w:pPr>
    </w:p>
    <w:p w:rsidR="00F90439" w:rsidRPr="00327F75" w:rsidRDefault="00F90439" w:rsidP="00F90439">
      <w:pPr>
        <w:rPr>
          <w:rFonts w:cs="Arial"/>
          <w:u w:val="single"/>
          <w:lang w:val="es-ES_tradnl"/>
        </w:rPr>
      </w:pPr>
      <w:r w:rsidRPr="00327F75">
        <w:rPr>
          <w:u w:val="single"/>
          <w:lang w:val="es-ES_tradnl"/>
        </w:rPr>
        <w:t>Estadísticas sobre la protección de las obtenciones vegetales</w:t>
      </w:r>
    </w:p>
    <w:p w:rsidR="00F90439" w:rsidRPr="00327F75" w:rsidRDefault="00F90439" w:rsidP="00F90439">
      <w:pPr>
        <w:keepNext/>
        <w:autoSpaceDE w:val="0"/>
        <w:autoSpaceDN w:val="0"/>
        <w:adjustRightInd w:val="0"/>
        <w:rPr>
          <w:rFonts w:eastAsia="MS Mincho" w:cs="Arial"/>
          <w:lang w:val="es-ES_tradnl"/>
        </w:rPr>
      </w:pPr>
    </w:p>
    <w:p w:rsidR="00F90439" w:rsidRPr="00327F75" w:rsidRDefault="00F90439" w:rsidP="00F90439">
      <w:pPr>
        <w:autoSpaceDE w:val="0"/>
        <w:autoSpaceDN w:val="0"/>
        <w:adjustRightInd w:val="0"/>
        <w:rPr>
          <w:rFonts w:eastAsia="MS Mincho" w:cs="Arial"/>
          <w:lang w:val="es-ES_tradnl"/>
        </w:rPr>
      </w:pPr>
      <w:r w:rsidRPr="00327F75">
        <w:rPr>
          <w:lang w:val="es-ES_tradnl"/>
        </w:rPr>
        <w:t>Actualmente 59 miembros de la Unión protegen todos los géneros y especies vegetales (58 en 2014) y 14 miembros de la Unión protegen un número limitado de géneros y especies vegetales.  De esos 14, dos países (Brasil y Marruecos) extendieron la protección a otros géneros y especies vegetales en 2015.</w:t>
      </w:r>
    </w:p>
    <w:p w:rsidR="00F90439" w:rsidRPr="00327F75" w:rsidRDefault="00F90439" w:rsidP="00F90439">
      <w:pPr>
        <w:autoSpaceDE w:val="0"/>
        <w:autoSpaceDN w:val="0"/>
        <w:adjustRightInd w:val="0"/>
        <w:rPr>
          <w:rFonts w:eastAsia="MS Mincho" w:cs="Arial"/>
          <w:lang w:val="es-ES_tradnl"/>
        </w:rPr>
      </w:pPr>
    </w:p>
    <w:p w:rsidR="00F90439" w:rsidRPr="00327F75" w:rsidRDefault="00F90439" w:rsidP="00F90439">
      <w:pPr>
        <w:autoSpaceDE w:val="0"/>
        <w:autoSpaceDN w:val="0"/>
        <w:adjustRightInd w:val="0"/>
        <w:rPr>
          <w:rFonts w:eastAsia="MS Mincho" w:cs="Arial"/>
          <w:lang w:val="es-ES_tradnl"/>
        </w:rPr>
      </w:pPr>
      <w:r w:rsidRPr="00327F75">
        <w:rPr>
          <w:lang w:val="es-ES_tradnl"/>
        </w:rPr>
        <w:t>El Consejo tomó nota de que, en 2014, el número de solicitudes de miembros de la UPOV había superado las 15.000 por primera vez.  El aumento del número de solicitudes de protección de variedades vegetales fue del 4,8% (15.499 en 2014;  14.788 en 2013), cifra que comprende un aumento del 2,8% del número de solicitudes presentadas por residentes (9.770 en 2014;  9.502 en 2013) y un aumento del 8,4% del número de solicitudes presentadas por no residentes (5.729 en 2014;  5.286 en 2013).  El número de títulos concedidos pasó de 10.052 en 2013 a 10.569 en 2014 (15,1% de aumento).</w:t>
      </w:r>
    </w:p>
    <w:p w:rsidR="00F90439" w:rsidRPr="00327F75" w:rsidRDefault="00F90439" w:rsidP="00F90439">
      <w:pPr>
        <w:autoSpaceDE w:val="0"/>
        <w:autoSpaceDN w:val="0"/>
        <w:adjustRightInd w:val="0"/>
        <w:rPr>
          <w:rFonts w:eastAsia="MS Mincho" w:cs="Arial"/>
          <w:lang w:val="es-ES_tradnl"/>
        </w:rPr>
      </w:pPr>
    </w:p>
    <w:p w:rsidR="00F90439" w:rsidRPr="00327F75" w:rsidRDefault="00F90439" w:rsidP="00F90439">
      <w:pPr>
        <w:autoSpaceDE w:val="0"/>
        <w:autoSpaceDN w:val="0"/>
        <w:adjustRightInd w:val="0"/>
        <w:rPr>
          <w:rFonts w:eastAsia="MS Mincho" w:cs="Arial"/>
          <w:lang w:val="es-ES_tradnl"/>
        </w:rPr>
      </w:pPr>
      <w:r w:rsidRPr="00327F75">
        <w:rPr>
          <w:lang w:val="es-ES_tradnl"/>
        </w:rPr>
        <w:t>El total de 106.081 títulos en vigor en 2014 representó un aumento del 2,7% respecto de la cifra de 2013 (103.261).</w:t>
      </w:r>
    </w:p>
    <w:p w:rsidR="00F90439" w:rsidRPr="00327F75" w:rsidRDefault="00F90439" w:rsidP="00F90439">
      <w:pPr>
        <w:autoSpaceDE w:val="0"/>
        <w:autoSpaceDN w:val="0"/>
        <w:adjustRightInd w:val="0"/>
        <w:rPr>
          <w:rFonts w:eastAsia="MS Mincho" w:cs="Arial"/>
          <w:lang w:val="es-ES_tradnl"/>
        </w:rPr>
      </w:pPr>
    </w:p>
    <w:p w:rsidR="00F90439" w:rsidRPr="00327F75" w:rsidRDefault="00F90439" w:rsidP="00F90439">
      <w:pPr>
        <w:keepNext/>
        <w:rPr>
          <w:rFonts w:cs="Arial"/>
          <w:u w:val="single"/>
          <w:lang w:val="es-ES_tradnl"/>
        </w:rPr>
      </w:pPr>
      <w:r w:rsidRPr="00327F75">
        <w:rPr>
          <w:u w:val="single"/>
          <w:lang w:val="es-ES_tradnl"/>
        </w:rPr>
        <w:t>Cooperación en materia de examen de obtenciones vegetales</w:t>
      </w:r>
    </w:p>
    <w:p w:rsidR="00F90439" w:rsidRPr="00327F75" w:rsidRDefault="00F90439" w:rsidP="00F90439">
      <w:pPr>
        <w:keepNext/>
        <w:tabs>
          <w:tab w:val="num" w:pos="1440"/>
        </w:tabs>
        <w:autoSpaceDE w:val="0"/>
        <w:autoSpaceDN w:val="0"/>
        <w:adjustRightInd w:val="0"/>
        <w:rPr>
          <w:rFonts w:cs="Arial"/>
          <w:lang w:val="es-ES_tradnl"/>
        </w:rPr>
      </w:pPr>
    </w:p>
    <w:p w:rsidR="00F90439" w:rsidRPr="00327F75" w:rsidRDefault="00F90439" w:rsidP="00F90439">
      <w:pPr>
        <w:keepNext/>
        <w:tabs>
          <w:tab w:val="num" w:pos="1440"/>
        </w:tabs>
        <w:autoSpaceDE w:val="0"/>
        <w:autoSpaceDN w:val="0"/>
        <w:adjustRightInd w:val="0"/>
        <w:rPr>
          <w:rFonts w:cs="Arial"/>
          <w:lang w:val="es-ES_tradnl"/>
        </w:rPr>
      </w:pPr>
      <w:r w:rsidRPr="00327F75">
        <w:rPr>
          <w:lang w:val="es-ES_tradnl"/>
        </w:rPr>
        <w:t xml:space="preserve">En 2015 se suscribieron acuerdos de cooperación entre miembros de la Unión para el examen de la distinción, la homogeneidad y la estabilidad de 2.002 géneros y especies vegetales, en comparación con la cifra de 2.005 géneros y especies </w:t>
      </w:r>
      <w:proofErr w:type="gramStart"/>
      <w:r w:rsidRPr="00327F75">
        <w:rPr>
          <w:lang w:val="es-ES_tradnl"/>
        </w:rPr>
        <w:t>vegetales correspondiente</w:t>
      </w:r>
      <w:proofErr w:type="gramEnd"/>
      <w:r w:rsidRPr="00327F75">
        <w:rPr>
          <w:lang w:val="es-ES_tradnl"/>
        </w:rPr>
        <w:t xml:space="preserve"> a 2014.</w:t>
      </w:r>
    </w:p>
    <w:p w:rsidR="00F90439" w:rsidRPr="00327F75" w:rsidRDefault="00F90439" w:rsidP="00F90439">
      <w:pPr>
        <w:rPr>
          <w:rFonts w:cs="Arial"/>
          <w:lang w:val="es-ES_tradnl"/>
        </w:rPr>
      </w:pPr>
    </w:p>
    <w:p w:rsidR="00F90439" w:rsidRPr="00327F75" w:rsidRDefault="00F90439" w:rsidP="00F90439">
      <w:pPr>
        <w:keepNext/>
        <w:rPr>
          <w:rFonts w:cs="Arial"/>
          <w:u w:val="single"/>
          <w:lang w:val="es-ES_tradnl"/>
        </w:rPr>
      </w:pPr>
      <w:r w:rsidRPr="00327F75">
        <w:rPr>
          <w:u w:val="single"/>
          <w:lang w:val="es-ES_tradnl"/>
        </w:rPr>
        <w:t>Aprobación de documentos</w:t>
      </w:r>
    </w:p>
    <w:p w:rsidR="00F90439" w:rsidRPr="00327F75" w:rsidRDefault="00F90439" w:rsidP="00F90439">
      <w:pPr>
        <w:keepNext/>
        <w:rPr>
          <w:rFonts w:cs="Arial"/>
          <w:lang w:val="es-ES_tradnl"/>
        </w:rPr>
      </w:pPr>
    </w:p>
    <w:p w:rsidR="00F90439" w:rsidRPr="00327F75" w:rsidRDefault="00F90439" w:rsidP="00F90439">
      <w:pPr>
        <w:keepNext/>
        <w:rPr>
          <w:lang w:val="es-ES_tradnl"/>
        </w:rPr>
      </w:pPr>
      <w:r w:rsidRPr="00327F75">
        <w:rPr>
          <w:lang w:val="es-ES_tradnl"/>
        </w:rPr>
        <w:t>El Consejo aprobó las versiones revisadas de los siguientes documentos:</w:t>
      </w:r>
    </w:p>
    <w:p w:rsidR="00F90439" w:rsidRPr="00327F75" w:rsidRDefault="00F90439" w:rsidP="00F90439">
      <w:pPr>
        <w:keepNext/>
        <w:jc w:val="left"/>
        <w:rPr>
          <w:lang w:val="es-ES_tradnl"/>
        </w:rPr>
      </w:pPr>
    </w:p>
    <w:p w:rsidR="00F90439" w:rsidRPr="00327F75" w:rsidRDefault="00F90439" w:rsidP="00F90439">
      <w:pPr>
        <w:ind w:left="567"/>
        <w:rPr>
          <w:bCs/>
          <w:snapToGrid w:val="0"/>
          <w:szCs w:val="24"/>
          <w:lang w:val="es-ES_tradnl"/>
        </w:rPr>
      </w:pPr>
      <w:r w:rsidRPr="00327F75">
        <w:rPr>
          <w:snapToGrid w:val="0"/>
          <w:lang w:val="es-ES_tradnl"/>
        </w:rPr>
        <w:t>a)</w:t>
      </w:r>
      <w:r w:rsidRPr="00327F75">
        <w:rPr>
          <w:lang w:val="es-ES_tradnl"/>
        </w:rPr>
        <w:tab/>
      </w:r>
      <w:r w:rsidRPr="00327F75">
        <w:rPr>
          <w:snapToGrid w:val="0"/>
          <w:lang w:val="es-ES_tradnl"/>
        </w:rPr>
        <w:t>documentos TGP:</w:t>
      </w:r>
    </w:p>
    <w:p w:rsidR="00F90439" w:rsidRPr="00327F75" w:rsidRDefault="00F90439" w:rsidP="00F90439">
      <w:pPr>
        <w:ind w:left="2268" w:hanging="1701"/>
        <w:rPr>
          <w:bCs/>
          <w:snapToGrid w:val="0"/>
          <w:szCs w:val="24"/>
          <w:lang w:val="es-ES_tradnl"/>
        </w:rPr>
      </w:pPr>
    </w:p>
    <w:p w:rsidR="00F90439" w:rsidRPr="00327F75" w:rsidRDefault="00F90439" w:rsidP="00F90439">
      <w:pPr>
        <w:ind w:left="2268" w:hanging="1134"/>
        <w:rPr>
          <w:bCs/>
          <w:snapToGrid w:val="0"/>
          <w:szCs w:val="24"/>
          <w:lang w:val="es-ES_tradnl"/>
        </w:rPr>
      </w:pPr>
      <w:r w:rsidRPr="00327F75">
        <w:rPr>
          <w:snapToGrid w:val="0"/>
          <w:lang w:val="es-ES_tradnl"/>
        </w:rPr>
        <w:t>TGP/5</w:t>
      </w:r>
      <w:r w:rsidRPr="00327F75">
        <w:rPr>
          <w:lang w:val="es-ES_tradnl"/>
        </w:rPr>
        <w:tab/>
      </w:r>
      <w:r w:rsidRPr="00327F75">
        <w:rPr>
          <w:snapToGrid w:val="0"/>
          <w:lang w:val="es-ES_tradnl"/>
        </w:rPr>
        <w:t>Experiencia y cooperación en el examen DHE</w:t>
      </w:r>
    </w:p>
    <w:p w:rsidR="00F90439" w:rsidRPr="00327F75" w:rsidRDefault="00F90439" w:rsidP="00F90439">
      <w:pPr>
        <w:ind w:left="1134" w:hanging="1134"/>
        <w:rPr>
          <w:bCs/>
          <w:snapToGrid w:val="0"/>
          <w:szCs w:val="24"/>
          <w:lang w:val="es-ES_tradnl"/>
        </w:rPr>
      </w:pPr>
      <w:r w:rsidRPr="00327F75">
        <w:rPr>
          <w:lang w:val="es-ES_tradnl"/>
        </w:rPr>
        <w:tab/>
      </w:r>
      <w:r w:rsidRPr="00327F75">
        <w:rPr>
          <w:snapToGrid w:val="0"/>
          <w:lang w:val="es-ES_tradnl"/>
        </w:rPr>
        <w:t>TGP/9</w:t>
      </w:r>
      <w:r w:rsidRPr="00327F75">
        <w:rPr>
          <w:lang w:val="es-ES_tradnl"/>
        </w:rPr>
        <w:tab/>
      </w:r>
      <w:r w:rsidRPr="00327F75">
        <w:rPr>
          <w:snapToGrid w:val="0"/>
          <w:lang w:val="es-ES_tradnl"/>
        </w:rPr>
        <w:t>Examen de la distinción</w:t>
      </w:r>
    </w:p>
    <w:p w:rsidR="00F90439" w:rsidRPr="00327F75" w:rsidRDefault="00F90439" w:rsidP="00F90439">
      <w:pPr>
        <w:ind w:left="2268" w:hanging="1134"/>
        <w:rPr>
          <w:bCs/>
          <w:snapToGrid w:val="0"/>
          <w:szCs w:val="24"/>
          <w:lang w:val="es-ES_tradnl"/>
        </w:rPr>
      </w:pPr>
      <w:r w:rsidRPr="00327F75">
        <w:rPr>
          <w:snapToGrid w:val="0"/>
          <w:lang w:val="es-ES_tradnl"/>
        </w:rPr>
        <w:t>TGP/14</w:t>
      </w:r>
      <w:r w:rsidRPr="00327F75">
        <w:rPr>
          <w:lang w:val="es-ES_tradnl"/>
        </w:rPr>
        <w:tab/>
      </w:r>
      <w:r w:rsidRPr="00327F75">
        <w:rPr>
          <w:snapToGrid w:val="0"/>
          <w:lang w:val="es-ES_tradnl"/>
        </w:rPr>
        <w:t>Glosario de términos utilizados en los documentos de la UPOV</w:t>
      </w:r>
    </w:p>
    <w:p w:rsidR="00F90439" w:rsidRPr="00327F75" w:rsidRDefault="00F90439" w:rsidP="00F90439">
      <w:pPr>
        <w:keepNext/>
        <w:ind w:left="567"/>
        <w:rPr>
          <w:bCs/>
          <w:snapToGrid w:val="0"/>
          <w:szCs w:val="24"/>
          <w:lang w:val="es-ES_tradnl"/>
        </w:rPr>
      </w:pPr>
      <w:r w:rsidRPr="00327F75">
        <w:rPr>
          <w:snapToGrid w:val="0"/>
          <w:lang w:val="es-ES_tradnl"/>
        </w:rPr>
        <w:t>b)</w:t>
      </w:r>
      <w:r w:rsidRPr="00327F75">
        <w:rPr>
          <w:lang w:val="es-ES_tradnl"/>
        </w:rPr>
        <w:tab/>
      </w:r>
      <w:r w:rsidRPr="00327F75">
        <w:rPr>
          <w:snapToGrid w:val="0"/>
          <w:lang w:val="es-ES_tradnl"/>
        </w:rPr>
        <w:t>Notas explicativas:</w:t>
      </w:r>
    </w:p>
    <w:p w:rsidR="00F90439" w:rsidRPr="00327F75" w:rsidRDefault="00F90439" w:rsidP="00F90439">
      <w:pPr>
        <w:keepNext/>
        <w:ind w:left="567"/>
        <w:rPr>
          <w:bCs/>
          <w:snapToGrid w:val="0"/>
          <w:szCs w:val="24"/>
          <w:lang w:val="es-ES_tradnl"/>
        </w:rPr>
      </w:pPr>
    </w:p>
    <w:p w:rsidR="00F90439" w:rsidRPr="00327F75" w:rsidRDefault="00F90439" w:rsidP="00F90439">
      <w:pPr>
        <w:ind w:left="2835" w:hanging="1701"/>
        <w:rPr>
          <w:bCs/>
          <w:snapToGrid w:val="0"/>
          <w:szCs w:val="24"/>
          <w:lang w:val="es-ES_tradnl"/>
        </w:rPr>
      </w:pPr>
      <w:r w:rsidRPr="00327F75">
        <w:rPr>
          <w:snapToGrid w:val="0"/>
          <w:lang w:val="es-ES_tradnl"/>
        </w:rPr>
        <w:t>UPOV/EXN/CAN</w:t>
      </w:r>
      <w:r w:rsidRPr="00327F75">
        <w:rPr>
          <w:lang w:val="es-ES_tradnl"/>
        </w:rPr>
        <w:tab/>
      </w:r>
      <w:r w:rsidRPr="00327F75">
        <w:rPr>
          <w:snapToGrid w:val="0"/>
          <w:lang w:val="es-ES_tradnl"/>
        </w:rPr>
        <w:t xml:space="preserve">Notas explicativas sobre la caducidad del derecho de obtentor con arreglo al Convenio de la UPOV </w:t>
      </w:r>
    </w:p>
    <w:p w:rsidR="00F90439" w:rsidRPr="00327F75" w:rsidRDefault="00F90439" w:rsidP="00F90439">
      <w:pPr>
        <w:ind w:left="2835" w:hanging="1701"/>
        <w:rPr>
          <w:bCs/>
          <w:snapToGrid w:val="0"/>
          <w:szCs w:val="24"/>
          <w:lang w:val="es-ES_tradnl"/>
        </w:rPr>
      </w:pPr>
      <w:r w:rsidRPr="00327F75">
        <w:rPr>
          <w:snapToGrid w:val="0"/>
          <w:lang w:val="es-ES_tradnl"/>
        </w:rPr>
        <w:t>UPOV/EXN/NUL</w:t>
      </w:r>
      <w:r w:rsidRPr="00327F75">
        <w:rPr>
          <w:lang w:val="es-ES_tradnl"/>
        </w:rPr>
        <w:tab/>
      </w:r>
      <w:r w:rsidRPr="00327F75">
        <w:rPr>
          <w:snapToGrid w:val="0"/>
          <w:lang w:val="es-ES_tradnl"/>
        </w:rPr>
        <w:t xml:space="preserve">Notas explicativas sobre la nulidad del derecho de obtentor con arreglo al Convenio de la UPOV </w:t>
      </w:r>
    </w:p>
    <w:p w:rsidR="00F90439" w:rsidRPr="00327F75" w:rsidRDefault="00F90439" w:rsidP="00F90439">
      <w:pPr>
        <w:ind w:left="2835" w:hanging="1701"/>
        <w:rPr>
          <w:bCs/>
          <w:snapToGrid w:val="0"/>
          <w:szCs w:val="24"/>
          <w:lang w:val="es-ES_tradnl"/>
        </w:rPr>
      </w:pPr>
      <w:r w:rsidRPr="00327F75">
        <w:rPr>
          <w:snapToGrid w:val="0"/>
          <w:lang w:val="es-ES_tradnl"/>
        </w:rPr>
        <w:t>UPOV/EXN/PRP</w:t>
      </w:r>
      <w:r w:rsidRPr="00327F75">
        <w:rPr>
          <w:lang w:val="es-ES_tradnl"/>
        </w:rPr>
        <w:tab/>
      </w:r>
      <w:r w:rsidRPr="00327F75">
        <w:rPr>
          <w:snapToGrid w:val="0"/>
          <w:lang w:val="es-ES_tradnl"/>
        </w:rPr>
        <w:t xml:space="preserve">Notas explicativas sobre la protección provisional con arreglo al Convenio de la UPOV </w:t>
      </w:r>
    </w:p>
    <w:p w:rsidR="00F90439" w:rsidRPr="00327F75" w:rsidRDefault="00F90439" w:rsidP="00F90439">
      <w:pPr>
        <w:ind w:left="2835" w:hanging="1701"/>
        <w:rPr>
          <w:bCs/>
          <w:snapToGrid w:val="0"/>
          <w:szCs w:val="24"/>
          <w:lang w:val="es-ES_tradnl"/>
        </w:rPr>
      </w:pPr>
    </w:p>
    <w:p w:rsidR="00F90439" w:rsidRPr="00327F75" w:rsidRDefault="00F90439" w:rsidP="00F90439">
      <w:pPr>
        <w:keepNext/>
        <w:ind w:left="567"/>
        <w:rPr>
          <w:bCs/>
          <w:snapToGrid w:val="0"/>
          <w:szCs w:val="24"/>
          <w:lang w:val="es-ES_tradnl"/>
        </w:rPr>
      </w:pPr>
      <w:r w:rsidRPr="00327F75">
        <w:rPr>
          <w:snapToGrid w:val="0"/>
          <w:lang w:val="es-ES_tradnl"/>
        </w:rPr>
        <w:t>c)</w:t>
      </w:r>
      <w:r w:rsidRPr="00327F75">
        <w:rPr>
          <w:lang w:val="es-ES_tradnl"/>
        </w:rPr>
        <w:tab/>
      </w:r>
      <w:r w:rsidRPr="00327F75">
        <w:rPr>
          <w:snapToGrid w:val="0"/>
          <w:lang w:val="es-ES_tradnl"/>
        </w:rPr>
        <w:t>Documentos de información:</w:t>
      </w:r>
    </w:p>
    <w:p w:rsidR="00F90439" w:rsidRPr="00327F75" w:rsidRDefault="00F90439" w:rsidP="00F90439">
      <w:pPr>
        <w:keepNext/>
        <w:ind w:left="2268" w:hanging="1701"/>
        <w:rPr>
          <w:bCs/>
          <w:snapToGrid w:val="0"/>
          <w:szCs w:val="24"/>
          <w:lang w:val="es-ES_tradnl"/>
        </w:rPr>
      </w:pPr>
    </w:p>
    <w:p w:rsidR="00F90439" w:rsidRPr="00327F75" w:rsidRDefault="00F90439" w:rsidP="00F90439">
      <w:pPr>
        <w:ind w:left="2835" w:hanging="1701"/>
        <w:rPr>
          <w:bCs/>
          <w:snapToGrid w:val="0"/>
          <w:szCs w:val="24"/>
          <w:lang w:val="es-ES_tradnl"/>
        </w:rPr>
      </w:pPr>
      <w:r w:rsidRPr="00327F75">
        <w:rPr>
          <w:snapToGrid w:val="0"/>
          <w:lang w:val="es-ES_tradnl"/>
        </w:rPr>
        <w:t>UPOV/INF/6</w:t>
      </w:r>
      <w:r w:rsidRPr="00327F75">
        <w:rPr>
          <w:lang w:val="es-ES_tradnl"/>
        </w:rPr>
        <w:tab/>
      </w:r>
      <w:r w:rsidRPr="00327F75">
        <w:rPr>
          <w:snapToGrid w:val="0"/>
          <w:lang w:val="es-ES_tradnl"/>
        </w:rPr>
        <w:t>Orientaciones para la redacción de leyes basadas en el Acta de 1991 del Convenio de la UPOV</w:t>
      </w:r>
    </w:p>
    <w:p w:rsidR="00F90439" w:rsidRPr="00327F75" w:rsidRDefault="00F90439" w:rsidP="00F90439">
      <w:pPr>
        <w:ind w:left="2835" w:hanging="1701"/>
        <w:rPr>
          <w:bCs/>
          <w:snapToGrid w:val="0"/>
          <w:szCs w:val="24"/>
          <w:lang w:val="es-ES_tradnl"/>
        </w:rPr>
      </w:pPr>
      <w:r w:rsidRPr="00327F75">
        <w:rPr>
          <w:snapToGrid w:val="0"/>
          <w:lang w:val="es-ES_tradnl"/>
        </w:rPr>
        <w:t>UPOV/INF/12</w:t>
      </w:r>
      <w:r w:rsidRPr="00327F75">
        <w:rPr>
          <w:lang w:val="es-ES_tradnl"/>
        </w:rPr>
        <w:tab/>
      </w:r>
      <w:r w:rsidRPr="00327F75">
        <w:rPr>
          <w:snapToGrid w:val="0"/>
          <w:lang w:val="es-ES_tradnl"/>
        </w:rPr>
        <w:t xml:space="preserve">Notas explicativas sobre las denominaciones de variedades con arreglo al Convenio de la UPOV </w:t>
      </w:r>
    </w:p>
    <w:p w:rsidR="00F90439" w:rsidRPr="00327F75" w:rsidRDefault="00F90439" w:rsidP="00F90439">
      <w:pPr>
        <w:ind w:left="2835" w:hanging="1701"/>
        <w:rPr>
          <w:kern w:val="28"/>
          <w:lang w:val="es-ES_tradnl"/>
        </w:rPr>
      </w:pPr>
      <w:r w:rsidRPr="00327F75">
        <w:rPr>
          <w:snapToGrid w:val="0"/>
          <w:lang w:val="es-ES_tradnl"/>
        </w:rPr>
        <w:t>UPOV/INF/16</w:t>
      </w:r>
      <w:r w:rsidRPr="00327F75">
        <w:rPr>
          <w:lang w:val="es-ES_tradnl"/>
        </w:rPr>
        <w:tab/>
      </w:r>
      <w:r w:rsidRPr="00327F75">
        <w:rPr>
          <w:snapToGrid w:val="0"/>
          <w:spacing w:val="-4"/>
          <w:lang w:val="es-ES_tradnl"/>
        </w:rPr>
        <w:t xml:space="preserve">Programas informáticos para intercambio </w:t>
      </w:r>
    </w:p>
    <w:p w:rsidR="00F90439" w:rsidRPr="00327F75" w:rsidRDefault="00F90439" w:rsidP="00F90439">
      <w:pPr>
        <w:ind w:left="2835" w:hanging="1701"/>
        <w:rPr>
          <w:kern w:val="28"/>
          <w:lang w:val="es-ES_tradnl"/>
        </w:rPr>
      </w:pPr>
      <w:r w:rsidRPr="00327F75">
        <w:rPr>
          <w:snapToGrid w:val="0"/>
          <w:lang w:val="es-ES_tradnl"/>
        </w:rPr>
        <w:t>UPOV/INF/22</w:t>
      </w:r>
      <w:r w:rsidRPr="00327F75">
        <w:rPr>
          <w:lang w:val="es-ES_tradnl"/>
        </w:rPr>
        <w:tab/>
      </w:r>
      <w:r w:rsidRPr="00327F75">
        <w:rPr>
          <w:snapToGrid w:val="0"/>
          <w:spacing w:val="-4"/>
          <w:lang w:val="es-ES_tradnl"/>
        </w:rPr>
        <w:t>Programas informáticos y equipos utilizados por los miembros de la Unión</w:t>
      </w:r>
    </w:p>
    <w:p w:rsidR="00F90439" w:rsidRPr="00327F75" w:rsidRDefault="00F90439" w:rsidP="00F90439">
      <w:pPr>
        <w:rPr>
          <w:rFonts w:cs="Arial"/>
          <w:lang w:val="es-ES_tradnl"/>
        </w:rPr>
      </w:pPr>
    </w:p>
    <w:p w:rsidR="00F90439" w:rsidRPr="00327F75" w:rsidRDefault="00F90439" w:rsidP="00F90439">
      <w:pPr>
        <w:rPr>
          <w:rFonts w:cs="Arial"/>
          <w:lang w:val="es-ES_tradnl"/>
        </w:rPr>
      </w:pPr>
      <w:r w:rsidRPr="00327F75">
        <w:rPr>
          <w:lang w:val="es-ES_tradnl"/>
        </w:rPr>
        <w:t xml:space="preserve">Todos los documentos aprobados se publicarán en la Colección de la UPOV (véase </w:t>
      </w:r>
      <w:hyperlink r:id="rId12">
        <w:r w:rsidRPr="00327F75">
          <w:rPr>
            <w:rStyle w:val="Hyperlink"/>
            <w:lang w:val="es-ES_tradnl"/>
          </w:rPr>
          <w:t>http://www.upov.int/upov_collection/es/</w:t>
        </w:r>
      </w:hyperlink>
      <w:r w:rsidRPr="00327F75">
        <w:rPr>
          <w:lang w:val="es-ES_tradnl"/>
        </w:rPr>
        <w:t>).</w:t>
      </w:r>
    </w:p>
    <w:p w:rsidR="00F90439" w:rsidRPr="00327F75" w:rsidRDefault="00F90439" w:rsidP="00F90439">
      <w:pPr>
        <w:autoSpaceDE w:val="0"/>
        <w:autoSpaceDN w:val="0"/>
        <w:adjustRightInd w:val="0"/>
        <w:jc w:val="left"/>
        <w:rPr>
          <w:rFonts w:cs="Arial"/>
          <w:sz w:val="19"/>
          <w:szCs w:val="19"/>
          <w:lang w:val="es-ES_tradnl"/>
        </w:rPr>
      </w:pPr>
    </w:p>
    <w:p w:rsidR="00F90439" w:rsidRPr="00327F75" w:rsidRDefault="00F90439" w:rsidP="00F90439">
      <w:pPr>
        <w:autoSpaceDE w:val="0"/>
        <w:autoSpaceDN w:val="0"/>
        <w:adjustRightInd w:val="0"/>
        <w:jc w:val="left"/>
        <w:rPr>
          <w:rFonts w:cs="Arial"/>
          <w:u w:val="single"/>
          <w:lang w:val="es-ES_tradnl"/>
        </w:rPr>
      </w:pPr>
      <w:r w:rsidRPr="00327F75">
        <w:rPr>
          <w:u w:val="single"/>
          <w:lang w:val="es-ES_tradnl"/>
        </w:rPr>
        <w:t>Elección del Presidente y del Vicepresidente del Consejo de la UPOV</w:t>
      </w:r>
    </w:p>
    <w:p w:rsidR="00F90439" w:rsidRPr="00327F75" w:rsidRDefault="00F90439" w:rsidP="00F90439">
      <w:pPr>
        <w:autoSpaceDE w:val="0"/>
        <w:autoSpaceDN w:val="0"/>
        <w:adjustRightInd w:val="0"/>
        <w:jc w:val="left"/>
        <w:rPr>
          <w:rFonts w:cs="Arial"/>
          <w:lang w:val="es-ES_tradnl"/>
        </w:rPr>
      </w:pPr>
    </w:p>
    <w:p w:rsidR="00F90439" w:rsidRPr="00327F75" w:rsidRDefault="00F90439" w:rsidP="00F90439">
      <w:pPr>
        <w:keepNext/>
        <w:rPr>
          <w:szCs w:val="24"/>
          <w:lang w:val="es-ES_tradnl"/>
        </w:rPr>
      </w:pPr>
      <w:r w:rsidRPr="00327F75">
        <w:rPr>
          <w:lang w:val="es-ES_tradnl"/>
        </w:rPr>
        <w:t>El Consejo eligió a las personas siguientes, en cada caso por un mandato de tres años que concluirá con la quincuagésima segunda sesión ordinaria del Consejo en 2018:</w:t>
      </w:r>
    </w:p>
    <w:p w:rsidR="00F90439" w:rsidRPr="00327F75" w:rsidRDefault="00F90439" w:rsidP="00F90439">
      <w:pPr>
        <w:keepNext/>
        <w:rPr>
          <w:szCs w:val="24"/>
          <w:lang w:val="es-ES_tradnl"/>
        </w:rPr>
      </w:pPr>
    </w:p>
    <w:p w:rsidR="00F90439" w:rsidRPr="00327F75" w:rsidRDefault="00F90439" w:rsidP="00F90439">
      <w:pPr>
        <w:rPr>
          <w:lang w:val="es-ES_tradnl"/>
        </w:rPr>
      </w:pPr>
      <w:r w:rsidRPr="00327F75">
        <w:rPr>
          <w:lang w:val="es-ES_tradnl"/>
        </w:rPr>
        <w:tab/>
        <w:t>a)</w:t>
      </w:r>
      <w:r w:rsidRPr="00327F75">
        <w:rPr>
          <w:lang w:val="es-ES_tradnl"/>
        </w:rPr>
        <w:tab/>
        <w:t xml:space="preserve">Sr. Luis </w:t>
      </w:r>
      <w:proofErr w:type="spellStart"/>
      <w:r w:rsidRPr="00327F75">
        <w:rPr>
          <w:lang w:val="es-ES_tradnl"/>
        </w:rPr>
        <w:t>Salaices</w:t>
      </w:r>
      <w:proofErr w:type="spellEnd"/>
      <w:r w:rsidRPr="00327F75">
        <w:rPr>
          <w:lang w:val="es-ES_tradnl"/>
        </w:rPr>
        <w:t xml:space="preserve"> Sánchez (España), Presidente del Consejo;</w:t>
      </w:r>
    </w:p>
    <w:p w:rsidR="00F90439" w:rsidRPr="00327F75" w:rsidRDefault="00F90439" w:rsidP="00F90439">
      <w:pPr>
        <w:rPr>
          <w:lang w:val="es-ES_tradnl"/>
        </w:rPr>
      </w:pPr>
    </w:p>
    <w:p w:rsidR="00F90439" w:rsidRPr="00327F75" w:rsidRDefault="00F90439" w:rsidP="00F90439">
      <w:pPr>
        <w:rPr>
          <w:lang w:val="es-ES_tradnl"/>
        </w:rPr>
      </w:pPr>
      <w:r w:rsidRPr="00327F75">
        <w:rPr>
          <w:lang w:val="es-ES_tradnl"/>
        </w:rPr>
        <w:tab/>
        <w:t>b)</w:t>
      </w:r>
      <w:r w:rsidRPr="00327F75">
        <w:rPr>
          <w:lang w:val="es-ES_tradnl"/>
        </w:rPr>
        <w:tab/>
        <w:t xml:space="preserve">Sr. Raimundo </w:t>
      </w:r>
      <w:proofErr w:type="spellStart"/>
      <w:r w:rsidRPr="00327F75">
        <w:rPr>
          <w:lang w:val="es-ES_tradnl"/>
        </w:rPr>
        <w:t>Lavignolle</w:t>
      </w:r>
      <w:proofErr w:type="spellEnd"/>
      <w:r w:rsidRPr="00327F75">
        <w:rPr>
          <w:lang w:val="es-ES_tradnl"/>
        </w:rPr>
        <w:t xml:space="preserve"> (Argentina), Vicepresidente del Consejo.</w:t>
      </w:r>
    </w:p>
    <w:p w:rsidR="00F90439" w:rsidRPr="00327F75" w:rsidRDefault="00F90439" w:rsidP="00F90439">
      <w:pPr>
        <w:rPr>
          <w:rFonts w:cs="Arial"/>
          <w:lang w:val="es-ES_tradnl"/>
        </w:rPr>
      </w:pPr>
    </w:p>
    <w:p w:rsidR="00F90439" w:rsidRPr="00327F75" w:rsidRDefault="00F90439" w:rsidP="00F90439">
      <w:pPr>
        <w:rPr>
          <w:rFonts w:cs="Arial"/>
          <w:lang w:val="es-ES_tradnl"/>
        </w:rPr>
      </w:pPr>
      <w:r w:rsidRPr="00327F75">
        <w:rPr>
          <w:lang w:val="es-ES_tradnl"/>
        </w:rPr>
        <w:t xml:space="preserve">El Secretario General de la UPOV, el Sr. Francis Gurry concedió a la Sra. Kitisri Sukhapinda (Estados Unidos de América) la Medalla de Oro de la UPOV en reconocimiento a su contribución durante el período en que ocupó el cargo de Presidenta del Consejo de la UPOV, del 2 de noviembre de 2012 </w:t>
      </w:r>
      <w:r w:rsidRPr="00327F75">
        <w:rPr>
          <w:lang w:val="es-ES_tradnl"/>
        </w:rPr>
        <w:br/>
        <w:t>al 29 de octubre de 2015.</w:t>
      </w:r>
    </w:p>
    <w:p w:rsidR="00F90439" w:rsidRPr="00327F75" w:rsidRDefault="00F90439" w:rsidP="00F90439">
      <w:pPr>
        <w:rPr>
          <w:rFonts w:cs="Arial"/>
          <w:lang w:val="es-ES_tradnl"/>
        </w:rPr>
      </w:pPr>
    </w:p>
    <w:p w:rsidR="00F90439" w:rsidRPr="00327F75" w:rsidRDefault="00F90439" w:rsidP="00F90439">
      <w:pPr>
        <w:rPr>
          <w:rFonts w:cs="Arial"/>
          <w:lang w:val="es-ES_tradnl"/>
        </w:rPr>
      </w:pPr>
      <w:r w:rsidRPr="00327F75">
        <w:rPr>
          <w:lang w:val="es-ES_tradnl"/>
        </w:rPr>
        <w:t>El Sr. Gurry destacó las siguientes novedades acaecidas durante la presidencia de la Sra. Sukhapinda:</w:t>
      </w:r>
    </w:p>
    <w:p w:rsidR="00F90439" w:rsidRPr="00327F75" w:rsidRDefault="00F90439" w:rsidP="00F90439">
      <w:pPr>
        <w:rPr>
          <w:rFonts w:cs="Arial"/>
          <w:lang w:val="es-ES_tradnl"/>
        </w:rPr>
      </w:pPr>
    </w:p>
    <w:p w:rsidR="00F90439" w:rsidRPr="00327F75" w:rsidRDefault="00F90439" w:rsidP="00F90439">
      <w:pPr>
        <w:pStyle w:val="ListParagraph"/>
        <w:numPr>
          <w:ilvl w:val="1"/>
          <w:numId w:val="1"/>
        </w:numPr>
        <w:spacing w:after="60"/>
        <w:ind w:left="851" w:hanging="284"/>
        <w:contextualSpacing w:val="0"/>
        <w:rPr>
          <w:spacing w:val="-2"/>
          <w:lang w:val="es-ES_tradnl"/>
        </w:rPr>
      </w:pPr>
      <w:r w:rsidRPr="00327F75">
        <w:rPr>
          <w:lang w:val="es-ES_tradnl"/>
        </w:rPr>
        <w:t xml:space="preserve">El número de miembros de la UPOV aumentó de 70 a 74 al ingresar Montenegro, la Organización Africana de la Propiedad Intelectual (OAPI), la República Unida de </w:t>
      </w:r>
      <w:proofErr w:type="spellStart"/>
      <w:r w:rsidRPr="00327F75">
        <w:rPr>
          <w:lang w:val="es-ES_tradnl"/>
        </w:rPr>
        <w:t>Tanzanía</w:t>
      </w:r>
      <w:proofErr w:type="spellEnd"/>
      <w:r w:rsidRPr="00327F75">
        <w:rPr>
          <w:lang w:val="es-ES_tradnl"/>
        </w:rPr>
        <w:t xml:space="preserve"> y Serbia</w:t>
      </w:r>
    </w:p>
    <w:p w:rsidR="00F90439" w:rsidRPr="00327F75" w:rsidRDefault="00F90439" w:rsidP="00F90439">
      <w:pPr>
        <w:pStyle w:val="ListParagraph"/>
        <w:numPr>
          <w:ilvl w:val="1"/>
          <w:numId w:val="1"/>
        </w:numPr>
        <w:spacing w:after="60"/>
        <w:ind w:left="851" w:hanging="284"/>
        <w:contextualSpacing w:val="0"/>
        <w:rPr>
          <w:lang w:val="es-ES_tradnl"/>
        </w:rPr>
      </w:pPr>
      <w:r w:rsidRPr="00327F75">
        <w:rPr>
          <w:lang w:val="es-ES_tradnl"/>
        </w:rPr>
        <w:t>El número de Estados amparados por el Convenio de la UPOV aumentó de 73 a 93</w:t>
      </w:r>
    </w:p>
    <w:p w:rsidR="00F90439" w:rsidRPr="00327F75" w:rsidRDefault="00F90439" w:rsidP="00F90439">
      <w:pPr>
        <w:pStyle w:val="ListParagraph"/>
        <w:numPr>
          <w:ilvl w:val="1"/>
          <w:numId w:val="1"/>
        </w:numPr>
        <w:spacing w:after="60"/>
        <w:ind w:left="851" w:hanging="284"/>
        <w:contextualSpacing w:val="0"/>
        <w:rPr>
          <w:lang w:val="es-ES_tradnl"/>
        </w:rPr>
      </w:pPr>
      <w:r w:rsidRPr="00327F75">
        <w:rPr>
          <w:lang w:val="es-ES_tradnl"/>
        </w:rPr>
        <w:t>Ratificación de Canadá del Acta de 1991</w:t>
      </w:r>
    </w:p>
    <w:p w:rsidR="00F90439" w:rsidRPr="00327F75" w:rsidRDefault="00F90439" w:rsidP="00F90439">
      <w:pPr>
        <w:pStyle w:val="ListParagraph"/>
        <w:numPr>
          <w:ilvl w:val="1"/>
          <w:numId w:val="1"/>
        </w:numPr>
        <w:spacing w:after="60"/>
        <w:ind w:left="851" w:hanging="284"/>
        <w:contextualSpacing w:val="0"/>
        <w:rPr>
          <w:lang w:val="es-ES_tradnl"/>
        </w:rPr>
      </w:pPr>
      <w:r w:rsidRPr="00327F75">
        <w:rPr>
          <w:lang w:val="es-ES_tradnl"/>
        </w:rPr>
        <w:t>El número de títulos de derechos de obtentor en vigor superó por primera vez los 100.000 y, en 2014, el número de solicitudes superó por primera vez las 15.000</w:t>
      </w:r>
    </w:p>
    <w:p w:rsidR="00F90439" w:rsidRPr="00327F75" w:rsidRDefault="00F90439" w:rsidP="00F90439">
      <w:pPr>
        <w:pStyle w:val="ListParagraph"/>
        <w:numPr>
          <w:ilvl w:val="1"/>
          <w:numId w:val="1"/>
        </w:numPr>
        <w:spacing w:after="60"/>
        <w:ind w:left="851" w:hanging="284"/>
        <w:contextualSpacing w:val="0"/>
        <w:rPr>
          <w:lang w:val="es-ES_tradnl"/>
        </w:rPr>
      </w:pPr>
      <w:r w:rsidRPr="00327F75">
        <w:rPr>
          <w:lang w:val="es-ES_tradnl"/>
        </w:rPr>
        <w:t>La UPOV ha elaborado una estrategia de comunicación, que incluyó la introducción de una serie de importantes preguntas frecuentes</w:t>
      </w:r>
    </w:p>
    <w:p w:rsidR="00F90439" w:rsidRPr="00327F75" w:rsidRDefault="00F90439" w:rsidP="00F90439">
      <w:pPr>
        <w:pStyle w:val="ListParagraph"/>
        <w:numPr>
          <w:ilvl w:val="1"/>
          <w:numId w:val="1"/>
        </w:numPr>
        <w:spacing w:after="60"/>
        <w:ind w:left="851" w:hanging="284"/>
        <w:contextualSpacing w:val="0"/>
        <w:rPr>
          <w:lang w:val="es-ES_tradnl"/>
        </w:rPr>
      </w:pPr>
      <w:r w:rsidRPr="00327F75">
        <w:rPr>
          <w:lang w:val="es-ES_tradnl"/>
        </w:rPr>
        <w:t>Teniendo en cuenta el éxito del curso de enseñanza a distancia DL-205 “Introducción al sistema de la UPOV de protección de las variedades vegetales”, la UPOV puso en marcha el curso avanzado de enseñanza a distancia “Examen de las solicitudes de derechos de obtentor” (DL</w:t>
      </w:r>
      <w:r w:rsidRPr="00327F75">
        <w:rPr>
          <w:lang w:val="es-ES_tradnl"/>
        </w:rPr>
        <w:noBreakHyphen/>
        <w:t>305)</w:t>
      </w:r>
    </w:p>
    <w:p w:rsidR="00F90439" w:rsidRPr="00327F75" w:rsidRDefault="00F90439" w:rsidP="00F90439">
      <w:pPr>
        <w:pStyle w:val="ListParagraph"/>
        <w:numPr>
          <w:ilvl w:val="1"/>
          <w:numId w:val="1"/>
        </w:numPr>
        <w:spacing w:after="60"/>
        <w:ind w:left="851" w:hanging="284"/>
        <w:contextualSpacing w:val="0"/>
        <w:rPr>
          <w:lang w:val="es-ES_tradnl"/>
        </w:rPr>
      </w:pPr>
      <w:r w:rsidRPr="00327F75">
        <w:rPr>
          <w:lang w:val="es-ES_tradnl"/>
        </w:rPr>
        <w:t>El Consejo aprobó nuevos documentos de orientación importantes referidos a:</w:t>
      </w:r>
    </w:p>
    <w:p w:rsidR="00F90439" w:rsidRPr="00327F75" w:rsidRDefault="00F90439" w:rsidP="00F90439">
      <w:pPr>
        <w:pStyle w:val="ListParagraph"/>
        <w:numPr>
          <w:ilvl w:val="2"/>
          <w:numId w:val="1"/>
        </w:numPr>
        <w:ind w:left="1134" w:hanging="283"/>
        <w:contextualSpacing w:val="0"/>
        <w:rPr>
          <w:lang w:val="es-ES_tradnl"/>
        </w:rPr>
      </w:pPr>
      <w:r w:rsidRPr="00327F75">
        <w:rPr>
          <w:lang w:val="es-ES_tradnl"/>
        </w:rPr>
        <w:t>La definición de obtentor</w:t>
      </w:r>
    </w:p>
    <w:p w:rsidR="00F90439" w:rsidRPr="00327F75" w:rsidRDefault="00F90439" w:rsidP="00F90439">
      <w:pPr>
        <w:pStyle w:val="ListParagraph"/>
        <w:numPr>
          <w:ilvl w:val="2"/>
          <w:numId w:val="1"/>
        </w:numPr>
        <w:ind w:left="1134" w:hanging="283"/>
        <w:contextualSpacing w:val="0"/>
        <w:rPr>
          <w:lang w:val="es-ES_tradnl"/>
        </w:rPr>
      </w:pPr>
      <w:r w:rsidRPr="00327F75">
        <w:rPr>
          <w:lang w:val="es-ES_tradnl"/>
        </w:rPr>
        <w:t>El producto de la cosecha</w:t>
      </w:r>
    </w:p>
    <w:p w:rsidR="00F90439" w:rsidRPr="00327F75" w:rsidRDefault="00F90439" w:rsidP="00F90439">
      <w:pPr>
        <w:pStyle w:val="ListParagraph"/>
        <w:numPr>
          <w:ilvl w:val="2"/>
          <w:numId w:val="1"/>
        </w:numPr>
        <w:ind w:left="1134" w:hanging="283"/>
        <w:contextualSpacing w:val="0"/>
        <w:rPr>
          <w:rFonts w:cs="Arial"/>
          <w:lang w:val="es-ES_tradnl"/>
        </w:rPr>
      </w:pPr>
      <w:r w:rsidRPr="00327F75">
        <w:rPr>
          <w:lang w:val="es-ES_tradnl"/>
        </w:rPr>
        <w:t>Uso de marcadores bioquímicos y moleculares en el examen DHE</w:t>
      </w:r>
    </w:p>
    <w:p w:rsidR="00F90439" w:rsidRPr="00327F75" w:rsidRDefault="00F90439" w:rsidP="00F90439">
      <w:pPr>
        <w:rPr>
          <w:rFonts w:cs="Arial"/>
          <w:lang w:val="es-ES_tradnl"/>
        </w:rPr>
      </w:pPr>
    </w:p>
    <w:p w:rsidR="00F90439" w:rsidRPr="00327F75" w:rsidRDefault="00F90439" w:rsidP="00F90439">
      <w:pPr>
        <w:rPr>
          <w:rFonts w:cs="Arial"/>
          <w:u w:val="single"/>
          <w:lang w:val="es-ES_tradnl"/>
        </w:rPr>
      </w:pPr>
      <w:r w:rsidRPr="00327F75">
        <w:rPr>
          <w:u w:val="single"/>
          <w:lang w:val="es-ES_tradnl"/>
        </w:rPr>
        <w:t>Cursos de enseñanza a distancia</w:t>
      </w:r>
    </w:p>
    <w:p w:rsidR="00F90439" w:rsidRPr="00327F75" w:rsidRDefault="00F90439" w:rsidP="00F90439">
      <w:pPr>
        <w:rPr>
          <w:rFonts w:cs="Arial"/>
          <w:i/>
          <w:lang w:val="es-ES_tradnl"/>
        </w:rPr>
      </w:pPr>
    </w:p>
    <w:p w:rsidR="00F90439" w:rsidRPr="00327F75" w:rsidRDefault="00F90439" w:rsidP="00F90439">
      <w:pPr>
        <w:rPr>
          <w:lang w:val="es-ES_tradnl"/>
        </w:rPr>
      </w:pPr>
      <w:r w:rsidRPr="00327F75">
        <w:rPr>
          <w:lang w:val="es-ES_tradnl"/>
        </w:rPr>
        <w:t>En 2016 tendrán lugar dos sesiones de cada uno de los siguientes cursos de la UPOV de enseñanza a distancia:</w:t>
      </w:r>
    </w:p>
    <w:p w:rsidR="00F90439" w:rsidRPr="00327F75" w:rsidRDefault="00F90439" w:rsidP="00F90439">
      <w:pPr>
        <w:rPr>
          <w:lang w:val="es-ES_tradnl"/>
        </w:rPr>
      </w:pPr>
    </w:p>
    <w:p w:rsidR="00F90439" w:rsidRPr="00327F75" w:rsidRDefault="00F90439" w:rsidP="00F90439">
      <w:pPr>
        <w:pStyle w:val="ListParagraph"/>
        <w:numPr>
          <w:ilvl w:val="0"/>
          <w:numId w:val="2"/>
        </w:numPr>
        <w:rPr>
          <w:lang w:val="es-ES_tradnl"/>
        </w:rPr>
      </w:pPr>
      <w:r w:rsidRPr="00327F75">
        <w:rPr>
          <w:lang w:val="es-ES_tradnl"/>
        </w:rPr>
        <w:t>DL-205 “Introducción al sistema de la UPOV de protección de las variedades vegetales”</w:t>
      </w:r>
    </w:p>
    <w:p w:rsidR="00F90439" w:rsidRPr="00327F75" w:rsidRDefault="00F90439" w:rsidP="00F90439">
      <w:pPr>
        <w:pStyle w:val="ListParagraph"/>
        <w:numPr>
          <w:ilvl w:val="0"/>
          <w:numId w:val="2"/>
        </w:numPr>
        <w:rPr>
          <w:lang w:val="es-ES_tradnl"/>
        </w:rPr>
      </w:pPr>
      <w:r w:rsidRPr="00327F75">
        <w:rPr>
          <w:lang w:val="es-ES_tradnl"/>
        </w:rPr>
        <w:t>DL-305 “Examen de las solicitudes de derechos de obtentor”</w:t>
      </w:r>
    </w:p>
    <w:p w:rsidR="00F90439" w:rsidRPr="00327F75" w:rsidRDefault="00F90439" w:rsidP="00F90439">
      <w:pPr>
        <w:pStyle w:val="ListParagraph"/>
        <w:keepNext/>
        <w:numPr>
          <w:ilvl w:val="0"/>
          <w:numId w:val="2"/>
        </w:numPr>
        <w:rPr>
          <w:lang w:val="es-ES_tradnl"/>
        </w:rPr>
      </w:pPr>
      <w:r w:rsidRPr="00327F75">
        <w:rPr>
          <w:lang w:val="es-ES_tradnl"/>
        </w:rPr>
        <w:t>DL-305A “Administración de los derechos de obtentor” (parte A del curso DL-305)</w:t>
      </w:r>
    </w:p>
    <w:p w:rsidR="00F90439" w:rsidRPr="00327F75" w:rsidRDefault="00F90439" w:rsidP="00F90439">
      <w:pPr>
        <w:pStyle w:val="ListParagraph"/>
        <w:numPr>
          <w:ilvl w:val="0"/>
          <w:numId w:val="2"/>
        </w:numPr>
        <w:rPr>
          <w:lang w:val="es-ES_tradnl"/>
        </w:rPr>
      </w:pPr>
      <w:r w:rsidRPr="00327F75">
        <w:rPr>
          <w:lang w:val="es-ES_tradnl"/>
        </w:rPr>
        <w:t>DL-305B “Examen DHE” (parte B del curso DL-305)</w:t>
      </w:r>
    </w:p>
    <w:p w:rsidR="00F90439" w:rsidRPr="00327F75" w:rsidRDefault="00F90439" w:rsidP="00F90439">
      <w:pPr>
        <w:rPr>
          <w:lang w:val="es-ES_tradnl"/>
        </w:rPr>
      </w:pPr>
    </w:p>
    <w:p w:rsidR="00F90439" w:rsidRPr="00327F75" w:rsidRDefault="00F90439" w:rsidP="00F90439">
      <w:pPr>
        <w:keepNext/>
        <w:rPr>
          <w:lang w:val="es-ES_tradnl"/>
        </w:rPr>
      </w:pPr>
      <w:r w:rsidRPr="00327F75">
        <w:rPr>
          <w:lang w:val="es-ES_tradnl"/>
        </w:rPr>
        <w:t>El calendario de los cursos es el siguiente:</w:t>
      </w:r>
    </w:p>
    <w:p w:rsidR="00F90439" w:rsidRPr="00327F75" w:rsidRDefault="00F90439" w:rsidP="00F90439">
      <w:pPr>
        <w:keepNext/>
        <w:jc w:val="left"/>
        <w:rPr>
          <w:rFonts w:cs="Arial"/>
          <w:lang w:val="es-ES_tradnl"/>
        </w:rPr>
      </w:pPr>
    </w:p>
    <w:p w:rsidR="00F90439" w:rsidRPr="00327F75" w:rsidRDefault="00F90439" w:rsidP="00F90439">
      <w:pPr>
        <w:keepNext/>
        <w:ind w:left="567"/>
        <w:jc w:val="left"/>
        <w:rPr>
          <w:rFonts w:cs="Arial"/>
          <w:u w:val="single"/>
          <w:lang w:val="es-ES_tradnl"/>
        </w:rPr>
      </w:pPr>
      <w:r w:rsidRPr="00327F75">
        <w:rPr>
          <w:u w:val="single"/>
          <w:lang w:val="es-ES_tradnl"/>
        </w:rPr>
        <w:t>Sesión I, 2016</w:t>
      </w:r>
    </w:p>
    <w:p w:rsidR="00F90439" w:rsidRPr="00327F75" w:rsidRDefault="00F90439" w:rsidP="00F90439">
      <w:pPr>
        <w:keepNext/>
        <w:ind w:left="567"/>
        <w:jc w:val="left"/>
        <w:rPr>
          <w:rFonts w:cs="Arial"/>
          <w:lang w:val="es-ES_tradnl"/>
        </w:rPr>
      </w:pPr>
    </w:p>
    <w:p w:rsidR="00F90439" w:rsidRPr="00327F75" w:rsidRDefault="00F90439" w:rsidP="00F90439">
      <w:pPr>
        <w:ind w:left="567"/>
        <w:jc w:val="left"/>
        <w:rPr>
          <w:rFonts w:cs="Arial"/>
          <w:lang w:val="es-ES_tradnl"/>
        </w:rPr>
      </w:pPr>
      <w:r w:rsidRPr="00327F75">
        <w:rPr>
          <w:lang w:val="es-ES_tradnl"/>
        </w:rPr>
        <w:t>Inscripción</w:t>
      </w:r>
      <w:proofErr w:type="gramStart"/>
      <w:r w:rsidRPr="00327F75">
        <w:rPr>
          <w:lang w:val="es-ES_tradnl"/>
        </w:rPr>
        <w:t>:  1</w:t>
      </w:r>
      <w:proofErr w:type="gramEnd"/>
      <w:r w:rsidRPr="00327F75">
        <w:rPr>
          <w:lang w:val="es-ES_tradnl"/>
        </w:rPr>
        <w:t xml:space="preserve"> de enero a 7 de febrero</w:t>
      </w:r>
    </w:p>
    <w:p w:rsidR="00F90439" w:rsidRPr="00327F75" w:rsidRDefault="00F90439" w:rsidP="00F90439">
      <w:pPr>
        <w:ind w:left="567"/>
        <w:jc w:val="left"/>
        <w:rPr>
          <w:rFonts w:cs="Arial"/>
          <w:lang w:val="es-ES_tradnl"/>
        </w:rPr>
      </w:pPr>
      <w:r w:rsidRPr="00327F75">
        <w:rPr>
          <w:lang w:val="es-ES_tradnl"/>
        </w:rPr>
        <w:t>Período lectivo</w:t>
      </w:r>
      <w:proofErr w:type="gramStart"/>
      <w:r w:rsidRPr="00327F75">
        <w:rPr>
          <w:lang w:val="es-ES_tradnl"/>
        </w:rPr>
        <w:t>:  15</w:t>
      </w:r>
      <w:proofErr w:type="gramEnd"/>
      <w:r w:rsidRPr="00327F75">
        <w:rPr>
          <w:lang w:val="es-ES_tradnl"/>
        </w:rPr>
        <w:t xml:space="preserve"> de febrero a 20 de marzo </w:t>
      </w:r>
    </w:p>
    <w:p w:rsidR="00F90439" w:rsidRPr="00327F75" w:rsidRDefault="00F90439" w:rsidP="00F90439">
      <w:pPr>
        <w:ind w:left="567"/>
        <w:jc w:val="left"/>
        <w:rPr>
          <w:rFonts w:cs="Arial"/>
          <w:lang w:val="es-ES_tradnl"/>
        </w:rPr>
      </w:pPr>
      <w:r w:rsidRPr="00327F75">
        <w:rPr>
          <w:lang w:val="es-ES_tradnl"/>
        </w:rPr>
        <w:t>Examen final</w:t>
      </w:r>
      <w:proofErr w:type="gramStart"/>
      <w:r w:rsidRPr="00327F75">
        <w:rPr>
          <w:lang w:val="es-ES_tradnl"/>
        </w:rPr>
        <w:t>:  14</w:t>
      </w:r>
      <w:proofErr w:type="gramEnd"/>
      <w:r w:rsidRPr="00327F75">
        <w:rPr>
          <w:lang w:val="es-ES_tradnl"/>
        </w:rPr>
        <w:t xml:space="preserve"> a 20 de marzo</w:t>
      </w:r>
    </w:p>
    <w:p w:rsidR="00F90439" w:rsidRPr="00327F75" w:rsidRDefault="00F90439" w:rsidP="00F90439">
      <w:pPr>
        <w:ind w:left="567"/>
        <w:jc w:val="left"/>
        <w:rPr>
          <w:rFonts w:cs="Arial"/>
          <w:lang w:val="es-ES_tradnl"/>
        </w:rPr>
      </w:pPr>
    </w:p>
    <w:p w:rsidR="00F90439" w:rsidRPr="00327F75" w:rsidRDefault="00F90439" w:rsidP="00F90439">
      <w:pPr>
        <w:ind w:left="567"/>
        <w:jc w:val="left"/>
        <w:rPr>
          <w:rFonts w:cs="Arial"/>
          <w:u w:val="single"/>
          <w:lang w:val="es-ES_tradnl"/>
        </w:rPr>
      </w:pPr>
      <w:r w:rsidRPr="00327F75">
        <w:rPr>
          <w:u w:val="single"/>
          <w:lang w:val="es-ES_tradnl"/>
        </w:rPr>
        <w:t>Sesión II, 2016</w:t>
      </w:r>
    </w:p>
    <w:p w:rsidR="00F90439" w:rsidRPr="00327F75" w:rsidRDefault="00F90439" w:rsidP="00F90439">
      <w:pPr>
        <w:ind w:left="567"/>
        <w:jc w:val="left"/>
        <w:rPr>
          <w:rFonts w:cs="Arial"/>
          <w:lang w:val="es-ES_tradnl"/>
        </w:rPr>
      </w:pPr>
    </w:p>
    <w:p w:rsidR="00F90439" w:rsidRPr="00327F75" w:rsidRDefault="00F90439" w:rsidP="00F90439">
      <w:pPr>
        <w:ind w:left="567"/>
        <w:jc w:val="left"/>
        <w:rPr>
          <w:rFonts w:cs="Arial"/>
          <w:lang w:val="es-ES_tradnl"/>
        </w:rPr>
      </w:pPr>
      <w:r w:rsidRPr="00327F75">
        <w:rPr>
          <w:lang w:val="es-ES_tradnl"/>
        </w:rPr>
        <w:t>Inscripción</w:t>
      </w:r>
      <w:proofErr w:type="gramStart"/>
      <w:r w:rsidRPr="00327F75">
        <w:rPr>
          <w:lang w:val="es-ES_tradnl"/>
        </w:rPr>
        <w:t>:  15</w:t>
      </w:r>
      <w:proofErr w:type="gramEnd"/>
      <w:r w:rsidRPr="00327F75">
        <w:rPr>
          <w:lang w:val="es-ES_tradnl"/>
        </w:rPr>
        <w:t xml:space="preserve"> de agosto a 18 de septiembre</w:t>
      </w:r>
    </w:p>
    <w:p w:rsidR="00F90439" w:rsidRPr="00327F75" w:rsidRDefault="00F90439" w:rsidP="00F90439">
      <w:pPr>
        <w:ind w:left="567"/>
        <w:jc w:val="left"/>
        <w:rPr>
          <w:rFonts w:cs="Arial"/>
          <w:lang w:val="es-ES_tradnl"/>
        </w:rPr>
      </w:pPr>
      <w:r w:rsidRPr="00327F75">
        <w:rPr>
          <w:lang w:val="es-ES_tradnl"/>
        </w:rPr>
        <w:t>Período lectivo</w:t>
      </w:r>
      <w:proofErr w:type="gramStart"/>
      <w:r w:rsidRPr="00327F75">
        <w:rPr>
          <w:lang w:val="es-ES_tradnl"/>
        </w:rPr>
        <w:t>:  25</w:t>
      </w:r>
      <w:proofErr w:type="gramEnd"/>
      <w:r w:rsidRPr="00327F75">
        <w:rPr>
          <w:lang w:val="es-ES_tradnl"/>
        </w:rPr>
        <w:t xml:space="preserve"> de septiembre a 30 de octubre </w:t>
      </w:r>
    </w:p>
    <w:p w:rsidR="00F90439" w:rsidRPr="00327F75" w:rsidRDefault="00F90439" w:rsidP="00F90439">
      <w:pPr>
        <w:ind w:left="567"/>
        <w:jc w:val="left"/>
        <w:rPr>
          <w:rFonts w:cs="Arial"/>
          <w:lang w:val="es-ES_tradnl"/>
        </w:rPr>
      </w:pPr>
      <w:r w:rsidRPr="00327F75">
        <w:rPr>
          <w:lang w:val="es-ES_tradnl"/>
        </w:rPr>
        <w:t>Examen final</w:t>
      </w:r>
      <w:proofErr w:type="gramStart"/>
      <w:r w:rsidRPr="00327F75">
        <w:rPr>
          <w:lang w:val="es-ES_tradnl"/>
        </w:rPr>
        <w:t>:  24</w:t>
      </w:r>
      <w:proofErr w:type="gramEnd"/>
      <w:r w:rsidRPr="00327F75">
        <w:rPr>
          <w:lang w:val="es-ES_tradnl"/>
        </w:rPr>
        <w:t xml:space="preserve"> a 30 de octubre</w:t>
      </w:r>
    </w:p>
    <w:p w:rsidR="00F90439" w:rsidRPr="00327F75" w:rsidRDefault="00F90439" w:rsidP="00F90439">
      <w:pPr>
        <w:rPr>
          <w:lang w:val="es-ES_tradnl"/>
        </w:rPr>
      </w:pPr>
    </w:p>
    <w:p w:rsidR="00F90439" w:rsidRPr="00327F75" w:rsidRDefault="00F90439" w:rsidP="00F90439">
      <w:pPr>
        <w:jc w:val="left"/>
        <w:rPr>
          <w:rFonts w:cs="Arial"/>
          <w:lang w:val="es-ES_tradnl"/>
        </w:rPr>
      </w:pPr>
      <w:r w:rsidRPr="00327F75">
        <w:rPr>
          <w:lang w:val="es-ES_tradnl"/>
        </w:rPr>
        <w:t>Los participantes se dividen en las siguientes categorías:</w:t>
      </w:r>
    </w:p>
    <w:p w:rsidR="00F90439" w:rsidRPr="00327F75" w:rsidRDefault="00F90439" w:rsidP="00F90439">
      <w:pPr>
        <w:jc w:val="left"/>
        <w:rPr>
          <w:rFonts w:cs="Arial"/>
          <w:lang w:val="es-ES_tradnl"/>
        </w:rPr>
      </w:pPr>
    </w:p>
    <w:p w:rsidR="00F90439" w:rsidRPr="00327F75" w:rsidRDefault="00F90439" w:rsidP="00F90439">
      <w:pPr>
        <w:jc w:val="left"/>
        <w:rPr>
          <w:rFonts w:cs="Arial"/>
          <w:i/>
          <w:lang w:val="es-ES_tradnl"/>
        </w:rPr>
      </w:pPr>
      <w:r w:rsidRPr="00327F75">
        <w:rPr>
          <w:i/>
          <w:lang w:val="es-ES_tradnl"/>
        </w:rPr>
        <w:t xml:space="preserve">Categoría 1:  </w:t>
      </w:r>
    </w:p>
    <w:p w:rsidR="00F90439" w:rsidRPr="00327F75" w:rsidRDefault="00F90439" w:rsidP="00F90439">
      <w:pPr>
        <w:rPr>
          <w:rFonts w:cs="Arial"/>
          <w:lang w:val="es-ES_tradnl"/>
        </w:rPr>
      </w:pPr>
      <w:r w:rsidRPr="00327F75">
        <w:rPr>
          <w:lang w:val="es-ES_tradnl"/>
        </w:rPr>
        <w:t xml:space="preserve">Funcionarios gubernamentales de miembros de la Unión apoyados por el representante pertinente ante el Convenio de la UPOV </w:t>
      </w:r>
    </w:p>
    <w:p w:rsidR="00F90439" w:rsidRPr="00327F75" w:rsidRDefault="00F90439" w:rsidP="00F90439">
      <w:pPr>
        <w:jc w:val="left"/>
        <w:rPr>
          <w:rFonts w:cs="Arial"/>
          <w:i/>
          <w:lang w:val="es-ES_tradnl"/>
        </w:rPr>
      </w:pPr>
      <w:r w:rsidRPr="00327F75">
        <w:rPr>
          <w:i/>
          <w:lang w:val="es-ES_tradnl"/>
        </w:rPr>
        <w:t>Inscripción gratuita</w:t>
      </w:r>
    </w:p>
    <w:p w:rsidR="00F90439" w:rsidRPr="00327F75" w:rsidRDefault="00F90439" w:rsidP="00F90439">
      <w:pPr>
        <w:rPr>
          <w:rFonts w:cs="Arial"/>
          <w:lang w:val="es-ES_tradnl"/>
        </w:rPr>
      </w:pPr>
    </w:p>
    <w:p w:rsidR="00F90439" w:rsidRPr="00327F75" w:rsidRDefault="00F90439" w:rsidP="00F90439">
      <w:pPr>
        <w:jc w:val="left"/>
        <w:rPr>
          <w:rFonts w:cs="Arial"/>
          <w:i/>
          <w:lang w:val="es-ES_tradnl"/>
        </w:rPr>
      </w:pPr>
      <w:r w:rsidRPr="00327F75">
        <w:rPr>
          <w:i/>
          <w:lang w:val="es-ES_tradnl"/>
        </w:rPr>
        <w:t xml:space="preserve">Categoría 2:  </w:t>
      </w:r>
    </w:p>
    <w:p w:rsidR="00F90439" w:rsidRPr="00327F75" w:rsidRDefault="00F90439" w:rsidP="00F90439">
      <w:pPr>
        <w:rPr>
          <w:rFonts w:cs="Arial"/>
          <w:lang w:val="es-ES_tradnl"/>
        </w:rPr>
      </w:pPr>
      <w:r w:rsidRPr="00327F75">
        <w:rPr>
          <w:lang w:val="es-ES_tradnl"/>
        </w:rPr>
        <w:t xml:space="preserve">Funcionarios de Estados observadores/organizaciones intergubernamentales observadoras designados por representantes pertinentes ante el Consejo de la UPOV  </w:t>
      </w:r>
    </w:p>
    <w:p w:rsidR="00F90439" w:rsidRPr="00327F75" w:rsidRDefault="00F90439" w:rsidP="00F90439">
      <w:pPr>
        <w:jc w:val="left"/>
        <w:rPr>
          <w:rFonts w:cs="Arial"/>
          <w:i/>
          <w:lang w:val="es-ES_tradnl"/>
        </w:rPr>
      </w:pPr>
      <w:r w:rsidRPr="00327F75">
        <w:rPr>
          <w:i/>
          <w:lang w:val="es-ES_tradnl"/>
        </w:rPr>
        <w:t xml:space="preserve">(Una inscripción gratuita por Estado / organización intergubernamental; </w:t>
      </w:r>
    </w:p>
    <w:p w:rsidR="00F90439" w:rsidRPr="00327F75" w:rsidRDefault="00F90439" w:rsidP="00F90439">
      <w:pPr>
        <w:jc w:val="left"/>
        <w:rPr>
          <w:rFonts w:cs="Arial"/>
          <w:i/>
          <w:lang w:val="es-ES_tradnl"/>
        </w:rPr>
      </w:pPr>
      <w:r w:rsidRPr="00327F75">
        <w:rPr>
          <w:i/>
          <w:lang w:val="es-ES_tradnl"/>
        </w:rPr>
        <w:t>Inscripciones adicionales</w:t>
      </w:r>
      <w:proofErr w:type="gramStart"/>
      <w:r w:rsidRPr="00327F75">
        <w:rPr>
          <w:i/>
          <w:lang w:val="es-ES_tradnl"/>
        </w:rPr>
        <w:t>:  1.000</w:t>
      </w:r>
      <w:proofErr w:type="gramEnd"/>
      <w:r w:rsidRPr="00327F75">
        <w:rPr>
          <w:i/>
          <w:lang w:val="es-ES_tradnl"/>
        </w:rPr>
        <w:t xml:space="preserve"> francos suizos por estudiante)</w:t>
      </w:r>
    </w:p>
    <w:p w:rsidR="00F90439" w:rsidRPr="00327F75" w:rsidRDefault="00F90439" w:rsidP="00F90439">
      <w:pPr>
        <w:jc w:val="left"/>
        <w:rPr>
          <w:rFonts w:cs="Arial"/>
          <w:lang w:val="es-ES_tradnl"/>
        </w:rPr>
      </w:pPr>
    </w:p>
    <w:p w:rsidR="00F90439" w:rsidRPr="00327F75" w:rsidRDefault="00F90439" w:rsidP="00F90439">
      <w:pPr>
        <w:jc w:val="left"/>
        <w:rPr>
          <w:rFonts w:cs="Arial"/>
          <w:i/>
          <w:lang w:val="es-ES_tradnl"/>
        </w:rPr>
      </w:pPr>
      <w:r w:rsidRPr="00327F75">
        <w:rPr>
          <w:i/>
          <w:lang w:val="es-ES_tradnl"/>
        </w:rPr>
        <w:t xml:space="preserve">Categoría 3:  </w:t>
      </w:r>
    </w:p>
    <w:p w:rsidR="00F90439" w:rsidRPr="00327F75" w:rsidRDefault="00F90439" w:rsidP="00F90439">
      <w:pPr>
        <w:jc w:val="left"/>
        <w:rPr>
          <w:rFonts w:cs="Arial"/>
          <w:lang w:val="es-ES_tradnl"/>
        </w:rPr>
      </w:pPr>
      <w:r w:rsidRPr="00327F75">
        <w:rPr>
          <w:lang w:val="es-ES_tradnl"/>
        </w:rPr>
        <w:t>Otros</w:t>
      </w:r>
    </w:p>
    <w:p w:rsidR="00F90439" w:rsidRPr="00F90439" w:rsidRDefault="00F90439" w:rsidP="00F90439">
      <w:pPr>
        <w:pStyle w:val="Heading7"/>
        <w:spacing w:before="0"/>
        <w:jc w:val="left"/>
        <w:rPr>
          <w:rFonts w:ascii="Arial" w:hAnsi="Arial" w:cs="Arial"/>
          <w:i w:val="0"/>
          <w:color w:val="auto"/>
          <w:lang w:val="es-ES_tradnl"/>
        </w:rPr>
      </w:pPr>
      <w:r w:rsidRPr="00F90439">
        <w:rPr>
          <w:rFonts w:ascii="Arial" w:hAnsi="Arial"/>
          <w:color w:val="auto"/>
          <w:lang w:val="es-ES_tradnl"/>
        </w:rPr>
        <w:t>Tasa de inscripción</w:t>
      </w:r>
      <w:proofErr w:type="gramStart"/>
      <w:r w:rsidRPr="00F90439">
        <w:rPr>
          <w:rFonts w:ascii="Arial" w:hAnsi="Arial"/>
          <w:color w:val="auto"/>
          <w:lang w:val="es-ES_tradnl"/>
        </w:rPr>
        <w:t>:  1.000</w:t>
      </w:r>
      <w:proofErr w:type="gramEnd"/>
      <w:r w:rsidRPr="00F90439">
        <w:rPr>
          <w:rFonts w:ascii="Arial" w:hAnsi="Arial"/>
          <w:color w:val="auto"/>
          <w:lang w:val="es-ES_tradnl"/>
        </w:rPr>
        <w:t xml:space="preserve"> francos suizos</w:t>
      </w:r>
    </w:p>
    <w:p w:rsidR="00F90439" w:rsidRPr="00327F75" w:rsidRDefault="00F90439" w:rsidP="00F90439">
      <w:pPr>
        <w:jc w:val="left"/>
        <w:rPr>
          <w:rFonts w:cs="Arial"/>
          <w:lang w:val="es-ES_tradnl"/>
        </w:rPr>
      </w:pPr>
    </w:p>
    <w:p w:rsidR="00F90439" w:rsidRPr="00327F75" w:rsidRDefault="00F90439" w:rsidP="00F90439">
      <w:pPr>
        <w:rPr>
          <w:rFonts w:cs="Arial"/>
          <w:lang w:val="es-ES_tradnl"/>
        </w:rPr>
      </w:pPr>
      <w:r w:rsidRPr="00327F75">
        <w:rPr>
          <w:lang w:val="es-ES_tradnl"/>
        </w:rPr>
        <w:t xml:space="preserve">Para más información sobre el contenido del curso y la inscripción en línea </w:t>
      </w:r>
      <w:bookmarkStart w:id="6" w:name="_Hlt139188212"/>
      <w:r w:rsidRPr="00327F75">
        <w:rPr>
          <w:lang w:val="es-ES_tradnl"/>
        </w:rPr>
        <w:t>remítase a la página del sitio web de la UPOV:</w:t>
      </w:r>
      <w:bookmarkEnd w:id="6"/>
      <w:r w:rsidRPr="00327F75">
        <w:rPr>
          <w:lang w:val="es-ES_tradnl"/>
        </w:rPr>
        <w:t xml:space="preserve">  </w:t>
      </w:r>
      <w:hyperlink r:id="rId13">
        <w:r w:rsidRPr="00327F75">
          <w:rPr>
            <w:rStyle w:val="Hyperlink"/>
            <w:lang w:val="es-ES_tradnl"/>
          </w:rPr>
          <w:t>http://www.upov.int/resource/es/training.html</w:t>
        </w:r>
      </w:hyperlink>
      <w:r w:rsidRPr="00327F75">
        <w:rPr>
          <w:lang w:val="es-ES_tradnl"/>
        </w:rPr>
        <w:t xml:space="preserve"> </w:t>
      </w:r>
    </w:p>
    <w:p w:rsidR="00F90439" w:rsidRPr="00327F75" w:rsidRDefault="00F90439" w:rsidP="00F90439">
      <w:pPr>
        <w:rPr>
          <w:rFonts w:cs="Arial"/>
          <w:lang w:val="es-ES_tradnl"/>
        </w:rPr>
      </w:pPr>
    </w:p>
    <w:p w:rsidR="00F90439" w:rsidRPr="00327F75" w:rsidRDefault="00F90439" w:rsidP="00F90439">
      <w:pPr>
        <w:rPr>
          <w:rFonts w:cs="Arial"/>
          <w:lang w:val="es-ES_tradnl"/>
        </w:rPr>
      </w:pPr>
    </w:p>
    <w:p w:rsidR="00F90439" w:rsidRPr="00327F75" w:rsidRDefault="00F90439" w:rsidP="00F90439">
      <w:pPr>
        <w:spacing w:line="360" w:lineRule="auto"/>
        <w:ind w:firstLine="567"/>
        <w:rPr>
          <w:rFonts w:cs="Arial"/>
          <w:lang w:val="es-ES_tradnl"/>
        </w:rPr>
      </w:pPr>
      <w:r w:rsidRPr="00327F75">
        <w:rPr>
          <w:lang w:val="es-ES_tradnl"/>
        </w:rPr>
        <w:t>Para más información sobre la UPOV, póngase en contacto con su Secretaría:</w:t>
      </w:r>
    </w:p>
    <w:p w:rsidR="00F90439" w:rsidRPr="00327F75" w:rsidRDefault="00F90439" w:rsidP="00F90439">
      <w:pPr>
        <w:tabs>
          <w:tab w:val="left" w:pos="1134"/>
        </w:tabs>
        <w:ind w:left="4253" w:hanging="3686"/>
        <w:rPr>
          <w:rFonts w:cs="Arial"/>
          <w:lang w:val="es-ES_tradnl"/>
        </w:rPr>
      </w:pPr>
      <w:r w:rsidRPr="00327F75">
        <w:rPr>
          <w:lang w:val="es-ES_tradnl"/>
        </w:rPr>
        <w:t>Tel:</w:t>
      </w:r>
      <w:r w:rsidRPr="00327F75">
        <w:rPr>
          <w:lang w:val="es-ES_tradnl"/>
        </w:rPr>
        <w:tab/>
        <w:t>(+41-22) 338 9111</w:t>
      </w:r>
      <w:r w:rsidRPr="00327F75">
        <w:rPr>
          <w:lang w:val="es-ES_tradnl"/>
        </w:rPr>
        <w:tab/>
        <w:t xml:space="preserve">Correo-e:  </w:t>
      </w:r>
      <w:hyperlink r:id="rId14">
        <w:r w:rsidRPr="00327F75">
          <w:rPr>
            <w:rStyle w:val="Hyperlink"/>
            <w:lang w:val="es-ES_tradnl"/>
          </w:rPr>
          <w:t>upov.mail@upov.int</w:t>
        </w:r>
      </w:hyperlink>
    </w:p>
    <w:p w:rsidR="00F90439" w:rsidRPr="00327F75" w:rsidRDefault="00F90439" w:rsidP="00F90439">
      <w:pPr>
        <w:tabs>
          <w:tab w:val="left" w:pos="1134"/>
        </w:tabs>
        <w:ind w:left="4253" w:hanging="3686"/>
        <w:rPr>
          <w:rFonts w:cs="Arial"/>
          <w:u w:val="single"/>
          <w:lang w:val="es-ES_tradnl"/>
        </w:rPr>
      </w:pPr>
      <w:r w:rsidRPr="00327F75">
        <w:rPr>
          <w:lang w:val="es-ES_tradnl"/>
        </w:rPr>
        <w:t>Fax:</w:t>
      </w:r>
      <w:r w:rsidRPr="00327F75">
        <w:rPr>
          <w:lang w:val="es-ES_tradnl"/>
        </w:rPr>
        <w:tab/>
        <w:t>(+41-22) 733 0336</w:t>
      </w:r>
      <w:r w:rsidRPr="00327F75">
        <w:rPr>
          <w:lang w:val="es-ES_tradnl"/>
        </w:rPr>
        <w:tab/>
        <w:t xml:space="preserve">Sitio web:  </w:t>
      </w:r>
      <w:hyperlink r:id="rId15">
        <w:r w:rsidRPr="00327F75">
          <w:rPr>
            <w:rStyle w:val="Hyperlink"/>
            <w:lang w:val="es-ES_tradnl"/>
          </w:rPr>
          <w:t>www.upov.int</w:t>
        </w:r>
      </w:hyperlink>
    </w:p>
    <w:p w:rsidR="00F90439" w:rsidRPr="00327F75" w:rsidRDefault="00F90439" w:rsidP="00F90439">
      <w:pPr>
        <w:rPr>
          <w:lang w:val="es-ES_tradnl"/>
        </w:rPr>
      </w:pPr>
    </w:p>
    <w:p w:rsidR="00360A1A" w:rsidRDefault="00360A1A" w:rsidP="00D458AF">
      <w:pPr>
        <w:rPr>
          <w:lang w:val="es-ES"/>
        </w:rPr>
      </w:pPr>
    </w:p>
    <w:p w:rsidR="00360A1A" w:rsidRPr="00563401" w:rsidRDefault="00360A1A" w:rsidP="00D458AF">
      <w:pPr>
        <w:rPr>
          <w:lang w:val="es-ES"/>
        </w:rPr>
      </w:pPr>
    </w:p>
    <w:p w:rsidR="00D458AF" w:rsidRPr="00563401" w:rsidRDefault="00D458AF" w:rsidP="00D458AF">
      <w:pPr>
        <w:jc w:val="right"/>
        <w:rPr>
          <w:lang w:val="es-ES"/>
        </w:rPr>
      </w:pPr>
      <w:r w:rsidRPr="00563401">
        <w:rPr>
          <w:lang w:val="es-ES"/>
        </w:rPr>
        <w:t>[</w:t>
      </w:r>
      <w:r w:rsidR="000A2F65" w:rsidRPr="00563401">
        <w:rPr>
          <w:lang w:val="es-ES"/>
        </w:rPr>
        <w:t>Fin del Anexo II y del documento</w:t>
      </w:r>
      <w:r w:rsidRPr="00563401">
        <w:rPr>
          <w:lang w:val="es-ES"/>
        </w:rPr>
        <w:t>]</w:t>
      </w:r>
    </w:p>
    <w:p w:rsidR="00D458AF" w:rsidRPr="00563401" w:rsidRDefault="00D458AF" w:rsidP="00D458AF">
      <w:pPr>
        <w:pStyle w:val="TOC1"/>
        <w:rPr>
          <w:caps w:val="0"/>
          <w:snapToGrid w:val="0"/>
          <w:lang w:val="es-ES"/>
        </w:rPr>
      </w:pPr>
    </w:p>
    <w:sectPr w:rsidR="00D458AF" w:rsidRPr="00563401" w:rsidSect="000A2F65">
      <w:head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00" w:rsidRDefault="003F4100" w:rsidP="00F45372">
      <w:r>
        <w:separator/>
      </w:r>
    </w:p>
    <w:p w:rsidR="003F4100" w:rsidRDefault="003F4100" w:rsidP="00F45372"/>
    <w:p w:rsidR="003F4100" w:rsidRDefault="003F4100" w:rsidP="00F45372"/>
  </w:endnote>
  <w:endnote w:type="continuationSeparator" w:id="0">
    <w:p w:rsidR="003F4100" w:rsidRDefault="003F4100" w:rsidP="00F45372">
      <w:r>
        <w:separator/>
      </w:r>
    </w:p>
    <w:p w:rsidR="003F4100" w:rsidRPr="00B108A6" w:rsidRDefault="003F4100">
      <w:pPr>
        <w:pStyle w:val="Footer"/>
        <w:spacing w:after="60"/>
        <w:rPr>
          <w:sz w:val="18"/>
          <w:lang w:val="fr-FR"/>
        </w:rPr>
      </w:pPr>
      <w:r w:rsidRPr="00B108A6">
        <w:rPr>
          <w:sz w:val="18"/>
          <w:lang w:val="fr-FR"/>
        </w:rPr>
        <w:t>[Suite de la note de la page précédente]</w:t>
      </w:r>
    </w:p>
    <w:p w:rsidR="003F4100" w:rsidRPr="00B108A6" w:rsidRDefault="003F4100" w:rsidP="00F45372">
      <w:pPr>
        <w:rPr>
          <w:lang w:val="fr-FR"/>
        </w:rPr>
      </w:pPr>
    </w:p>
    <w:p w:rsidR="003F4100" w:rsidRPr="00B108A6" w:rsidRDefault="003F4100" w:rsidP="00F45372">
      <w:pPr>
        <w:rPr>
          <w:lang w:val="fr-FR"/>
        </w:rPr>
      </w:pPr>
    </w:p>
  </w:endnote>
  <w:endnote w:type="continuationNotice" w:id="1">
    <w:p w:rsidR="003F4100" w:rsidRPr="00B108A6" w:rsidRDefault="003F4100" w:rsidP="00F45372">
      <w:pPr>
        <w:rPr>
          <w:lang w:val="fr-FR"/>
        </w:rPr>
      </w:pPr>
      <w:r w:rsidRPr="00B108A6">
        <w:rPr>
          <w:lang w:val="fr-FR"/>
        </w:rPr>
        <w:t>[Suite de la note page suivante]</w:t>
      </w:r>
    </w:p>
    <w:p w:rsidR="003F4100" w:rsidRPr="00B108A6" w:rsidRDefault="003F4100" w:rsidP="00F45372">
      <w:pPr>
        <w:rPr>
          <w:lang w:val="fr-FR"/>
        </w:rPr>
      </w:pPr>
    </w:p>
    <w:p w:rsidR="003F4100" w:rsidRPr="00B108A6" w:rsidRDefault="003F410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00" w:rsidRPr="000A2F65" w:rsidRDefault="003F4100" w:rsidP="000A2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00" w:rsidRDefault="003F4100" w:rsidP="006A59FA">
      <w:pPr>
        <w:spacing w:before="120"/>
      </w:pPr>
      <w:r>
        <w:separator/>
      </w:r>
    </w:p>
  </w:footnote>
  <w:footnote w:type="continuationSeparator" w:id="0">
    <w:p w:rsidR="003F4100" w:rsidRDefault="003F4100" w:rsidP="00F45372">
      <w:r>
        <w:separator/>
      </w:r>
    </w:p>
  </w:footnote>
  <w:footnote w:type="continuationNotice" w:id="1">
    <w:p w:rsidR="003F4100" w:rsidRPr="00721353" w:rsidRDefault="003F4100"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00" w:rsidRPr="00C5280D" w:rsidRDefault="003F4100" w:rsidP="00EB048E">
    <w:pPr>
      <w:pStyle w:val="Header"/>
      <w:rPr>
        <w:rStyle w:val="PageNumber"/>
        <w:lang w:val="en-US"/>
      </w:rPr>
    </w:pPr>
    <w:r>
      <w:rPr>
        <w:rStyle w:val="PageNumber"/>
        <w:lang w:val="en-US"/>
      </w:rPr>
      <w:t>C/49/18</w:t>
    </w:r>
  </w:p>
  <w:p w:rsidR="003F4100" w:rsidRPr="00C5280D" w:rsidRDefault="003F4100" w:rsidP="00EB048E">
    <w:pPr>
      <w:pStyle w:val="Header"/>
      <w:rPr>
        <w:lang w:val="en-US"/>
      </w:rPr>
    </w:pPr>
    <w:proofErr w:type="spellStart"/>
    <w:proofErr w:type="gramStart"/>
    <w:r>
      <w:rPr>
        <w:lang w:val="en-US"/>
      </w:rPr>
      <w:t>página</w:t>
    </w:r>
    <w:proofErr w:type="spellEnd"/>
    <w:proofErr w:type="gramEnd"/>
    <w:r w:rsidRPr="00C5280D">
      <w:rPr>
        <w:lang w:val="en-US"/>
      </w:rPr>
      <w:t xml:space="preserve"> </w:t>
    </w:r>
    <w:r w:rsidR="00DF030B" w:rsidRPr="00C5280D">
      <w:rPr>
        <w:rStyle w:val="PageNumber"/>
        <w:lang w:val="en-US"/>
      </w:rPr>
      <w:fldChar w:fldCharType="begin"/>
    </w:r>
    <w:r w:rsidRPr="00C5280D">
      <w:rPr>
        <w:rStyle w:val="PageNumber"/>
        <w:lang w:val="en-US"/>
      </w:rPr>
      <w:instrText xml:space="preserve"> PAGE </w:instrText>
    </w:r>
    <w:r w:rsidR="00DF030B" w:rsidRPr="00C5280D">
      <w:rPr>
        <w:rStyle w:val="PageNumber"/>
        <w:lang w:val="en-US"/>
      </w:rPr>
      <w:fldChar w:fldCharType="separate"/>
    </w:r>
    <w:r w:rsidR="006A2F10">
      <w:rPr>
        <w:rStyle w:val="PageNumber"/>
        <w:noProof/>
        <w:lang w:val="en-US"/>
      </w:rPr>
      <w:t>6</w:t>
    </w:r>
    <w:r w:rsidR="00DF030B" w:rsidRPr="00C5280D">
      <w:rPr>
        <w:rStyle w:val="PageNumber"/>
        <w:lang w:val="en-US"/>
      </w:rPr>
      <w:fldChar w:fldCharType="end"/>
    </w:r>
  </w:p>
  <w:p w:rsidR="003F4100" w:rsidRPr="00C5280D" w:rsidRDefault="003F4100" w:rsidP="009816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00" w:rsidRPr="00AC29B8" w:rsidRDefault="003F4100" w:rsidP="0098166A">
    <w:pPr>
      <w:pStyle w:val="Header"/>
      <w:rPr>
        <w:rStyle w:val="PageNumber"/>
        <w:rFonts w:cs="Arial"/>
        <w:lang w:val="en-US"/>
      </w:rPr>
    </w:pPr>
    <w:r w:rsidRPr="00AC29B8">
      <w:rPr>
        <w:rFonts w:cs="Arial"/>
        <w:lang w:val="en-US"/>
      </w:rPr>
      <w:t>C/49/18</w:t>
    </w:r>
    <w:r w:rsidRPr="00AC29B8">
      <w:rPr>
        <w:rFonts w:cs="Arial"/>
        <w:lang w:val="en-US"/>
      </w:rPr>
      <w:br/>
    </w:r>
    <w:proofErr w:type="spellStart"/>
    <w:r w:rsidRPr="00AC29B8">
      <w:rPr>
        <w:rFonts w:cs="Arial"/>
        <w:lang w:val="en-US"/>
      </w:rPr>
      <w:t>Annexe</w:t>
    </w:r>
    <w:proofErr w:type="spellEnd"/>
    <w:r w:rsidRPr="00AC29B8">
      <w:rPr>
        <w:rFonts w:cs="Arial"/>
        <w:lang w:val="en-US"/>
      </w:rPr>
      <w:t xml:space="preserve"> I / Annex I / Anlage I / </w:t>
    </w:r>
    <w:proofErr w:type="spellStart"/>
    <w:r w:rsidRPr="00AC29B8">
      <w:rPr>
        <w:rFonts w:cs="Arial"/>
        <w:lang w:val="en-US"/>
      </w:rPr>
      <w:t>Anexo</w:t>
    </w:r>
    <w:proofErr w:type="spellEnd"/>
    <w:r w:rsidRPr="00AC29B8">
      <w:rPr>
        <w:rFonts w:cs="Arial"/>
        <w:lang w:val="en-US"/>
      </w:rPr>
      <w:t xml:space="preserve"> I</w:t>
    </w:r>
    <w:r w:rsidRPr="00AC29B8">
      <w:rPr>
        <w:rFonts w:cs="Arial"/>
        <w:lang w:val="en-US"/>
      </w:rPr>
      <w:br/>
      <w:t xml:space="preserve">page </w:t>
    </w:r>
    <w:r w:rsidR="00DF030B" w:rsidRPr="004B3F6C">
      <w:rPr>
        <w:rStyle w:val="PageNumber"/>
        <w:rFonts w:cs="Arial"/>
      </w:rPr>
      <w:fldChar w:fldCharType="begin"/>
    </w:r>
    <w:r w:rsidRPr="00AC29B8">
      <w:rPr>
        <w:rStyle w:val="PageNumber"/>
        <w:rFonts w:cs="Arial"/>
        <w:lang w:val="en-US"/>
      </w:rPr>
      <w:instrText xml:space="preserve"> PAGE </w:instrText>
    </w:r>
    <w:r w:rsidR="00DF030B" w:rsidRPr="004B3F6C">
      <w:rPr>
        <w:rStyle w:val="PageNumber"/>
        <w:rFonts w:cs="Arial"/>
      </w:rPr>
      <w:fldChar w:fldCharType="separate"/>
    </w:r>
    <w:r w:rsidR="006A2F10">
      <w:rPr>
        <w:rStyle w:val="PageNumber"/>
        <w:rFonts w:cs="Arial"/>
        <w:noProof/>
        <w:lang w:val="en-US"/>
      </w:rPr>
      <w:t>3</w:t>
    </w:r>
    <w:r w:rsidR="00DF030B"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Seite</w:t>
    </w:r>
    <w:proofErr w:type="spellEnd"/>
    <w:r w:rsidRPr="00AC29B8">
      <w:rPr>
        <w:rStyle w:val="PageNumber"/>
        <w:rFonts w:cs="Arial"/>
        <w:lang w:val="en-US"/>
      </w:rPr>
      <w:t xml:space="preserve"> </w:t>
    </w:r>
    <w:r w:rsidR="00DF030B" w:rsidRPr="004B3F6C">
      <w:rPr>
        <w:rStyle w:val="PageNumber"/>
        <w:rFonts w:cs="Arial"/>
      </w:rPr>
      <w:fldChar w:fldCharType="begin"/>
    </w:r>
    <w:r w:rsidRPr="00AC29B8">
      <w:rPr>
        <w:rStyle w:val="PageNumber"/>
        <w:rFonts w:cs="Arial"/>
        <w:lang w:val="en-US"/>
      </w:rPr>
      <w:instrText xml:space="preserve"> PAGE </w:instrText>
    </w:r>
    <w:r w:rsidR="00DF030B" w:rsidRPr="004B3F6C">
      <w:rPr>
        <w:rStyle w:val="PageNumber"/>
        <w:rFonts w:cs="Arial"/>
      </w:rPr>
      <w:fldChar w:fldCharType="separate"/>
    </w:r>
    <w:r w:rsidR="006A2F10">
      <w:rPr>
        <w:rStyle w:val="PageNumber"/>
        <w:rFonts w:cs="Arial"/>
        <w:noProof/>
        <w:lang w:val="en-US"/>
      </w:rPr>
      <w:t>3</w:t>
    </w:r>
    <w:r w:rsidR="00DF030B" w:rsidRPr="004B3F6C">
      <w:rPr>
        <w:rStyle w:val="PageNumber"/>
        <w:rFonts w:cs="Arial"/>
      </w:rPr>
      <w:fldChar w:fldCharType="end"/>
    </w:r>
    <w:r w:rsidRPr="00AC29B8">
      <w:rPr>
        <w:rStyle w:val="PageNumber"/>
        <w:rFonts w:cs="Arial"/>
        <w:lang w:val="en-US"/>
      </w:rPr>
      <w:t xml:space="preserve"> / </w:t>
    </w:r>
    <w:proofErr w:type="spellStart"/>
    <w:r w:rsidRPr="00AC29B8">
      <w:rPr>
        <w:rStyle w:val="PageNumber"/>
        <w:rFonts w:cs="Arial"/>
        <w:lang w:val="en-US"/>
      </w:rPr>
      <w:t>página</w:t>
    </w:r>
    <w:proofErr w:type="spellEnd"/>
    <w:r w:rsidRPr="00AC29B8">
      <w:rPr>
        <w:rStyle w:val="PageNumber"/>
        <w:rFonts w:cs="Arial"/>
        <w:lang w:val="en-US"/>
      </w:rPr>
      <w:t xml:space="preserve"> </w:t>
    </w:r>
    <w:r w:rsidR="00DF030B" w:rsidRPr="004B3F6C">
      <w:rPr>
        <w:rStyle w:val="PageNumber"/>
        <w:rFonts w:cs="Arial"/>
      </w:rPr>
      <w:fldChar w:fldCharType="begin"/>
    </w:r>
    <w:r w:rsidRPr="00AC29B8">
      <w:rPr>
        <w:rStyle w:val="PageNumber"/>
        <w:rFonts w:cs="Arial"/>
        <w:lang w:val="en-US"/>
      </w:rPr>
      <w:instrText xml:space="preserve"> PAGE </w:instrText>
    </w:r>
    <w:r w:rsidR="00DF030B" w:rsidRPr="004B3F6C">
      <w:rPr>
        <w:rStyle w:val="PageNumber"/>
        <w:rFonts w:cs="Arial"/>
      </w:rPr>
      <w:fldChar w:fldCharType="separate"/>
    </w:r>
    <w:r w:rsidR="006A2F10">
      <w:rPr>
        <w:rStyle w:val="PageNumber"/>
        <w:rFonts w:cs="Arial"/>
        <w:noProof/>
        <w:lang w:val="en-US"/>
      </w:rPr>
      <w:t>3</w:t>
    </w:r>
    <w:r w:rsidR="00DF030B" w:rsidRPr="004B3F6C">
      <w:rPr>
        <w:rStyle w:val="PageNumber"/>
        <w:rFonts w:cs="Arial"/>
      </w:rPr>
      <w:fldChar w:fldCharType="end"/>
    </w:r>
  </w:p>
  <w:p w:rsidR="003F4100" w:rsidRPr="00AC29B8" w:rsidRDefault="003F4100" w:rsidP="0098166A">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00" w:rsidRPr="008D3729" w:rsidRDefault="003F4100" w:rsidP="00EB048E">
    <w:pPr>
      <w:pStyle w:val="Header"/>
      <w:rPr>
        <w:rStyle w:val="PageNumber"/>
        <w:lang w:val="es-ES_tradnl"/>
      </w:rPr>
    </w:pPr>
    <w:r>
      <w:rPr>
        <w:rStyle w:val="PageNumber"/>
        <w:lang w:val="es-ES_tradnl"/>
      </w:rPr>
      <w:t>C/49/18</w:t>
    </w:r>
  </w:p>
  <w:p w:rsidR="003F4100" w:rsidRPr="008D3729" w:rsidRDefault="003F4100" w:rsidP="00EB048E">
    <w:pPr>
      <w:pStyle w:val="Header"/>
      <w:rPr>
        <w:lang w:val="es-ES_tradnl"/>
      </w:rPr>
    </w:pPr>
    <w:r>
      <w:rPr>
        <w:lang w:val="es-ES_tradnl"/>
      </w:rPr>
      <w:t xml:space="preserve">Anexo II, </w:t>
    </w:r>
    <w:r w:rsidRPr="008D3729">
      <w:rPr>
        <w:lang w:val="es-ES_tradnl"/>
      </w:rPr>
      <w:t xml:space="preserve">página </w:t>
    </w:r>
    <w:r w:rsidR="00DF030B" w:rsidRPr="008D3729">
      <w:rPr>
        <w:rStyle w:val="PageNumber"/>
        <w:lang w:val="es-ES_tradnl"/>
      </w:rPr>
      <w:fldChar w:fldCharType="begin"/>
    </w:r>
    <w:r w:rsidRPr="008D3729">
      <w:rPr>
        <w:rStyle w:val="PageNumber"/>
        <w:lang w:val="es-ES_tradnl"/>
      </w:rPr>
      <w:instrText xml:space="preserve"> PAGE </w:instrText>
    </w:r>
    <w:r w:rsidR="00DF030B" w:rsidRPr="008D3729">
      <w:rPr>
        <w:rStyle w:val="PageNumber"/>
        <w:lang w:val="es-ES_tradnl"/>
      </w:rPr>
      <w:fldChar w:fldCharType="separate"/>
    </w:r>
    <w:r w:rsidR="006A2F10">
      <w:rPr>
        <w:rStyle w:val="PageNumber"/>
        <w:noProof/>
        <w:lang w:val="es-ES_tradnl"/>
      </w:rPr>
      <w:t>3</w:t>
    </w:r>
    <w:r w:rsidR="00DF030B" w:rsidRPr="008D3729">
      <w:rPr>
        <w:rStyle w:val="PageNumber"/>
        <w:lang w:val="es-ES_tradnl"/>
      </w:rPr>
      <w:fldChar w:fldCharType="end"/>
    </w:r>
  </w:p>
  <w:p w:rsidR="003F4100" w:rsidRPr="008D3729" w:rsidRDefault="003F4100" w:rsidP="00F45372">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100" w:rsidRDefault="003F4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C19FC"/>
    <w:multiLevelType w:val="hybridMultilevel"/>
    <w:tmpl w:val="36920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0773B2"/>
    <w:multiLevelType w:val="hybridMultilevel"/>
    <w:tmpl w:val="70BC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142198"/>
    <w:rsid w:val="0000571E"/>
    <w:rsid w:val="00010CF3"/>
    <w:rsid w:val="00011E27"/>
    <w:rsid w:val="000148BC"/>
    <w:rsid w:val="00020C84"/>
    <w:rsid w:val="00024AB8"/>
    <w:rsid w:val="00027A88"/>
    <w:rsid w:val="00030854"/>
    <w:rsid w:val="00036028"/>
    <w:rsid w:val="00044642"/>
    <w:rsid w:val="000446B9"/>
    <w:rsid w:val="00047E21"/>
    <w:rsid w:val="00062F1A"/>
    <w:rsid w:val="00085505"/>
    <w:rsid w:val="000A2F65"/>
    <w:rsid w:val="000C244A"/>
    <w:rsid w:val="000C3490"/>
    <w:rsid w:val="000C7021"/>
    <w:rsid w:val="000D6BBC"/>
    <w:rsid w:val="000D7780"/>
    <w:rsid w:val="000F26F1"/>
    <w:rsid w:val="00105929"/>
    <w:rsid w:val="001131D5"/>
    <w:rsid w:val="00141DB8"/>
    <w:rsid w:val="00142198"/>
    <w:rsid w:val="0015584D"/>
    <w:rsid w:val="0016070B"/>
    <w:rsid w:val="001649E3"/>
    <w:rsid w:val="00173B0C"/>
    <w:rsid w:val="0017474A"/>
    <w:rsid w:val="001758C6"/>
    <w:rsid w:val="00175E1F"/>
    <w:rsid w:val="001B0722"/>
    <w:rsid w:val="001B4A8D"/>
    <w:rsid w:val="001C5971"/>
    <w:rsid w:val="001E45FE"/>
    <w:rsid w:val="001F7DBD"/>
    <w:rsid w:val="0021332C"/>
    <w:rsid w:val="00213982"/>
    <w:rsid w:val="00235267"/>
    <w:rsid w:val="0024416D"/>
    <w:rsid w:val="00264A36"/>
    <w:rsid w:val="00266E18"/>
    <w:rsid w:val="002800A0"/>
    <w:rsid w:val="002801B3"/>
    <w:rsid w:val="00281060"/>
    <w:rsid w:val="00292DD5"/>
    <w:rsid w:val="002940E8"/>
    <w:rsid w:val="002A06E0"/>
    <w:rsid w:val="002A6E50"/>
    <w:rsid w:val="002C256A"/>
    <w:rsid w:val="00305A7F"/>
    <w:rsid w:val="003152FE"/>
    <w:rsid w:val="00320AE8"/>
    <w:rsid w:val="00327436"/>
    <w:rsid w:val="00344BD6"/>
    <w:rsid w:val="0035528D"/>
    <w:rsid w:val="00360A1A"/>
    <w:rsid w:val="00361821"/>
    <w:rsid w:val="00370631"/>
    <w:rsid w:val="00373109"/>
    <w:rsid w:val="003A50D4"/>
    <w:rsid w:val="003B3B6E"/>
    <w:rsid w:val="003D227C"/>
    <w:rsid w:val="003D2B4D"/>
    <w:rsid w:val="003D7E71"/>
    <w:rsid w:val="003E7998"/>
    <w:rsid w:val="003F4100"/>
    <w:rsid w:val="00404BB7"/>
    <w:rsid w:val="00444A88"/>
    <w:rsid w:val="00474DA4"/>
    <w:rsid w:val="00493655"/>
    <w:rsid w:val="004A1975"/>
    <w:rsid w:val="004D047D"/>
    <w:rsid w:val="004F24B0"/>
    <w:rsid w:val="004F305A"/>
    <w:rsid w:val="00502281"/>
    <w:rsid w:val="00506580"/>
    <w:rsid w:val="00512164"/>
    <w:rsid w:val="00520297"/>
    <w:rsid w:val="005338F9"/>
    <w:rsid w:val="00541184"/>
    <w:rsid w:val="0054281C"/>
    <w:rsid w:val="00543033"/>
    <w:rsid w:val="0055268D"/>
    <w:rsid w:val="00563401"/>
    <w:rsid w:val="00576BE4"/>
    <w:rsid w:val="00576BF0"/>
    <w:rsid w:val="00580333"/>
    <w:rsid w:val="005A400A"/>
    <w:rsid w:val="006006FC"/>
    <w:rsid w:val="00605706"/>
    <w:rsid w:val="00612379"/>
    <w:rsid w:val="0061555F"/>
    <w:rsid w:val="00641200"/>
    <w:rsid w:val="00675EB1"/>
    <w:rsid w:val="00680B9B"/>
    <w:rsid w:val="00680D6C"/>
    <w:rsid w:val="00683071"/>
    <w:rsid w:val="00687EB4"/>
    <w:rsid w:val="006A2F10"/>
    <w:rsid w:val="006A59FA"/>
    <w:rsid w:val="006B17D2"/>
    <w:rsid w:val="006B7F71"/>
    <w:rsid w:val="006C224E"/>
    <w:rsid w:val="006C2887"/>
    <w:rsid w:val="006D780A"/>
    <w:rsid w:val="00721353"/>
    <w:rsid w:val="007245D2"/>
    <w:rsid w:val="00732DEC"/>
    <w:rsid w:val="00735BD5"/>
    <w:rsid w:val="00745D66"/>
    <w:rsid w:val="007556F6"/>
    <w:rsid w:val="00760EEF"/>
    <w:rsid w:val="007658B5"/>
    <w:rsid w:val="00777EE5"/>
    <w:rsid w:val="00784836"/>
    <w:rsid w:val="0079023E"/>
    <w:rsid w:val="007A2854"/>
    <w:rsid w:val="007D0B9D"/>
    <w:rsid w:val="007D19B0"/>
    <w:rsid w:val="007F498F"/>
    <w:rsid w:val="0080679D"/>
    <w:rsid w:val="008108B0"/>
    <w:rsid w:val="00811B20"/>
    <w:rsid w:val="00816279"/>
    <w:rsid w:val="0082296E"/>
    <w:rsid w:val="00824099"/>
    <w:rsid w:val="00826589"/>
    <w:rsid w:val="008568BD"/>
    <w:rsid w:val="00867AC1"/>
    <w:rsid w:val="00882DF7"/>
    <w:rsid w:val="008A26A9"/>
    <w:rsid w:val="008A743F"/>
    <w:rsid w:val="008C0970"/>
    <w:rsid w:val="008D2CF7"/>
    <w:rsid w:val="008D3729"/>
    <w:rsid w:val="00900C26"/>
    <w:rsid w:val="0090197F"/>
    <w:rsid w:val="00906DDC"/>
    <w:rsid w:val="00910D94"/>
    <w:rsid w:val="0091285E"/>
    <w:rsid w:val="00934E09"/>
    <w:rsid w:val="00935CB0"/>
    <w:rsid w:val="00936253"/>
    <w:rsid w:val="00952DD4"/>
    <w:rsid w:val="00970FED"/>
    <w:rsid w:val="009740F9"/>
    <w:rsid w:val="0098166A"/>
    <w:rsid w:val="00997029"/>
    <w:rsid w:val="009A0B1E"/>
    <w:rsid w:val="009A1071"/>
    <w:rsid w:val="009B71FC"/>
    <w:rsid w:val="009B75DA"/>
    <w:rsid w:val="009D690D"/>
    <w:rsid w:val="009E65B6"/>
    <w:rsid w:val="00A42AC3"/>
    <w:rsid w:val="00A430CF"/>
    <w:rsid w:val="00A47CDB"/>
    <w:rsid w:val="00A54309"/>
    <w:rsid w:val="00A929D4"/>
    <w:rsid w:val="00A95151"/>
    <w:rsid w:val="00AB2B93"/>
    <w:rsid w:val="00AB7E5B"/>
    <w:rsid w:val="00AE0EF1"/>
    <w:rsid w:val="00B07301"/>
    <w:rsid w:val="00B108A6"/>
    <w:rsid w:val="00B15344"/>
    <w:rsid w:val="00B224DE"/>
    <w:rsid w:val="00B27D6F"/>
    <w:rsid w:val="00B54130"/>
    <w:rsid w:val="00B72907"/>
    <w:rsid w:val="00B84BBD"/>
    <w:rsid w:val="00BA43FB"/>
    <w:rsid w:val="00BC127D"/>
    <w:rsid w:val="00BC1FE6"/>
    <w:rsid w:val="00C04527"/>
    <w:rsid w:val="00C061B6"/>
    <w:rsid w:val="00C13808"/>
    <w:rsid w:val="00C2446C"/>
    <w:rsid w:val="00C36AE5"/>
    <w:rsid w:val="00C41F17"/>
    <w:rsid w:val="00C5791C"/>
    <w:rsid w:val="00C66290"/>
    <w:rsid w:val="00C72B7A"/>
    <w:rsid w:val="00C75F51"/>
    <w:rsid w:val="00C92624"/>
    <w:rsid w:val="00C973F2"/>
    <w:rsid w:val="00CA774A"/>
    <w:rsid w:val="00CC11B0"/>
    <w:rsid w:val="00CD2BE5"/>
    <w:rsid w:val="00CF7E36"/>
    <w:rsid w:val="00D210E3"/>
    <w:rsid w:val="00D23BCA"/>
    <w:rsid w:val="00D261C5"/>
    <w:rsid w:val="00D3708D"/>
    <w:rsid w:val="00D40426"/>
    <w:rsid w:val="00D458AF"/>
    <w:rsid w:val="00D57C96"/>
    <w:rsid w:val="00D72695"/>
    <w:rsid w:val="00D75C9C"/>
    <w:rsid w:val="00D7662D"/>
    <w:rsid w:val="00D8058D"/>
    <w:rsid w:val="00D91203"/>
    <w:rsid w:val="00D922D5"/>
    <w:rsid w:val="00D95174"/>
    <w:rsid w:val="00DA4685"/>
    <w:rsid w:val="00DA6F36"/>
    <w:rsid w:val="00DB596E"/>
    <w:rsid w:val="00DC00EA"/>
    <w:rsid w:val="00DF030B"/>
    <w:rsid w:val="00E14071"/>
    <w:rsid w:val="00E22EE1"/>
    <w:rsid w:val="00E53324"/>
    <w:rsid w:val="00E623EC"/>
    <w:rsid w:val="00E656B1"/>
    <w:rsid w:val="00E72D49"/>
    <w:rsid w:val="00E7593C"/>
    <w:rsid w:val="00E7678A"/>
    <w:rsid w:val="00E80F31"/>
    <w:rsid w:val="00E86D2D"/>
    <w:rsid w:val="00E935F1"/>
    <w:rsid w:val="00E94A81"/>
    <w:rsid w:val="00EA1FFB"/>
    <w:rsid w:val="00EA5245"/>
    <w:rsid w:val="00EB048E"/>
    <w:rsid w:val="00EB5274"/>
    <w:rsid w:val="00EE34DF"/>
    <w:rsid w:val="00EF2F89"/>
    <w:rsid w:val="00F00A88"/>
    <w:rsid w:val="00F10826"/>
    <w:rsid w:val="00F1237A"/>
    <w:rsid w:val="00F22CBD"/>
    <w:rsid w:val="00F45372"/>
    <w:rsid w:val="00F51C2A"/>
    <w:rsid w:val="00F560F7"/>
    <w:rsid w:val="00F6334D"/>
    <w:rsid w:val="00F73179"/>
    <w:rsid w:val="00F9043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7">
    <w:name w:val="heading 7"/>
    <w:basedOn w:val="Normal"/>
    <w:next w:val="Normal"/>
    <w:link w:val="Heading7Char"/>
    <w:semiHidden/>
    <w:unhideWhenUsed/>
    <w:qFormat/>
    <w:rsid w:val="00D458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7Char">
    <w:name w:val="Heading 7 Char"/>
    <w:basedOn w:val="DefaultParagraphFont"/>
    <w:link w:val="Heading7"/>
    <w:semiHidden/>
    <w:rsid w:val="00D458AF"/>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D458AF"/>
    <w:rPr>
      <w:rFonts w:ascii="Arial" w:hAnsi="Arial"/>
      <w:i/>
    </w:rPr>
  </w:style>
  <w:style w:type="character" w:customStyle="1" w:styleId="HeaderChar">
    <w:name w:val="Header Char"/>
    <w:basedOn w:val="DefaultParagraphFont"/>
    <w:link w:val="Header"/>
    <w:locked/>
    <w:rsid w:val="00D458AF"/>
    <w:rPr>
      <w:rFonts w:ascii="Arial" w:hAnsi="Arial"/>
      <w:lang w:val="fr-FR"/>
    </w:rPr>
  </w:style>
  <w:style w:type="paragraph" w:styleId="ListParagraph">
    <w:name w:val="List Paragraph"/>
    <w:basedOn w:val="Normal"/>
    <w:uiPriority w:val="34"/>
    <w:qFormat/>
    <w:rsid w:val="00D458AF"/>
    <w:pPr>
      <w:ind w:left="720"/>
      <w:contextualSpacing/>
    </w:pPr>
  </w:style>
  <w:style w:type="character" w:customStyle="1" w:styleId="pldetailsChar">
    <w:name w:val="pldetails Char"/>
    <w:link w:val="pldetails"/>
    <w:locked/>
    <w:rsid w:val="003B3B6E"/>
    <w:rPr>
      <w:rFonts w:ascii="Arial" w:hAnsi="Arial"/>
      <w:noProof/>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7">
    <w:name w:val="heading 7"/>
    <w:basedOn w:val="Normal"/>
    <w:next w:val="Normal"/>
    <w:link w:val="Heading7Char"/>
    <w:semiHidden/>
    <w:unhideWhenUsed/>
    <w:qFormat/>
    <w:rsid w:val="00D458AF"/>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link w:val="DecisionParagraphsChar"/>
    <w:qFormat/>
    <w:rsid w:val="00F73179"/>
    <w:pPr>
      <w:tabs>
        <w:tab w:val="left" w:pos="5387"/>
      </w:tabs>
      <w:ind w:left="4820"/>
    </w:pPr>
    <w:rPr>
      <w:i/>
    </w:rPr>
  </w:style>
  <w:style w:type="paragraph" w:styleId="FootnoteText">
    <w:name w:val="footnote text"/>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link w:val="pldetailsChar"/>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7Char">
    <w:name w:val="Heading 7 Char"/>
    <w:basedOn w:val="DefaultParagraphFont"/>
    <w:link w:val="Heading7"/>
    <w:semiHidden/>
    <w:rsid w:val="00D458AF"/>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D458AF"/>
    <w:rPr>
      <w:rFonts w:ascii="Arial" w:hAnsi="Arial"/>
      <w:i/>
    </w:rPr>
  </w:style>
  <w:style w:type="character" w:customStyle="1" w:styleId="HeaderChar">
    <w:name w:val="Header Char"/>
    <w:basedOn w:val="DefaultParagraphFont"/>
    <w:link w:val="Header"/>
    <w:locked/>
    <w:rsid w:val="00D458AF"/>
    <w:rPr>
      <w:rFonts w:ascii="Arial" w:hAnsi="Arial"/>
      <w:lang w:val="fr-FR"/>
    </w:rPr>
  </w:style>
  <w:style w:type="paragraph" w:styleId="ListParagraph">
    <w:name w:val="List Paragraph"/>
    <w:basedOn w:val="Normal"/>
    <w:uiPriority w:val="34"/>
    <w:qFormat/>
    <w:rsid w:val="00D458AF"/>
    <w:pPr>
      <w:ind w:left="720"/>
      <w:contextualSpacing/>
    </w:pPr>
  </w:style>
  <w:style w:type="character" w:customStyle="1" w:styleId="pldetailsChar">
    <w:name w:val="pldetails Char"/>
    <w:link w:val="pldetails"/>
    <w:locked/>
    <w:rsid w:val="003B3B6E"/>
    <w:rPr>
      <w:rFonts w:ascii="Arial" w:hAnsi="Arial"/>
      <w:noProof/>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ource/es/training.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upov_collection/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pov.int/"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upov.mail@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6839</Words>
  <Characters>41759</Characters>
  <Application>Microsoft Office Word</Application>
  <DocSecurity>0</DocSecurity>
  <Lines>347</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C/49/</vt:lpstr>
      <vt:lpstr>C/49/</vt:lpstr>
    </vt:vector>
  </TitlesOfParts>
  <Company>UPOV</Company>
  <LinksUpToDate>false</LinksUpToDate>
  <CharactersWithSpaces>48501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dc:title>
  <dc:creator>SanchezV</dc:creator>
  <cp:lastModifiedBy>SANCHEZ-VIZCAINO GOMEZ Rosa Maria</cp:lastModifiedBy>
  <cp:revision>20</cp:revision>
  <cp:lastPrinted>2015-12-14T10:55:00Z</cp:lastPrinted>
  <dcterms:created xsi:type="dcterms:W3CDTF">2015-11-17T08:12:00Z</dcterms:created>
  <dcterms:modified xsi:type="dcterms:W3CDTF">2015-12-14T10:55:00Z</dcterms:modified>
</cp:coreProperties>
</file>