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D95650" w:rsidP="006655D3">
            <w:pPr>
              <w:pStyle w:val="LogoUPOV"/>
            </w:pPr>
            <w:r>
              <w:rPr>
                <w:noProof/>
              </w:rPr>
              <w:drawing>
                <wp:inline distT="0" distB="0" distL="0" distR="0">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DF716E">
              <w:t>F</w:t>
            </w:r>
            <w:r>
              <w:t>/4</w:t>
            </w:r>
            <w:r w:rsidR="00DF716E">
              <w:t>5</w:t>
            </w:r>
            <w:r>
              <w:t>/</w:t>
            </w:r>
            <w:bookmarkStart w:id="0" w:name="Code"/>
            <w:bookmarkEnd w:id="0"/>
            <w:r w:rsidR="009E29F7">
              <w:t>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4D484F">
            <w:pPr>
              <w:pStyle w:val="Docoriginal"/>
            </w:pPr>
            <w:r w:rsidRPr="00B46575">
              <w:rPr>
                <w:spacing w:val="0"/>
              </w:rPr>
              <w:t>DATE:</w:t>
            </w:r>
            <w:r w:rsidRPr="00B46575">
              <w:rPr>
                <w:rStyle w:val="StyleDocoriginalNotBold1"/>
                <w:spacing w:val="0"/>
              </w:rPr>
              <w:t xml:space="preserve"> </w:t>
            </w:r>
            <w:bookmarkStart w:id="2" w:name="Date"/>
            <w:bookmarkEnd w:id="2"/>
            <w:r w:rsidR="00A501A3" w:rsidRPr="004D484F">
              <w:rPr>
                <w:rStyle w:val="StyleDocoriginalNotBold1"/>
                <w:spacing w:val="0"/>
              </w:rPr>
              <w:t>May 1</w:t>
            </w:r>
            <w:r w:rsidR="004D484F">
              <w:rPr>
                <w:rStyle w:val="StyleDocoriginalNotBold1"/>
                <w:spacing w:val="0"/>
              </w:rPr>
              <w:t>9</w:t>
            </w:r>
            <w:bookmarkStart w:id="3" w:name="_GoBack"/>
            <w:bookmarkEnd w:id="3"/>
            <w:r w:rsidR="009E29F7" w:rsidRPr="004D484F">
              <w:rPr>
                <w:rStyle w:val="StyleDocoriginalNotBold1"/>
                <w:spacing w:val="0"/>
              </w:rPr>
              <w:t>, 2014</w:t>
            </w:r>
            <w:r w:rsidR="00876C58">
              <w:rPr>
                <w:rStyle w:val="StyleDocoriginalNotBold1"/>
                <w:spacing w:val="0"/>
              </w:rPr>
              <w:t xml:space="preserve"> </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DF716E">
        <w:t>FRUIT CROPS</w:t>
      </w:r>
    </w:p>
    <w:p w:rsidR="0018780B" w:rsidRPr="00C5280D" w:rsidRDefault="0061555F" w:rsidP="0018780B">
      <w:pPr>
        <w:pStyle w:val="Sessiontcplacedate"/>
      </w:pPr>
      <w:r w:rsidRPr="00C5280D">
        <w:t>Forty</w:t>
      </w:r>
      <w:r w:rsidR="00867AC1" w:rsidRPr="00C5280D">
        <w:t>-</w:t>
      </w:r>
      <w:r w:rsidR="00DF716E">
        <w:t>Fif</w:t>
      </w:r>
      <w:r w:rsidR="00BC40A0">
        <w:t>th</w:t>
      </w:r>
      <w:r w:rsidRPr="00C5280D">
        <w:t xml:space="preserve"> S</w:t>
      </w:r>
      <w:r w:rsidR="00867AC1" w:rsidRPr="00C5280D">
        <w:t>ession</w:t>
      </w:r>
      <w:r w:rsidR="00361821" w:rsidRPr="00C5280D">
        <w:br/>
      </w:r>
      <w:r w:rsidR="00DF716E">
        <w:rPr>
          <w:rFonts w:cs="Arial"/>
        </w:rPr>
        <w:t>Marrakesh</w:t>
      </w:r>
      <w:r w:rsidR="0018780B" w:rsidRPr="00CC587F">
        <w:rPr>
          <w:rFonts w:cs="Arial"/>
        </w:rPr>
        <w:t xml:space="preserve">, </w:t>
      </w:r>
      <w:r w:rsidR="00DF716E">
        <w:rPr>
          <w:rFonts w:cs="Arial"/>
        </w:rPr>
        <w:t>Morocco</w:t>
      </w:r>
      <w:r w:rsidR="0018780B" w:rsidRPr="00C5280D">
        <w:t>,</w:t>
      </w:r>
      <w:r w:rsidR="0018780B">
        <w:t xml:space="preserve"> </w:t>
      </w:r>
      <w:r w:rsidR="00BC40A0">
        <w:t xml:space="preserve">May </w:t>
      </w:r>
      <w:r w:rsidR="00DF716E">
        <w:t>26</w:t>
      </w:r>
      <w:r w:rsidR="00BC40A0">
        <w:t xml:space="preserve"> to 3</w:t>
      </w:r>
      <w:r w:rsidR="00DF716E">
        <w:t>0</w:t>
      </w:r>
      <w:r w:rsidR="00BC40A0">
        <w:t>, 2014</w:t>
      </w:r>
    </w:p>
    <w:p w:rsidR="009E29F7" w:rsidRPr="00C5280D" w:rsidRDefault="009E29F7" w:rsidP="009E29F7">
      <w:pPr>
        <w:pStyle w:val="Titleofdoc0"/>
      </w:pPr>
      <w:bookmarkStart w:id="4" w:name="TitleOfDoc"/>
      <w:bookmarkEnd w:id="4"/>
      <w:r>
        <w:t xml:space="preserve">Assessing uniformity by off-types on basis of more than one sample </w:t>
      </w:r>
      <w:r>
        <w:br/>
        <w:t>or sub-samples</w:t>
      </w:r>
    </w:p>
    <w:p w:rsidR="004A31DD" w:rsidRPr="00C5280D" w:rsidRDefault="004A31DD" w:rsidP="004A31DD">
      <w:pPr>
        <w:pStyle w:val="preparedby1"/>
      </w:pPr>
      <w:bookmarkStart w:id="5" w:name="Prepared"/>
      <w:bookmarkEnd w:id="5"/>
      <w:r>
        <w:rPr>
          <w:color w:val="A6A6A6" w:themeColor="background1" w:themeShade="A6"/>
        </w:rPr>
        <w:t>Disclaimer:  this document does not represent UPOV policies or guidance</w:t>
      </w:r>
    </w:p>
    <w:p w:rsidR="009E29F7" w:rsidRPr="00ED3415" w:rsidRDefault="009E29F7" w:rsidP="009E29F7">
      <w:pPr>
        <w:autoSpaceDE w:val="0"/>
        <w:autoSpaceDN w:val="0"/>
        <w:adjustRightInd w:val="0"/>
        <w:rPr>
          <w:rFonts w:eastAsia="MS Mincho"/>
          <w:color w:val="000000"/>
          <w:szCs w:val="24"/>
          <w:lang w:eastAsia="ja-JP"/>
        </w:rPr>
      </w:pPr>
      <w:r w:rsidRPr="00ED3415">
        <w:rPr>
          <w:szCs w:val="24"/>
        </w:rPr>
        <w:fldChar w:fldCharType="begin"/>
      </w:r>
      <w:r w:rsidRPr="00ED3415">
        <w:rPr>
          <w:szCs w:val="24"/>
        </w:rPr>
        <w:instrText xml:space="preserve"> AUTONUM  </w:instrText>
      </w:r>
      <w:r w:rsidRPr="00ED3415">
        <w:rPr>
          <w:szCs w:val="24"/>
        </w:rPr>
        <w:fldChar w:fldCharType="end"/>
      </w:r>
      <w:r w:rsidRPr="00ED3415">
        <w:rPr>
          <w:szCs w:val="24"/>
        </w:rPr>
        <w:tab/>
      </w:r>
      <w:r w:rsidRPr="00ED3415">
        <w:rPr>
          <w:rFonts w:eastAsia="MS Mincho"/>
          <w:color w:val="000000"/>
          <w:szCs w:val="24"/>
          <w:lang w:eastAsia="ja-JP"/>
        </w:rPr>
        <w:t>The purpose</w:t>
      </w:r>
      <w:r>
        <w:rPr>
          <w:rFonts w:eastAsia="MS Mincho"/>
          <w:color w:val="000000"/>
          <w:szCs w:val="24"/>
          <w:lang w:eastAsia="ja-JP"/>
        </w:rPr>
        <w:t xml:space="preserve"> of this document is to report on developments concerning a summary of approaches used by members of the Union in assessing </w:t>
      </w:r>
      <w:r w:rsidRPr="00ED3415">
        <w:rPr>
          <w:rFonts w:eastAsia="MS Mincho"/>
          <w:color w:val="000000"/>
          <w:szCs w:val="24"/>
          <w:lang w:eastAsia="ja-JP"/>
        </w:rPr>
        <w:t>uniformity by off-types on the basis of more</w:t>
      </w:r>
      <w:r>
        <w:rPr>
          <w:rFonts w:eastAsia="MS Mincho"/>
          <w:color w:val="000000"/>
          <w:szCs w:val="24"/>
          <w:lang w:eastAsia="ja-JP"/>
        </w:rPr>
        <w:t xml:space="preserve"> than one sample or sub-sample. </w:t>
      </w:r>
      <w:r w:rsidRPr="00ED3415">
        <w:rPr>
          <w:rFonts w:eastAsia="MS Mincho"/>
          <w:color w:val="000000"/>
          <w:szCs w:val="24"/>
          <w:lang w:eastAsia="ja-JP"/>
        </w:rPr>
        <w:t xml:space="preserve"> </w:t>
      </w:r>
    </w:p>
    <w:p w:rsidR="009E29F7" w:rsidRDefault="009E29F7" w:rsidP="009E29F7">
      <w:pPr>
        <w:autoSpaceDE w:val="0"/>
        <w:autoSpaceDN w:val="0"/>
        <w:adjustRightInd w:val="0"/>
        <w:rPr>
          <w:rFonts w:eastAsia="MS Mincho"/>
          <w:color w:val="000000"/>
          <w:szCs w:val="24"/>
          <w:lang w:eastAsia="ja-JP"/>
        </w:rPr>
      </w:pPr>
    </w:p>
    <w:p w:rsidR="009E29F7" w:rsidRDefault="009E29F7" w:rsidP="009E29F7">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9E29F7" w:rsidRDefault="009E29F7" w:rsidP="009E29F7">
      <w:pPr>
        <w:rPr>
          <w:rFonts w:cs="Arial"/>
          <w:color w:val="000000"/>
        </w:rPr>
      </w:pPr>
    </w:p>
    <w:p w:rsidR="009E29F7" w:rsidRPr="00322838" w:rsidRDefault="009E29F7" w:rsidP="009E29F7">
      <w:pPr>
        <w:rPr>
          <w:rFonts w:cs="Arial"/>
        </w:rPr>
      </w:pPr>
      <w:r w:rsidRPr="00322838">
        <w:rPr>
          <w:rFonts w:cs="Arial"/>
        </w:rPr>
        <w:tab/>
        <w:t>TC:</w:t>
      </w:r>
      <w:r w:rsidRPr="00322838">
        <w:rPr>
          <w:rFonts w:cs="Arial"/>
        </w:rPr>
        <w:tab/>
      </w:r>
      <w:r w:rsidRPr="00322838">
        <w:rPr>
          <w:rFonts w:cs="Arial"/>
        </w:rPr>
        <w:tab/>
        <w:t>Technical Committee</w:t>
      </w:r>
    </w:p>
    <w:p w:rsidR="009E29F7" w:rsidRPr="00322838" w:rsidRDefault="009E29F7" w:rsidP="009E29F7">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9E29F7" w:rsidRPr="00322838" w:rsidRDefault="009E29F7" w:rsidP="009E29F7">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9E29F7" w:rsidRPr="00322838" w:rsidRDefault="009E29F7" w:rsidP="009E29F7">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9E29F7" w:rsidRPr="00322838" w:rsidRDefault="009E29F7" w:rsidP="009E29F7">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9E29F7" w:rsidRPr="00322838" w:rsidRDefault="009E29F7" w:rsidP="009E29F7">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9E29F7" w:rsidRPr="00322838" w:rsidRDefault="009E29F7" w:rsidP="009E29F7">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9E29F7" w:rsidRDefault="009E29F7" w:rsidP="009E29F7">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1823D1" w:rsidRPr="00FF5F20" w:rsidRDefault="001823D1" w:rsidP="009E29F7">
      <w:pPr>
        <w:rPr>
          <w:rFonts w:eastAsia="PMingLiU" w:cs="Arial"/>
          <w:szCs w:val="24"/>
        </w:rPr>
      </w:pPr>
    </w:p>
    <w:p w:rsidR="009E29F7" w:rsidRDefault="009E29F7" w:rsidP="009E29F7">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9E29F7" w:rsidRPr="00A70561" w:rsidRDefault="009E29F7" w:rsidP="009E29F7">
      <w:pPr>
        <w:autoSpaceDE w:val="0"/>
        <w:autoSpaceDN w:val="0"/>
        <w:adjustRightInd w:val="0"/>
        <w:rPr>
          <w:rFonts w:eastAsia="MS Mincho"/>
          <w:color w:val="000000"/>
          <w:szCs w:val="16"/>
          <w:lang w:eastAsia="ja-JP"/>
        </w:rPr>
      </w:pPr>
    </w:p>
    <w:p w:rsidR="00887BE0" w:rsidRDefault="0001259A">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386103305" w:history="1">
        <w:r w:rsidR="00887BE0" w:rsidRPr="005B27BD">
          <w:rPr>
            <w:rStyle w:val="Hyperlink"/>
            <w:rFonts w:eastAsia="MS Mincho"/>
            <w:lang w:eastAsia="ja-JP"/>
          </w:rPr>
          <w:t>BACKGROUND</w:t>
        </w:r>
        <w:r w:rsidR="00887BE0">
          <w:rPr>
            <w:webHidden/>
          </w:rPr>
          <w:tab/>
        </w:r>
        <w:r w:rsidR="00887BE0">
          <w:rPr>
            <w:webHidden/>
          </w:rPr>
          <w:fldChar w:fldCharType="begin"/>
        </w:r>
        <w:r w:rsidR="00887BE0">
          <w:rPr>
            <w:webHidden/>
          </w:rPr>
          <w:instrText xml:space="preserve"> PAGEREF _Toc386103305 \h </w:instrText>
        </w:r>
        <w:r w:rsidR="00887BE0">
          <w:rPr>
            <w:webHidden/>
          </w:rPr>
        </w:r>
        <w:r w:rsidR="00887BE0">
          <w:rPr>
            <w:webHidden/>
          </w:rPr>
          <w:fldChar w:fldCharType="separate"/>
        </w:r>
        <w:r w:rsidR="004D484F">
          <w:rPr>
            <w:webHidden/>
          </w:rPr>
          <w:t>2</w:t>
        </w:r>
        <w:r w:rsidR="00887BE0">
          <w:rPr>
            <w:webHidden/>
          </w:rPr>
          <w:fldChar w:fldCharType="end"/>
        </w:r>
      </w:hyperlink>
    </w:p>
    <w:p w:rsidR="006C39E6" w:rsidRPr="006C39E6" w:rsidRDefault="006C39E6" w:rsidP="006C39E6">
      <w:pPr>
        <w:rPr>
          <w:rFonts w:eastAsiaTheme="minorEastAsia"/>
          <w:noProof/>
        </w:rPr>
      </w:pPr>
    </w:p>
    <w:p w:rsidR="00887BE0" w:rsidRDefault="004D484F">
      <w:pPr>
        <w:pStyle w:val="TOC1"/>
        <w:rPr>
          <w:rFonts w:asciiTheme="minorHAnsi" w:eastAsiaTheme="minorEastAsia" w:hAnsiTheme="minorHAnsi" w:cstheme="minorBidi"/>
          <w:caps w:val="0"/>
          <w:sz w:val="22"/>
          <w:szCs w:val="22"/>
        </w:rPr>
      </w:pPr>
      <w:hyperlink w:anchor="_Toc386103306" w:history="1">
        <w:r w:rsidR="00887BE0" w:rsidRPr="005B27BD">
          <w:rPr>
            <w:rStyle w:val="Hyperlink"/>
          </w:rPr>
          <w:t>DEVELOPMENTS IN 2013</w:t>
        </w:r>
        <w:r w:rsidR="00887BE0">
          <w:rPr>
            <w:webHidden/>
          </w:rPr>
          <w:tab/>
        </w:r>
        <w:r w:rsidR="00887BE0">
          <w:rPr>
            <w:webHidden/>
          </w:rPr>
          <w:fldChar w:fldCharType="begin"/>
        </w:r>
        <w:r w:rsidR="00887BE0">
          <w:rPr>
            <w:webHidden/>
          </w:rPr>
          <w:instrText xml:space="preserve"> PAGEREF _Toc386103306 \h </w:instrText>
        </w:r>
        <w:r w:rsidR="00887BE0">
          <w:rPr>
            <w:webHidden/>
          </w:rPr>
        </w:r>
        <w:r w:rsidR="00887BE0">
          <w:rPr>
            <w:webHidden/>
          </w:rPr>
          <w:fldChar w:fldCharType="separate"/>
        </w:r>
        <w:r>
          <w:rPr>
            <w:webHidden/>
          </w:rPr>
          <w:t>2</w:t>
        </w:r>
        <w:r w:rsidR="00887BE0">
          <w:rPr>
            <w:webHidden/>
          </w:rPr>
          <w:fldChar w:fldCharType="end"/>
        </w:r>
      </w:hyperlink>
    </w:p>
    <w:p w:rsidR="00887BE0" w:rsidRDefault="004D484F">
      <w:pPr>
        <w:pStyle w:val="TOC2"/>
        <w:rPr>
          <w:rFonts w:asciiTheme="minorHAnsi" w:eastAsiaTheme="minorEastAsia" w:hAnsiTheme="minorHAnsi" w:cstheme="minorBidi"/>
          <w:sz w:val="22"/>
          <w:szCs w:val="22"/>
        </w:rPr>
      </w:pPr>
      <w:hyperlink w:anchor="_Toc386103307" w:history="1">
        <w:r w:rsidR="00887BE0" w:rsidRPr="005B27BD">
          <w:rPr>
            <w:rStyle w:val="Hyperlink"/>
            <w:rFonts w:eastAsia="MS Mincho"/>
            <w:lang w:eastAsia="ja-JP"/>
          </w:rPr>
          <w:t>Technical Working Party for Ornamental Plants and Forest Trees</w:t>
        </w:r>
        <w:r w:rsidR="00887BE0">
          <w:rPr>
            <w:webHidden/>
          </w:rPr>
          <w:tab/>
        </w:r>
        <w:r w:rsidR="00887BE0">
          <w:rPr>
            <w:webHidden/>
          </w:rPr>
          <w:fldChar w:fldCharType="begin"/>
        </w:r>
        <w:r w:rsidR="00887BE0">
          <w:rPr>
            <w:webHidden/>
          </w:rPr>
          <w:instrText xml:space="preserve"> PAGEREF _Toc386103307 \h </w:instrText>
        </w:r>
        <w:r w:rsidR="00887BE0">
          <w:rPr>
            <w:webHidden/>
          </w:rPr>
        </w:r>
        <w:r w:rsidR="00887BE0">
          <w:rPr>
            <w:webHidden/>
          </w:rPr>
          <w:fldChar w:fldCharType="separate"/>
        </w:r>
        <w:r>
          <w:rPr>
            <w:webHidden/>
          </w:rPr>
          <w:t>2</w:t>
        </w:r>
        <w:r w:rsidR="00887BE0">
          <w:rPr>
            <w:webHidden/>
          </w:rPr>
          <w:fldChar w:fldCharType="end"/>
        </w:r>
      </w:hyperlink>
    </w:p>
    <w:p w:rsidR="00887BE0" w:rsidRDefault="004D484F">
      <w:pPr>
        <w:pStyle w:val="TOC2"/>
        <w:rPr>
          <w:rFonts w:asciiTheme="minorHAnsi" w:eastAsiaTheme="minorEastAsia" w:hAnsiTheme="minorHAnsi" w:cstheme="minorBidi"/>
          <w:sz w:val="22"/>
          <w:szCs w:val="22"/>
        </w:rPr>
      </w:pPr>
      <w:hyperlink w:anchor="_Toc386103308" w:history="1">
        <w:r w:rsidR="00887BE0" w:rsidRPr="005B27BD">
          <w:rPr>
            <w:rStyle w:val="Hyperlink"/>
            <w:rFonts w:eastAsia="MS Mincho"/>
            <w:lang w:eastAsia="ja-JP"/>
          </w:rPr>
          <w:t>Technical Working Party for Fruit Crops</w:t>
        </w:r>
        <w:r w:rsidR="00887BE0">
          <w:rPr>
            <w:webHidden/>
          </w:rPr>
          <w:tab/>
        </w:r>
        <w:r w:rsidR="00887BE0">
          <w:rPr>
            <w:webHidden/>
          </w:rPr>
          <w:fldChar w:fldCharType="begin"/>
        </w:r>
        <w:r w:rsidR="00887BE0">
          <w:rPr>
            <w:webHidden/>
          </w:rPr>
          <w:instrText xml:space="preserve"> PAGEREF _Toc386103308 \h </w:instrText>
        </w:r>
        <w:r w:rsidR="00887BE0">
          <w:rPr>
            <w:webHidden/>
          </w:rPr>
        </w:r>
        <w:r w:rsidR="00887BE0">
          <w:rPr>
            <w:webHidden/>
          </w:rPr>
          <w:fldChar w:fldCharType="separate"/>
        </w:r>
        <w:r>
          <w:rPr>
            <w:webHidden/>
          </w:rPr>
          <w:t>2</w:t>
        </w:r>
        <w:r w:rsidR="00887BE0">
          <w:rPr>
            <w:webHidden/>
          </w:rPr>
          <w:fldChar w:fldCharType="end"/>
        </w:r>
      </w:hyperlink>
    </w:p>
    <w:p w:rsidR="00887BE0" w:rsidRDefault="004D484F">
      <w:pPr>
        <w:pStyle w:val="TOC2"/>
        <w:rPr>
          <w:rFonts w:asciiTheme="minorHAnsi" w:eastAsiaTheme="minorEastAsia" w:hAnsiTheme="minorHAnsi" w:cstheme="minorBidi"/>
          <w:sz w:val="22"/>
          <w:szCs w:val="22"/>
        </w:rPr>
      </w:pPr>
      <w:hyperlink w:anchor="_Toc386103309" w:history="1">
        <w:r w:rsidR="00887BE0" w:rsidRPr="005B27BD">
          <w:rPr>
            <w:rStyle w:val="Hyperlink"/>
            <w:lang w:eastAsia="de-DE" w:bidi="de-DE"/>
          </w:rPr>
          <w:t>Technical Working Party for Vegetables</w:t>
        </w:r>
        <w:r w:rsidR="00887BE0">
          <w:rPr>
            <w:webHidden/>
          </w:rPr>
          <w:tab/>
        </w:r>
        <w:r w:rsidR="00887BE0">
          <w:rPr>
            <w:webHidden/>
          </w:rPr>
          <w:fldChar w:fldCharType="begin"/>
        </w:r>
        <w:r w:rsidR="00887BE0">
          <w:rPr>
            <w:webHidden/>
          </w:rPr>
          <w:instrText xml:space="preserve"> PAGEREF _Toc386103309 \h </w:instrText>
        </w:r>
        <w:r w:rsidR="00887BE0">
          <w:rPr>
            <w:webHidden/>
          </w:rPr>
        </w:r>
        <w:r w:rsidR="00887BE0">
          <w:rPr>
            <w:webHidden/>
          </w:rPr>
          <w:fldChar w:fldCharType="separate"/>
        </w:r>
        <w:r>
          <w:rPr>
            <w:webHidden/>
          </w:rPr>
          <w:t>2</w:t>
        </w:r>
        <w:r w:rsidR="00887BE0">
          <w:rPr>
            <w:webHidden/>
          </w:rPr>
          <w:fldChar w:fldCharType="end"/>
        </w:r>
      </w:hyperlink>
    </w:p>
    <w:p w:rsidR="00887BE0" w:rsidRDefault="004D484F">
      <w:pPr>
        <w:pStyle w:val="TOC2"/>
        <w:rPr>
          <w:rFonts w:asciiTheme="minorHAnsi" w:eastAsiaTheme="minorEastAsia" w:hAnsiTheme="minorHAnsi" w:cstheme="minorBidi"/>
          <w:sz w:val="22"/>
          <w:szCs w:val="22"/>
        </w:rPr>
      </w:pPr>
      <w:hyperlink w:anchor="_Toc386103310" w:history="1">
        <w:r w:rsidR="00887BE0" w:rsidRPr="005B27BD">
          <w:rPr>
            <w:rStyle w:val="Hyperlink"/>
            <w:rFonts w:eastAsia="MS Mincho"/>
            <w:lang w:eastAsia="ja-JP"/>
          </w:rPr>
          <w:t>Technical Working Party on Automation and Computer Programs</w:t>
        </w:r>
        <w:r w:rsidR="00887BE0">
          <w:rPr>
            <w:webHidden/>
          </w:rPr>
          <w:tab/>
        </w:r>
        <w:r w:rsidR="00887BE0">
          <w:rPr>
            <w:webHidden/>
          </w:rPr>
          <w:fldChar w:fldCharType="begin"/>
        </w:r>
        <w:r w:rsidR="00887BE0">
          <w:rPr>
            <w:webHidden/>
          </w:rPr>
          <w:instrText xml:space="preserve"> PAGEREF _Toc386103310 \h </w:instrText>
        </w:r>
        <w:r w:rsidR="00887BE0">
          <w:rPr>
            <w:webHidden/>
          </w:rPr>
        </w:r>
        <w:r w:rsidR="00887BE0">
          <w:rPr>
            <w:webHidden/>
          </w:rPr>
          <w:fldChar w:fldCharType="separate"/>
        </w:r>
        <w:r>
          <w:rPr>
            <w:webHidden/>
          </w:rPr>
          <w:t>2</w:t>
        </w:r>
        <w:r w:rsidR="00887BE0">
          <w:rPr>
            <w:webHidden/>
          </w:rPr>
          <w:fldChar w:fldCharType="end"/>
        </w:r>
      </w:hyperlink>
    </w:p>
    <w:p w:rsidR="00887BE0" w:rsidRDefault="004D484F">
      <w:pPr>
        <w:pStyle w:val="TOC2"/>
        <w:rPr>
          <w:rStyle w:val="Hyperlink"/>
        </w:rPr>
      </w:pPr>
      <w:hyperlink w:anchor="_Toc386103311" w:history="1">
        <w:r w:rsidR="00887BE0" w:rsidRPr="005B27BD">
          <w:rPr>
            <w:rStyle w:val="Hyperlink"/>
            <w:rFonts w:eastAsia="MS Mincho"/>
            <w:lang w:eastAsia="ja-JP"/>
          </w:rPr>
          <w:t>Technical Working Party</w:t>
        </w:r>
        <w:r w:rsidR="00887BE0" w:rsidRPr="005B27BD">
          <w:rPr>
            <w:rStyle w:val="Hyperlink"/>
            <w:rFonts w:eastAsia="MS Mincho"/>
            <w:iCs/>
            <w:lang w:eastAsia="ja-JP"/>
          </w:rPr>
          <w:t xml:space="preserve"> for Agricultural Crops</w:t>
        </w:r>
        <w:r w:rsidR="00887BE0">
          <w:rPr>
            <w:webHidden/>
          </w:rPr>
          <w:tab/>
        </w:r>
        <w:r w:rsidR="00887BE0">
          <w:rPr>
            <w:webHidden/>
          </w:rPr>
          <w:fldChar w:fldCharType="begin"/>
        </w:r>
        <w:r w:rsidR="00887BE0">
          <w:rPr>
            <w:webHidden/>
          </w:rPr>
          <w:instrText xml:space="preserve"> PAGEREF _Toc386103311 \h </w:instrText>
        </w:r>
        <w:r w:rsidR="00887BE0">
          <w:rPr>
            <w:webHidden/>
          </w:rPr>
        </w:r>
        <w:r w:rsidR="00887BE0">
          <w:rPr>
            <w:webHidden/>
          </w:rPr>
          <w:fldChar w:fldCharType="separate"/>
        </w:r>
        <w:r>
          <w:rPr>
            <w:webHidden/>
          </w:rPr>
          <w:t>3</w:t>
        </w:r>
        <w:r w:rsidR="00887BE0">
          <w:rPr>
            <w:webHidden/>
          </w:rPr>
          <w:fldChar w:fldCharType="end"/>
        </w:r>
      </w:hyperlink>
    </w:p>
    <w:p w:rsidR="006C39E6" w:rsidRPr="006C39E6" w:rsidRDefault="006C39E6" w:rsidP="006C39E6">
      <w:pPr>
        <w:rPr>
          <w:rFonts w:eastAsiaTheme="minorEastAsia"/>
          <w:noProof/>
        </w:rPr>
      </w:pPr>
    </w:p>
    <w:p w:rsidR="00887BE0" w:rsidRDefault="004D484F">
      <w:pPr>
        <w:pStyle w:val="TOC1"/>
        <w:rPr>
          <w:rFonts w:asciiTheme="minorHAnsi" w:eastAsiaTheme="minorEastAsia" w:hAnsiTheme="minorHAnsi" w:cstheme="minorBidi"/>
          <w:caps w:val="0"/>
          <w:sz w:val="22"/>
          <w:szCs w:val="22"/>
        </w:rPr>
      </w:pPr>
      <w:hyperlink w:anchor="_Toc386103312" w:history="1">
        <w:r w:rsidR="00887BE0" w:rsidRPr="005B27BD">
          <w:rPr>
            <w:rStyle w:val="Hyperlink"/>
          </w:rPr>
          <w:t>DEVELOPMENTS IN 2014</w:t>
        </w:r>
        <w:r w:rsidR="00887BE0">
          <w:rPr>
            <w:webHidden/>
          </w:rPr>
          <w:tab/>
        </w:r>
        <w:r w:rsidR="00887BE0">
          <w:rPr>
            <w:webHidden/>
          </w:rPr>
          <w:fldChar w:fldCharType="begin"/>
        </w:r>
        <w:r w:rsidR="00887BE0">
          <w:rPr>
            <w:webHidden/>
          </w:rPr>
          <w:instrText xml:space="preserve"> PAGEREF _Toc386103312 \h </w:instrText>
        </w:r>
        <w:r w:rsidR="00887BE0">
          <w:rPr>
            <w:webHidden/>
          </w:rPr>
        </w:r>
        <w:r w:rsidR="00887BE0">
          <w:rPr>
            <w:webHidden/>
          </w:rPr>
          <w:fldChar w:fldCharType="separate"/>
        </w:r>
        <w:r>
          <w:rPr>
            <w:webHidden/>
          </w:rPr>
          <w:t>3</w:t>
        </w:r>
        <w:r w:rsidR="00887BE0">
          <w:rPr>
            <w:webHidden/>
          </w:rPr>
          <w:fldChar w:fldCharType="end"/>
        </w:r>
      </w:hyperlink>
    </w:p>
    <w:p w:rsidR="00887BE0" w:rsidRDefault="004D484F">
      <w:pPr>
        <w:pStyle w:val="TOC2"/>
        <w:rPr>
          <w:rStyle w:val="Hyperlink"/>
        </w:rPr>
      </w:pPr>
      <w:hyperlink w:anchor="_Toc386103313" w:history="1">
        <w:r w:rsidR="00887BE0" w:rsidRPr="005B27BD">
          <w:rPr>
            <w:rStyle w:val="Hyperlink"/>
          </w:rPr>
          <w:t>Technical Committee</w:t>
        </w:r>
        <w:r w:rsidR="00887BE0">
          <w:rPr>
            <w:webHidden/>
          </w:rPr>
          <w:tab/>
        </w:r>
        <w:r w:rsidR="00887BE0">
          <w:rPr>
            <w:webHidden/>
          </w:rPr>
          <w:fldChar w:fldCharType="begin"/>
        </w:r>
        <w:r w:rsidR="00887BE0">
          <w:rPr>
            <w:webHidden/>
          </w:rPr>
          <w:instrText xml:space="preserve"> PAGEREF _Toc386103313 \h </w:instrText>
        </w:r>
        <w:r w:rsidR="00887BE0">
          <w:rPr>
            <w:webHidden/>
          </w:rPr>
        </w:r>
        <w:r w:rsidR="00887BE0">
          <w:rPr>
            <w:webHidden/>
          </w:rPr>
          <w:fldChar w:fldCharType="separate"/>
        </w:r>
        <w:r>
          <w:rPr>
            <w:webHidden/>
          </w:rPr>
          <w:t>3</w:t>
        </w:r>
        <w:r w:rsidR="00887BE0">
          <w:rPr>
            <w:webHidden/>
          </w:rPr>
          <w:fldChar w:fldCharType="end"/>
        </w:r>
      </w:hyperlink>
    </w:p>
    <w:p w:rsidR="006C39E6" w:rsidRPr="006C39E6" w:rsidRDefault="006C39E6" w:rsidP="006C39E6">
      <w:pPr>
        <w:rPr>
          <w:rFonts w:eastAsiaTheme="minorEastAsia"/>
          <w:noProof/>
        </w:rPr>
      </w:pPr>
    </w:p>
    <w:p w:rsidR="00887BE0" w:rsidRDefault="004D484F">
      <w:pPr>
        <w:pStyle w:val="TOC1"/>
        <w:rPr>
          <w:rFonts w:asciiTheme="minorHAnsi" w:eastAsiaTheme="minorEastAsia" w:hAnsiTheme="minorHAnsi" w:cstheme="minorBidi"/>
          <w:caps w:val="0"/>
          <w:sz w:val="22"/>
          <w:szCs w:val="22"/>
        </w:rPr>
      </w:pPr>
      <w:hyperlink w:anchor="_Toc386103314" w:history="1">
        <w:r w:rsidR="00887BE0" w:rsidRPr="005B27BD">
          <w:rPr>
            <w:rStyle w:val="Hyperlink"/>
          </w:rPr>
          <w:t>Summary of approaches</w:t>
        </w:r>
        <w:r w:rsidR="00887BE0">
          <w:rPr>
            <w:webHidden/>
          </w:rPr>
          <w:tab/>
        </w:r>
        <w:r w:rsidR="00887BE0">
          <w:rPr>
            <w:webHidden/>
          </w:rPr>
          <w:fldChar w:fldCharType="begin"/>
        </w:r>
        <w:r w:rsidR="00887BE0">
          <w:rPr>
            <w:webHidden/>
          </w:rPr>
          <w:instrText xml:space="preserve"> PAGEREF _Toc386103314 \h </w:instrText>
        </w:r>
        <w:r w:rsidR="00887BE0">
          <w:rPr>
            <w:webHidden/>
          </w:rPr>
        </w:r>
        <w:r w:rsidR="00887BE0">
          <w:rPr>
            <w:webHidden/>
          </w:rPr>
          <w:fldChar w:fldCharType="separate"/>
        </w:r>
        <w:r>
          <w:rPr>
            <w:webHidden/>
          </w:rPr>
          <w:t>3</w:t>
        </w:r>
        <w:r w:rsidR="00887BE0">
          <w:rPr>
            <w:webHidden/>
          </w:rPr>
          <w:fldChar w:fldCharType="end"/>
        </w:r>
      </w:hyperlink>
    </w:p>
    <w:p w:rsidR="00DF474C" w:rsidRDefault="0001259A" w:rsidP="00AB530F">
      <w:pPr>
        <w:rPr>
          <w:snapToGrid w:val="0"/>
        </w:rPr>
      </w:pPr>
      <w:r>
        <w:rPr>
          <w:snapToGrid w:val="0"/>
        </w:rPr>
        <w:fldChar w:fldCharType="end"/>
      </w:r>
    </w:p>
    <w:p w:rsidR="009E29F7" w:rsidRDefault="009E29F7" w:rsidP="009E29F7">
      <w:pPr>
        <w:autoSpaceDE w:val="0"/>
        <w:autoSpaceDN w:val="0"/>
        <w:adjustRightInd w:val="0"/>
        <w:spacing w:before="60"/>
        <w:jc w:val="left"/>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r>
      <w:r>
        <w:rPr>
          <w:rFonts w:eastAsia="MS Mincho"/>
          <w:color w:val="000000"/>
          <w:szCs w:val="24"/>
          <w:lang w:eastAsia="ja-JP"/>
        </w:rPr>
        <w:tab/>
        <w:t>Situation A: Two Growing Cycles in a single location</w:t>
      </w:r>
    </w:p>
    <w:p w:rsidR="009E29F7"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9E29F7"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9E29F7" w:rsidRPr="00ED3415"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IV:</w:t>
      </w:r>
      <w:r>
        <w:rPr>
          <w:rFonts w:eastAsia="MS Mincho"/>
          <w:color w:val="000000"/>
          <w:szCs w:val="24"/>
          <w:lang w:eastAsia="ja-JP"/>
        </w:rPr>
        <w:tab/>
        <w:t xml:space="preserve">Situation D: Assessing sub-samples within a single test/trial </w:t>
      </w:r>
    </w:p>
    <w:p w:rsidR="00B40556" w:rsidRPr="00B40556" w:rsidRDefault="00B40556" w:rsidP="00B40556">
      <w:r>
        <w:rPr>
          <w:rFonts w:eastAsia="MS Mincho"/>
          <w:color w:val="000000"/>
          <w:szCs w:val="24"/>
          <w:lang w:eastAsia="ja-JP"/>
        </w:rPr>
        <w:t>ANNEX V:</w:t>
      </w:r>
      <w:r>
        <w:rPr>
          <w:rFonts w:eastAsia="MS Mincho"/>
          <w:color w:val="000000"/>
          <w:szCs w:val="24"/>
          <w:lang w:eastAsia="ja-JP"/>
        </w:rPr>
        <w:tab/>
      </w:r>
      <w:r>
        <w:rPr>
          <w:rFonts w:eastAsia="MS Mincho"/>
          <w:color w:val="000000"/>
          <w:szCs w:val="24"/>
          <w:lang w:eastAsia="ja-JP"/>
        </w:rPr>
        <w:tab/>
      </w:r>
      <w:r w:rsidRPr="00B40556">
        <w:t>Use of a stepwise approach in the off-type procedure within the same growing cycle</w:t>
      </w:r>
    </w:p>
    <w:p w:rsidR="009E29F7" w:rsidRPr="00D65E68" w:rsidRDefault="009E29F7" w:rsidP="009E29F7">
      <w:pPr>
        <w:pStyle w:val="Heading1"/>
        <w:rPr>
          <w:rFonts w:eastAsia="MS Mincho"/>
          <w:lang w:eastAsia="ja-JP"/>
        </w:rPr>
      </w:pPr>
      <w:bookmarkStart w:id="6" w:name="_Toc380150989"/>
      <w:bookmarkStart w:id="7" w:name="_Toc386103305"/>
      <w:r w:rsidRPr="00D65E68">
        <w:rPr>
          <w:rFonts w:eastAsia="MS Mincho"/>
          <w:lang w:eastAsia="ja-JP"/>
        </w:rPr>
        <w:lastRenderedPageBreak/>
        <w:t>BAC</w:t>
      </w:r>
      <w:r>
        <w:rPr>
          <w:rFonts w:eastAsia="MS Mincho"/>
          <w:lang w:eastAsia="ja-JP"/>
        </w:rPr>
        <w:t>K</w:t>
      </w:r>
      <w:r w:rsidRPr="00D65E68">
        <w:rPr>
          <w:rFonts w:eastAsia="MS Mincho"/>
          <w:lang w:eastAsia="ja-JP"/>
        </w:rPr>
        <w:t>GROUND</w:t>
      </w:r>
      <w:bookmarkEnd w:id="6"/>
      <w:bookmarkEnd w:id="7"/>
    </w:p>
    <w:p w:rsidR="009E29F7" w:rsidRPr="00D65E68" w:rsidRDefault="009E29F7" w:rsidP="009E29F7">
      <w:pPr>
        <w:keepNext/>
        <w:autoSpaceDE w:val="0"/>
        <w:autoSpaceDN w:val="0"/>
        <w:adjustRightInd w:val="0"/>
        <w:rPr>
          <w:rFonts w:eastAsia="MS Mincho"/>
          <w:color w:val="000000"/>
          <w:szCs w:val="24"/>
          <w:lang w:eastAsia="ja-JP"/>
        </w:rPr>
      </w:pPr>
    </w:p>
    <w:p w:rsidR="009E29F7" w:rsidRDefault="009E29F7" w:rsidP="009E29F7">
      <w:r w:rsidRPr="005623A7">
        <w:fldChar w:fldCharType="begin"/>
      </w:r>
      <w:r w:rsidRPr="005623A7">
        <w:instrText xml:space="preserve"> AUTONUM  </w:instrText>
      </w:r>
      <w:r w:rsidRPr="005623A7">
        <w:fldChar w:fldCharType="end"/>
      </w:r>
      <w:r>
        <w:tab/>
      </w:r>
      <w:r>
        <w:rPr>
          <w:szCs w:val="24"/>
        </w:rPr>
        <w:t>The complete background to this matter is provided in document</w:t>
      </w:r>
      <w:r w:rsidR="0039542E">
        <w:rPr>
          <w:szCs w:val="24"/>
        </w:rPr>
        <w:t>s</w:t>
      </w:r>
      <w:r>
        <w:rPr>
          <w:szCs w:val="24"/>
        </w:rPr>
        <w:t xml:space="preserve"> </w:t>
      </w:r>
      <w:r w:rsidRPr="00C9295B">
        <w:rPr>
          <w:szCs w:val="24"/>
        </w:rPr>
        <w:t>T</w:t>
      </w:r>
      <w:r>
        <w:rPr>
          <w:szCs w:val="24"/>
        </w:rPr>
        <w:t>C</w:t>
      </w:r>
      <w:r w:rsidRPr="00C9295B">
        <w:rPr>
          <w:szCs w:val="24"/>
        </w:rPr>
        <w:t>/4</w:t>
      </w:r>
      <w:r>
        <w:rPr>
          <w:szCs w:val="24"/>
        </w:rPr>
        <w:t>8</w:t>
      </w:r>
      <w:r w:rsidRPr="00C9295B">
        <w:rPr>
          <w:szCs w:val="24"/>
        </w:rPr>
        <w:t>/</w:t>
      </w:r>
      <w:r>
        <w:rPr>
          <w:szCs w:val="24"/>
        </w:rPr>
        <w:t>14 “</w:t>
      </w:r>
      <w:r>
        <w:t>Assessing Uniformity by Off-Types on the Basis of More than One Sample or Sub-Sample”</w:t>
      </w:r>
      <w:r w:rsidR="0039542E">
        <w:t xml:space="preserve"> and TC/50/12 “Assessing Uniformity by Off-Types on the Basis of More than One Sample or Sub-Sample”</w:t>
      </w:r>
      <w:r>
        <w:t>.</w:t>
      </w:r>
    </w:p>
    <w:p w:rsidR="0039542E" w:rsidRPr="0013283F" w:rsidRDefault="0039542E" w:rsidP="009E29F7"/>
    <w:p w:rsidR="009E29F7" w:rsidRDefault="009E29F7" w:rsidP="009E29F7">
      <w:pPr>
        <w:pStyle w:val="Heading1"/>
      </w:pPr>
      <w:bookmarkStart w:id="8" w:name="_Toc380150996"/>
      <w:bookmarkStart w:id="9" w:name="_Toc386103306"/>
      <w:r>
        <w:t xml:space="preserve">DEVELOPMENTS IN </w:t>
      </w:r>
      <w:r w:rsidR="002221FD">
        <w:t xml:space="preserve">THE TECHNICAL WORKING PARTIES IN </w:t>
      </w:r>
      <w:r>
        <w:t>2013</w:t>
      </w:r>
      <w:bookmarkEnd w:id="8"/>
      <w:bookmarkEnd w:id="9"/>
    </w:p>
    <w:p w:rsidR="009E29F7" w:rsidRDefault="009E29F7" w:rsidP="009E29F7">
      <w:pPr>
        <w:keepNext/>
      </w:pPr>
    </w:p>
    <w:p w:rsidR="009E29F7" w:rsidRDefault="009E29F7" w:rsidP="009E29F7">
      <w:pPr>
        <w:pStyle w:val="Heading2"/>
        <w:rPr>
          <w:rFonts w:eastAsia="MS Mincho"/>
          <w:lang w:eastAsia="ja-JP"/>
        </w:rPr>
      </w:pPr>
      <w:bookmarkStart w:id="10" w:name="_Toc380150998"/>
      <w:bookmarkStart w:id="11" w:name="_Toc386103307"/>
      <w:r w:rsidRPr="00FA78B5">
        <w:rPr>
          <w:rFonts w:eastAsia="MS Mincho"/>
          <w:lang w:eastAsia="ja-JP"/>
        </w:rPr>
        <w:t>Technical Working Party for Ornamental Plants and Forest Trees</w:t>
      </w:r>
      <w:bookmarkEnd w:id="10"/>
      <w:bookmarkEnd w:id="11"/>
      <w:r w:rsidRPr="00FA78B5">
        <w:rPr>
          <w:rFonts w:eastAsia="MS Mincho"/>
          <w:lang w:eastAsia="ja-JP"/>
        </w:rPr>
        <w:t xml:space="preserve"> </w:t>
      </w:r>
    </w:p>
    <w:p w:rsidR="009E29F7" w:rsidRPr="00ED3415" w:rsidRDefault="009E29F7" w:rsidP="009E29F7">
      <w:pPr>
        <w:pStyle w:val="Heading2"/>
        <w:rPr>
          <w:rFonts w:eastAsia="MS Mincho"/>
          <w:lang w:eastAsia="ja-JP"/>
        </w:rPr>
      </w:pPr>
      <w:bookmarkStart w:id="12" w:name="_Toc380150999"/>
      <w:bookmarkStart w:id="13" w:name="_Toc386103308"/>
      <w:r w:rsidRPr="00ED3415">
        <w:rPr>
          <w:rFonts w:eastAsia="MS Mincho"/>
          <w:lang w:eastAsia="ja-JP"/>
        </w:rPr>
        <w:t xml:space="preserve">Technical Working Party </w:t>
      </w:r>
      <w:r>
        <w:rPr>
          <w:rFonts w:eastAsia="MS Mincho"/>
          <w:lang w:eastAsia="ja-JP"/>
        </w:rPr>
        <w:t>for</w:t>
      </w:r>
      <w:r w:rsidRPr="00ED3415">
        <w:rPr>
          <w:rFonts w:eastAsia="MS Mincho"/>
          <w:lang w:eastAsia="ja-JP"/>
        </w:rPr>
        <w:t xml:space="preserve"> Fruit Crops</w:t>
      </w:r>
      <w:bookmarkEnd w:id="12"/>
      <w:bookmarkEnd w:id="13"/>
      <w:r w:rsidRPr="00ED3415">
        <w:rPr>
          <w:rFonts w:eastAsia="MS Mincho"/>
          <w:lang w:eastAsia="ja-JP"/>
        </w:rPr>
        <w:t xml:space="preserve"> </w:t>
      </w:r>
    </w:p>
    <w:p w:rsidR="009E29F7" w:rsidRDefault="009E29F7" w:rsidP="009E29F7">
      <w:pPr>
        <w:rPr>
          <w:rFonts w:eastAsia="MS Mincho"/>
          <w:lang w:eastAsia="ja-JP"/>
        </w:rPr>
      </w:pPr>
    </w:p>
    <w:p w:rsidR="009E29F7" w:rsidRDefault="009E29F7" w:rsidP="0039542E">
      <w:pPr>
        <w:rPr>
          <w:rFonts w:eastAsia="MS Mincho"/>
          <w:lang w:eastAsia="ja-JP"/>
        </w:rPr>
      </w:pPr>
      <w:r>
        <w:fldChar w:fldCharType="begin"/>
      </w:r>
      <w:r>
        <w:instrText xml:space="preserve"> AUTONUM  </w:instrText>
      </w:r>
      <w:r>
        <w:fldChar w:fldCharType="end"/>
      </w:r>
      <w:r>
        <w:tab/>
      </w:r>
      <w:r w:rsidRPr="00143E49">
        <w:t xml:space="preserve">The TWO </w:t>
      </w:r>
      <w:r>
        <w:t xml:space="preserve">and the TWF </w:t>
      </w:r>
      <w:r w:rsidR="0039542E">
        <w:rPr>
          <w:rFonts w:eastAsia="MS Mincho"/>
        </w:rPr>
        <w:t>noted the information in</w:t>
      </w:r>
      <w:r w:rsidRPr="00143E49">
        <w:rPr>
          <w:rFonts w:eastAsia="MS Mincho"/>
        </w:rPr>
        <w:t xml:space="preserve"> document</w:t>
      </w:r>
      <w:r>
        <w:rPr>
          <w:rFonts w:eastAsia="MS Mincho"/>
        </w:rPr>
        <w:t>s</w:t>
      </w:r>
      <w:r w:rsidRPr="00143E49">
        <w:rPr>
          <w:rFonts w:eastAsia="MS Mincho"/>
        </w:rPr>
        <w:t xml:space="preserve"> TWO/46/22 Rev. and </w:t>
      </w:r>
      <w:r>
        <w:rPr>
          <w:rFonts w:eastAsia="MS Mincho"/>
        </w:rPr>
        <w:t xml:space="preserve">TWF/44/22, respectively </w:t>
      </w:r>
      <w:r w:rsidRPr="00100526">
        <w:rPr>
          <w:rFonts w:cs="Arial"/>
        </w:rPr>
        <w:t>(see document</w:t>
      </w:r>
      <w:r>
        <w:rPr>
          <w:rFonts w:cs="Arial"/>
        </w:rPr>
        <w:t>s</w:t>
      </w:r>
      <w:r w:rsidRPr="00100526">
        <w:rPr>
          <w:rFonts w:cs="Arial"/>
        </w:rPr>
        <w:t xml:space="preserve">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63, and TWF/44/31 “Report”, paragraph 61</w:t>
      </w:r>
      <w:r w:rsidRPr="00100526">
        <w:rPr>
          <w:rFonts w:cs="Arial"/>
        </w:rPr>
        <w:t>)</w:t>
      </w:r>
      <w:r w:rsidR="0039542E">
        <w:rPr>
          <w:rFonts w:cs="Arial"/>
        </w:rPr>
        <w:t xml:space="preserve">. </w:t>
      </w:r>
    </w:p>
    <w:p w:rsidR="009E29F7" w:rsidRDefault="009E29F7" w:rsidP="009E29F7">
      <w:pPr>
        <w:rPr>
          <w:caps/>
        </w:rPr>
      </w:pPr>
    </w:p>
    <w:p w:rsidR="009E29F7" w:rsidRDefault="009E29F7" w:rsidP="009E29F7">
      <w:pPr>
        <w:pStyle w:val="Heading2"/>
        <w:rPr>
          <w:lang w:eastAsia="de-DE" w:bidi="de-DE"/>
        </w:rPr>
      </w:pPr>
      <w:bookmarkStart w:id="14" w:name="_Toc380151000"/>
      <w:bookmarkStart w:id="15" w:name="_Toc386103309"/>
      <w:r w:rsidRPr="001576B7">
        <w:rPr>
          <w:lang w:eastAsia="de-DE" w:bidi="de-DE"/>
        </w:rPr>
        <w:t>Technical Working Party for Vegetables</w:t>
      </w:r>
      <w:bookmarkEnd w:id="14"/>
      <w:bookmarkEnd w:id="15"/>
      <w:r w:rsidRPr="001576B7">
        <w:rPr>
          <w:lang w:eastAsia="de-DE" w:bidi="de-DE"/>
        </w:rPr>
        <w:t xml:space="preserve"> </w:t>
      </w:r>
    </w:p>
    <w:p w:rsidR="009E29F7" w:rsidRDefault="009E29F7" w:rsidP="009E29F7">
      <w:pPr>
        <w:rPr>
          <w:caps/>
        </w:rPr>
      </w:pPr>
    </w:p>
    <w:p w:rsidR="009E29F7" w:rsidRPr="004B761D" w:rsidRDefault="009E29F7" w:rsidP="009E29F7">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rFonts w:cs="Arial"/>
          <w:caps w:val="0"/>
        </w:rPr>
        <w:t xml:space="preserve">The TWV considered document </w:t>
      </w:r>
      <w:r w:rsidRPr="004B761D">
        <w:t>TWV/47/22</w:t>
      </w:r>
      <w:r w:rsidRPr="004B761D">
        <w:rPr>
          <w:rFonts w:cs="Arial"/>
          <w:caps w:val="0"/>
        </w:rPr>
        <w:t xml:space="preserve"> </w:t>
      </w:r>
      <w:r w:rsidRPr="00EA1A1B">
        <w:rPr>
          <w:rFonts w:cs="Arial"/>
          <w:caps w:val="0"/>
        </w:rPr>
        <w:t>(see documents TW</w:t>
      </w:r>
      <w:r>
        <w:rPr>
          <w:rFonts w:cs="Arial"/>
          <w:caps w:val="0"/>
        </w:rPr>
        <w:t>V</w:t>
      </w:r>
      <w:r w:rsidRPr="00EA1A1B">
        <w:rPr>
          <w:rFonts w:cs="Arial"/>
          <w:caps w:val="0"/>
        </w:rPr>
        <w:t>/</w:t>
      </w:r>
      <w:r>
        <w:rPr>
          <w:rFonts w:cs="Arial"/>
          <w:caps w:val="0"/>
        </w:rPr>
        <w:t>47</w:t>
      </w:r>
      <w:r w:rsidRPr="00EA1A1B">
        <w:rPr>
          <w:rFonts w:cs="Arial"/>
          <w:caps w:val="0"/>
        </w:rPr>
        <w:t>/</w:t>
      </w:r>
      <w:r>
        <w:rPr>
          <w:rFonts w:cs="Arial"/>
          <w:caps w:val="0"/>
        </w:rPr>
        <w:t>34</w:t>
      </w:r>
      <w:r w:rsidRPr="00EA1A1B">
        <w:rPr>
          <w:rFonts w:cs="Arial"/>
          <w:caps w:val="0"/>
        </w:rPr>
        <w:t xml:space="preserve"> “Report”, paragraph</w:t>
      </w:r>
      <w:r>
        <w:rPr>
          <w:rFonts w:cs="Arial"/>
          <w:caps w:val="0"/>
        </w:rPr>
        <w:t>s</w:t>
      </w:r>
      <w:r w:rsidRPr="00EA1A1B">
        <w:rPr>
          <w:rFonts w:cs="Arial"/>
          <w:caps w:val="0"/>
        </w:rPr>
        <w:t xml:space="preserve"> 6</w:t>
      </w:r>
      <w:r>
        <w:rPr>
          <w:rFonts w:cs="Arial"/>
          <w:caps w:val="0"/>
        </w:rPr>
        <w:t>2 to</w:t>
      </w:r>
      <w:r w:rsidR="00887BE0">
        <w:rPr>
          <w:rFonts w:cs="Arial"/>
          <w:caps w:val="0"/>
        </w:rPr>
        <w:t> </w:t>
      </w:r>
      <w:r>
        <w:rPr>
          <w:rFonts w:cs="Arial"/>
          <w:caps w:val="0"/>
        </w:rPr>
        <w:t>64</w:t>
      </w:r>
      <w:r w:rsidRPr="00EA1A1B">
        <w:rPr>
          <w:rFonts w:cs="Arial"/>
          <w:caps w:val="0"/>
        </w:rPr>
        <w:t>)</w:t>
      </w:r>
      <w:r w:rsidR="0039542E">
        <w:rPr>
          <w:rFonts w:cs="Arial"/>
          <w:caps w:val="0"/>
        </w:rPr>
        <w:t>.</w:t>
      </w:r>
    </w:p>
    <w:p w:rsidR="009E29F7" w:rsidRPr="004B761D" w:rsidRDefault="009E29F7" w:rsidP="009E29F7">
      <w:pPr>
        <w:ind w:firstLine="540"/>
        <w:rPr>
          <w:rFonts w:eastAsia="MS Mincho"/>
        </w:rPr>
      </w:pPr>
    </w:p>
    <w:p w:rsidR="009E29F7" w:rsidRPr="00700478" w:rsidRDefault="009E29F7" w:rsidP="009E29F7">
      <w:pPr>
        <w:pStyle w:val="Titleofdoc0"/>
        <w:spacing w:before="0"/>
        <w:jc w:val="both"/>
        <w:rPr>
          <w:caps w:val="0"/>
        </w:rPr>
      </w:pPr>
      <w:r w:rsidRPr="004B761D">
        <w:fldChar w:fldCharType="begin"/>
      </w:r>
      <w:r w:rsidRPr="004B761D">
        <w:instrText xml:space="preserve"> AUTONUM  </w:instrText>
      </w:r>
      <w:r w:rsidRPr="004B761D">
        <w:fldChar w:fldCharType="end"/>
      </w:r>
      <w:r w:rsidRPr="004B761D">
        <w:tab/>
        <w:t>T</w:t>
      </w:r>
      <w:r w:rsidRPr="004B761D">
        <w:rPr>
          <w:caps w:val="0"/>
        </w:rPr>
        <w:t xml:space="preserve">he TWV noted that with regard to </w:t>
      </w:r>
      <w:r w:rsidRPr="00700478">
        <w:rPr>
          <w:caps w:val="0"/>
        </w:rPr>
        <w:t xml:space="preserve">the situation B, as set out in Annex II of document TWV/47/22, the expert from France indicated that France was now considering each cycle to be independent and was no longer combining the results of two locations, therefore the reference to France and cauliflower was no longer appropriate and that the text should be amended </w:t>
      </w:r>
      <w:r w:rsidR="0039542E">
        <w:rPr>
          <w:caps w:val="0"/>
        </w:rPr>
        <w:t>accordingly.</w:t>
      </w:r>
    </w:p>
    <w:p w:rsidR="009E29F7" w:rsidRDefault="009E29F7" w:rsidP="009E29F7">
      <w:pPr>
        <w:pStyle w:val="Titleofdoc0"/>
        <w:spacing w:before="0"/>
        <w:jc w:val="both"/>
        <w:rPr>
          <w:rFonts w:cs="Arial"/>
          <w:caps w:val="0"/>
        </w:rPr>
      </w:pPr>
    </w:p>
    <w:p w:rsidR="009E29F7" w:rsidRDefault="009E29F7" w:rsidP="009E29F7">
      <w:pPr>
        <w:pStyle w:val="Titleofdoc0"/>
        <w:spacing w:before="0"/>
        <w:jc w:val="both"/>
        <w:rPr>
          <w:caps w:val="0"/>
        </w:rPr>
      </w:pPr>
      <w:r w:rsidRPr="00700478">
        <w:fldChar w:fldCharType="begin"/>
      </w:r>
      <w:r w:rsidRPr="00700478">
        <w:instrText xml:space="preserve"> AUTONUM  </w:instrText>
      </w:r>
      <w:r w:rsidRPr="00700478">
        <w:fldChar w:fldCharType="end"/>
      </w:r>
      <w:r w:rsidRPr="00700478">
        <w:tab/>
        <w:t>T</w:t>
      </w:r>
      <w:r w:rsidRPr="00700478">
        <w:rPr>
          <w:caps w:val="0"/>
        </w:rPr>
        <w:t>he TWV agreed that the preferred approach, for the assessment of uniformity for vegetables, was to use the individual results rather than the combined results and requested the TWC to consider the following example when considering the different approaches:</w:t>
      </w:r>
    </w:p>
    <w:p w:rsidR="001823D1" w:rsidRPr="00700478" w:rsidRDefault="001823D1" w:rsidP="009E29F7">
      <w:pPr>
        <w:pStyle w:val="Titleofdoc0"/>
        <w:spacing w:before="0"/>
        <w:jc w:val="both"/>
        <w:rPr>
          <w:caps w:val="0"/>
        </w:rPr>
      </w:pPr>
    </w:p>
    <w:p w:rsidR="009E29F7" w:rsidRPr="00700478" w:rsidRDefault="009E29F7" w:rsidP="009E29F7">
      <w:pPr>
        <w:pStyle w:val="Titleofdoc0"/>
        <w:spacing w:before="0"/>
        <w:ind w:left="567"/>
        <w:jc w:val="both"/>
        <w:rPr>
          <w:caps w:val="0"/>
        </w:rPr>
      </w:pPr>
      <w:r w:rsidRPr="00700478">
        <w:rPr>
          <w:caps w:val="0"/>
        </w:rPr>
        <w:t xml:space="preserve">Trial 1: 50 plants / 2 off-types </w:t>
      </w:r>
      <w:r w:rsidRPr="00700478">
        <w:rPr>
          <w:caps w:val="0"/>
        </w:rPr>
        <w:tab/>
      </w:r>
      <w:r w:rsidRPr="00700478">
        <w:rPr>
          <w:caps w:val="0"/>
        </w:rPr>
        <w:tab/>
      </w:r>
      <w:r w:rsidRPr="00700478">
        <w:rPr>
          <w:rFonts w:cs="Arial"/>
          <w:caps w:val="0"/>
        </w:rPr>
        <w:t>→</w:t>
      </w:r>
      <w:r w:rsidRPr="00700478">
        <w:rPr>
          <w:caps w:val="0"/>
        </w:rPr>
        <w:tab/>
        <w:t>the variety is considered 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9E29F7" w:rsidRPr="00700478" w:rsidRDefault="009E29F7" w:rsidP="009E29F7">
      <w:pPr>
        <w:pStyle w:val="Titleofdoc0"/>
        <w:spacing w:before="0"/>
        <w:ind w:left="567"/>
        <w:jc w:val="both"/>
        <w:rPr>
          <w:caps w:val="0"/>
        </w:rPr>
      </w:pPr>
    </w:p>
    <w:p w:rsidR="009E29F7" w:rsidRPr="00700478" w:rsidRDefault="009E29F7" w:rsidP="009E29F7">
      <w:pPr>
        <w:pStyle w:val="Titleofdoc0"/>
        <w:spacing w:before="0"/>
        <w:ind w:left="567"/>
        <w:jc w:val="both"/>
        <w:rPr>
          <w:caps w:val="0"/>
        </w:rPr>
      </w:pPr>
      <w:r w:rsidRPr="00700478">
        <w:rPr>
          <w:caps w:val="0"/>
        </w:rPr>
        <w:t xml:space="preserve">Trial 2: 50 plants / 2 off-types </w:t>
      </w:r>
      <w:r w:rsidRPr="00700478">
        <w:rPr>
          <w:caps w:val="0"/>
        </w:rPr>
        <w:tab/>
      </w:r>
      <w:r w:rsidRPr="00700478">
        <w:rPr>
          <w:caps w:val="0"/>
        </w:rPr>
        <w:tab/>
      </w:r>
      <w:r w:rsidRPr="00700478">
        <w:rPr>
          <w:rFonts w:cs="Arial"/>
          <w:caps w:val="0"/>
        </w:rPr>
        <w:t>→</w:t>
      </w:r>
      <w:r w:rsidRPr="00700478">
        <w:rPr>
          <w:caps w:val="0"/>
        </w:rPr>
        <w:t xml:space="preserve"> </w:t>
      </w:r>
      <w:r w:rsidRPr="00700478">
        <w:rPr>
          <w:caps w:val="0"/>
        </w:rPr>
        <w:tab/>
        <w:t>the variety is considered 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9E29F7" w:rsidRPr="00700478" w:rsidRDefault="009E29F7" w:rsidP="009E29F7">
      <w:pPr>
        <w:pStyle w:val="Titleofdoc0"/>
        <w:spacing w:before="0"/>
        <w:jc w:val="both"/>
        <w:rPr>
          <w:caps w:val="0"/>
        </w:rPr>
      </w:pPr>
    </w:p>
    <w:p w:rsidR="009E29F7" w:rsidRPr="00700478" w:rsidRDefault="009E29F7" w:rsidP="009E29F7">
      <w:pPr>
        <w:pStyle w:val="Titleofdoc0"/>
        <w:spacing w:before="0"/>
        <w:ind w:left="567"/>
        <w:jc w:val="both"/>
        <w:rPr>
          <w:caps w:val="0"/>
        </w:rPr>
      </w:pPr>
      <w:r w:rsidRPr="00700478">
        <w:rPr>
          <w:caps w:val="0"/>
        </w:rPr>
        <w:t>Trial 1+2: 100 plants/ 4 off-types</w:t>
      </w:r>
      <w:r w:rsidRPr="00700478">
        <w:rPr>
          <w:caps w:val="0"/>
        </w:rPr>
        <w:tab/>
      </w:r>
      <w:r w:rsidRPr="00700478">
        <w:rPr>
          <w:rFonts w:cs="Arial"/>
          <w:caps w:val="0"/>
        </w:rPr>
        <w:t>→</w:t>
      </w:r>
      <w:r w:rsidRPr="00700478">
        <w:rPr>
          <w:caps w:val="0"/>
        </w:rPr>
        <w:t xml:space="preserve"> </w:t>
      </w:r>
      <w:r w:rsidRPr="00700478">
        <w:rPr>
          <w:caps w:val="0"/>
        </w:rPr>
        <w:tab/>
        <w:t>the variety is considered non-uniform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83 to 130 plants)</w:t>
      </w:r>
    </w:p>
    <w:p w:rsidR="009E29F7" w:rsidRPr="00700478" w:rsidRDefault="009E29F7" w:rsidP="009E29F7">
      <w:pPr>
        <w:pStyle w:val="Titleofdoc0"/>
        <w:spacing w:before="0"/>
        <w:jc w:val="both"/>
        <w:rPr>
          <w:caps w:val="0"/>
        </w:rPr>
      </w:pPr>
    </w:p>
    <w:p w:rsidR="009E29F7" w:rsidRDefault="009E29F7" w:rsidP="009E29F7">
      <w:pPr>
        <w:pStyle w:val="Titleofdoc0"/>
        <w:spacing w:before="0"/>
        <w:jc w:val="both"/>
        <w:rPr>
          <w:caps w:val="0"/>
        </w:rPr>
      </w:pPr>
      <w:r w:rsidRPr="00700478">
        <w:rPr>
          <w:caps w:val="0"/>
        </w:rPr>
        <w:t>If the two trials are considered independent, the variety is considered to be uniform. If the two trials are combined, the variety is considered not uniform.</w:t>
      </w:r>
    </w:p>
    <w:p w:rsidR="009E29F7" w:rsidRDefault="009E29F7" w:rsidP="009E29F7">
      <w:pPr>
        <w:rPr>
          <w:caps/>
        </w:rPr>
      </w:pPr>
    </w:p>
    <w:p w:rsidR="009E29F7" w:rsidRPr="00ED3415" w:rsidRDefault="009E29F7" w:rsidP="009E29F7">
      <w:pPr>
        <w:pStyle w:val="Heading2"/>
        <w:rPr>
          <w:rFonts w:eastAsia="MS Mincho"/>
          <w:lang w:eastAsia="ja-JP"/>
        </w:rPr>
      </w:pPr>
      <w:bookmarkStart w:id="16" w:name="_Toc380151001"/>
      <w:bookmarkStart w:id="17" w:name="_Toc386103310"/>
      <w:r w:rsidRPr="00ED3415">
        <w:rPr>
          <w:rFonts w:eastAsia="MS Mincho"/>
          <w:lang w:eastAsia="ja-JP"/>
        </w:rPr>
        <w:t>Technical Working Party on Automation and Computer Programs</w:t>
      </w:r>
      <w:bookmarkEnd w:id="16"/>
      <w:bookmarkEnd w:id="17"/>
      <w:r w:rsidRPr="00ED3415">
        <w:rPr>
          <w:rFonts w:eastAsia="MS Mincho"/>
          <w:lang w:eastAsia="ja-JP"/>
        </w:rPr>
        <w:t xml:space="preserve"> </w:t>
      </w:r>
    </w:p>
    <w:p w:rsidR="009E29F7" w:rsidRDefault="009E29F7" w:rsidP="009E29F7">
      <w:pPr>
        <w:rPr>
          <w:caps/>
        </w:rPr>
      </w:pPr>
    </w:p>
    <w:p w:rsidR="009E29F7" w:rsidRPr="00917C3E" w:rsidRDefault="009E29F7" w:rsidP="009E29F7">
      <w:pPr>
        <w:autoSpaceDE w:val="0"/>
        <w:autoSpaceDN w:val="0"/>
        <w:adjustRightInd w:val="0"/>
        <w:ind w:left="567" w:hanging="567"/>
        <w:jc w:val="left"/>
        <w:rPr>
          <w:color w:val="000000"/>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rPr>
        <w:tab/>
        <w:t>The TWC considered document TWC/31/22.</w:t>
      </w:r>
    </w:p>
    <w:p w:rsidR="009E29F7" w:rsidRPr="00917C3E" w:rsidRDefault="009E29F7" w:rsidP="009E29F7">
      <w:pPr>
        <w:autoSpaceDE w:val="0"/>
        <w:autoSpaceDN w:val="0"/>
        <w:adjustRightInd w:val="0"/>
        <w:ind w:left="567" w:hanging="567"/>
        <w:jc w:val="left"/>
        <w:rPr>
          <w:color w:val="000000"/>
        </w:rPr>
      </w:pPr>
    </w:p>
    <w:p w:rsidR="009E29F7" w:rsidRPr="00917C3E"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szCs w:val="24"/>
        </w:rPr>
        <w:tab/>
        <w:t xml:space="preserve">The TWC noted that it had agreed that more detailed information and further analysis were needed in order to give guidance on consequences on the use of the different approaches presented in Annexes I to IV of document TWC/31/22, and that France, Germany and the Netherlands would present one or more concrete situations in their countries and the statistical basis of their analysis for its next session. </w:t>
      </w:r>
    </w:p>
    <w:p w:rsidR="009E29F7" w:rsidRPr="00917C3E" w:rsidRDefault="009E29F7" w:rsidP="009E29F7">
      <w:pPr>
        <w:autoSpaceDE w:val="0"/>
        <w:autoSpaceDN w:val="0"/>
        <w:adjustRightInd w:val="0"/>
        <w:ind w:left="567" w:hanging="27"/>
        <w:jc w:val="left"/>
        <w:rPr>
          <w:color w:val="000000"/>
          <w:szCs w:val="24"/>
        </w:rPr>
      </w:pPr>
    </w:p>
    <w:p w:rsidR="009E29F7" w:rsidRPr="00917C3E"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considered the statistical basis for the acceptable number of off-types in the subsample of 20 plants used in the context of a sample size of 100 plants, as provided in Annex V to document TWC/31/22, which was introduced by an expert f</w:t>
      </w:r>
      <w:r>
        <w:rPr>
          <w:color w:val="000000"/>
          <w:szCs w:val="24"/>
        </w:rPr>
        <w:t>rom Germany by electronic means</w:t>
      </w:r>
      <w:r w:rsidRPr="00917C3E">
        <w:rPr>
          <w:color w:val="000000"/>
          <w:szCs w:val="24"/>
        </w:rPr>
        <w:t xml:space="preserve">. </w:t>
      </w:r>
    </w:p>
    <w:p w:rsidR="009E29F7" w:rsidRPr="00917C3E" w:rsidRDefault="009E29F7" w:rsidP="009E29F7">
      <w:pPr>
        <w:autoSpaceDE w:val="0"/>
        <w:autoSpaceDN w:val="0"/>
        <w:adjustRightInd w:val="0"/>
        <w:rPr>
          <w:color w:val="000000"/>
          <w:szCs w:val="24"/>
        </w:rPr>
      </w:pPr>
    </w:p>
    <w:p w:rsidR="009E29F7" w:rsidRPr="00917C3E" w:rsidRDefault="009E29F7" w:rsidP="009E29F7">
      <w:pPr>
        <w:autoSpaceDE w:val="0"/>
        <w:autoSpaceDN w:val="0"/>
        <w:adjustRightInd w:val="0"/>
        <w:rPr>
          <w:color w:val="000000"/>
          <w:szCs w:val="24"/>
        </w:rPr>
      </w:pPr>
      <w:r w:rsidRPr="008232BD">
        <w:rPr>
          <w:color w:val="000000"/>
          <w:szCs w:val="24"/>
        </w:rPr>
        <w:fldChar w:fldCharType="begin"/>
      </w:r>
      <w:r w:rsidRPr="008232BD">
        <w:rPr>
          <w:color w:val="000000"/>
          <w:szCs w:val="24"/>
        </w:rPr>
        <w:instrText xml:space="preserve"> AUTONUM  </w:instrText>
      </w:r>
      <w:r w:rsidRPr="008232BD">
        <w:rPr>
          <w:color w:val="000000"/>
          <w:szCs w:val="24"/>
        </w:rPr>
        <w:fldChar w:fldCharType="end"/>
      </w:r>
      <w:r w:rsidRPr="008232BD">
        <w:rPr>
          <w:color w:val="000000"/>
          <w:szCs w:val="24"/>
        </w:rPr>
        <w:tab/>
        <w:t>The TWC requested the experts from Germany to explain the Type I and Type II errors used in the statistical basis for the acceptable number of off-types in the subsample of 20 plants used in the context of a sample size of 100 plants. The TWC agreed that the statistical</w:t>
      </w:r>
      <w:r w:rsidRPr="00917C3E">
        <w:rPr>
          <w:color w:val="000000"/>
          <w:szCs w:val="24"/>
        </w:rPr>
        <w:t xml:space="preserve"> basis for this approach would continue </w:t>
      </w:r>
      <w:r>
        <w:rPr>
          <w:color w:val="000000"/>
          <w:szCs w:val="24"/>
        </w:rPr>
        <w:t xml:space="preserve">to </w:t>
      </w:r>
      <w:r w:rsidRPr="00917C3E">
        <w:rPr>
          <w:color w:val="000000"/>
          <w:szCs w:val="24"/>
        </w:rPr>
        <w:t xml:space="preserve">be discussed at its thirty-second session. The TWC agreed that it would not be appropriate to recommend this approach for other crops or sample sizes before it had agreed on the statistical basis. </w:t>
      </w:r>
    </w:p>
    <w:p w:rsidR="009E29F7" w:rsidRPr="00917C3E" w:rsidRDefault="009E29F7" w:rsidP="009E29F7">
      <w:pPr>
        <w:autoSpaceDE w:val="0"/>
        <w:autoSpaceDN w:val="0"/>
        <w:adjustRightInd w:val="0"/>
        <w:ind w:left="567" w:hanging="27"/>
        <w:jc w:val="left"/>
        <w:rPr>
          <w:color w:val="000000"/>
          <w:szCs w:val="24"/>
        </w:rPr>
      </w:pPr>
    </w:p>
    <w:p w:rsidR="009E29F7" w:rsidRPr="00917C3E" w:rsidRDefault="009E29F7" w:rsidP="009E29F7">
      <w:pPr>
        <w:autoSpaceDE w:val="0"/>
        <w:autoSpaceDN w:val="0"/>
        <w:adjustRightInd w:val="0"/>
        <w:rPr>
          <w:color w:val="000000"/>
          <w:szCs w:val="24"/>
        </w:rPr>
      </w:pPr>
      <w:r w:rsidRPr="00917C3E">
        <w:rPr>
          <w:color w:val="000000"/>
        </w:rPr>
        <w:lastRenderedPageBreak/>
        <w:fldChar w:fldCharType="begin"/>
      </w:r>
      <w:r w:rsidRPr="00917C3E">
        <w:rPr>
          <w:color w:val="000000"/>
        </w:rPr>
        <w:instrText xml:space="preserve"> AUTONUM  </w:instrText>
      </w:r>
      <w:r w:rsidRPr="00917C3E">
        <w:rPr>
          <w:color w:val="000000"/>
        </w:rPr>
        <w:fldChar w:fldCharType="end"/>
      </w:r>
      <w:r>
        <w:rPr>
          <w:color w:val="000000"/>
        </w:rPr>
        <w:tab/>
      </w:r>
      <w:r w:rsidRPr="00917C3E">
        <w:rPr>
          <w:color w:val="000000"/>
        </w:rPr>
        <w:t xml:space="preserve">The TWC </w:t>
      </w:r>
      <w:r w:rsidRPr="00917C3E">
        <w:rPr>
          <w:color w:val="000000"/>
          <w:szCs w:val="24"/>
        </w:rPr>
        <w:t>noted that, with regard to the approach combining the results from two growing cycles, as set out in Annexes I and II to document TWC/31/22, Situation A and B, the TC had agreed that care would be needed when considering results that were very different in each of the growing cycles, such as when a type of off-type was observed at a high level in one growing cycle and was absent in another growing cycle.</w:t>
      </w:r>
    </w:p>
    <w:p w:rsidR="009E29F7" w:rsidRPr="00917C3E" w:rsidRDefault="009E29F7" w:rsidP="009E29F7">
      <w:pPr>
        <w:autoSpaceDE w:val="0"/>
        <w:autoSpaceDN w:val="0"/>
        <w:adjustRightInd w:val="0"/>
        <w:ind w:left="567" w:hanging="27"/>
        <w:rPr>
          <w:color w:val="000000"/>
          <w:szCs w:val="24"/>
        </w:rPr>
      </w:pPr>
    </w:p>
    <w:p w:rsidR="009E29F7"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noted information on testing of uniformity of Apple varieties arising from mutation in</w:t>
      </w:r>
      <w:r>
        <w:rPr>
          <w:color w:val="000000"/>
          <w:szCs w:val="24"/>
        </w:rPr>
        <w:t xml:space="preserve"> New </w:t>
      </w:r>
      <w:r w:rsidRPr="00917C3E">
        <w:rPr>
          <w:color w:val="000000"/>
          <w:szCs w:val="24"/>
        </w:rPr>
        <w:t>Zealand would be presented in document TWC/31/26</w:t>
      </w:r>
      <w:r>
        <w:rPr>
          <w:color w:val="000000"/>
          <w:szCs w:val="24"/>
        </w:rPr>
        <w:t xml:space="preserve"> </w:t>
      </w:r>
      <w:r>
        <w:rPr>
          <w:rFonts w:cs="Arial"/>
        </w:rPr>
        <w:t xml:space="preserve">(see document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s 82 to 87</w:t>
      </w:r>
      <w:r w:rsidRPr="00100526">
        <w:rPr>
          <w:rFonts w:cs="Arial"/>
        </w:rPr>
        <w:t>)</w:t>
      </w:r>
      <w:r w:rsidRPr="00917C3E">
        <w:rPr>
          <w:color w:val="000000"/>
          <w:szCs w:val="24"/>
        </w:rPr>
        <w:t>.</w:t>
      </w:r>
    </w:p>
    <w:p w:rsidR="009E29F7" w:rsidRDefault="009E29F7" w:rsidP="009E29F7">
      <w:pPr>
        <w:rPr>
          <w:caps/>
        </w:rPr>
      </w:pPr>
    </w:p>
    <w:p w:rsidR="009E29F7" w:rsidRPr="00ED3415" w:rsidRDefault="009E29F7" w:rsidP="009E29F7">
      <w:pPr>
        <w:pStyle w:val="Heading2"/>
        <w:keepNext w:val="0"/>
      </w:pPr>
      <w:bookmarkStart w:id="18" w:name="_Toc380151002"/>
      <w:bookmarkStart w:id="19" w:name="_Toc386103311"/>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18"/>
      <w:bookmarkEnd w:id="19"/>
    </w:p>
    <w:p w:rsidR="009E29F7" w:rsidRDefault="009E29F7" w:rsidP="009E29F7">
      <w:pPr>
        <w:rPr>
          <w:caps/>
        </w:rPr>
      </w:pPr>
    </w:p>
    <w:p w:rsidR="009E29F7" w:rsidRPr="004B761D" w:rsidRDefault="009E29F7" w:rsidP="009E29F7">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caps w:val="0"/>
        </w:rPr>
        <w:t>The TW</w:t>
      </w:r>
      <w:r>
        <w:rPr>
          <w:caps w:val="0"/>
        </w:rPr>
        <w:t>A</w:t>
      </w:r>
      <w:r w:rsidRPr="004B761D">
        <w:rPr>
          <w:caps w:val="0"/>
        </w:rPr>
        <w:t xml:space="preserve"> considered document </w:t>
      </w:r>
      <w:r>
        <w:t>TWA/42</w:t>
      </w:r>
      <w:r w:rsidRPr="004B761D">
        <w:t>/22</w:t>
      </w:r>
      <w:r w:rsidR="0039542E">
        <w:rPr>
          <w:caps w:val="0"/>
        </w:rPr>
        <w:t>.</w:t>
      </w:r>
    </w:p>
    <w:p w:rsidR="0039542E" w:rsidRDefault="0039542E" w:rsidP="009E29F7">
      <w:pPr>
        <w:pStyle w:val="Titleofdoc0"/>
        <w:spacing w:before="0"/>
        <w:jc w:val="both"/>
        <w:rPr>
          <w:caps w:val="0"/>
        </w:rPr>
      </w:pPr>
    </w:p>
    <w:p w:rsidR="009E29F7" w:rsidRDefault="009E29F7" w:rsidP="009E29F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sidRPr="005076CA">
        <w:rPr>
          <w:caps w:val="0"/>
        </w:rPr>
        <w:tab/>
      </w:r>
      <w:r>
        <w:rPr>
          <w:caps w:val="0"/>
        </w:rPr>
        <w:t xml:space="preserve">The TWA requested the Office of the Union to further develop the Annexes to document TWA/42/22 to be presented at its forty-third session with regard to providing the information requested by the TWC for the analysis of consequences of different approaches. The TWA agreed that the experts </w:t>
      </w:r>
      <w:r w:rsidRPr="00D25E50">
        <w:rPr>
          <w:caps w:val="0"/>
        </w:rPr>
        <w:t>from France, Germany, the Netherlands and the United Kingdom,</w:t>
      </w:r>
      <w:r>
        <w:rPr>
          <w:caps w:val="0"/>
        </w:rPr>
        <w:t xml:space="preserve"> should assist the Office in the preparation of the document. </w:t>
      </w:r>
    </w:p>
    <w:p w:rsidR="009E29F7" w:rsidRDefault="009E29F7" w:rsidP="009E29F7">
      <w:pPr>
        <w:pStyle w:val="Titleofdoc0"/>
        <w:spacing w:before="0"/>
        <w:jc w:val="both"/>
        <w:rPr>
          <w:caps w:val="0"/>
        </w:rPr>
      </w:pPr>
    </w:p>
    <w:p w:rsidR="009E29F7" w:rsidRPr="005076CA" w:rsidRDefault="009E29F7" w:rsidP="009E29F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Pr>
          <w:caps w:val="0"/>
        </w:rPr>
        <w:tab/>
        <w:t xml:space="preserve">The TWA agreed that the different situations should be presented in one example without mention to individual members of the Union. The TWA also agreed that it should be clarified if the two approaches in situation A were </w:t>
      </w:r>
      <w:r w:rsidRPr="00D25E50">
        <w:rPr>
          <w:caps w:val="0"/>
        </w:rPr>
        <w:t>inconsistent, or if one of them was more appropriate,</w:t>
      </w:r>
      <w:r>
        <w:rPr>
          <w:caps w:val="0"/>
        </w:rPr>
        <w:t xml:space="preserve"> and that situation C should refer to the use of samples or subsamples instead of “tests/trials” </w:t>
      </w:r>
      <w:r w:rsidRPr="009678B3">
        <w:rPr>
          <w:caps w:val="0"/>
        </w:rPr>
        <w:t>(see document</w:t>
      </w:r>
      <w:r>
        <w:rPr>
          <w:caps w:val="0"/>
        </w:rPr>
        <w:t> </w:t>
      </w:r>
      <w:r w:rsidRPr="009678B3">
        <w:rPr>
          <w:caps w:val="0"/>
        </w:rPr>
        <w:t>TW</w:t>
      </w:r>
      <w:r>
        <w:rPr>
          <w:caps w:val="0"/>
        </w:rPr>
        <w:t>A</w:t>
      </w:r>
      <w:r w:rsidRPr="009678B3">
        <w:rPr>
          <w:caps w:val="0"/>
        </w:rPr>
        <w:t>/4</w:t>
      </w:r>
      <w:r>
        <w:rPr>
          <w:caps w:val="0"/>
        </w:rPr>
        <w:t>2</w:t>
      </w:r>
      <w:r w:rsidRPr="009678B3">
        <w:rPr>
          <w:caps w:val="0"/>
        </w:rPr>
        <w:t>/</w:t>
      </w:r>
      <w:r>
        <w:rPr>
          <w:caps w:val="0"/>
        </w:rPr>
        <w:t>31</w:t>
      </w:r>
      <w:r w:rsidRPr="009678B3">
        <w:rPr>
          <w:caps w:val="0"/>
        </w:rPr>
        <w:t xml:space="preserve"> “Report”, paragraph</w:t>
      </w:r>
      <w:r>
        <w:rPr>
          <w:caps w:val="0"/>
        </w:rPr>
        <w:t>s </w:t>
      </w:r>
      <w:r w:rsidRPr="009678B3">
        <w:rPr>
          <w:caps w:val="0"/>
        </w:rPr>
        <w:t>6</w:t>
      </w:r>
      <w:r>
        <w:rPr>
          <w:caps w:val="0"/>
        </w:rPr>
        <w:t>8 to 70</w:t>
      </w:r>
      <w:r w:rsidRPr="009678B3">
        <w:rPr>
          <w:caps w:val="0"/>
        </w:rPr>
        <w:t>)</w:t>
      </w:r>
      <w:r>
        <w:rPr>
          <w:caps w:val="0"/>
        </w:rPr>
        <w:t xml:space="preserve">. </w:t>
      </w:r>
    </w:p>
    <w:p w:rsidR="009E29F7" w:rsidRDefault="009E29F7" w:rsidP="009E29F7">
      <w:pPr>
        <w:rPr>
          <w:caps/>
        </w:rPr>
      </w:pPr>
    </w:p>
    <w:p w:rsidR="009E29F7" w:rsidRDefault="009E29F7" w:rsidP="009E29F7">
      <w:pPr>
        <w:pStyle w:val="Heading1"/>
      </w:pPr>
      <w:bookmarkStart w:id="20" w:name="_Toc380151003"/>
      <w:bookmarkStart w:id="21" w:name="_Toc386103312"/>
      <w:r>
        <w:t>DEVELOPMENTS IN 2014</w:t>
      </w:r>
      <w:bookmarkEnd w:id="20"/>
      <w:bookmarkEnd w:id="21"/>
    </w:p>
    <w:p w:rsidR="009E29F7" w:rsidRDefault="009E29F7" w:rsidP="009E29F7">
      <w:pPr>
        <w:rPr>
          <w:caps/>
        </w:rPr>
      </w:pPr>
    </w:p>
    <w:p w:rsidR="0001259A" w:rsidRDefault="0001259A" w:rsidP="0001259A">
      <w:pPr>
        <w:pStyle w:val="Heading2"/>
      </w:pPr>
      <w:bookmarkStart w:id="22" w:name="_Toc386103313"/>
      <w:bookmarkStart w:id="23" w:name="_Toc380151005"/>
      <w:r>
        <w:t>Technical Committee</w:t>
      </w:r>
      <w:bookmarkEnd w:id="22"/>
    </w:p>
    <w:p w:rsidR="0001259A" w:rsidRDefault="0001259A" w:rsidP="0001259A">
      <w:pPr>
        <w:keepNext/>
      </w:pPr>
    </w:p>
    <w:p w:rsidR="0001259A" w:rsidRDefault="0001259A" w:rsidP="0001259A">
      <w:pPr>
        <w:keepNext/>
      </w:pPr>
      <w:r>
        <w:fldChar w:fldCharType="begin"/>
      </w:r>
      <w:r>
        <w:instrText xml:space="preserve"> AUTONUM  </w:instrText>
      </w:r>
      <w:r>
        <w:fldChar w:fldCharType="end"/>
      </w:r>
      <w:r>
        <w:tab/>
        <w:t>The TC considered document TC/50/12.</w:t>
      </w:r>
    </w:p>
    <w:p w:rsidR="0001259A" w:rsidRDefault="0001259A" w:rsidP="0001259A">
      <w:pPr>
        <w:keepNext/>
      </w:pPr>
    </w:p>
    <w:p w:rsidR="0001259A" w:rsidRPr="001142CD" w:rsidRDefault="0001259A" w:rsidP="0001259A">
      <w:r>
        <w:fldChar w:fldCharType="begin"/>
      </w:r>
      <w:r>
        <w:instrText xml:space="preserve"> AUTONUM  </w:instrText>
      </w:r>
      <w:r>
        <w:fldChar w:fldCharType="end"/>
      </w:r>
      <w:r>
        <w:tab/>
      </w:r>
      <w:r w:rsidRPr="00330930">
        <w:t>The TC</w:t>
      </w:r>
      <w:r>
        <w:t xml:space="preserve"> </w:t>
      </w:r>
      <w:r w:rsidRPr="005614AD">
        <w:t>note</w:t>
      </w:r>
      <w:r>
        <w:t xml:space="preserve">d that </w:t>
      </w:r>
      <w:r w:rsidRPr="003515D6">
        <w:t xml:space="preserve">the TWC </w:t>
      </w:r>
      <w:r>
        <w:t xml:space="preserve">had proposed to provide </w:t>
      </w:r>
      <w:r w:rsidRPr="003515D6">
        <w:t xml:space="preserve">more detailed information and further analysis on </w:t>
      </w:r>
      <w:r>
        <w:t xml:space="preserve">the </w:t>
      </w:r>
      <w:r w:rsidRPr="003515D6">
        <w:t xml:space="preserve">consequences </w:t>
      </w:r>
      <w:r>
        <w:t>of</w:t>
      </w:r>
      <w:r w:rsidRPr="003515D6">
        <w:t xml:space="preserve"> the use of the approaches presented in </w:t>
      </w:r>
      <w:r>
        <w:t xml:space="preserve">situations A, B, C and D at its session in 2014, as set out in document TC/50/12, </w:t>
      </w:r>
      <w:r w:rsidRPr="001142CD">
        <w:t>paragraph 33</w:t>
      </w:r>
      <w:r>
        <w:t>.</w:t>
      </w:r>
      <w:r w:rsidRPr="001142CD">
        <w:t xml:space="preserve"> </w:t>
      </w:r>
      <w:r>
        <w:t xml:space="preserve"> The TC agreed that the document should be modified in order to explain that, in Situations A and </w:t>
      </w:r>
      <w:proofErr w:type="gramStart"/>
      <w:r>
        <w:t>B,</w:t>
      </w:r>
      <w:proofErr w:type="gramEnd"/>
      <w:r>
        <w:t xml:space="preserve"> a variety might be rejected after a single growing cycle under certain circumstances.</w:t>
      </w:r>
    </w:p>
    <w:p w:rsidR="0001259A" w:rsidRDefault="0001259A" w:rsidP="0001259A">
      <w:pPr>
        <w:rPr>
          <w:i/>
        </w:rPr>
      </w:pPr>
    </w:p>
    <w:p w:rsidR="0001259A" w:rsidRDefault="0001259A" w:rsidP="0001259A">
      <w:r>
        <w:fldChar w:fldCharType="begin"/>
      </w:r>
      <w:r>
        <w:instrText xml:space="preserve"> AUTONUM  </w:instrText>
      </w:r>
      <w:r>
        <w:fldChar w:fldCharType="end"/>
      </w:r>
      <w:r>
        <w:tab/>
        <w:t xml:space="preserve">The TC </w:t>
      </w:r>
      <w:r w:rsidRPr="001142CD">
        <w:t>note</w:t>
      </w:r>
      <w:r>
        <w:t>d</w:t>
      </w:r>
      <w:r w:rsidRPr="001142CD">
        <w:t xml:space="preserve"> that the TWC </w:t>
      </w:r>
      <w:r>
        <w:t xml:space="preserve">had </w:t>
      </w:r>
      <w:r w:rsidRPr="001142CD">
        <w:t>proposed that the statistical basis for the acceptable number of off</w:t>
      </w:r>
      <w:r w:rsidRPr="001142CD">
        <w:noBreakHyphen/>
        <w:t xml:space="preserve">types in situation D be considered further at its session in 2014, as set out in </w:t>
      </w:r>
      <w:r>
        <w:t xml:space="preserve">document TC/50/12, </w:t>
      </w:r>
      <w:r w:rsidRPr="001142CD">
        <w:t>paragraphs 34 and 35</w:t>
      </w:r>
      <w:r>
        <w:t>.</w:t>
      </w:r>
    </w:p>
    <w:p w:rsidR="00B40556" w:rsidRDefault="00B40556" w:rsidP="0001259A"/>
    <w:p w:rsidR="0001259A" w:rsidRPr="00DD41C2" w:rsidRDefault="0001259A" w:rsidP="0001259A">
      <w:r>
        <w:fldChar w:fldCharType="begin"/>
      </w:r>
      <w:r>
        <w:instrText xml:space="preserve"> AUTONUM  </w:instrText>
      </w:r>
      <w:r>
        <w:fldChar w:fldCharType="end"/>
      </w:r>
      <w:r>
        <w:tab/>
        <w:t xml:space="preserve">The TC agreed to develop guidance </w:t>
      </w:r>
      <w:r w:rsidRPr="00DD41C2">
        <w:rPr>
          <w:snapToGrid w:val="0"/>
        </w:rPr>
        <w:t>in document TGP/10</w:t>
      </w:r>
      <w:r>
        <w:rPr>
          <w:snapToGrid w:val="0"/>
        </w:rPr>
        <w:t xml:space="preserve"> </w:t>
      </w:r>
      <w:r w:rsidRPr="00DD41C2">
        <w:rPr>
          <w:snapToGrid w:val="0"/>
        </w:rPr>
        <w:t>for situations A, B, C and D</w:t>
      </w:r>
      <w:r>
        <w:rPr>
          <w:snapToGrid w:val="0"/>
        </w:rPr>
        <w:t xml:space="preserve">, as set out in </w:t>
      </w:r>
      <w:r>
        <w:t xml:space="preserve">document TC/50/12, </w:t>
      </w:r>
      <w:r>
        <w:rPr>
          <w:snapToGrid w:val="0"/>
        </w:rPr>
        <w:t>Annexes I to IV, after consideration of the comments by the TWC</w:t>
      </w:r>
      <w:r>
        <w:t>.</w:t>
      </w:r>
    </w:p>
    <w:p w:rsidR="0001259A" w:rsidRPr="003232C8" w:rsidRDefault="0001259A" w:rsidP="0001259A"/>
    <w:p w:rsidR="0001259A" w:rsidRPr="003232C8" w:rsidRDefault="0001259A" w:rsidP="0001259A">
      <w:pPr>
        <w:rPr>
          <w:rFonts w:cs="Arial"/>
        </w:rPr>
      </w:pPr>
      <w:r>
        <w:fldChar w:fldCharType="begin"/>
      </w:r>
      <w:r>
        <w:instrText xml:space="preserve"> AUTONUM  </w:instrText>
      </w:r>
      <w:r>
        <w:fldChar w:fldCharType="end"/>
      </w:r>
      <w:r>
        <w:tab/>
        <w:t>The TC agreed that document TGP/10, paragraph 6 should be considered when considering the possible development of guidance on the approach presented in situation C, as set out in document TC/50/12, Annex III (see document TC/50/36 “Report on the Conclusions”, paragraphs 123 to 127).</w:t>
      </w:r>
    </w:p>
    <w:p w:rsidR="0001259A" w:rsidRDefault="0001259A" w:rsidP="0001259A"/>
    <w:p w:rsidR="00F13DEF" w:rsidRDefault="00F13DEF" w:rsidP="0001259A"/>
    <w:p w:rsidR="009E29F7" w:rsidRPr="00D65E68" w:rsidRDefault="009E29F7" w:rsidP="009E29F7">
      <w:pPr>
        <w:pStyle w:val="Heading1"/>
      </w:pPr>
      <w:bookmarkStart w:id="24" w:name="_Toc386103314"/>
      <w:r w:rsidRPr="00D65E68">
        <w:t>Summary of approaches</w:t>
      </w:r>
      <w:bookmarkEnd w:id="23"/>
      <w:bookmarkEnd w:id="24"/>
    </w:p>
    <w:p w:rsidR="009E29F7" w:rsidRPr="00D65E68" w:rsidRDefault="009E29F7" w:rsidP="009E29F7">
      <w:pPr>
        <w:rPr>
          <w:rFonts w:cs="Arial"/>
          <w:caps/>
          <w:snapToGrid w:val="0"/>
        </w:rPr>
      </w:pPr>
    </w:p>
    <w:p w:rsidR="009E29F7" w:rsidRDefault="009E29F7" w:rsidP="009E29F7">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w:t>
      </w:r>
      <w:r w:rsidR="0039542E">
        <w:rPr>
          <w:szCs w:val="24"/>
        </w:rPr>
        <w:t xml:space="preserve"> </w:t>
      </w:r>
      <w:r w:rsidRPr="00D8502F">
        <w:rPr>
          <w:szCs w:val="24"/>
        </w:rPr>
        <w:t>summarize different situations when different samples are combined for the overall assessment of uniformity of a variety</w:t>
      </w:r>
      <w:r w:rsidR="0039542E">
        <w:rPr>
          <w:szCs w:val="24"/>
        </w:rPr>
        <w:t xml:space="preserve"> in accordance with the conclusions of the TC at its fiftieth session</w:t>
      </w:r>
      <w:r>
        <w:rPr>
          <w:szCs w:val="24"/>
        </w:rPr>
        <w:t xml:space="preserve">, as follows: </w:t>
      </w:r>
    </w:p>
    <w:p w:rsidR="009E29F7" w:rsidRDefault="009E29F7" w:rsidP="009E29F7">
      <w:pPr>
        <w:snapToGrid w:val="0"/>
        <w:rPr>
          <w:szCs w:val="24"/>
        </w:rPr>
      </w:pPr>
    </w:p>
    <w:p w:rsidR="009E29F7" w:rsidRPr="00F971AF" w:rsidRDefault="009E29F7" w:rsidP="009E29F7">
      <w:pPr>
        <w:autoSpaceDE w:val="0"/>
        <w:autoSpaceDN w:val="0"/>
        <w:adjustRightInd w:val="0"/>
        <w:snapToGrid w:val="0"/>
        <w:rPr>
          <w:i/>
          <w:szCs w:val="24"/>
        </w:rPr>
      </w:pPr>
      <w:r w:rsidRPr="00F971AF">
        <w:rPr>
          <w:i/>
          <w:szCs w:val="24"/>
        </w:rPr>
        <w:t>Annex I: Situation A:  Two growing cycles in a single location</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autoSpaceDE w:val="0"/>
        <w:autoSpaceDN w:val="0"/>
        <w:adjustRightInd w:val="0"/>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9E29F7" w:rsidRPr="00F971AF" w:rsidRDefault="009E29F7" w:rsidP="009E29F7">
      <w:pPr>
        <w:autoSpaceDE w:val="0"/>
        <w:autoSpaceDN w:val="0"/>
        <w:adjustRightInd w:val="0"/>
        <w:snapToGrid w:val="0"/>
        <w:ind w:left="567" w:firstLine="273"/>
        <w:rPr>
          <w:szCs w:val="24"/>
        </w:rPr>
      </w:pPr>
      <w:r w:rsidRPr="00F971AF">
        <w:rPr>
          <w:szCs w:val="24"/>
        </w:rPr>
        <w:t>Approach</w:t>
      </w:r>
      <w:r>
        <w:rPr>
          <w:szCs w:val="24"/>
        </w:rPr>
        <w:t xml:space="preserve"> 2</w:t>
      </w:r>
      <w:r w:rsidRPr="00F971AF">
        <w:rPr>
          <w:szCs w:val="24"/>
        </w:rPr>
        <w:t>:  Combining the results of two growing cycles</w:t>
      </w:r>
    </w:p>
    <w:p w:rsidR="002C4D9B" w:rsidRDefault="002C4D9B">
      <w:pPr>
        <w:jc w:val="left"/>
        <w:rPr>
          <w:szCs w:val="24"/>
        </w:rPr>
      </w:pPr>
      <w:r>
        <w:rPr>
          <w:szCs w:val="24"/>
        </w:rPr>
        <w:br w:type="page"/>
      </w:r>
    </w:p>
    <w:p w:rsidR="009E29F7" w:rsidRPr="00F971AF" w:rsidRDefault="009E29F7" w:rsidP="009E29F7">
      <w:pPr>
        <w:autoSpaceDE w:val="0"/>
        <w:autoSpaceDN w:val="0"/>
        <w:adjustRightInd w:val="0"/>
        <w:snapToGrid w:val="0"/>
        <w:ind w:left="567" w:firstLine="273"/>
        <w:rPr>
          <w:szCs w:val="24"/>
        </w:rPr>
      </w:pPr>
    </w:p>
    <w:p w:rsidR="009E29F7" w:rsidRPr="00F971AF" w:rsidRDefault="009E29F7" w:rsidP="009E29F7">
      <w:pPr>
        <w:snapToGrid w:val="0"/>
        <w:jc w:val="left"/>
        <w:rPr>
          <w:i/>
          <w:szCs w:val="24"/>
        </w:rPr>
      </w:pPr>
      <w:r w:rsidRPr="00F971AF">
        <w:rPr>
          <w:i/>
          <w:szCs w:val="24"/>
        </w:rPr>
        <w:t xml:space="preserve">Annex II: Situation B:  Two growing locations in the same year </w:t>
      </w:r>
    </w:p>
    <w:p w:rsidR="009E29F7" w:rsidRPr="00F971AF" w:rsidRDefault="009E29F7" w:rsidP="009E29F7">
      <w:pPr>
        <w:snapToGrid w:val="0"/>
        <w:ind w:left="567"/>
        <w:jc w:val="left"/>
      </w:pPr>
    </w:p>
    <w:p w:rsidR="009E29F7" w:rsidRPr="00F971AF" w:rsidRDefault="009E29F7" w:rsidP="009E29F7">
      <w:pPr>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9E29F7" w:rsidRPr="00F971AF" w:rsidRDefault="009E29F7" w:rsidP="009E29F7">
      <w:pPr>
        <w:snapToGrid w:val="0"/>
        <w:ind w:left="567" w:firstLine="273"/>
        <w:rPr>
          <w:szCs w:val="24"/>
        </w:rPr>
      </w:pPr>
      <w:r w:rsidRPr="00F971AF">
        <w:rPr>
          <w:szCs w:val="24"/>
        </w:rPr>
        <w:t>Approach</w:t>
      </w:r>
      <w:r>
        <w:rPr>
          <w:szCs w:val="24"/>
        </w:rPr>
        <w:t xml:space="preserve"> 2</w:t>
      </w:r>
      <w:r w:rsidRPr="00F971AF">
        <w:rPr>
          <w:szCs w:val="24"/>
        </w:rPr>
        <w:t xml:space="preserve">:  Combining the results of two locations </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snapToGrid w:val="0"/>
        <w:jc w:val="left"/>
        <w:rPr>
          <w:i/>
        </w:rPr>
      </w:pPr>
      <w:r w:rsidRPr="00F971AF">
        <w:rPr>
          <w:i/>
          <w:szCs w:val="24"/>
        </w:rPr>
        <w:t xml:space="preserve">Annex III: Situation C:  </w:t>
      </w:r>
      <w:r w:rsidRPr="00F971AF">
        <w:rPr>
          <w:i/>
        </w:rPr>
        <w:t>More than one sample/sub-sample for a characteristic in the same growing cycle</w:t>
      </w:r>
    </w:p>
    <w:p w:rsidR="009E29F7" w:rsidRPr="00F971AF" w:rsidRDefault="009E29F7" w:rsidP="009E29F7">
      <w:pPr>
        <w:snapToGrid w:val="0"/>
        <w:ind w:left="567"/>
        <w:jc w:val="left"/>
        <w:rPr>
          <w:i/>
        </w:rPr>
      </w:pPr>
    </w:p>
    <w:p w:rsidR="009E29F7" w:rsidRPr="00F971AF" w:rsidRDefault="009E29F7" w:rsidP="009E29F7">
      <w:pPr>
        <w:snapToGrid w:val="0"/>
        <w:ind w:left="567" w:firstLine="273"/>
        <w:jc w:val="left"/>
      </w:pPr>
      <w:r w:rsidRPr="00F971AF">
        <w:t>Approach:  Additional growing cycle in the case of inconsistent results</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snapToGrid w:val="0"/>
        <w:jc w:val="left"/>
        <w:rPr>
          <w:i/>
          <w:szCs w:val="24"/>
        </w:rPr>
      </w:pPr>
      <w:r w:rsidRPr="00F971AF">
        <w:rPr>
          <w:i/>
          <w:szCs w:val="24"/>
        </w:rPr>
        <w:t xml:space="preserve">Annex IV: Situation D:  Assessing sub-samples within a single test/trial </w:t>
      </w:r>
    </w:p>
    <w:p w:rsidR="009E29F7" w:rsidRPr="00F971AF" w:rsidRDefault="009E29F7" w:rsidP="009E29F7">
      <w:pPr>
        <w:snapToGrid w:val="0"/>
        <w:ind w:left="567"/>
        <w:jc w:val="left"/>
        <w:rPr>
          <w:i/>
          <w:szCs w:val="24"/>
        </w:rPr>
      </w:pPr>
    </w:p>
    <w:p w:rsidR="009E29F7" w:rsidRPr="00966299" w:rsidRDefault="009E29F7" w:rsidP="009E29F7">
      <w:pPr>
        <w:snapToGrid w:val="0"/>
        <w:ind w:left="567" w:firstLine="273"/>
        <w:jc w:val="left"/>
        <w:rPr>
          <w:i/>
          <w:szCs w:val="24"/>
        </w:rPr>
      </w:pPr>
      <w:r w:rsidRPr="00F971AF">
        <w:rPr>
          <w:szCs w:val="24"/>
        </w:rPr>
        <w:t>Approach</w:t>
      </w:r>
      <w:r w:rsidRPr="00F971AF">
        <w:rPr>
          <w:i/>
          <w:szCs w:val="24"/>
        </w:rPr>
        <w:t xml:space="preserve">: </w:t>
      </w:r>
      <w:r w:rsidRPr="00F971AF">
        <w:rPr>
          <w:szCs w:val="24"/>
        </w:rPr>
        <w:t xml:space="preserve"> Sub-sample as a first step of assessment</w:t>
      </w:r>
      <w:r w:rsidRPr="00966299">
        <w:rPr>
          <w:szCs w:val="24"/>
        </w:rPr>
        <w:t xml:space="preserve"> </w:t>
      </w:r>
    </w:p>
    <w:p w:rsidR="009E29F7" w:rsidRDefault="009E29F7" w:rsidP="009E29F7">
      <w:pPr>
        <w:snapToGrid w:val="0"/>
        <w:jc w:val="left"/>
        <w:rPr>
          <w:szCs w:val="24"/>
        </w:rPr>
      </w:pPr>
    </w:p>
    <w:p w:rsidR="009E29F7" w:rsidRDefault="009E29F7" w:rsidP="009E29F7">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9E29F7" w:rsidRDefault="009E29F7" w:rsidP="009E29F7">
      <w:pPr>
        <w:jc w:val="left"/>
        <w:rPr>
          <w:szCs w:val="24"/>
        </w:rPr>
      </w:pPr>
    </w:p>
    <w:p w:rsidR="001337A5" w:rsidRDefault="001337A5" w:rsidP="009E29F7">
      <w:pPr>
        <w:jc w:val="left"/>
        <w:rPr>
          <w:szCs w:val="24"/>
        </w:rPr>
      </w:pPr>
      <w:r>
        <w:rPr>
          <w:szCs w:val="24"/>
        </w:rPr>
        <w:fldChar w:fldCharType="begin"/>
      </w:r>
      <w:r>
        <w:rPr>
          <w:szCs w:val="24"/>
        </w:rPr>
        <w:instrText xml:space="preserve"> AUTONUM  </w:instrText>
      </w:r>
      <w:r>
        <w:rPr>
          <w:szCs w:val="24"/>
        </w:rPr>
        <w:fldChar w:fldCharType="end"/>
      </w:r>
      <w:r>
        <w:rPr>
          <w:szCs w:val="24"/>
        </w:rPr>
        <w:tab/>
        <w:t>Annex V to this document presents a memorandum provided by the experts from Germany on the u</w:t>
      </w:r>
      <w:r w:rsidRPr="00B40556">
        <w:t>se of a stepwise approach in the off-type procedure within the same growing cycle</w:t>
      </w:r>
      <w:r w:rsidR="007F61AE">
        <w:t xml:space="preserve"> in Situation D.</w:t>
      </w:r>
    </w:p>
    <w:p w:rsidR="001337A5" w:rsidRDefault="001337A5" w:rsidP="009E29F7">
      <w:pPr>
        <w:jc w:val="left"/>
        <w:rPr>
          <w:szCs w:val="24"/>
        </w:rPr>
      </w:pPr>
    </w:p>
    <w:p w:rsidR="009E29F7" w:rsidRPr="00A84406" w:rsidRDefault="009E29F7" w:rsidP="00A04A55">
      <w:pPr>
        <w:tabs>
          <w:tab w:val="left" w:pos="5387"/>
        </w:tabs>
        <w:ind w:left="4820"/>
        <w:rPr>
          <w:i/>
        </w:rPr>
      </w:pPr>
      <w:r>
        <w:rPr>
          <w:i/>
        </w:rPr>
        <w:fldChar w:fldCharType="begin"/>
      </w:r>
      <w:r>
        <w:rPr>
          <w:i/>
        </w:rPr>
        <w:instrText xml:space="preserve"> AUTONUM  </w:instrText>
      </w:r>
      <w:r>
        <w:rPr>
          <w:i/>
        </w:rPr>
        <w:fldChar w:fldCharType="end"/>
      </w:r>
      <w:r w:rsidR="00953260">
        <w:rPr>
          <w:i/>
        </w:rPr>
        <w:tab/>
      </w:r>
      <w:r w:rsidRPr="00CE5B38">
        <w:rPr>
          <w:i/>
        </w:rPr>
        <w:t xml:space="preserve">The </w:t>
      </w:r>
      <w:r w:rsidR="009A432A" w:rsidRPr="00CE5B38">
        <w:rPr>
          <w:i/>
        </w:rPr>
        <w:t>TW</w:t>
      </w:r>
      <w:r w:rsidR="00D838C7">
        <w:rPr>
          <w:i/>
        </w:rPr>
        <w:t>F</w:t>
      </w:r>
      <w:r w:rsidRPr="00CE5B38">
        <w:rPr>
          <w:i/>
        </w:rPr>
        <w:t xml:space="preserve"> is invited to</w:t>
      </w:r>
      <w:r w:rsidR="00A04A55">
        <w:rPr>
          <w:i/>
        </w:rPr>
        <w:t xml:space="preserve"> </w:t>
      </w:r>
      <w:r w:rsidR="002C2517">
        <w:rPr>
          <w:i/>
        </w:rPr>
        <w:t>c</w:t>
      </w:r>
      <w:r w:rsidR="00376C02">
        <w:rPr>
          <w:i/>
        </w:rPr>
        <w:t>onsider Annex</w:t>
      </w:r>
      <w:r w:rsidR="00A04A55">
        <w:rPr>
          <w:i/>
        </w:rPr>
        <w:t xml:space="preserve">es </w:t>
      </w:r>
      <w:r w:rsidR="00376C02">
        <w:rPr>
          <w:i/>
        </w:rPr>
        <w:t>I</w:t>
      </w:r>
      <w:r w:rsidR="00A04A55">
        <w:rPr>
          <w:i/>
        </w:rPr>
        <w:t xml:space="preserve"> to IV </w:t>
      </w:r>
      <w:r w:rsidR="00376C02">
        <w:rPr>
          <w:i/>
        </w:rPr>
        <w:t>to this document as a basis to develop guidance in document TGP/10</w:t>
      </w:r>
      <w:r w:rsidR="00A04A55">
        <w:rPr>
          <w:i/>
        </w:rPr>
        <w:t xml:space="preserve">. </w:t>
      </w:r>
    </w:p>
    <w:p w:rsidR="009E29F7" w:rsidRDefault="009E29F7" w:rsidP="009E29F7">
      <w:pPr>
        <w:jc w:val="right"/>
      </w:pPr>
    </w:p>
    <w:p w:rsidR="00CE5B38" w:rsidRDefault="00CE5B38" w:rsidP="009E29F7">
      <w:pPr>
        <w:jc w:val="right"/>
      </w:pPr>
    </w:p>
    <w:p w:rsidR="009E29F7" w:rsidRDefault="009E29F7" w:rsidP="009E29F7">
      <w:pPr>
        <w:jc w:val="right"/>
      </w:pPr>
    </w:p>
    <w:p w:rsidR="009E29F7" w:rsidRDefault="009E29F7" w:rsidP="009E29F7">
      <w:pPr>
        <w:jc w:val="right"/>
      </w:pPr>
      <w:r>
        <w:t>[Annexes follow]</w:t>
      </w:r>
    </w:p>
    <w:p w:rsidR="008D1869" w:rsidRDefault="008D1869" w:rsidP="008D1869"/>
    <w:p w:rsidR="009E29F7" w:rsidRDefault="009E29F7" w:rsidP="009E29F7">
      <w:pPr>
        <w:rPr>
          <w:snapToGrid w:val="0"/>
        </w:rPr>
        <w:sectPr w:rsidR="009E29F7" w:rsidSect="001337A5">
          <w:headerReference w:type="default" r:id="rId10"/>
          <w:pgSz w:w="11907" w:h="16840" w:code="9"/>
          <w:pgMar w:top="510" w:right="1134" w:bottom="993"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9E29F7" w:rsidRPr="00ED3415" w:rsidTr="00516153">
        <w:trPr>
          <w:trHeight w:val="350"/>
        </w:trPr>
        <w:tc>
          <w:tcPr>
            <w:tcW w:w="10206" w:type="dxa"/>
          </w:tcPr>
          <w:p w:rsidR="00C1030A" w:rsidRPr="002A2C89" w:rsidRDefault="009E29F7" w:rsidP="00F0041B">
            <w:pPr>
              <w:autoSpaceDE w:val="0"/>
              <w:autoSpaceDN w:val="0"/>
              <w:adjustRightInd w:val="0"/>
              <w:spacing w:before="120"/>
              <w:jc w:val="center"/>
              <w:rPr>
                <w:rFonts w:eastAsia="SimSun"/>
                <w:szCs w:val="24"/>
                <w:lang w:eastAsia="zh-CN"/>
              </w:rPr>
            </w:pPr>
            <w:r>
              <w:rPr>
                <w:rFonts w:eastAsia="SimSun"/>
                <w:szCs w:val="24"/>
                <w:lang w:eastAsia="zh-CN"/>
              </w:rPr>
              <w:lastRenderedPageBreak/>
              <w:t>SITUATION A:  TW</w:t>
            </w:r>
            <w:r w:rsidR="00F0041B">
              <w:rPr>
                <w:rFonts w:eastAsia="SimSun"/>
                <w:szCs w:val="24"/>
                <w:lang w:eastAsia="zh-CN"/>
              </w:rPr>
              <w:t>O</w:t>
            </w:r>
            <w:r>
              <w:rPr>
                <w:rFonts w:eastAsia="SimSun"/>
                <w:szCs w:val="24"/>
                <w:lang w:eastAsia="zh-CN"/>
              </w:rPr>
              <w:t xml:space="preserve"> GROWING CYCLES IN A SINGLE LOCATION</w:t>
            </w:r>
          </w:p>
        </w:tc>
      </w:tr>
      <w:tr w:rsidR="006F5FD3" w:rsidRPr="00ED3415" w:rsidTr="00516153">
        <w:trPr>
          <w:trHeight w:val="13251"/>
        </w:trPr>
        <w:tc>
          <w:tcPr>
            <w:tcW w:w="10206" w:type="dxa"/>
          </w:tcPr>
          <w:p w:rsidR="00C1030A" w:rsidRDefault="00C1030A" w:rsidP="006F5FD3">
            <w:pPr>
              <w:rPr>
                <w:b/>
                <w:szCs w:val="24"/>
              </w:rPr>
            </w:pPr>
          </w:p>
          <w:p w:rsidR="006F5FD3" w:rsidRDefault="006F5FD3" w:rsidP="006F5FD3">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6F5FD3" w:rsidRPr="00C9028D" w:rsidRDefault="006F5FD3" w:rsidP="006F5FD3">
            <w:pPr>
              <w:rPr>
                <w:b/>
                <w:szCs w:val="24"/>
              </w:rPr>
            </w:pPr>
          </w:p>
          <w:p w:rsidR="006F5FD3" w:rsidRDefault="006F5FD3" w:rsidP="006F5FD3">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6F5FD3" w:rsidRPr="00ED3415" w:rsidRDefault="006F5FD3" w:rsidP="006F5FD3">
            <w:pPr>
              <w:rPr>
                <w:rFonts w:eastAsia="SimSun"/>
                <w:szCs w:val="24"/>
                <w:lang w:eastAsia="zh-CN"/>
              </w:rPr>
            </w:pPr>
          </w:p>
          <w:p w:rsidR="006F5FD3" w:rsidRDefault="006F5FD3" w:rsidP="006F5FD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6F5FD3" w:rsidRPr="00ED3415" w:rsidRDefault="006F5FD3" w:rsidP="006F5FD3">
            <w:pPr>
              <w:rPr>
                <w:rFonts w:eastAsia="SimSun"/>
                <w:szCs w:val="24"/>
                <w:lang w:eastAsia="zh-CN"/>
              </w:rPr>
            </w:pPr>
          </w:p>
          <w:p w:rsidR="006F5FD3" w:rsidRDefault="006F5FD3" w:rsidP="006F5FD3">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after consultation with the appl</w:t>
            </w:r>
            <w:r>
              <w:rPr>
                <w:rFonts w:eastAsia="SimSun"/>
                <w:szCs w:val="24"/>
                <w:lang w:eastAsia="zh-CN"/>
              </w:rPr>
              <w:t xml:space="preserve">icant.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6F5FD3" w:rsidRDefault="006F5FD3" w:rsidP="006F5FD3">
            <w:pPr>
              <w:keepNext/>
              <w:keepLines/>
              <w:rPr>
                <w:color w:val="000000"/>
                <w:szCs w:val="24"/>
              </w:rPr>
            </w:pPr>
          </w:p>
          <w:p w:rsidR="006F5FD3" w:rsidRDefault="006F5FD3" w:rsidP="006F5FD3">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6F5FD3" w:rsidRDefault="006F5FD3" w:rsidP="006F5FD3">
            <w:pPr>
              <w:keepNext/>
              <w:keepLines/>
              <w:rPr>
                <w:rFonts w:eastAsia="SimSun"/>
                <w:szCs w:val="24"/>
                <w:lang w:eastAsia="zh-CN"/>
              </w:rPr>
            </w:pPr>
          </w:p>
          <w:p w:rsidR="006F5FD3" w:rsidRDefault="006F5FD3" w:rsidP="006F5FD3">
            <w:pPr>
              <w:keepNext/>
              <w:keepLines/>
              <w:rPr>
                <w:rFonts w:eastAsia="SimSun"/>
                <w:szCs w:val="24"/>
                <w:lang w:eastAsia="zh-CN"/>
              </w:rPr>
            </w:pPr>
            <w:r>
              <w:rPr>
                <w:rFonts w:eastAsia="SimSun"/>
                <w:szCs w:val="24"/>
                <w:lang w:eastAsia="zh-CN"/>
              </w:rPr>
              <w:t>A variety may be rejected after a single growing cycle, under certain circumstances.</w:t>
            </w:r>
          </w:p>
          <w:p w:rsidR="00C1030A" w:rsidRDefault="00C1030A" w:rsidP="006F5FD3">
            <w:pPr>
              <w:keepNext/>
              <w:keepLines/>
              <w:rPr>
                <w:rFonts w:eastAsia="SimSun"/>
                <w:szCs w:val="24"/>
                <w:lang w:eastAsia="zh-CN"/>
              </w:rPr>
            </w:pPr>
          </w:p>
          <w:p w:rsidR="006F5FD3" w:rsidRDefault="006F5FD3" w:rsidP="006F5FD3">
            <w:pPr>
              <w:rPr>
                <w:b/>
                <w:szCs w:val="24"/>
              </w:rPr>
            </w:pPr>
            <w:r>
              <w:rPr>
                <w:b/>
                <w:szCs w:val="24"/>
              </w:rPr>
              <w:t>Approach 2:  Combining the results of two growing cycles</w:t>
            </w:r>
          </w:p>
          <w:p w:rsidR="006F5FD3" w:rsidRPr="00AE31A9" w:rsidRDefault="006F5FD3" w:rsidP="006F5FD3">
            <w:pPr>
              <w:keepNext/>
              <w:keepLines/>
              <w:rPr>
                <w:rFonts w:eastAsia="MS Mincho"/>
                <w:color w:val="000000"/>
                <w:lang w:eastAsia="ja-JP"/>
              </w:rPr>
            </w:pPr>
          </w:p>
          <w:p w:rsidR="006F5FD3" w:rsidRDefault="006F5FD3" w:rsidP="006F5FD3">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6F5FD3" w:rsidRDefault="006F5FD3" w:rsidP="006F5FD3">
            <w:pPr>
              <w:rPr>
                <w:rFonts w:eastAsia="SimSun"/>
                <w:lang w:eastAsia="zh-CN"/>
              </w:rPr>
            </w:pPr>
          </w:p>
          <w:p w:rsidR="006F5FD3" w:rsidRPr="002302DC" w:rsidRDefault="006F5FD3" w:rsidP="006F5FD3">
            <w:pPr>
              <w:rPr>
                <w:rFonts w:eastAsia="SimSun"/>
                <w:lang w:eastAsia="zh-CN"/>
              </w:rPr>
            </w:pPr>
            <w:r w:rsidRPr="002302DC">
              <w:rPr>
                <w:rFonts w:eastAsia="SimSun"/>
                <w:lang w:eastAsia="zh-CN"/>
              </w:rPr>
              <w:t>A variety is considered non-uniform if it fails to meet the uniformity standard in both of the two growing cycles.</w:t>
            </w:r>
          </w:p>
          <w:p w:rsidR="006F5FD3" w:rsidRPr="00160D6F" w:rsidRDefault="006F5FD3" w:rsidP="006F5FD3">
            <w:pPr>
              <w:rPr>
                <w:rFonts w:eastAsia="SimSun"/>
                <w:lang w:eastAsia="zh-CN"/>
              </w:rPr>
            </w:pPr>
          </w:p>
          <w:p w:rsidR="006F5FD3" w:rsidRPr="00183337" w:rsidRDefault="006F5FD3" w:rsidP="006F5FD3">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off-types at the end of the two growing cycles does not exceed the number of allowed off-types for the combined sample.</w:t>
            </w:r>
          </w:p>
          <w:p w:rsidR="006F5FD3" w:rsidRPr="00183337" w:rsidRDefault="006F5FD3" w:rsidP="006F5FD3">
            <w:pPr>
              <w:keepNext/>
              <w:keepLines/>
              <w:ind w:right="459"/>
              <w:rPr>
                <w:rFonts w:eastAsia="SimSun"/>
                <w:lang w:eastAsia="zh-CN"/>
              </w:rPr>
            </w:pPr>
          </w:p>
          <w:p w:rsidR="006F5FD3" w:rsidRDefault="006F5FD3" w:rsidP="006F5FD3">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6F5FD3" w:rsidRDefault="006F5FD3" w:rsidP="006F5FD3">
            <w:pPr>
              <w:keepNext/>
              <w:keepLines/>
              <w:rPr>
                <w:rFonts w:eastAsia="SimSun"/>
                <w:szCs w:val="24"/>
                <w:lang w:eastAsia="zh-CN"/>
              </w:rPr>
            </w:pPr>
          </w:p>
          <w:p w:rsidR="006F5FD3" w:rsidRDefault="006F5FD3" w:rsidP="006F5FD3">
            <w:pPr>
              <w:keepNext/>
              <w:keepLines/>
              <w:rPr>
                <w:rFonts w:eastAsia="SimSun"/>
                <w:szCs w:val="24"/>
                <w:lang w:eastAsia="zh-CN"/>
              </w:rPr>
            </w:pPr>
            <w:r>
              <w:rPr>
                <w:rFonts w:eastAsia="SimSun"/>
                <w:szCs w:val="24"/>
                <w:lang w:eastAsia="zh-CN"/>
              </w:rPr>
              <w:t>A variety may be rejected after a single growing cycle, under certain circumstances.</w:t>
            </w:r>
          </w:p>
          <w:p w:rsidR="001A2FDB" w:rsidRDefault="001A2FDB" w:rsidP="006F5FD3">
            <w:pPr>
              <w:keepNext/>
              <w:keepLines/>
              <w:rPr>
                <w:rFonts w:eastAsia="SimSun"/>
                <w:szCs w:val="24"/>
                <w:lang w:eastAsia="zh-CN"/>
              </w:rPr>
            </w:pPr>
          </w:p>
          <w:p w:rsidR="001A2FDB" w:rsidRPr="00BD2498" w:rsidRDefault="004D484F" w:rsidP="00FA2D06">
            <w:pPr>
              <w:keepNext/>
              <w:keepLines/>
              <w:jc w:val="left"/>
              <w:rPr>
                <w:szCs w:val="24"/>
              </w:rPr>
            </w:pPr>
            <w:r>
              <w:rPr>
                <w:rFonts w:eastAsia="SimSun"/>
                <w:szCs w:val="24"/>
                <w:lang w:eastAsia="zh-CN"/>
              </w:rPr>
              <w:pict>
                <v:rect id="_x0000_i1025" style="width:0;height:1.5pt" o:hralign="center" o:hrstd="t" o:hr="t" fillcolor="#a0a0a0" stroked="f"/>
              </w:pict>
            </w:r>
            <w:r w:rsidR="001A2FDB" w:rsidRPr="00BD2498">
              <w:rPr>
                <w:szCs w:val="24"/>
              </w:rPr>
              <w:t>Example:</w:t>
            </w:r>
          </w:p>
          <w:p w:rsidR="001A2FDB" w:rsidRDefault="001A2FDB" w:rsidP="006F5FD3">
            <w:pPr>
              <w:keepNext/>
              <w:keepLines/>
              <w:rPr>
                <w:rFonts w:eastAsia="SimSun"/>
                <w:szCs w:val="24"/>
                <w:lang w:eastAsia="zh-CN"/>
              </w:rPr>
            </w:pPr>
          </w:p>
          <w:tbl>
            <w:tblPr>
              <w:tblW w:w="7500" w:type="dxa"/>
              <w:tblInd w:w="600" w:type="dxa"/>
              <w:tblLook w:val="04A0" w:firstRow="1" w:lastRow="0" w:firstColumn="1" w:lastColumn="0" w:noHBand="0" w:noVBand="1"/>
            </w:tblPr>
            <w:tblGrid>
              <w:gridCol w:w="424"/>
              <w:gridCol w:w="696"/>
              <w:gridCol w:w="1134"/>
              <w:gridCol w:w="180"/>
              <w:gridCol w:w="954"/>
              <w:gridCol w:w="1807"/>
              <w:gridCol w:w="320"/>
              <w:gridCol w:w="1985"/>
            </w:tblGrid>
            <w:tr w:rsidR="001A2FDB" w:rsidRPr="00304612" w:rsidTr="001A2FDB">
              <w:trPr>
                <w:trHeight w:val="255"/>
              </w:trPr>
              <w:tc>
                <w:tcPr>
                  <w:tcW w:w="1120" w:type="dxa"/>
                  <w:gridSpan w:val="2"/>
                  <w:tcBorders>
                    <w:top w:val="nil"/>
                    <w:left w:val="nil"/>
                    <w:bottom w:val="nil"/>
                  </w:tcBorders>
                  <w:shd w:val="clear" w:color="auto" w:fill="auto"/>
                  <w:noWrap/>
                  <w:vAlign w:val="bottom"/>
                </w:tcPr>
                <w:p w:rsidR="001A2FDB" w:rsidRPr="00304612" w:rsidRDefault="001A2FDB" w:rsidP="001A2FDB">
                  <w:pPr>
                    <w:jc w:val="left"/>
                    <w:rPr>
                      <w:rFonts w:cs="Arial"/>
                      <w:color w:val="000000"/>
                    </w:rPr>
                  </w:pPr>
                </w:p>
              </w:tc>
              <w:tc>
                <w:tcPr>
                  <w:tcW w:w="6380" w:type="dxa"/>
                  <w:gridSpan w:val="6"/>
                  <w:tcBorders>
                    <w:top w:val="nil"/>
                    <w:right w:val="nil"/>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 xml:space="preserve">Population Standard  = 1%  </w:t>
                  </w:r>
                </w:p>
              </w:tc>
            </w:tr>
            <w:tr w:rsidR="001A2FDB" w:rsidRPr="00304612" w:rsidTr="001A2FDB">
              <w:trPr>
                <w:trHeight w:val="270"/>
              </w:trPr>
              <w:tc>
                <w:tcPr>
                  <w:tcW w:w="1120" w:type="dxa"/>
                  <w:gridSpan w:val="2"/>
                  <w:tcBorders>
                    <w:top w:val="nil"/>
                    <w:left w:val="nil"/>
                    <w:bottom w:val="nil"/>
                  </w:tcBorders>
                  <w:shd w:val="clear" w:color="auto" w:fill="auto"/>
                  <w:noWrap/>
                  <w:vAlign w:val="bottom"/>
                  <w:hideMark/>
                </w:tcPr>
                <w:p w:rsidR="001A2FDB" w:rsidRPr="00304612" w:rsidRDefault="001A2FDB" w:rsidP="001A2FDB">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Acceptance Probability ≥ 95%</w:t>
                  </w:r>
                </w:p>
              </w:tc>
            </w:tr>
            <w:tr w:rsidR="001A2FDB" w:rsidRPr="00304612" w:rsidTr="001A2FDB">
              <w:trPr>
                <w:gridBefore w:val="2"/>
                <w:wBefore w:w="1120"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1A2FDB" w:rsidRPr="00304612" w:rsidTr="001A2FDB">
              <w:trPr>
                <w:gridBefore w:val="2"/>
                <w:wBefore w:w="1120"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Maximum number of Off-Types = 2</w:t>
                  </w:r>
                </w:p>
              </w:tc>
            </w:tr>
            <w:tr w:rsidR="001A2FDB" w:rsidRPr="00304612" w:rsidTr="001A2FDB">
              <w:trPr>
                <w:gridBefore w:val="2"/>
                <w:wBefore w:w="1120"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1A2FDB" w:rsidRPr="00304612" w:rsidTr="001A2FDB">
              <w:trPr>
                <w:gridBefore w:val="2"/>
                <w:wBefore w:w="1120"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Maximum number of Off-Types = 3</w:t>
                  </w:r>
                </w:p>
              </w:tc>
            </w:tr>
            <w:tr w:rsidR="001A2FDB" w:rsidRPr="00BD2498" w:rsidTr="0037130A">
              <w:trPr>
                <w:gridBefore w:val="2"/>
                <w:wBefore w:w="1120" w:type="dxa"/>
                <w:trHeight w:val="239"/>
              </w:trPr>
              <w:tc>
                <w:tcPr>
                  <w:tcW w:w="1314" w:type="dxa"/>
                  <w:gridSpan w:val="2"/>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1A2FDB" w:rsidRPr="00BD2498" w:rsidRDefault="001A2FDB" w:rsidP="0037130A">
                  <w:pPr>
                    <w:jc w:val="left"/>
                    <w:rPr>
                      <w:rFonts w:cs="Arial"/>
                      <w:color w:val="000000"/>
                    </w:rPr>
                  </w:pPr>
                  <w:r w:rsidRPr="00BD2498">
                    <w:rPr>
                      <w:rFonts w:cs="Arial"/>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r>
            <w:tr w:rsidR="001A2FDB" w:rsidRPr="00BD2498" w:rsidTr="001A2FDB">
              <w:trPr>
                <w:gridBefore w:val="1"/>
                <w:wBefore w:w="426" w:type="dxa"/>
                <w:trHeight w:val="380"/>
              </w:trPr>
              <w:tc>
                <w:tcPr>
                  <w:tcW w:w="694" w:type="dxa"/>
                  <w:tcBorders>
                    <w:top w:val="nil"/>
                    <w:left w:val="nil"/>
                    <w:bottom w:val="nil"/>
                    <w:right w:val="single" w:sz="4" w:space="0" w:color="auto"/>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Growing cycle</w:t>
                  </w:r>
                </w:p>
              </w:tc>
              <w:tc>
                <w:tcPr>
                  <w:tcW w:w="41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Decision</w:t>
                  </w:r>
                </w:p>
              </w:tc>
            </w:tr>
            <w:tr w:rsidR="001A2FDB" w:rsidRPr="00BD2498" w:rsidTr="0037130A">
              <w:trPr>
                <w:gridBefore w:val="1"/>
                <w:wBefore w:w="426" w:type="dxa"/>
                <w:trHeight w:val="236"/>
              </w:trPr>
              <w:tc>
                <w:tcPr>
                  <w:tcW w:w="694" w:type="dxa"/>
                  <w:tcBorders>
                    <w:top w:val="nil"/>
                    <w:left w:val="nil"/>
                    <w:bottom w:val="single" w:sz="4" w:space="0" w:color="auto"/>
                    <w:right w:val="single" w:sz="4" w:space="0" w:color="auto"/>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1A2FDB" w:rsidRPr="00BD2498" w:rsidRDefault="001A2FDB" w:rsidP="001A2FDB">
                  <w:pPr>
                    <w:spacing w:after="100" w:afterAutospacing="1"/>
                    <w:jc w:val="center"/>
                    <w:rPr>
                      <w:rFonts w:cs="Arial"/>
                      <w:color w:val="000000"/>
                    </w:rPr>
                  </w:pPr>
                  <w:r w:rsidRPr="00BD2498">
                    <w:rPr>
                      <w:rFonts w:cs="Arial"/>
                      <w:color w:val="000000"/>
                    </w:rPr>
                    <w:t>First</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Second</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Approach 1</w:t>
                  </w:r>
                </w:p>
              </w:tc>
              <w:tc>
                <w:tcPr>
                  <w:tcW w:w="1985" w:type="dxa"/>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Approach 2</w:t>
                  </w:r>
                </w:p>
              </w:tc>
            </w:tr>
            <w:tr w:rsidR="001A2FDB" w:rsidRPr="00BD2498" w:rsidTr="001A2FDB">
              <w:trPr>
                <w:gridBefore w:val="1"/>
                <w:wBefore w:w="426" w:type="dxa"/>
                <w:trHeight w:val="240"/>
              </w:trPr>
              <w:tc>
                <w:tcPr>
                  <w:tcW w:w="694" w:type="dxa"/>
                  <w:vMerge w:val="restart"/>
                  <w:tcBorders>
                    <w:top w:val="nil"/>
                    <w:left w:val="single" w:sz="4" w:space="0" w:color="auto"/>
                    <w:right w:val="single" w:sz="4" w:space="0" w:color="000000"/>
                  </w:tcBorders>
                  <w:shd w:val="clear" w:color="auto" w:fill="auto"/>
                  <w:textDirection w:val="btLr"/>
                  <w:vAlign w:val="center"/>
                  <w:hideMark/>
                </w:tcPr>
                <w:p w:rsidR="001A2FDB" w:rsidRPr="00BD2498" w:rsidRDefault="001A2FDB" w:rsidP="009818A0">
                  <w:pPr>
                    <w:jc w:val="center"/>
                    <w:rPr>
                      <w:rFonts w:cs="Arial"/>
                      <w:color w:val="000000"/>
                    </w:rPr>
                  </w:pPr>
                  <w:r w:rsidRPr="00BD2498">
                    <w:rPr>
                      <w:rFonts w:cs="Arial"/>
                      <w:color w:val="000000"/>
                    </w:rPr>
                    <w:t xml:space="preserve">Number of </w:t>
                  </w:r>
                  <w:r w:rsidR="009818A0">
                    <w:rPr>
                      <w:rFonts w:cs="Arial"/>
                      <w:color w:val="000000"/>
                    </w:rPr>
                    <w:br/>
                  </w:r>
                  <w:r w:rsidRPr="00BD2498">
                    <w:rPr>
                      <w:rFonts w:cs="Arial"/>
                      <w:color w:val="000000"/>
                    </w:rPr>
                    <w:t>Off-Types</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u</w:t>
                  </w:r>
                  <w:r w:rsidRPr="00BD2498">
                    <w:rPr>
                      <w:rFonts w:cs="Arial"/>
                      <w:color w:val="000000"/>
                    </w:rPr>
                    <w:t>niform</w:t>
                  </w:r>
                </w:p>
              </w:tc>
              <w:tc>
                <w:tcPr>
                  <w:tcW w:w="1985" w:type="dxa"/>
                  <w:tcBorders>
                    <w:top w:val="nil"/>
                    <w:left w:val="nil"/>
                    <w:bottom w:val="single" w:sz="8" w:space="0" w:color="auto"/>
                    <w:right w:val="single" w:sz="8"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uniform</w:t>
                  </w:r>
                </w:p>
              </w:tc>
            </w:tr>
            <w:tr w:rsidR="001A2FDB" w:rsidRPr="00BD2498" w:rsidTr="001A2FDB">
              <w:trPr>
                <w:gridBefore w:val="1"/>
                <w:wBefore w:w="426" w:type="dxa"/>
                <w:trHeight w:val="273"/>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uniform</w:t>
                  </w:r>
                </w:p>
              </w:tc>
            </w:tr>
            <w:tr w:rsidR="001A2FDB" w:rsidRPr="00BD2498" w:rsidTr="001A2FDB">
              <w:trPr>
                <w:gridBefore w:val="1"/>
                <w:wBefore w:w="426" w:type="dxa"/>
                <w:trHeight w:val="248"/>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8"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non-</w:t>
                  </w:r>
                  <w:r w:rsidRPr="00BD2498">
                    <w:rPr>
                      <w:rFonts w:cs="Arial"/>
                      <w:color w:val="000000"/>
                    </w:rPr>
                    <w:t>uniform</w:t>
                  </w:r>
                </w:p>
              </w:tc>
            </w:tr>
            <w:tr w:rsidR="001A2FDB" w:rsidRPr="00BD2498" w:rsidTr="001A2FDB">
              <w:trPr>
                <w:gridBefore w:val="1"/>
                <w:wBefore w:w="426" w:type="dxa"/>
                <w:trHeight w:val="267"/>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10</w:t>
                  </w:r>
                  <w:r>
                    <w:rPr>
                      <w:rFonts w:cs="Arial"/>
                      <w:color w:val="000000"/>
                    </w:rPr>
                    <w:t>*</w:t>
                  </w:r>
                </w:p>
              </w:tc>
              <w:tc>
                <w:tcPr>
                  <w:tcW w:w="2127" w:type="dxa"/>
                  <w:gridSpan w:val="2"/>
                  <w:tcBorders>
                    <w:top w:val="nil"/>
                    <w:left w:val="nil"/>
                    <w:bottom w:val="single" w:sz="4"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nil"/>
                    <w:bottom w:val="single" w:sz="4"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non-uniform</w:t>
                  </w:r>
                  <w:r>
                    <w:rPr>
                      <w:rFonts w:cs="Arial"/>
                      <w:color w:val="000000"/>
                    </w:rPr>
                    <w:t>*</w:t>
                  </w:r>
                </w:p>
              </w:tc>
            </w:tr>
            <w:tr w:rsidR="001A2FDB" w:rsidRPr="00BD2498" w:rsidTr="001A2FDB">
              <w:trPr>
                <w:gridBefore w:val="1"/>
                <w:wBefore w:w="426" w:type="dxa"/>
                <w:trHeight w:val="266"/>
              </w:trPr>
              <w:tc>
                <w:tcPr>
                  <w:tcW w:w="694" w:type="dxa"/>
                  <w:vMerge/>
                  <w:tcBorders>
                    <w:left w:val="single" w:sz="4" w:space="0" w:color="auto"/>
                    <w:bottom w:val="single" w:sz="4" w:space="0" w:color="auto"/>
                    <w:right w:val="single" w:sz="4" w:space="0" w:color="000000"/>
                  </w:tcBorders>
                  <w:shd w:val="clear" w:color="auto" w:fill="auto"/>
                  <w:noWrap/>
                  <w:vAlign w:val="bottom"/>
                  <w:hideMark/>
                </w:tcPr>
                <w:p w:rsidR="001A2FDB" w:rsidRPr="00BD2498" w:rsidRDefault="001A2FDB" w:rsidP="001A2FDB">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0</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non-uniform</w:t>
                  </w:r>
                  <w:r>
                    <w:rPr>
                      <w:rFonts w:cs="Arial"/>
                      <w:color w:val="000000"/>
                    </w:rPr>
                    <w:t>**</w:t>
                  </w:r>
                </w:p>
              </w:tc>
            </w:tr>
          </w:tbl>
          <w:p w:rsidR="001A2FDB" w:rsidRDefault="001A2FDB" w:rsidP="001A2FDB">
            <w:pPr>
              <w:pStyle w:val="Titleofdoc0"/>
              <w:spacing w:before="0"/>
              <w:jc w:val="both"/>
              <w:rPr>
                <w:szCs w:val="24"/>
              </w:rPr>
            </w:pPr>
          </w:p>
          <w:p w:rsidR="001A2FDB" w:rsidRPr="00C1030A" w:rsidRDefault="001A2FDB" w:rsidP="001A2FDB">
            <w:pPr>
              <w:keepNext/>
              <w:keepLines/>
              <w:ind w:left="1026"/>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1A2FDB" w:rsidRPr="00C1030A" w:rsidRDefault="001A2FDB" w:rsidP="001A2FDB">
            <w:pPr>
              <w:keepNext/>
              <w:keepLines/>
              <w:ind w:left="1026"/>
              <w:rPr>
                <w:rFonts w:eastAsia="SimSun"/>
                <w:sz w:val="18"/>
                <w:szCs w:val="24"/>
                <w:lang w:eastAsia="zh-CN"/>
              </w:rPr>
            </w:pPr>
          </w:p>
          <w:p w:rsidR="00C1030A" w:rsidRDefault="001A2FDB" w:rsidP="0037130A">
            <w:pPr>
              <w:keepNext/>
              <w:keepLines/>
              <w:ind w:left="1026"/>
              <w:rPr>
                <w:b/>
                <w:szCs w:val="24"/>
              </w:rPr>
            </w:pPr>
            <w:r w:rsidRPr="00C1030A">
              <w:rPr>
                <w:rFonts w:eastAsia="SimSun"/>
                <w:sz w:val="18"/>
                <w:szCs w:val="24"/>
                <w:lang w:eastAsia="zh-CN"/>
              </w:rPr>
              <w:t>*</w:t>
            </w:r>
            <w:proofErr w:type="gramStart"/>
            <w:r w:rsidRPr="00C1030A">
              <w:rPr>
                <w:rFonts w:eastAsia="SimSun"/>
                <w:sz w:val="18"/>
                <w:szCs w:val="24"/>
                <w:lang w:eastAsia="zh-CN"/>
              </w:rPr>
              <w:t>*  A</w:t>
            </w:r>
            <w:proofErr w:type="gramEnd"/>
            <w:r w:rsidRPr="00C1030A">
              <w:rPr>
                <w:rFonts w:eastAsia="SimSun"/>
                <w:sz w:val="18"/>
                <w:szCs w:val="24"/>
                <w:lang w:eastAsia="zh-CN"/>
              </w:rPr>
              <w:t xml:space="preserve"> variety may be rejected after a single growing cycle, under certain circumstances.</w:t>
            </w:r>
          </w:p>
        </w:tc>
      </w:tr>
    </w:tbl>
    <w:p w:rsidR="006820B9" w:rsidRDefault="006820B9" w:rsidP="00FF36CC">
      <w:pPr>
        <w:rPr>
          <w:rFonts w:eastAsia="MS Mincho"/>
          <w:color w:val="000000"/>
          <w:lang w:eastAsia="ja-JP"/>
        </w:rPr>
      </w:pPr>
    </w:p>
    <w:p w:rsidR="008D1869" w:rsidRDefault="0037130A" w:rsidP="008D1869">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8D1869" w:rsidRDefault="008D1869" w:rsidP="008D1869">
      <w:pPr>
        <w:rPr>
          <w:rFonts w:eastAsia="MS Mincho"/>
          <w:color w:val="000000"/>
          <w:lang w:eastAsia="ja-JP"/>
        </w:rPr>
      </w:pPr>
    </w:p>
    <w:p w:rsidR="008D1869" w:rsidRDefault="008D1869" w:rsidP="008D1869">
      <w:pPr>
        <w:sectPr w:rsidR="008D1869" w:rsidSect="006820B9">
          <w:headerReference w:type="default" r:id="rId11"/>
          <w:headerReference w:type="first" r:id="rId12"/>
          <w:pgSz w:w="11907" w:h="16840" w:code="9"/>
          <w:pgMar w:top="510" w:right="1134" w:bottom="709"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E29F7" w:rsidRPr="00ED3415" w:rsidTr="0038170B">
        <w:trPr>
          <w:trHeight w:val="291"/>
        </w:trPr>
        <w:tc>
          <w:tcPr>
            <w:tcW w:w="10206" w:type="dxa"/>
          </w:tcPr>
          <w:p w:rsidR="00C1030A" w:rsidRPr="002A2C89" w:rsidRDefault="009E29F7" w:rsidP="000414AF">
            <w:pPr>
              <w:autoSpaceDE w:val="0"/>
              <w:autoSpaceDN w:val="0"/>
              <w:adjustRightInd w:val="0"/>
              <w:spacing w:before="120"/>
              <w:jc w:val="center"/>
              <w:rPr>
                <w:rFonts w:eastAsia="SimSun"/>
                <w:szCs w:val="24"/>
                <w:lang w:eastAsia="zh-CN"/>
              </w:rPr>
            </w:pPr>
            <w:r>
              <w:rPr>
                <w:rFonts w:eastAsia="SimSun"/>
                <w:szCs w:val="24"/>
                <w:lang w:eastAsia="zh-CN"/>
              </w:rPr>
              <w:lastRenderedPageBreak/>
              <w:t>SITUATION B: TWO GROWING LOCATIONS IN THE SAME YEAR</w:t>
            </w:r>
          </w:p>
        </w:tc>
      </w:tr>
      <w:tr w:rsidR="00C1030A" w:rsidRPr="00ED3415" w:rsidTr="0038170B">
        <w:trPr>
          <w:trHeight w:val="13109"/>
        </w:trPr>
        <w:tc>
          <w:tcPr>
            <w:tcW w:w="10206" w:type="dxa"/>
          </w:tcPr>
          <w:p w:rsidR="00C1030A" w:rsidRDefault="00C1030A" w:rsidP="00C1030A">
            <w:pPr>
              <w:rPr>
                <w:b/>
                <w:szCs w:val="24"/>
              </w:rPr>
            </w:pPr>
          </w:p>
          <w:p w:rsidR="00C1030A" w:rsidRPr="006556B3" w:rsidRDefault="00C1030A" w:rsidP="00C1030A">
            <w:pPr>
              <w:rPr>
                <w:b/>
                <w:szCs w:val="24"/>
              </w:rPr>
            </w:pPr>
            <w:r w:rsidRPr="006556B3">
              <w:rPr>
                <w:b/>
                <w:szCs w:val="24"/>
              </w:rPr>
              <w:t>Approach</w:t>
            </w:r>
            <w:r>
              <w:rPr>
                <w:b/>
                <w:szCs w:val="24"/>
              </w:rPr>
              <w:t xml:space="preserve"> 1</w:t>
            </w:r>
            <w:r w:rsidRPr="006556B3">
              <w:rPr>
                <w:b/>
                <w:szCs w:val="24"/>
              </w:rPr>
              <w:t xml:space="preserve">: Third growing cycle for inconsistent results </w:t>
            </w:r>
          </w:p>
          <w:p w:rsidR="00C1030A" w:rsidRPr="006556B3" w:rsidRDefault="00C1030A" w:rsidP="00C1030A">
            <w:pPr>
              <w:rPr>
                <w:rFonts w:eastAsia="SimSun"/>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uniform if it is within the uniformity standard in both of the growing locations.</w:t>
            </w:r>
          </w:p>
          <w:p w:rsidR="00C1030A" w:rsidRPr="006556B3" w:rsidRDefault="00C1030A" w:rsidP="00C1030A">
            <w:pPr>
              <w:rPr>
                <w:rFonts w:eastAsia="SimSun"/>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non-uniform if it fails to meet the uniformity standard in both of the growing locations.</w:t>
            </w:r>
          </w:p>
          <w:p w:rsidR="00C1030A" w:rsidRPr="006556B3" w:rsidRDefault="00C1030A" w:rsidP="00C1030A">
            <w:pPr>
              <w:rPr>
                <w:rFonts w:eastAsia="SimSun"/>
                <w:szCs w:val="24"/>
                <w:lang w:eastAsia="zh-CN"/>
              </w:rPr>
            </w:pPr>
          </w:p>
          <w:p w:rsidR="00C1030A" w:rsidRPr="006556B3" w:rsidRDefault="00C1030A" w:rsidP="00C1030A">
            <w:pPr>
              <w:keepNext/>
              <w:keepLines/>
              <w:rPr>
                <w:rFonts w:eastAsia="SimSun"/>
                <w:szCs w:val="24"/>
                <w:lang w:eastAsia="zh-CN"/>
              </w:rPr>
            </w:pPr>
            <w:r w:rsidRPr="006556B3">
              <w:rPr>
                <w:rFonts w:eastAsia="SimSun"/>
                <w:szCs w:val="24"/>
                <w:lang w:eastAsia="zh-CN"/>
              </w:rPr>
              <w:t xml:space="preserve">If the variety is within the uniformity standard in one growing location but is not within the uniformity standard in the other growing location, then </w:t>
            </w:r>
          </w:p>
          <w:p w:rsidR="00C1030A" w:rsidRPr="006556B3" w:rsidRDefault="00C1030A" w:rsidP="00C1030A">
            <w:pPr>
              <w:keepNext/>
              <w:keepLines/>
              <w:rPr>
                <w:rFonts w:eastAsia="SimSun"/>
                <w:szCs w:val="24"/>
                <w:lang w:eastAsia="zh-CN"/>
              </w:rPr>
            </w:pPr>
          </w:p>
          <w:p w:rsidR="00C1030A" w:rsidRPr="006556B3" w:rsidRDefault="00C1030A" w:rsidP="00C1030A">
            <w:pPr>
              <w:keepNext/>
              <w:keepLines/>
              <w:ind w:left="561" w:right="709"/>
              <w:rPr>
                <w:rFonts w:eastAsia="SimSun"/>
                <w:lang w:eastAsia="zh-CN"/>
              </w:rPr>
            </w:pPr>
            <w:r w:rsidRPr="006556B3">
              <w:rPr>
                <w:rFonts w:eastAsia="SimSun"/>
                <w:lang w:eastAsia="zh-CN"/>
              </w:rPr>
              <w:t>Alternative (a)</w:t>
            </w:r>
            <w:r w:rsidRPr="006556B3">
              <w:rPr>
                <w:rFonts w:eastAsia="SimSun"/>
                <w:lang w:eastAsia="zh-CN"/>
              </w:rPr>
              <w:tab/>
              <w:t>the trial is repeated at both locations for a second year;</w:t>
            </w:r>
          </w:p>
          <w:p w:rsidR="00C1030A" w:rsidRPr="006556B3" w:rsidRDefault="00C1030A" w:rsidP="00C1030A">
            <w:pPr>
              <w:keepNext/>
              <w:keepLines/>
              <w:ind w:left="561" w:right="709"/>
              <w:rPr>
                <w:rFonts w:eastAsia="SimSun"/>
                <w:lang w:eastAsia="zh-CN"/>
              </w:rPr>
            </w:pPr>
          </w:p>
          <w:p w:rsidR="00C1030A" w:rsidRPr="006556B3" w:rsidRDefault="00C1030A" w:rsidP="00C1030A">
            <w:pPr>
              <w:keepNext/>
              <w:keepLines/>
              <w:ind w:left="561" w:right="709"/>
              <w:rPr>
                <w:rFonts w:eastAsia="SimSun"/>
                <w:lang w:eastAsia="zh-CN"/>
              </w:rPr>
            </w:pPr>
            <w:r w:rsidRPr="006556B3">
              <w:rPr>
                <w:rFonts w:eastAsia="SimSun"/>
                <w:lang w:eastAsia="zh-CN"/>
              </w:rPr>
              <w:t>Alternative (b)</w:t>
            </w:r>
            <w:r w:rsidRPr="006556B3">
              <w:rPr>
                <w:rFonts w:eastAsia="SimSun"/>
                <w:lang w:eastAsia="zh-CN"/>
              </w:rPr>
              <w:tab/>
              <w:t>the trial is repeated at the Leading station (location)</w:t>
            </w:r>
          </w:p>
          <w:p w:rsidR="00C1030A" w:rsidRPr="006556B3" w:rsidRDefault="00C1030A" w:rsidP="00C1030A">
            <w:pPr>
              <w:keepNext/>
              <w:keepLines/>
              <w:ind w:left="561" w:right="709"/>
            </w:pPr>
          </w:p>
          <w:p w:rsidR="00C1030A" w:rsidRDefault="00C1030A" w:rsidP="00C1030A">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C1030A" w:rsidRDefault="00C1030A" w:rsidP="00C1030A">
            <w:pPr>
              <w:keepNext/>
              <w:keepLines/>
              <w:rPr>
                <w:rFonts w:eastAsia="SimSun"/>
                <w:szCs w:val="24"/>
                <w:lang w:eastAsia="zh-CN"/>
              </w:rPr>
            </w:pPr>
          </w:p>
          <w:p w:rsidR="00C1030A" w:rsidRDefault="00C1030A" w:rsidP="00C1030A">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0414AF" w:rsidRPr="000414AF" w:rsidRDefault="000414AF" w:rsidP="000414AF"/>
          <w:p w:rsidR="00C1030A" w:rsidRPr="006556B3" w:rsidRDefault="00C1030A" w:rsidP="00C1030A">
            <w:pPr>
              <w:rPr>
                <w:rFonts w:eastAsia="SimSun"/>
                <w:b/>
                <w:szCs w:val="24"/>
                <w:lang w:eastAsia="zh-CN"/>
              </w:rPr>
            </w:pPr>
            <w:r w:rsidRPr="006556B3">
              <w:rPr>
                <w:b/>
                <w:szCs w:val="24"/>
              </w:rPr>
              <w:t>Approach</w:t>
            </w:r>
            <w:r>
              <w:rPr>
                <w:b/>
                <w:szCs w:val="24"/>
              </w:rPr>
              <w:t xml:space="preserve"> 2</w:t>
            </w:r>
            <w:r w:rsidRPr="006556B3">
              <w:rPr>
                <w:b/>
                <w:szCs w:val="24"/>
              </w:rPr>
              <w:t xml:space="preserve">: </w:t>
            </w:r>
            <w:r w:rsidRPr="006556B3">
              <w:rPr>
                <w:rFonts w:eastAsia="SimSun"/>
                <w:b/>
                <w:szCs w:val="24"/>
                <w:lang w:eastAsia="zh-CN"/>
              </w:rPr>
              <w:t xml:space="preserve">Combining the results of two locations </w:t>
            </w:r>
          </w:p>
          <w:p w:rsidR="00C1030A" w:rsidRPr="006556B3" w:rsidRDefault="00C1030A" w:rsidP="00C1030A">
            <w:pPr>
              <w:rPr>
                <w:rFonts w:eastAsia="SimSun"/>
                <w:b/>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uniform if it is within the uniformity standard in both locations.</w:t>
            </w:r>
          </w:p>
          <w:p w:rsidR="00C1030A" w:rsidRPr="006556B3" w:rsidRDefault="00C1030A" w:rsidP="00C1030A">
            <w:pPr>
              <w:rPr>
                <w:rFonts w:eastAsia="SimSun"/>
                <w:szCs w:val="24"/>
                <w:lang w:eastAsia="zh-CN"/>
              </w:rPr>
            </w:pPr>
          </w:p>
          <w:p w:rsidR="00C1030A" w:rsidRPr="006556B3" w:rsidRDefault="00C1030A" w:rsidP="00C1030A">
            <w:pPr>
              <w:keepNext/>
              <w:keepLines/>
              <w:tabs>
                <w:tab w:val="left" w:pos="1985"/>
              </w:tabs>
              <w:rPr>
                <w:rFonts w:eastAsia="SimSun"/>
                <w:szCs w:val="24"/>
                <w:lang w:eastAsia="zh-CN"/>
              </w:rPr>
            </w:pPr>
            <w:r w:rsidRPr="006556B3">
              <w:rPr>
                <w:rFonts w:eastAsia="SimSun"/>
                <w:szCs w:val="24"/>
                <w:lang w:eastAsia="zh-CN"/>
              </w:rPr>
              <w:t>A variety is considered non-uniform if it fails to meet the uniformity standard in both locations.</w:t>
            </w:r>
          </w:p>
          <w:p w:rsidR="00C1030A" w:rsidRPr="006556B3" w:rsidRDefault="00C1030A" w:rsidP="00C1030A">
            <w:pPr>
              <w:keepNext/>
              <w:keepLines/>
              <w:tabs>
                <w:tab w:val="left" w:pos="1985"/>
              </w:tabs>
              <w:rPr>
                <w:rFonts w:eastAsia="SimSun"/>
                <w:szCs w:val="24"/>
                <w:lang w:eastAsia="zh-CN"/>
              </w:rPr>
            </w:pPr>
          </w:p>
          <w:p w:rsidR="00C1030A" w:rsidRPr="006556B3" w:rsidRDefault="00C1030A" w:rsidP="00C1030A">
            <w:pPr>
              <w:rPr>
                <w:rFonts w:eastAsia="SimSun"/>
                <w:szCs w:val="24"/>
                <w:lang w:eastAsia="zh-CN"/>
              </w:rPr>
            </w:pPr>
            <w:r w:rsidRPr="00627ABA">
              <w:rPr>
                <w:rFonts w:eastAsia="SimSun"/>
                <w:szCs w:val="24"/>
                <w:lang w:eastAsia="zh-CN"/>
              </w:rPr>
              <w:t>If the variety is within the uniformity standard in one growing location but is not within the uniformity standard in the other growing location, a</w:t>
            </w:r>
            <w:r w:rsidRPr="00627ABA" w:rsidDel="00882017">
              <w:rPr>
                <w:szCs w:val="24"/>
              </w:rPr>
              <w:t xml:space="preserve"> </w:t>
            </w:r>
            <w:r w:rsidRPr="00627ABA">
              <w:rPr>
                <w:rFonts w:eastAsia="SimSun"/>
                <w:szCs w:val="24"/>
                <w:lang w:eastAsia="zh-CN"/>
              </w:rPr>
              <w:t>variety</w:t>
            </w:r>
            <w:r w:rsidRPr="006556B3">
              <w:rPr>
                <w:rFonts w:eastAsia="SimSun"/>
                <w:szCs w:val="24"/>
                <w:lang w:eastAsia="zh-CN"/>
              </w:rPr>
              <w:t xml:space="preserve"> is considered </w:t>
            </w:r>
            <w:r w:rsidRPr="006556B3">
              <w:rPr>
                <w:szCs w:val="24"/>
              </w:rPr>
              <w:t xml:space="preserve">within the uniformity standard if </w:t>
            </w:r>
            <w:r w:rsidRPr="006556B3">
              <w:rPr>
                <w:rFonts w:eastAsia="SimSun"/>
                <w:szCs w:val="24"/>
                <w:lang w:eastAsia="zh-CN"/>
              </w:rPr>
              <w:t>the number of off-type plants or parts of plants does not exceed the allowed number of off-types for the combined sample (two locations).</w:t>
            </w:r>
          </w:p>
          <w:p w:rsidR="00C1030A" w:rsidRDefault="00C1030A" w:rsidP="00C1030A">
            <w:pPr>
              <w:keepNext/>
              <w:keepLines/>
              <w:rPr>
                <w:rFonts w:eastAsia="SimSun"/>
                <w:szCs w:val="24"/>
                <w:lang w:eastAsia="zh-CN"/>
              </w:rPr>
            </w:pPr>
          </w:p>
          <w:p w:rsidR="00C1030A" w:rsidRDefault="00C1030A" w:rsidP="00C1030A">
            <w:pPr>
              <w:keepNext/>
              <w:keepLines/>
              <w:rPr>
                <w:color w:val="000000"/>
                <w:szCs w:val="24"/>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C1030A" w:rsidRDefault="00C1030A" w:rsidP="00C1030A">
            <w:pPr>
              <w:keepNext/>
              <w:keepLines/>
              <w:rPr>
                <w:rFonts w:eastAsia="SimSun"/>
                <w:szCs w:val="24"/>
                <w:lang w:eastAsia="zh-CN"/>
              </w:rPr>
            </w:pPr>
          </w:p>
          <w:p w:rsidR="00C1030A" w:rsidRDefault="00C1030A" w:rsidP="00C1030A">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0414AF" w:rsidRDefault="000414AF" w:rsidP="000414AF">
            <w:pPr>
              <w:rPr>
                <w:szCs w:val="24"/>
              </w:rPr>
            </w:pPr>
          </w:p>
          <w:p w:rsidR="006820B9" w:rsidRPr="00BD2498" w:rsidRDefault="004D484F" w:rsidP="006820B9">
            <w:pPr>
              <w:rPr>
                <w:szCs w:val="24"/>
              </w:rPr>
            </w:pPr>
            <w:r>
              <w:rPr>
                <w:rFonts w:eastAsia="SimSun"/>
                <w:szCs w:val="24"/>
                <w:lang w:eastAsia="zh-CN"/>
              </w:rPr>
              <w:pict>
                <v:rect id="_x0000_i1026" style="width:0;height:1.5pt" o:hralign="center" o:hrstd="t" o:hr="t" fillcolor="#a0a0a0" stroked="f"/>
              </w:pict>
            </w:r>
            <w:r w:rsidR="006820B9" w:rsidRPr="00BD2498">
              <w:rPr>
                <w:szCs w:val="24"/>
              </w:rPr>
              <w:t>Example:</w:t>
            </w:r>
          </w:p>
          <w:p w:rsidR="006820B9" w:rsidRDefault="006820B9" w:rsidP="000414AF">
            <w:pPr>
              <w:rPr>
                <w:szCs w:val="24"/>
              </w:rPr>
            </w:pPr>
          </w:p>
          <w:tbl>
            <w:tblPr>
              <w:tblW w:w="6520" w:type="dxa"/>
              <w:tblInd w:w="1593" w:type="dxa"/>
              <w:tblLook w:val="04A0" w:firstRow="1" w:lastRow="0" w:firstColumn="1" w:lastColumn="0" w:noHBand="0" w:noVBand="1"/>
            </w:tblPr>
            <w:tblGrid>
              <w:gridCol w:w="6520"/>
            </w:tblGrid>
            <w:tr w:rsidR="000414AF" w:rsidRPr="00304612" w:rsidTr="00F94D07">
              <w:trPr>
                <w:trHeight w:val="255"/>
              </w:trPr>
              <w:tc>
                <w:tcPr>
                  <w:tcW w:w="6520" w:type="dxa"/>
                  <w:tcBorders>
                    <w:top w:val="nil"/>
                    <w:left w:val="nil"/>
                    <w:bottom w:val="nil"/>
                    <w:right w:val="nil"/>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 xml:space="preserve">Population Standard  = 1%  </w:t>
                  </w:r>
                </w:p>
              </w:tc>
            </w:tr>
            <w:tr w:rsidR="000414AF" w:rsidRPr="00304612" w:rsidTr="00F94D07">
              <w:trPr>
                <w:trHeight w:val="270"/>
              </w:trPr>
              <w:tc>
                <w:tcPr>
                  <w:tcW w:w="6520" w:type="dxa"/>
                  <w:tcBorders>
                    <w:top w:val="nil"/>
                    <w:left w:val="nil"/>
                    <w:bottom w:val="nil"/>
                    <w:right w:val="nil"/>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Acceptance Probability ≥ 95%</w:t>
                  </w:r>
                </w:p>
              </w:tc>
            </w:tr>
            <w:tr w:rsidR="000414AF" w:rsidRPr="00304612" w:rsidTr="00F94D07">
              <w:trPr>
                <w:trHeight w:val="255"/>
              </w:trPr>
              <w:tc>
                <w:tcPr>
                  <w:tcW w:w="6520" w:type="dxa"/>
                  <w:tcBorders>
                    <w:top w:val="single" w:sz="8" w:space="0" w:color="auto"/>
                    <w:left w:val="single" w:sz="8" w:space="0" w:color="auto"/>
                    <w:bottom w:val="nil"/>
                    <w:right w:val="single" w:sz="8" w:space="0" w:color="000000"/>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Sample Size</w:t>
                  </w:r>
                  <w:r>
                    <w:rPr>
                      <w:rFonts w:cs="Arial"/>
                      <w:color w:val="000000"/>
                    </w:rPr>
                    <w:t xml:space="preserve"> in each of growing locations 1 and 2</w:t>
                  </w:r>
                  <w:r w:rsidRPr="00304612">
                    <w:rPr>
                      <w:rFonts w:cs="Arial"/>
                      <w:color w:val="000000"/>
                    </w:rPr>
                    <w:t xml:space="preserve"> = 50</w:t>
                  </w:r>
                </w:p>
              </w:tc>
            </w:tr>
            <w:tr w:rsidR="000414AF" w:rsidRPr="00304612" w:rsidTr="00F94D07">
              <w:trPr>
                <w:trHeight w:val="270"/>
              </w:trPr>
              <w:tc>
                <w:tcPr>
                  <w:tcW w:w="6520" w:type="dxa"/>
                  <w:tcBorders>
                    <w:top w:val="nil"/>
                    <w:left w:val="single" w:sz="4" w:space="0" w:color="auto"/>
                    <w:bottom w:val="single" w:sz="8" w:space="0" w:color="auto"/>
                    <w:right w:val="single" w:sz="8" w:space="0" w:color="000000"/>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Maximum number of Off-Types = 2</w:t>
                  </w:r>
                </w:p>
              </w:tc>
            </w:tr>
            <w:tr w:rsidR="000414AF" w:rsidRPr="00304612" w:rsidTr="00F94D07">
              <w:trPr>
                <w:trHeight w:val="270"/>
              </w:trPr>
              <w:tc>
                <w:tcPr>
                  <w:tcW w:w="6520" w:type="dxa"/>
                  <w:tcBorders>
                    <w:top w:val="nil"/>
                    <w:left w:val="single" w:sz="4" w:space="0" w:color="auto"/>
                    <w:bottom w:val="nil"/>
                    <w:right w:val="single" w:sz="4" w:space="0" w:color="auto"/>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 xml:space="preserve">Sample Size </w:t>
                  </w:r>
                  <w:r>
                    <w:rPr>
                      <w:rFonts w:cs="Arial"/>
                      <w:color w:val="000000"/>
                    </w:rPr>
                    <w:t xml:space="preserve">in growing locations 1 and 2 combined </w:t>
                  </w:r>
                  <w:r w:rsidRPr="00304612">
                    <w:rPr>
                      <w:rFonts w:cs="Arial"/>
                      <w:color w:val="000000"/>
                    </w:rPr>
                    <w:t>= 100</w:t>
                  </w:r>
                </w:p>
              </w:tc>
            </w:tr>
            <w:tr w:rsidR="000414AF" w:rsidRPr="00304612" w:rsidTr="00F94D07">
              <w:trPr>
                <w:trHeight w:val="270"/>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Maximum number of Off-Types = 3</w:t>
                  </w:r>
                </w:p>
              </w:tc>
            </w:tr>
          </w:tbl>
          <w:p w:rsidR="000414AF" w:rsidRDefault="000414AF" w:rsidP="000414AF">
            <w:pPr>
              <w:pStyle w:val="Titleofdoc0"/>
              <w:spacing w:before="0"/>
              <w:jc w:val="both"/>
              <w:rPr>
                <w:szCs w:val="24"/>
              </w:rPr>
            </w:pPr>
          </w:p>
          <w:tbl>
            <w:tblPr>
              <w:tblW w:w="7229" w:type="dxa"/>
              <w:tblInd w:w="884" w:type="dxa"/>
              <w:tblLook w:val="04A0" w:firstRow="1" w:lastRow="0" w:firstColumn="1" w:lastColumn="0" w:noHBand="0" w:noVBand="1"/>
            </w:tblPr>
            <w:tblGrid>
              <w:gridCol w:w="709"/>
              <w:gridCol w:w="1417"/>
              <w:gridCol w:w="1443"/>
              <w:gridCol w:w="1817"/>
              <w:gridCol w:w="1843"/>
            </w:tblGrid>
            <w:tr w:rsidR="000414AF" w:rsidRPr="00BD2498" w:rsidTr="000414AF">
              <w:trPr>
                <w:trHeight w:val="366"/>
              </w:trPr>
              <w:tc>
                <w:tcPr>
                  <w:tcW w:w="709" w:type="dxa"/>
                  <w:tcBorders>
                    <w:top w:val="nil"/>
                    <w:left w:val="nil"/>
                    <w:bottom w:val="nil"/>
                    <w:right w:val="single" w:sz="4" w:space="0" w:color="auto"/>
                  </w:tcBorders>
                  <w:shd w:val="clear" w:color="auto" w:fill="auto"/>
                  <w:noWrap/>
                  <w:vAlign w:val="bottom"/>
                  <w:hideMark/>
                </w:tcPr>
                <w:p w:rsidR="000414AF" w:rsidRPr="00BD2498" w:rsidRDefault="000414AF" w:rsidP="00F94D07">
                  <w:pPr>
                    <w:jc w:val="left"/>
                    <w:rPr>
                      <w:rFonts w:cs="Arial"/>
                      <w:color w:val="000000"/>
                    </w:rPr>
                  </w:pPr>
                  <w:r w:rsidRPr="00BD2498">
                    <w:rPr>
                      <w:rFonts w:cs="Arial"/>
                      <w:color w:val="000000"/>
                    </w:rPr>
                    <w:t> </w:t>
                  </w:r>
                </w:p>
              </w:tc>
              <w:tc>
                <w:tcPr>
                  <w:tcW w:w="28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 xml:space="preserve">Growing </w:t>
                  </w:r>
                  <w:r>
                    <w:rPr>
                      <w:rFonts w:cs="Arial"/>
                      <w:color w:val="000000"/>
                    </w:rPr>
                    <w:t>location</w:t>
                  </w:r>
                </w:p>
              </w:tc>
              <w:tc>
                <w:tcPr>
                  <w:tcW w:w="3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Decision</w:t>
                  </w:r>
                </w:p>
              </w:tc>
            </w:tr>
            <w:tr w:rsidR="000414AF" w:rsidRPr="00BD2498" w:rsidTr="000414AF">
              <w:trPr>
                <w:trHeight w:val="273"/>
              </w:trPr>
              <w:tc>
                <w:tcPr>
                  <w:tcW w:w="709" w:type="dxa"/>
                  <w:tcBorders>
                    <w:top w:val="nil"/>
                    <w:left w:val="nil"/>
                    <w:bottom w:val="single" w:sz="4" w:space="0" w:color="auto"/>
                    <w:right w:val="single" w:sz="4" w:space="0" w:color="auto"/>
                  </w:tcBorders>
                  <w:shd w:val="clear" w:color="auto" w:fill="auto"/>
                  <w:noWrap/>
                  <w:vAlign w:val="bottom"/>
                  <w:hideMark/>
                </w:tcPr>
                <w:p w:rsidR="000414AF" w:rsidRPr="00BD2498" w:rsidRDefault="000414AF" w:rsidP="00F94D07">
                  <w:pPr>
                    <w:jc w:val="left"/>
                    <w:rPr>
                      <w:rFonts w:cs="Arial"/>
                      <w:color w:val="000000"/>
                    </w:rPr>
                  </w:pPr>
                  <w:r w:rsidRPr="00BD2498">
                    <w:rPr>
                      <w:rFonts w:cs="Arial"/>
                      <w:color w:val="000000"/>
                    </w:rPr>
                    <w:t> </w:t>
                  </w:r>
                </w:p>
              </w:tc>
              <w:tc>
                <w:tcPr>
                  <w:tcW w:w="14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First</w:t>
                  </w:r>
                </w:p>
              </w:tc>
              <w:tc>
                <w:tcPr>
                  <w:tcW w:w="14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Second</w:t>
                  </w:r>
                </w:p>
              </w:tc>
              <w:tc>
                <w:tcPr>
                  <w:tcW w:w="18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Approach 1</w:t>
                  </w:r>
                </w:p>
              </w:tc>
              <w:tc>
                <w:tcPr>
                  <w:tcW w:w="18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Approach 2</w:t>
                  </w:r>
                </w:p>
              </w:tc>
            </w:tr>
            <w:tr w:rsidR="000414AF" w:rsidRPr="00BD2498" w:rsidTr="000414AF">
              <w:trPr>
                <w:trHeight w:val="266"/>
              </w:trPr>
              <w:tc>
                <w:tcPr>
                  <w:tcW w:w="709" w:type="dxa"/>
                  <w:vMerge w:val="restart"/>
                  <w:tcBorders>
                    <w:top w:val="nil"/>
                    <w:left w:val="single" w:sz="4" w:space="0" w:color="auto"/>
                    <w:right w:val="single" w:sz="4" w:space="0" w:color="auto"/>
                  </w:tcBorders>
                  <w:shd w:val="clear" w:color="auto" w:fill="auto"/>
                  <w:textDirection w:val="btLr"/>
                  <w:vAlign w:val="center"/>
                  <w:hideMark/>
                </w:tcPr>
                <w:p w:rsidR="000414AF" w:rsidRPr="00BD2498" w:rsidRDefault="000414AF" w:rsidP="00F94D07">
                  <w:pPr>
                    <w:jc w:val="center"/>
                    <w:rPr>
                      <w:rFonts w:cs="Arial"/>
                      <w:color w:val="000000"/>
                    </w:rPr>
                  </w:pPr>
                  <w:r w:rsidRPr="00BD2498">
                    <w:rPr>
                      <w:rFonts w:cs="Arial"/>
                      <w:color w:val="000000"/>
                    </w:rPr>
                    <w:t xml:space="preserve">Number of </w:t>
                  </w:r>
                  <w:r w:rsidR="009818A0">
                    <w:rPr>
                      <w:rFonts w:cs="Arial"/>
                      <w:color w:val="000000"/>
                    </w:rPr>
                    <w:br/>
                  </w:r>
                  <w:r w:rsidRPr="00BD2498">
                    <w:rPr>
                      <w:rFonts w:cs="Arial"/>
                      <w:color w:val="000000"/>
                    </w:rPr>
                    <w:t>Off-Types</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2</w:t>
                  </w:r>
                </w:p>
              </w:tc>
              <w:tc>
                <w:tcPr>
                  <w:tcW w:w="14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2</w:t>
                  </w:r>
                </w:p>
              </w:tc>
              <w:tc>
                <w:tcPr>
                  <w:tcW w:w="18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u</w:t>
                  </w:r>
                  <w:r w:rsidRPr="00BD2498">
                    <w:rPr>
                      <w:rFonts w:cs="Arial"/>
                      <w:color w:val="000000"/>
                    </w:rPr>
                    <w:t>niform</w:t>
                  </w:r>
                </w:p>
              </w:tc>
              <w:tc>
                <w:tcPr>
                  <w:tcW w:w="1843" w:type="dxa"/>
                  <w:tcBorders>
                    <w:top w:val="nil"/>
                    <w:left w:val="nil"/>
                    <w:bottom w:val="single" w:sz="8" w:space="0" w:color="auto"/>
                    <w:right w:val="single" w:sz="8"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uniform</w:t>
                  </w:r>
                </w:p>
              </w:tc>
            </w:tr>
            <w:tr w:rsidR="000414AF" w:rsidRPr="00BD2498" w:rsidTr="000414AF">
              <w:trPr>
                <w:trHeight w:val="257"/>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0</w:t>
                  </w:r>
                </w:p>
              </w:tc>
              <w:tc>
                <w:tcPr>
                  <w:tcW w:w="14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uniform</w:t>
                  </w:r>
                </w:p>
              </w:tc>
            </w:tr>
            <w:tr w:rsidR="000414AF" w:rsidRPr="00BD2498" w:rsidTr="000414AF">
              <w:trPr>
                <w:trHeight w:val="260"/>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1</w:t>
                  </w:r>
                </w:p>
              </w:tc>
              <w:tc>
                <w:tcPr>
                  <w:tcW w:w="14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8" w:space="0" w:color="auto"/>
                    <w:right w:val="single" w:sz="8"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non-</w:t>
                  </w:r>
                  <w:r w:rsidRPr="00BD2498">
                    <w:rPr>
                      <w:rFonts w:cs="Arial"/>
                      <w:color w:val="000000"/>
                    </w:rPr>
                    <w:t>uniform</w:t>
                  </w:r>
                </w:p>
              </w:tc>
            </w:tr>
            <w:tr w:rsidR="000414AF" w:rsidRPr="00BD2498" w:rsidTr="000414AF">
              <w:trPr>
                <w:trHeight w:val="279"/>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0</w:t>
                  </w:r>
                </w:p>
              </w:tc>
              <w:tc>
                <w:tcPr>
                  <w:tcW w:w="1443" w:type="dxa"/>
                  <w:tcBorders>
                    <w:top w:val="nil"/>
                    <w:left w:val="nil"/>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10</w:t>
                  </w:r>
                  <w:r>
                    <w:rPr>
                      <w:rFonts w:cs="Arial"/>
                      <w:color w:val="000000"/>
                    </w:rPr>
                    <w:t>*</w:t>
                  </w:r>
                </w:p>
              </w:tc>
              <w:tc>
                <w:tcPr>
                  <w:tcW w:w="1817" w:type="dxa"/>
                  <w:tcBorders>
                    <w:top w:val="nil"/>
                    <w:left w:val="nil"/>
                    <w:bottom w:val="single" w:sz="4"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4"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non-uniform</w:t>
                  </w:r>
                  <w:r>
                    <w:rPr>
                      <w:rFonts w:cs="Arial"/>
                      <w:color w:val="000000"/>
                    </w:rPr>
                    <w:t>*</w:t>
                  </w:r>
                </w:p>
              </w:tc>
            </w:tr>
            <w:tr w:rsidR="000414AF" w:rsidRPr="00BD2498" w:rsidTr="000414AF">
              <w:trPr>
                <w:trHeight w:val="265"/>
              </w:trPr>
              <w:tc>
                <w:tcPr>
                  <w:tcW w:w="709" w:type="dxa"/>
                  <w:vMerge/>
                  <w:tcBorders>
                    <w:left w:val="single" w:sz="4" w:space="0" w:color="auto"/>
                    <w:bottom w:val="single" w:sz="4" w:space="0" w:color="auto"/>
                    <w:right w:val="single" w:sz="4" w:space="0" w:color="auto"/>
                  </w:tcBorders>
                  <w:shd w:val="clear" w:color="auto" w:fill="auto"/>
                  <w:noWrap/>
                  <w:vAlign w:val="bottom"/>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10**</w:t>
                  </w: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0</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non-uniform</w:t>
                  </w:r>
                  <w:r>
                    <w:rPr>
                      <w:rFonts w:cs="Arial"/>
                      <w:color w:val="000000"/>
                    </w:rPr>
                    <w:t>**</w:t>
                  </w:r>
                </w:p>
              </w:tc>
            </w:tr>
          </w:tbl>
          <w:p w:rsidR="000414AF" w:rsidRDefault="000414AF" w:rsidP="000414AF">
            <w:pPr>
              <w:pStyle w:val="Titleofdoc0"/>
              <w:spacing w:before="0"/>
              <w:jc w:val="both"/>
              <w:rPr>
                <w:szCs w:val="24"/>
              </w:rPr>
            </w:pPr>
          </w:p>
          <w:p w:rsidR="000414AF" w:rsidRPr="00C1030A" w:rsidRDefault="000414AF" w:rsidP="000414AF">
            <w:pPr>
              <w:keepNext/>
              <w:keepLines/>
              <w:ind w:left="884"/>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0414AF" w:rsidRPr="00C1030A" w:rsidRDefault="000414AF" w:rsidP="000414AF">
            <w:pPr>
              <w:keepNext/>
              <w:keepLines/>
              <w:ind w:left="884"/>
              <w:rPr>
                <w:rFonts w:eastAsia="SimSun"/>
                <w:sz w:val="18"/>
                <w:szCs w:val="24"/>
                <w:lang w:eastAsia="zh-CN"/>
              </w:rPr>
            </w:pPr>
          </w:p>
          <w:p w:rsidR="00C1030A" w:rsidRDefault="000414AF" w:rsidP="006820B9">
            <w:pPr>
              <w:keepNext/>
              <w:keepLines/>
              <w:ind w:left="885"/>
              <w:rPr>
                <w:rFonts w:eastAsia="SimSun"/>
                <w:szCs w:val="24"/>
                <w:lang w:eastAsia="zh-CN"/>
              </w:rPr>
            </w:pPr>
            <w:r w:rsidRPr="00C1030A">
              <w:rPr>
                <w:rFonts w:eastAsia="SimSun"/>
                <w:sz w:val="18"/>
                <w:szCs w:val="24"/>
                <w:lang w:eastAsia="zh-CN"/>
              </w:rPr>
              <w:t>*</w:t>
            </w:r>
            <w:proofErr w:type="gramStart"/>
            <w:r w:rsidRPr="00C1030A">
              <w:rPr>
                <w:rFonts w:eastAsia="SimSun"/>
                <w:sz w:val="18"/>
                <w:szCs w:val="24"/>
                <w:lang w:eastAsia="zh-CN"/>
              </w:rPr>
              <w:t>*  A</w:t>
            </w:r>
            <w:proofErr w:type="gramEnd"/>
            <w:r w:rsidRPr="00C1030A">
              <w:rPr>
                <w:rFonts w:eastAsia="SimSun"/>
                <w:sz w:val="18"/>
                <w:szCs w:val="24"/>
                <w:lang w:eastAsia="zh-CN"/>
              </w:rPr>
              <w:t xml:space="preserve"> variety may be rejected after a single growing cycle, under certain circumstances.</w:t>
            </w:r>
          </w:p>
        </w:tc>
      </w:tr>
    </w:tbl>
    <w:p w:rsidR="000414AF" w:rsidRDefault="000414AF"/>
    <w:p w:rsidR="000414AF" w:rsidRDefault="000414AF" w:rsidP="000414AF">
      <w:pPr>
        <w:jc w:val="right"/>
        <w:rPr>
          <w:rFonts w:eastAsia="MS Mincho"/>
          <w:color w:val="000000"/>
          <w:lang w:eastAsia="ja-JP"/>
        </w:rPr>
      </w:pPr>
      <w:r w:rsidRPr="00E27A9E">
        <w:rPr>
          <w:rFonts w:eastAsia="MS Mincho"/>
          <w:color w:val="000000"/>
          <w:lang w:eastAsia="ja-JP"/>
        </w:rPr>
        <w:t>[Annex III follows]</w:t>
      </w:r>
    </w:p>
    <w:p w:rsidR="00840059" w:rsidRDefault="00840059" w:rsidP="00840059">
      <w:pPr>
        <w:rPr>
          <w:rFonts w:eastAsia="MS Mincho"/>
          <w:color w:val="000000"/>
          <w:lang w:eastAsia="ja-JP"/>
        </w:rPr>
      </w:pPr>
    </w:p>
    <w:p w:rsidR="00840059" w:rsidRDefault="00840059" w:rsidP="009E29F7">
      <w:pPr>
        <w:jc w:val="right"/>
        <w:rPr>
          <w:rFonts w:eastAsia="MS Mincho"/>
          <w:color w:val="000000"/>
          <w:lang w:eastAsia="ja-JP"/>
        </w:rPr>
        <w:sectPr w:rsidR="00840059" w:rsidSect="00782A80">
          <w:headerReference w:type="first" r:id="rId13"/>
          <w:pgSz w:w="11907" w:h="16840" w:code="9"/>
          <w:pgMar w:top="510" w:right="1134" w:bottom="851" w:left="1134" w:header="510" w:footer="680" w:gutter="0"/>
          <w:cols w:space="720"/>
          <w:titlePg/>
        </w:sect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9E29F7" w:rsidRPr="00ED3415" w:rsidTr="00104C37">
        <w:trPr>
          <w:trHeight w:val="632"/>
        </w:trPr>
        <w:tc>
          <w:tcPr>
            <w:tcW w:w="9355" w:type="dxa"/>
          </w:tcPr>
          <w:p w:rsidR="009E29F7" w:rsidRPr="002A2C89" w:rsidRDefault="009E29F7" w:rsidP="009A432A">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C:  </w:t>
            </w:r>
            <w:r w:rsidRPr="00082E24">
              <w:rPr>
                <w:szCs w:val="24"/>
              </w:rPr>
              <w:t xml:space="preserve">MORE THAN ONE </w:t>
            </w:r>
            <w:r w:rsidRPr="006556B3">
              <w:rPr>
                <w:szCs w:val="24"/>
              </w:rPr>
              <w:t>SAMPLE OR SUBSAMPLE</w:t>
            </w:r>
            <w:r>
              <w:rPr>
                <w:szCs w:val="24"/>
              </w:rPr>
              <w:t xml:space="preserve"> FOR A CHARACTERISTIC IN THE SAME GROWING CYCLE</w:t>
            </w:r>
          </w:p>
        </w:tc>
      </w:tr>
      <w:tr w:rsidR="009E29F7" w:rsidRPr="00ED3415" w:rsidTr="00104C37">
        <w:trPr>
          <w:trHeight w:val="2880"/>
        </w:trPr>
        <w:tc>
          <w:tcPr>
            <w:tcW w:w="9355" w:type="dxa"/>
            <w:tcBorders>
              <w:bottom w:val="single" w:sz="4" w:space="0" w:color="auto"/>
            </w:tcBorders>
          </w:tcPr>
          <w:p w:rsidR="009E29F7" w:rsidRPr="00386C38" w:rsidRDefault="009E29F7" w:rsidP="009A432A">
            <w:pPr>
              <w:rPr>
                <w:b/>
                <w:szCs w:val="24"/>
              </w:rPr>
            </w:pPr>
          </w:p>
          <w:p w:rsidR="009E29F7" w:rsidRPr="00386C38" w:rsidRDefault="009E29F7" w:rsidP="009A432A">
            <w:r w:rsidRPr="00386C38">
              <w:rPr>
                <w:b/>
                <w:szCs w:val="24"/>
              </w:rPr>
              <w:t>Approach:  Additional growing cycle in the case of inconsistent results</w:t>
            </w:r>
          </w:p>
          <w:p w:rsidR="009E29F7" w:rsidRPr="00386C38" w:rsidRDefault="009E29F7" w:rsidP="009A432A">
            <w:pPr>
              <w:jc w:val="left"/>
              <w:rPr>
                <w:rFonts w:eastAsia="MS Mincho"/>
                <w:color w:val="000000"/>
                <w:lang w:eastAsia="ja-JP"/>
              </w:rPr>
            </w:pPr>
          </w:p>
          <w:p w:rsidR="009E29F7" w:rsidRPr="00386C38" w:rsidRDefault="009E29F7" w:rsidP="009A432A">
            <w:pPr>
              <w:rPr>
                <w:szCs w:val="24"/>
                <w:u w:val="single"/>
              </w:rPr>
            </w:pPr>
            <w:r w:rsidRPr="00386C38">
              <w:rPr>
                <w:rFonts w:eastAsia="SimSun"/>
                <w:szCs w:val="24"/>
                <w:lang w:eastAsia="zh-CN"/>
              </w:rPr>
              <w:t>A variety is considered to be uniform for a characteristic if it is within the uniformity standard for the characteristic in all samples or subsamples.</w:t>
            </w:r>
          </w:p>
          <w:p w:rsidR="009E29F7" w:rsidRPr="00386C38" w:rsidRDefault="009E29F7" w:rsidP="009A432A">
            <w:pPr>
              <w:rPr>
                <w:rFonts w:eastAsia="SimSun"/>
                <w:szCs w:val="24"/>
                <w:lang w:eastAsia="zh-CN"/>
              </w:rPr>
            </w:pPr>
          </w:p>
          <w:p w:rsidR="009E29F7" w:rsidRPr="00386C38" w:rsidRDefault="009E29F7" w:rsidP="009A432A">
            <w:pPr>
              <w:rPr>
                <w:rFonts w:eastAsia="SimSun"/>
                <w:szCs w:val="24"/>
                <w:lang w:eastAsia="zh-CN"/>
              </w:rPr>
            </w:pPr>
            <w:r w:rsidRPr="00386C38">
              <w:rPr>
                <w:rFonts w:eastAsia="SimSun"/>
                <w:szCs w:val="24"/>
                <w:lang w:eastAsia="zh-CN"/>
              </w:rPr>
              <w:t>A variety is considered non-uniform if it fails to meet the uniformity standard for the characteristic in all samples or subsamples.</w:t>
            </w:r>
          </w:p>
          <w:p w:rsidR="009E29F7" w:rsidRPr="00386C38" w:rsidRDefault="009E29F7" w:rsidP="009A432A">
            <w:pPr>
              <w:rPr>
                <w:szCs w:val="24"/>
              </w:rPr>
            </w:pPr>
          </w:p>
          <w:p w:rsidR="009E29F7" w:rsidRPr="00386C38" w:rsidRDefault="009E29F7" w:rsidP="009A432A">
            <w:pPr>
              <w:rPr>
                <w:szCs w:val="24"/>
              </w:rPr>
            </w:pPr>
            <w:r w:rsidRPr="00386C38">
              <w:rPr>
                <w:szCs w:val="24"/>
              </w:rPr>
              <w:t xml:space="preserve">In the case where a variety is within the uniformity standard </w:t>
            </w:r>
            <w:r w:rsidRPr="00386C38">
              <w:rPr>
                <w:rFonts w:eastAsia="SimSun"/>
                <w:szCs w:val="24"/>
                <w:lang w:eastAsia="zh-CN"/>
              </w:rPr>
              <w:t xml:space="preserve">for the characteristic </w:t>
            </w:r>
            <w:r w:rsidRPr="00386C38">
              <w:rPr>
                <w:szCs w:val="24"/>
              </w:rPr>
              <w:t xml:space="preserve">in one </w:t>
            </w:r>
            <w:r w:rsidRPr="00386C38">
              <w:rPr>
                <w:rFonts w:eastAsia="SimSun"/>
                <w:szCs w:val="24"/>
                <w:lang w:eastAsia="zh-CN"/>
              </w:rPr>
              <w:t>sample or subsample</w:t>
            </w:r>
            <w:r w:rsidRPr="00386C38">
              <w:rPr>
                <w:szCs w:val="24"/>
              </w:rPr>
              <w:t xml:space="preserve"> (e.g. main trial) and not in another </w:t>
            </w:r>
            <w:r w:rsidRPr="00386C38">
              <w:rPr>
                <w:rFonts w:eastAsia="SimSun"/>
                <w:szCs w:val="24"/>
                <w:lang w:eastAsia="zh-CN"/>
              </w:rPr>
              <w:t>sample or subsample</w:t>
            </w:r>
            <w:r w:rsidRPr="00386C38">
              <w:rPr>
                <w:szCs w:val="24"/>
              </w:rPr>
              <w:t xml:space="preserve"> (e.g. ear-row plot), both</w:t>
            </w:r>
            <w:r w:rsidRPr="00386C38">
              <w:rPr>
                <w:rFonts w:eastAsia="SimSun"/>
                <w:szCs w:val="24"/>
                <w:lang w:eastAsia="zh-CN"/>
              </w:rPr>
              <w:t xml:space="preserve"> samples or subsamples</w:t>
            </w:r>
            <w:r w:rsidRPr="00386C38">
              <w:rPr>
                <w:szCs w:val="24"/>
              </w:rPr>
              <w:t xml:space="preserve"> are examined in a further growing cycle.</w:t>
            </w:r>
          </w:p>
          <w:p w:rsidR="000D42C6" w:rsidRPr="00386C38" w:rsidRDefault="004D484F" w:rsidP="009A432A">
            <w:pPr>
              <w:rPr>
                <w:szCs w:val="24"/>
              </w:rPr>
            </w:pPr>
            <w:r>
              <w:rPr>
                <w:rFonts w:eastAsia="SimSun"/>
                <w:szCs w:val="24"/>
                <w:lang w:eastAsia="zh-CN"/>
              </w:rPr>
              <w:pict>
                <v:rect id="_x0000_i1027" style="width:0;height:1.5pt" o:hralign="center" o:hrstd="t" o:hr="t" fillcolor="#a0a0a0" stroked="f"/>
              </w:pict>
            </w:r>
          </w:p>
          <w:p w:rsidR="002C3355" w:rsidRPr="00386C38" w:rsidRDefault="002C3355" w:rsidP="009A432A">
            <w:pPr>
              <w:rPr>
                <w:szCs w:val="24"/>
              </w:rPr>
            </w:pPr>
          </w:p>
          <w:p w:rsidR="000D42C6" w:rsidRPr="00386C38" w:rsidRDefault="000D42C6" w:rsidP="009A432A">
            <w:pPr>
              <w:rPr>
                <w:szCs w:val="24"/>
              </w:rPr>
            </w:pPr>
            <w:r w:rsidRPr="00386C38">
              <w:rPr>
                <w:szCs w:val="24"/>
                <w:u w:val="single"/>
              </w:rPr>
              <w:t xml:space="preserve">Note: </w:t>
            </w:r>
            <w:r w:rsidRPr="00386C38">
              <w:rPr>
                <w:szCs w:val="24"/>
              </w:rPr>
              <w:t>to consider whether Situation C is already covered by document TGP/10 “Examining Uniformity”, Section 6</w:t>
            </w:r>
            <w:r w:rsidR="00386C38" w:rsidRPr="00386C38">
              <w:rPr>
                <w:szCs w:val="24"/>
              </w:rPr>
              <w:t xml:space="preserve"> “Combining all observations on a variety”.</w:t>
            </w:r>
          </w:p>
          <w:p w:rsidR="00A628C2" w:rsidRPr="00386C38" w:rsidRDefault="00A628C2" w:rsidP="009A432A">
            <w:pPr>
              <w:rPr>
                <w:szCs w:val="24"/>
              </w:rPr>
            </w:pPr>
          </w:p>
          <w:p w:rsidR="000D42C6" w:rsidRPr="00386C38" w:rsidRDefault="000D42C6" w:rsidP="00386C38">
            <w:pPr>
              <w:ind w:left="33"/>
              <w:rPr>
                <w:snapToGrid w:val="0"/>
              </w:rPr>
            </w:pPr>
            <w:r w:rsidRPr="00386C38">
              <w:rPr>
                <w:snapToGrid w:val="0"/>
              </w:rPr>
              <w:t>Extract from document TGP/10 “Examining Uniformity”</w:t>
            </w:r>
          </w:p>
          <w:p w:rsidR="000D42C6" w:rsidRPr="00386C38" w:rsidRDefault="000D42C6" w:rsidP="000D42C6">
            <w:pPr>
              <w:ind w:left="426"/>
              <w:rPr>
                <w:snapToGrid w:val="0"/>
              </w:rPr>
            </w:pPr>
          </w:p>
          <w:p w:rsidR="000D42C6" w:rsidRPr="00386C38" w:rsidRDefault="000D42C6" w:rsidP="00386C38">
            <w:pPr>
              <w:spacing w:line="276" w:lineRule="auto"/>
              <w:ind w:left="742" w:right="601"/>
              <w:rPr>
                <w:snapToGrid w:val="0"/>
                <w:sz w:val="18"/>
              </w:rPr>
            </w:pPr>
            <w:r w:rsidRPr="00386C38">
              <w:rPr>
                <w:snapToGrid w:val="0"/>
                <w:sz w:val="18"/>
              </w:rPr>
              <w:t>“SECTION 6:</w:t>
            </w:r>
            <w:r w:rsidRPr="00386C38">
              <w:rPr>
                <w:snapToGrid w:val="0"/>
                <w:sz w:val="18"/>
              </w:rPr>
              <w:tab/>
              <w:t>Combining all observations on a variety</w:t>
            </w:r>
          </w:p>
          <w:p w:rsidR="000D42C6" w:rsidRPr="00386C38" w:rsidRDefault="000D42C6" w:rsidP="00386C38">
            <w:pPr>
              <w:spacing w:line="276" w:lineRule="auto"/>
              <w:ind w:left="742" w:right="601"/>
              <w:rPr>
                <w:snapToGrid w:val="0"/>
                <w:sz w:val="18"/>
              </w:rPr>
            </w:pPr>
          </w:p>
          <w:p w:rsidR="000D42C6" w:rsidRPr="00386C38" w:rsidRDefault="000D42C6" w:rsidP="00386C38">
            <w:pPr>
              <w:spacing w:line="276" w:lineRule="auto"/>
              <w:ind w:left="742" w:right="601"/>
              <w:rPr>
                <w:snapToGrid w:val="0"/>
                <w:sz w:val="18"/>
              </w:rPr>
            </w:pPr>
            <w:r w:rsidRPr="00386C38">
              <w:rPr>
                <w:snapToGrid w:val="0"/>
                <w:sz w:val="18"/>
              </w:rPr>
              <w:t>[…]</w:t>
            </w:r>
          </w:p>
          <w:p w:rsidR="000D42C6" w:rsidRPr="00386C38" w:rsidRDefault="000D42C6" w:rsidP="00386C38">
            <w:pPr>
              <w:spacing w:line="276" w:lineRule="auto"/>
              <w:ind w:left="742" w:right="601"/>
              <w:rPr>
                <w:snapToGrid w:val="0"/>
                <w:sz w:val="18"/>
              </w:rPr>
            </w:pPr>
          </w:p>
          <w:p w:rsidR="000D42C6" w:rsidRPr="00386C38" w:rsidRDefault="000D42C6" w:rsidP="00386C38">
            <w:pPr>
              <w:spacing w:line="276" w:lineRule="auto"/>
              <w:ind w:left="742" w:right="601"/>
              <w:rPr>
                <w:snapToGrid w:val="0"/>
                <w:sz w:val="18"/>
                <w:lang w:val="en-GB"/>
              </w:rPr>
            </w:pPr>
            <w:r w:rsidRPr="00386C38">
              <w:rPr>
                <w:snapToGrid w:val="0"/>
                <w:sz w:val="18"/>
                <w:lang w:val="en-GB"/>
              </w:rPr>
              <w:t>“6.3</w:t>
            </w:r>
            <w:r w:rsidRPr="00386C38">
              <w:rPr>
                <w:snapToGrid w:val="0"/>
                <w:sz w:val="18"/>
                <w:lang w:val="en-GB"/>
              </w:rPr>
              <w:tab/>
              <w:t xml:space="preserve">Off-types only:  characteristics observed on different samples </w:t>
            </w:r>
          </w:p>
          <w:p w:rsidR="000D42C6" w:rsidRPr="00386C38" w:rsidRDefault="000D42C6" w:rsidP="00386C38">
            <w:pPr>
              <w:spacing w:line="276" w:lineRule="auto"/>
              <w:ind w:left="742" w:right="601"/>
              <w:rPr>
                <w:snapToGrid w:val="0"/>
                <w:sz w:val="18"/>
                <w:lang w:val="en-GB"/>
              </w:rPr>
            </w:pPr>
          </w:p>
          <w:p w:rsidR="000D42C6" w:rsidRPr="00386C38" w:rsidRDefault="000D42C6" w:rsidP="00386C38">
            <w:pPr>
              <w:spacing w:line="276" w:lineRule="auto"/>
              <w:ind w:left="742" w:right="601"/>
              <w:rPr>
                <w:snapToGrid w:val="0"/>
                <w:sz w:val="18"/>
                <w:lang w:val="en-GB"/>
              </w:rPr>
            </w:pPr>
            <w:r w:rsidRPr="00386C38">
              <w:rPr>
                <w:snapToGrid w:val="0"/>
                <w:sz w:val="18"/>
                <w:lang w:val="en-GB"/>
              </w:rPr>
              <w:t xml:space="preserve">“In many cases, uniformity is assessed by observations on different samples of plants or parts of plants.  For example, for uniformity in wheat (see UPOV </w:t>
            </w:r>
            <w:r w:rsidRPr="00386C38">
              <w:rPr>
                <w:snapToGrid w:val="0"/>
                <w:sz w:val="18"/>
              </w:rPr>
              <w:t>Test Guidelines</w:t>
            </w:r>
            <w:r w:rsidRPr="00386C38">
              <w:rPr>
                <w:snapToGrid w:val="0"/>
                <w:sz w:val="18"/>
                <w:lang w:val="en-GB"/>
              </w:rPr>
              <w:t xml:space="preserve"> for Wheat:  TG/3), some characteristics are observed on a sample of 2,000 plants, whilst some other characteristics are observed on a sample of 100 parts of plants taken from 100 plants.  Off</w:t>
            </w:r>
            <w:r w:rsidRPr="00386C38">
              <w:rPr>
                <w:snapToGrid w:val="0"/>
                <w:sz w:val="18"/>
                <w:lang w:val="en-GB"/>
              </w:rPr>
              <w:noBreakHyphen/>
              <w:t>type plants observed in the plot of 2,000 plants can be excluded from further observations.  For the plant parts taken from 100 plants, it is not normally possible to trace back the plant part to the original plant in the plot.  Therefore, the sample of 100 plant parts needs to be considered to be independent from the 2,000 plants.  Another independent sample of the variety is observed for seed characteristics.  In such cases, a uniformity assessment should be carried out on all the independent samples, using the appropriate population standard. A variety should be considered to be uniform if the uniformity requirements are fulfilled in all samples.”</w:t>
            </w:r>
          </w:p>
          <w:p w:rsidR="000D42C6" w:rsidRPr="00386C38" w:rsidRDefault="000D42C6" w:rsidP="009A432A">
            <w:pPr>
              <w:rPr>
                <w:szCs w:val="24"/>
                <w:lang w:val="en-GB"/>
              </w:rPr>
            </w:pPr>
          </w:p>
          <w:p w:rsidR="009E29F7" w:rsidRPr="00386C38" w:rsidRDefault="009E29F7" w:rsidP="009A432A">
            <w:pPr>
              <w:rPr>
                <w:szCs w:val="24"/>
              </w:rPr>
            </w:pPr>
          </w:p>
        </w:tc>
      </w:tr>
    </w:tbl>
    <w:p w:rsidR="009E29F7" w:rsidRDefault="009E29F7" w:rsidP="009E29F7">
      <w:pPr>
        <w:rPr>
          <w:snapToGrid w:val="0"/>
        </w:rPr>
      </w:pPr>
    </w:p>
    <w:p w:rsidR="009E29F7" w:rsidRPr="00104C37" w:rsidRDefault="009E29F7" w:rsidP="009E29F7">
      <w:pPr>
        <w:rPr>
          <w:snapToGrid w:val="0"/>
          <w:lang w:val="en-GB"/>
        </w:rPr>
      </w:pPr>
    </w:p>
    <w:p w:rsidR="009E29F7" w:rsidRDefault="009E29F7" w:rsidP="009E29F7">
      <w:pPr>
        <w:rPr>
          <w:snapToGrid w:val="0"/>
        </w:rPr>
      </w:pPr>
    </w:p>
    <w:p w:rsidR="009E29F7" w:rsidRDefault="009E29F7" w:rsidP="009E29F7">
      <w:pPr>
        <w:jc w:val="right"/>
      </w:pPr>
      <w:r>
        <w:t>[Annex IV follows]</w:t>
      </w:r>
    </w:p>
    <w:p w:rsidR="009E29F7" w:rsidRDefault="009E29F7" w:rsidP="009E29F7">
      <w:pPr>
        <w:rPr>
          <w:snapToGrid w:val="0"/>
        </w:rPr>
      </w:pPr>
    </w:p>
    <w:p w:rsidR="009E29F7" w:rsidRDefault="009E29F7" w:rsidP="009E29F7">
      <w:pPr>
        <w:rPr>
          <w:snapToGrid w:val="0"/>
        </w:rPr>
        <w:sectPr w:rsidR="009E29F7" w:rsidSect="00906DDC">
          <w:headerReference w:type="first" r:id="rId14"/>
          <w:pgSz w:w="11907" w:h="16840" w:code="9"/>
          <w:pgMar w:top="510" w:right="1134" w:bottom="1134"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E29F7" w:rsidRPr="00ED3415" w:rsidTr="00CC458B">
        <w:trPr>
          <w:trHeight w:val="350"/>
        </w:trPr>
        <w:tc>
          <w:tcPr>
            <w:tcW w:w="10206" w:type="dxa"/>
          </w:tcPr>
          <w:p w:rsidR="009E29F7" w:rsidRPr="002A2C89" w:rsidRDefault="009E29F7" w:rsidP="009A432A">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D:  ASSESSING </w:t>
            </w:r>
            <w:r>
              <w:rPr>
                <w:szCs w:val="24"/>
              </w:rPr>
              <w:t>SUB-SAMPLES WITHIN A SINGLE TEST/TRIAL</w:t>
            </w:r>
          </w:p>
        </w:tc>
      </w:tr>
      <w:tr w:rsidR="009E29F7" w:rsidRPr="00ED3415" w:rsidTr="00CC458B">
        <w:trPr>
          <w:trHeight w:val="2880"/>
        </w:trPr>
        <w:tc>
          <w:tcPr>
            <w:tcW w:w="10206" w:type="dxa"/>
            <w:tcBorders>
              <w:bottom w:val="single" w:sz="4" w:space="0" w:color="auto"/>
            </w:tcBorders>
          </w:tcPr>
          <w:p w:rsidR="009E29F7" w:rsidRPr="00443AD8" w:rsidRDefault="009E29F7" w:rsidP="009A432A"/>
          <w:p w:rsidR="009E29F7" w:rsidRDefault="009E29F7" w:rsidP="009A432A">
            <w:pPr>
              <w:rPr>
                <w:b/>
              </w:rPr>
            </w:pPr>
            <w:r w:rsidRPr="00443AD8">
              <w:rPr>
                <w:b/>
              </w:rPr>
              <w:t xml:space="preserve">Approach:  Use of sub-sample as </w:t>
            </w:r>
            <w:r>
              <w:rPr>
                <w:b/>
              </w:rPr>
              <w:t xml:space="preserve">a </w:t>
            </w:r>
            <w:r w:rsidRPr="00443AD8">
              <w:rPr>
                <w:b/>
              </w:rPr>
              <w:t>first step of assessment</w:t>
            </w:r>
          </w:p>
          <w:p w:rsidR="009E29F7" w:rsidRPr="00443AD8" w:rsidRDefault="009E29F7" w:rsidP="009A432A">
            <w:pPr>
              <w:rPr>
                <w:b/>
              </w:rPr>
            </w:pPr>
          </w:p>
          <w:p w:rsidR="009E29F7" w:rsidRDefault="009E29F7" w:rsidP="009A432A">
            <w:r w:rsidRPr="00443AD8">
              <w:t>A variety is considered unif</w:t>
            </w:r>
            <w:r>
              <w:t>orm</w:t>
            </w:r>
            <w:r w:rsidRPr="00443AD8">
              <w:t xml:space="preserve"> if no off-types are observed in a sub-sample.</w:t>
            </w:r>
          </w:p>
          <w:p w:rsidR="009E29F7" w:rsidRPr="00443AD8" w:rsidRDefault="009E29F7" w:rsidP="009A432A"/>
          <w:p w:rsidR="009E29F7" w:rsidRDefault="009E29F7" w:rsidP="009A432A">
            <w:r>
              <w:t>A variety is considered non–</w:t>
            </w:r>
            <w:r w:rsidRPr="00443AD8">
              <w:t>uniform if the number of off-types in the sub-sample exceeds the accepted number of off-types for the whole sample.</w:t>
            </w:r>
          </w:p>
          <w:p w:rsidR="009E29F7" w:rsidRPr="00443AD8" w:rsidRDefault="009E29F7" w:rsidP="009A432A"/>
          <w:p w:rsidR="009E29F7" w:rsidRDefault="009E29F7" w:rsidP="009A432A">
            <w:r w:rsidRPr="00443AD8">
              <w:t>If the number of off-types is 1 or more, but below the accepted number of off-types for the whole sample, the whole sample is assessed.</w:t>
            </w:r>
          </w:p>
          <w:p w:rsidR="009129C3" w:rsidRDefault="004D484F" w:rsidP="009A432A">
            <w:r>
              <w:rPr>
                <w:rFonts w:eastAsia="SimSun"/>
                <w:szCs w:val="24"/>
                <w:lang w:eastAsia="zh-CN"/>
              </w:rPr>
              <w:pict>
                <v:rect id="_x0000_i1028" style="width:0;height:1.5pt" o:hralign="center" o:hrstd="t" o:hr="t" fillcolor="#a0a0a0" stroked="f"/>
              </w:pict>
            </w:r>
          </w:p>
          <w:p w:rsidR="00DA6C2D" w:rsidRDefault="00DA6C2D" w:rsidP="009A432A">
            <w:pPr>
              <w:rPr>
                <w:szCs w:val="24"/>
              </w:rPr>
            </w:pPr>
          </w:p>
          <w:p w:rsidR="009E29F7" w:rsidRPr="00BF512B" w:rsidRDefault="009E29F7" w:rsidP="009A432A">
            <w:pPr>
              <w:rPr>
                <w:szCs w:val="24"/>
              </w:rPr>
            </w:pPr>
            <w:r>
              <w:rPr>
                <w:szCs w:val="24"/>
              </w:rPr>
              <w:t>Example:</w:t>
            </w:r>
          </w:p>
          <w:p w:rsidR="009E29F7" w:rsidRDefault="009E29F7" w:rsidP="009A432A">
            <w:pPr>
              <w:rPr>
                <w:szCs w:val="24"/>
              </w:rPr>
            </w:pPr>
          </w:p>
          <w:p w:rsidR="009E29F7" w:rsidRDefault="009E29F7" w:rsidP="009A432A">
            <w:pPr>
              <w:autoSpaceDE w:val="0"/>
              <w:autoSpaceDN w:val="0"/>
              <w:adjustRightInd w:val="0"/>
              <w:rPr>
                <w:color w:val="000000"/>
                <w:szCs w:val="24"/>
              </w:rPr>
            </w:pPr>
            <w:r>
              <w:rPr>
                <w:color w:val="000000"/>
                <w:szCs w:val="24"/>
              </w:rPr>
              <w:t>In a sample size of 100 plants, the acceptable number of off-types is 3 (based on a population standard of 1% and an acceptance probability of at least 95%).</w:t>
            </w:r>
          </w:p>
          <w:p w:rsidR="009E29F7" w:rsidRDefault="009E29F7" w:rsidP="009A432A">
            <w:pPr>
              <w:autoSpaceDE w:val="0"/>
              <w:autoSpaceDN w:val="0"/>
              <w:adjustRightInd w:val="0"/>
              <w:rPr>
                <w:color w:val="000000"/>
                <w:szCs w:val="24"/>
              </w:rPr>
            </w:pPr>
          </w:p>
          <w:p w:rsidR="009E29F7" w:rsidRDefault="009E29F7" w:rsidP="009A432A">
            <w:pPr>
              <w:autoSpaceDE w:val="0"/>
              <w:autoSpaceDN w:val="0"/>
              <w:adjustRightInd w:val="0"/>
              <w:rPr>
                <w:color w:val="000000"/>
                <w:szCs w:val="24"/>
              </w:rPr>
            </w:pPr>
            <w:r>
              <w:rPr>
                <w:color w:val="000000"/>
                <w:szCs w:val="24"/>
              </w:rPr>
              <w:t>I</w:t>
            </w:r>
            <w:r w:rsidRPr="00917C3E">
              <w:rPr>
                <w:color w:val="000000"/>
                <w:szCs w:val="24"/>
              </w:rPr>
              <w:t xml:space="preserve">n </w:t>
            </w:r>
            <w:r>
              <w:rPr>
                <w:color w:val="000000"/>
                <w:szCs w:val="24"/>
              </w:rPr>
              <w:t>a</w:t>
            </w:r>
            <w:r w:rsidRPr="00917C3E">
              <w:rPr>
                <w:color w:val="000000"/>
                <w:szCs w:val="24"/>
              </w:rPr>
              <w:t xml:space="preserve"> subsample of 20 plants used in the context</w:t>
            </w:r>
            <w:r>
              <w:rPr>
                <w:color w:val="000000"/>
                <w:szCs w:val="24"/>
              </w:rPr>
              <w:t xml:space="preserve"> of the sample size of 100 plants above:</w:t>
            </w:r>
          </w:p>
          <w:p w:rsidR="009E29F7" w:rsidRDefault="009E29F7" w:rsidP="009A432A">
            <w:pPr>
              <w:autoSpaceDE w:val="0"/>
              <w:autoSpaceDN w:val="0"/>
              <w:adjustRightInd w:val="0"/>
              <w:rPr>
                <w:color w:val="000000"/>
                <w:szCs w:val="24"/>
              </w:rPr>
            </w:pPr>
          </w:p>
          <w:p w:rsidR="009E29F7" w:rsidRDefault="009E29F7" w:rsidP="009A432A">
            <w:pPr>
              <w:ind w:left="567"/>
            </w:pPr>
            <w:r w:rsidRPr="00443AD8">
              <w:t>A variety is considered unif</w:t>
            </w:r>
            <w:r>
              <w:t>orm</w:t>
            </w:r>
            <w:r w:rsidRPr="00443AD8">
              <w:t xml:space="preserve"> if no off-types are observed in </w:t>
            </w:r>
            <w:r>
              <w:t>the</w:t>
            </w:r>
            <w:r w:rsidRPr="00443AD8">
              <w:t xml:space="preserve"> sub-sample.</w:t>
            </w:r>
          </w:p>
          <w:p w:rsidR="009E29F7" w:rsidRPr="00443AD8" w:rsidRDefault="009E29F7" w:rsidP="009A432A"/>
          <w:p w:rsidR="009E29F7" w:rsidRDefault="009E29F7" w:rsidP="009A432A">
            <w:pPr>
              <w:ind w:left="567"/>
            </w:pPr>
            <w:r>
              <w:t>A variety is considered non–</w:t>
            </w:r>
            <w:r w:rsidRPr="00443AD8">
              <w:t xml:space="preserve">uniform if the number of off-types in the sub-sample exceeds </w:t>
            </w:r>
            <w:r>
              <w:t>3</w:t>
            </w:r>
            <w:r w:rsidRPr="00443AD8">
              <w:t>.</w:t>
            </w:r>
          </w:p>
          <w:p w:rsidR="009E29F7" w:rsidRPr="00443AD8" w:rsidRDefault="009E29F7" w:rsidP="009A432A"/>
          <w:p w:rsidR="009E29F7" w:rsidRDefault="009E29F7" w:rsidP="009A432A">
            <w:pPr>
              <w:ind w:left="567"/>
            </w:pPr>
            <w:r w:rsidRPr="00443AD8">
              <w:t xml:space="preserve">If the number of off-types is 1 </w:t>
            </w:r>
            <w:r>
              <w:t>to 3</w:t>
            </w:r>
            <w:r w:rsidRPr="00443AD8">
              <w:t xml:space="preserve">, the whole sample </w:t>
            </w:r>
            <w:r>
              <w:t xml:space="preserve">of 100 plants </w:t>
            </w:r>
            <w:r w:rsidRPr="00443AD8">
              <w:t>is assessed.</w:t>
            </w:r>
          </w:p>
          <w:p w:rsidR="009E29F7" w:rsidRDefault="009E29F7" w:rsidP="009A432A">
            <w:pPr>
              <w:rPr>
                <w:szCs w:val="24"/>
              </w:rPr>
            </w:pPr>
          </w:p>
          <w:p w:rsidR="009E29F7" w:rsidRPr="0071257F" w:rsidRDefault="009129C3" w:rsidP="009129C3">
            <w:pPr>
              <w:ind w:left="34" w:right="600"/>
              <w:rPr>
                <w:szCs w:val="24"/>
              </w:rPr>
            </w:pPr>
            <w:r>
              <w:rPr>
                <w:szCs w:val="24"/>
              </w:rPr>
              <w:t>(The background to this example is provided in Annex V to this document)</w:t>
            </w:r>
            <w:r w:rsidR="009E29F7">
              <w:rPr>
                <w:szCs w:val="24"/>
              </w:rPr>
              <w:t xml:space="preserve"> </w:t>
            </w:r>
          </w:p>
        </w:tc>
      </w:tr>
    </w:tbl>
    <w:p w:rsidR="00DA6C2D" w:rsidRDefault="00DA6C2D" w:rsidP="009E29F7">
      <w:pPr>
        <w:pStyle w:val="endofdoc"/>
        <w:rPr>
          <w:snapToGrid w:val="0"/>
        </w:rPr>
      </w:pPr>
    </w:p>
    <w:p w:rsidR="009E29F7" w:rsidRDefault="009E29F7" w:rsidP="009E29F7">
      <w:pPr>
        <w:pStyle w:val="endofdoc"/>
        <w:rPr>
          <w:snapToGrid w:val="0"/>
        </w:rPr>
      </w:pPr>
      <w:r>
        <w:rPr>
          <w:snapToGrid w:val="0"/>
        </w:rPr>
        <w:t>[</w:t>
      </w:r>
      <w:r w:rsidR="00B40556">
        <w:rPr>
          <w:snapToGrid w:val="0"/>
        </w:rPr>
        <w:t>Annex V follows</w:t>
      </w:r>
      <w:r>
        <w:rPr>
          <w:snapToGrid w:val="0"/>
        </w:rPr>
        <w:t>]</w:t>
      </w:r>
    </w:p>
    <w:p w:rsidR="00B40556" w:rsidRDefault="00B40556" w:rsidP="009E29F7">
      <w:pPr>
        <w:sectPr w:rsidR="00B40556" w:rsidSect="00906DDC">
          <w:headerReference w:type="default" r:id="rId15"/>
          <w:headerReference w:type="first" r:id="rId16"/>
          <w:footerReference w:type="first" r:id="rId17"/>
          <w:pgSz w:w="11907" w:h="16840" w:code="9"/>
          <w:pgMar w:top="510" w:right="1134" w:bottom="1134" w:left="1134" w:header="510" w:footer="680" w:gutter="0"/>
          <w:cols w:space="720"/>
          <w:titlePg/>
        </w:sectPr>
      </w:pPr>
    </w:p>
    <w:p w:rsidR="009E29F7" w:rsidRDefault="00B40556" w:rsidP="00B40556">
      <w:pPr>
        <w:jc w:val="center"/>
      </w:pPr>
      <w:r>
        <w:lastRenderedPageBreak/>
        <w:t>MEMORANDUM FROM THE EXPERT FROM GERMANY</w:t>
      </w:r>
    </w:p>
    <w:p w:rsidR="00B40556" w:rsidRDefault="00B40556" w:rsidP="00B40556">
      <w:pPr>
        <w:rPr>
          <w:rFonts w:cs="Arial"/>
          <w:caps/>
          <w:sz w:val="22"/>
          <w:szCs w:val="22"/>
        </w:rPr>
      </w:pPr>
    </w:p>
    <w:p w:rsidR="00B40556" w:rsidRPr="00F13DEF" w:rsidRDefault="00B40556" w:rsidP="00B40556">
      <w:pPr>
        <w:rPr>
          <w:u w:val="single"/>
        </w:rPr>
      </w:pPr>
      <w:r w:rsidRPr="00F13DEF">
        <w:rPr>
          <w:u w:val="single"/>
        </w:rPr>
        <w:t>Use of a stepwise approach in the off-type procedure within the same growing cycle</w:t>
      </w:r>
    </w:p>
    <w:p w:rsidR="00B40556" w:rsidRPr="00B40556" w:rsidRDefault="00B40556" w:rsidP="00B40556">
      <w:pPr>
        <w:rPr>
          <w:rFonts w:cs="Arial"/>
          <w:caps/>
        </w:rPr>
      </w:pPr>
    </w:p>
    <w:p w:rsidR="00B40556" w:rsidRPr="00F13DEF" w:rsidRDefault="00B40556" w:rsidP="00B40556">
      <w:pPr>
        <w:rPr>
          <w:i/>
        </w:rPr>
      </w:pPr>
      <w:r w:rsidRPr="00F13DEF">
        <w:rPr>
          <w:i/>
        </w:rPr>
        <w:t>Background</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TC noted that the TWC had proposed that the statistical basis for the acceptable number of off</w:t>
      </w:r>
      <w:r w:rsidRPr="00B40556">
        <w:rPr>
          <w:rFonts w:cs="Arial"/>
        </w:rPr>
        <w:noBreakHyphen/>
        <w:t>types in situation D be considered further at its session in 2014, as set out in document TC/50/12, paragraphs 34 and 35.</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following text is based on document TWC/31/22 Annex V.</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The method of uniformity assessment on the basis of off-types (off-types procedure) was described in document TGP/8. Paragraph 8.1.7 provides guidance on the use of the off-types procedure on more than one single test, including a combined test, a two-stage test and sequential tests.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combined test is described as follows:</w:t>
      </w:r>
    </w:p>
    <w:p w:rsidR="00B40556" w:rsidRPr="00B40556" w:rsidRDefault="00B40556" w:rsidP="00B40556">
      <w:pPr>
        <w:rPr>
          <w:rFonts w:cs="Arial"/>
        </w:rPr>
      </w:pPr>
      <w:r w:rsidRPr="00B40556">
        <w:rPr>
          <w:rFonts w:cs="Arial"/>
        </w:rPr>
        <w:t>Make a decision after two (or three) years based on the total number of plants examined and the total number of off-types recorded.</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two-stage test is described as follows:</w:t>
      </w:r>
    </w:p>
    <w:p w:rsidR="00B40556" w:rsidRPr="00B40556" w:rsidRDefault="00B40556" w:rsidP="00B40556">
      <w:pPr>
        <w:rPr>
          <w:rFonts w:cs="Arial"/>
        </w:rPr>
      </w:pPr>
      <w:r w:rsidRPr="00B40556">
        <w:rPr>
          <w:rFonts w:cs="Arial"/>
        </w:rPr>
        <w:t>Use the result of the first year to see if the data suggests a clear decision (reject or accept). If the decision is not clear then proceed with the second year and decide after the second year.</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A sequential test is a multi-stage test where decision rules can be defined dependently or independently on results of the test.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specific example for the use of a two-step test is provided in document TWC/29/09 “Assessing uniformity by off-types on the basis of more than one sample or sub-sample”, Annex I, page 13. The following specific approach is applied by several European examination offices in wheat and barley for the assessment of uniformity in case of characteristics observed on a sample size of 100 plants or parts of plants. The population standard is fixed at 1% with an acceptance probability of 95% for each decision.</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In the first step 20 plants or parts of plants are observed. </w:t>
      </w:r>
    </w:p>
    <w:p w:rsidR="00B40556" w:rsidRPr="00B40556" w:rsidRDefault="00B40556" w:rsidP="00B40556">
      <w:pPr>
        <w:rPr>
          <w:rFonts w:cs="Arial"/>
        </w:rPr>
      </w:pPr>
    </w:p>
    <w:p w:rsidR="00B40556" w:rsidRPr="00B40556" w:rsidRDefault="00B40556" w:rsidP="00B40556">
      <w:pPr>
        <w:pStyle w:val="ListParagraph"/>
        <w:numPr>
          <w:ilvl w:val="0"/>
          <w:numId w:val="15"/>
        </w:numPr>
        <w:rPr>
          <w:rFonts w:cs="Arial"/>
        </w:rPr>
      </w:pPr>
      <w:r w:rsidRPr="00B40556">
        <w:rPr>
          <w:rFonts w:cs="Arial"/>
        </w:rPr>
        <w:t>If there are no off-type plants in 20 plants then the variety does not exceed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more than 3 off-type plants then the variety exceeds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1, 2 or 3 off-type plants then the second step follows.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In the second step further 80 plants or part of plants are observed.</w:t>
      </w:r>
    </w:p>
    <w:p w:rsidR="00B40556" w:rsidRPr="00B40556" w:rsidRDefault="00B40556" w:rsidP="00B40556">
      <w:pPr>
        <w:rPr>
          <w:rFonts w:cs="Arial"/>
        </w:rPr>
      </w:pPr>
    </w:p>
    <w:p w:rsidR="00B40556" w:rsidRPr="00B40556" w:rsidRDefault="00B40556" w:rsidP="00B40556">
      <w:pPr>
        <w:pStyle w:val="ListParagraph"/>
        <w:numPr>
          <w:ilvl w:val="0"/>
          <w:numId w:val="15"/>
        </w:numPr>
        <w:rPr>
          <w:rFonts w:cs="Arial"/>
        </w:rPr>
      </w:pPr>
      <w:r w:rsidRPr="00B40556">
        <w:rPr>
          <w:rFonts w:cs="Arial"/>
        </w:rPr>
        <w:t>If there are 3 or less off-type plants in 100 (20 of step 1 + 80 of step 2) plants then the variety does not exceed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more than 3 off-type plants in 100 (20 of step 1 + 80 of step 2) plants then the variety exceeds the number of allowed off-types for this characteristic for this growing cycle</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decision rule is defined as follows:</w:t>
      </w:r>
    </w:p>
    <w:p w:rsidR="00B40556" w:rsidRPr="00B40556" w:rsidRDefault="00B40556" w:rsidP="00B40556">
      <w:pPr>
        <w:rPr>
          <w:rFonts w:cs="Arial"/>
        </w:rPr>
      </w:pPr>
    </w:p>
    <w:p w:rsidR="00B40556" w:rsidRPr="00B40556" w:rsidRDefault="00B40556" w:rsidP="00BE4F0A">
      <w:pPr>
        <w:ind w:left="709" w:right="567"/>
        <w:rPr>
          <w:rFonts w:cs="Arial"/>
        </w:rPr>
      </w:pPr>
      <w:r w:rsidRPr="00B40556">
        <w:rPr>
          <w:rFonts w:cs="Arial"/>
        </w:rPr>
        <w:t>A variety is considered to be within the uniformity standard in a given growing cycle if the number of off-types in all samples does not exceed the number of allowed off-types in either of the samples.</w:t>
      </w:r>
    </w:p>
    <w:p w:rsidR="00B40556" w:rsidRPr="00B40556" w:rsidRDefault="00B40556" w:rsidP="00BE4F0A">
      <w:pPr>
        <w:ind w:left="709" w:right="567"/>
        <w:rPr>
          <w:rFonts w:cs="Arial"/>
        </w:rPr>
      </w:pPr>
    </w:p>
    <w:p w:rsidR="00B40556" w:rsidRPr="00B40556" w:rsidRDefault="00B40556" w:rsidP="00BE4F0A">
      <w:pPr>
        <w:ind w:left="709" w:right="567"/>
        <w:rPr>
          <w:rFonts w:cs="Arial"/>
        </w:rPr>
      </w:pPr>
      <w:r w:rsidRPr="00B40556">
        <w:rPr>
          <w:rFonts w:cs="Arial"/>
        </w:rPr>
        <w:t>A variety is considered to be uniform if it is within the uniformity standard in both of the two growing cycles.</w:t>
      </w:r>
    </w:p>
    <w:p w:rsidR="00BE4F0A" w:rsidRDefault="00BE4F0A" w:rsidP="00BE4F0A">
      <w:pPr>
        <w:ind w:left="709" w:right="567"/>
        <w:jc w:val="left"/>
        <w:rPr>
          <w:rFonts w:cs="Arial"/>
        </w:rPr>
      </w:pPr>
      <w:r>
        <w:rPr>
          <w:rFonts w:cs="Arial"/>
        </w:rPr>
        <w:br w:type="page"/>
      </w:r>
    </w:p>
    <w:p w:rsidR="00B40556" w:rsidRPr="00B40556" w:rsidRDefault="00B40556" w:rsidP="00BE4F0A">
      <w:pPr>
        <w:ind w:left="709" w:right="567"/>
        <w:rPr>
          <w:rFonts w:cs="Arial"/>
        </w:rPr>
      </w:pPr>
      <w:r w:rsidRPr="00B40556">
        <w:rPr>
          <w:rFonts w:cs="Arial"/>
        </w:rPr>
        <w:lastRenderedPageBreak/>
        <w:t>If at the end of two growing cycles the variety is within the uniformity standard in one cycle but not in the other cycle, the test will be continued for a third growing cycle. If at the end of the third growing cycle the variety is within the uniformity standard, the variety is considered to be uniform. If at the end of the third growing cycle the variety fails to meet the uniformity standard, the variety is considered to be non-uniform.</w:t>
      </w:r>
    </w:p>
    <w:p w:rsidR="00B40556" w:rsidRPr="00B40556" w:rsidRDefault="00B40556" w:rsidP="00B40556">
      <w:pPr>
        <w:rPr>
          <w:rFonts w:cs="Arial"/>
        </w:rPr>
      </w:pP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This so-called stepwise approach can be used for a number of characteristics in each growing cycle in which the steps are represented by the samples (20 plants or 20 + 80 plants).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In order to compare different tests and decision rules it is useful to compare appropriate type-I and type-II errors. Basic ideas were described by experts from France in document TWC/13/17 “Sequential analysis”.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It should be reminded that a decision for uniformity of a variety has always a so-called type-II error (acceptance of null hypothesis) whereas a decision for non-uniformity of a variety has a so-called type-I error (rejection of null hypothesis).</w:t>
      </w:r>
      <w:r w:rsidRPr="00B40556" w:rsidDel="002E0C26">
        <w:rPr>
          <w:rFonts w:cs="Arial"/>
        </w:rPr>
        <w:t xml:space="preserve"> </w:t>
      </w:r>
      <w:r w:rsidRPr="00B40556">
        <w:rPr>
          <w:rFonts w:cs="Arial"/>
        </w:rPr>
        <w:t>The following applies for the described cereal example:</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It is assumed that the population standard is 1% and the acceptance probability is 95%. The number of allowed off-types within 100 plants is 3. All risks are evaluated on the basis of the binomial distribution. To compute the type-II error the population standard for the non-uniform varieties is assumed to be 2% (two times 1%).</w:t>
      </w:r>
    </w:p>
    <w:p w:rsidR="00B40556" w:rsidRPr="00B40556" w:rsidRDefault="00B40556" w:rsidP="00B40556">
      <w:pPr>
        <w:rPr>
          <w:rFonts w:cs="Arial"/>
        </w:rPr>
      </w:pPr>
    </w:p>
    <w:p w:rsidR="00B40556" w:rsidRPr="00B40556" w:rsidRDefault="00B40556" w:rsidP="00B40556">
      <w:pPr>
        <w:rPr>
          <w:rFonts w:cs="Arial"/>
        </w:rPr>
      </w:pPr>
      <w:r w:rsidRPr="00B40556">
        <w:rPr>
          <w:rFonts w:cs="Arial"/>
        </w:rPr>
        <w:t>For 20 plants the number of allowed off-types is normally 1. However, for 20 plants in the first step of the two-step procedure (see above) it is defined that no off-type is allowed. If we have 20 plants in the first step and no off-type the type-II error (beta risk) is 66.8%. This is high but comparable with 2 off-types in 100 plants. In this case the type-II error is 67.7%.</w:t>
      </w:r>
    </w:p>
    <w:p w:rsidR="00B40556" w:rsidRPr="00B40556" w:rsidRDefault="00B40556" w:rsidP="00B40556">
      <w:pPr>
        <w:rPr>
          <w:rFonts w:cs="Arial"/>
        </w:rPr>
      </w:pPr>
    </w:p>
    <w:p w:rsidR="00B40556" w:rsidRPr="00B40556" w:rsidRDefault="00B40556" w:rsidP="00B40556">
      <w:pPr>
        <w:rPr>
          <w:rFonts w:cs="Arial"/>
        </w:rPr>
      </w:pPr>
      <w:r w:rsidRPr="00B40556">
        <w:rPr>
          <w:rFonts w:cs="Arial"/>
        </w:rPr>
        <w:t>Looking on the type-I error, the actual error is 1.7 % in case of 20 plants and 1 off- type, and 1.8 % in case of 3 off-types in 100 plants. A decision on the basis of a sample of 20 plants is only taken if there are no off-types which represents a smaller error than the decision taken on 100 plants.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In case of 20 plants in the first step and more than 3 off-types the type-I error (alpha risk) is almost zero. It is very small and smaller than in case of more than 3 off-types in 100 plants. In this case the type-I error (alpha risk) is 0.3 %.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If in the first step there are 1, 2 or 3 off-types in 20 plants the next 80 plants are assessed and the decision is taken on the basis of 100 plants. In that case the type-I and type-II errors have to be evaluated using special formulas or using the software from France (</w:t>
      </w:r>
      <w:hyperlink r:id="rId18" w:history="1">
        <w:r w:rsidRPr="00B40556">
          <w:rPr>
            <w:rStyle w:val="Hyperlink"/>
            <w:rFonts w:cs="Arial"/>
          </w:rPr>
          <w:t>http://www.seedtest.org/en/stats_tool_box_content---1--1143.html</w:t>
        </w:r>
      </w:hyperlink>
      <w:r w:rsidRPr="00B40556">
        <w:rPr>
          <w:rFonts w:cs="Arial"/>
        </w:rPr>
        <w:t xml:space="preserve"> ).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So it is possible to compare all the other situations.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open question is: Do we need a statement regarding to the different types of errors for each decision or do we need a statement over all decisions. This should be discussed with statistical experts.</w:t>
      </w:r>
    </w:p>
    <w:p w:rsidR="00B40556" w:rsidRPr="00B40556" w:rsidRDefault="00B40556" w:rsidP="00B40556">
      <w:pPr>
        <w:rPr>
          <w:rFonts w:cs="Arial"/>
        </w:rPr>
      </w:pPr>
      <w:r w:rsidRPr="00B40556">
        <w:rPr>
          <w:rFonts w:cs="Arial"/>
        </w:rPr>
        <w:t>Because of underlying nonlinear formulas there are no general rules for all practical cases usable in DUS tests.</w:t>
      </w:r>
    </w:p>
    <w:p w:rsidR="00B40556" w:rsidRPr="0048474A" w:rsidRDefault="00B40556" w:rsidP="00B40556">
      <w:pPr>
        <w:rPr>
          <w:rFonts w:cs="Arial"/>
          <w:sz w:val="22"/>
          <w:szCs w:val="22"/>
        </w:rPr>
      </w:pPr>
    </w:p>
    <w:p w:rsidR="00B40556" w:rsidRPr="00C5280D" w:rsidRDefault="00B40556" w:rsidP="009E29F7"/>
    <w:p w:rsidR="00DF474C" w:rsidRDefault="00B40556" w:rsidP="00B40556">
      <w:pPr>
        <w:pStyle w:val="endofdoc"/>
        <w:rPr>
          <w:snapToGrid w:val="0"/>
        </w:rPr>
      </w:pPr>
      <w:r>
        <w:rPr>
          <w:snapToGrid w:val="0"/>
        </w:rPr>
        <w:t>[End of Annex V and of document]</w:t>
      </w:r>
    </w:p>
    <w:sectPr w:rsidR="00DF474C" w:rsidSect="00EE6571">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7A5" w:rsidRDefault="001337A5" w:rsidP="006655D3">
      <w:r>
        <w:separator/>
      </w:r>
    </w:p>
    <w:p w:rsidR="001337A5" w:rsidRDefault="001337A5" w:rsidP="006655D3"/>
    <w:p w:rsidR="001337A5" w:rsidRDefault="001337A5" w:rsidP="006655D3"/>
  </w:endnote>
  <w:endnote w:type="continuationSeparator" w:id="0">
    <w:p w:rsidR="001337A5" w:rsidRDefault="001337A5" w:rsidP="006655D3">
      <w:r>
        <w:separator/>
      </w:r>
    </w:p>
    <w:p w:rsidR="001337A5" w:rsidRPr="009E29F7" w:rsidRDefault="001337A5">
      <w:pPr>
        <w:pStyle w:val="Footer"/>
        <w:spacing w:after="60"/>
        <w:rPr>
          <w:sz w:val="18"/>
          <w:lang w:val="fr-FR"/>
        </w:rPr>
      </w:pPr>
      <w:r w:rsidRPr="009E29F7">
        <w:rPr>
          <w:sz w:val="18"/>
          <w:lang w:val="fr-FR"/>
        </w:rPr>
        <w:t>[Suite de la note de la page précédente]</w:t>
      </w:r>
    </w:p>
    <w:p w:rsidR="001337A5" w:rsidRPr="009E29F7" w:rsidRDefault="001337A5" w:rsidP="006655D3">
      <w:pPr>
        <w:rPr>
          <w:lang w:val="fr-FR"/>
        </w:rPr>
      </w:pPr>
    </w:p>
    <w:p w:rsidR="001337A5" w:rsidRPr="009E29F7" w:rsidRDefault="001337A5" w:rsidP="006655D3">
      <w:pPr>
        <w:rPr>
          <w:lang w:val="fr-FR"/>
        </w:rPr>
      </w:pPr>
    </w:p>
  </w:endnote>
  <w:endnote w:type="continuationNotice" w:id="1">
    <w:p w:rsidR="001337A5" w:rsidRPr="009E29F7" w:rsidRDefault="001337A5" w:rsidP="006655D3">
      <w:pPr>
        <w:rPr>
          <w:lang w:val="fr-FR"/>
        </w:rPr>
      </w:pPr>
      <w:r w:rsidRPr="009E29F7">
        <w:rPr>
          <w:lang w:val="fr-FR"/>
        </w:rPr>
        <w:t>[Suite de la note page suivante]</w:t>
      </w:r>
    </w:p>
    <w:p w:rsidR="001337A5" w:rsidRPr="009E29F7" w:rsidRDefault="001337A5" w:rsidP="006655D3">
      <w:pPr>
        <w:rPr>
          <w:lang w:val="fr-FR"/>
        </w:rPr>
      </w:pPr>
    </w:p>
    <w:p w:rsidR="001337A5" w:rsidRPr="009E29F7" w:rsidRDefault="001337A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AE0EF1" w:rsidRDefault="00133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7A5" w:rsidRDefault="001337A5" w:rsidP="006655D3">
      <w:r>
        <w:separator/>
      </w:r>
    </w:p>
  </w:footnote>
  <w:footnote w:type="continuationSeparator" w:id="0">
    <w:p w:rsidR="001337A5" w:rsidRDefault="001337A5" w:rsidP="006655D3">
      <w:r>
        <w:separator/>
      </w:r>
    </w:p>
  </w:footnote>
  <w:footnote w:type="continuationNotice" w:id="1">
    <w:p w:rsidR="001337A5" w:rsidRPr="00AB530F" w:rsidRDefault="001337A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EB048E">
    <w:pPr>
      <w:pStyle w:val="Header"/>
      <w:rPr>
        <w:rStyle w:val="PageNumber"/>
      </w:rPr>
    </w:pPr>
    <w:r>
      <w:rPr>
        <w:rStyle w:val="PageNumber"/>
      </w:rPr>
      <w:t>TW</w:t>
    </w:r>
    <w:r w:rsidR="00D838C7">
      <w:rPr>
        <w:rStyle w:val="PageNumber"/>
      </w:rPr>
      <w:t>F</w:t>
    </w:r>
    <w:r>
      <w:rPr>
        <w:rStyle w:val="PageNumber"/>
      </w:rPr>
      <w:t>/4</w:t>
    </w:r>
    <w:r w:rsidR="00D838C7">
      <w:rPr>
        <w:rStyle w:val="PageNumber"/>
      </w:rPr>
      <w:t>5</w:t>
    </w:r>
    <w:r>
      <w:rPr>
        <w:rStyle w:val="PageNumber"/>
      </w:rPr>
      <w:t>/9</w:t>
    </w:r>
  </w:p>
  <w:p w:rsidR="001337A5" w:rsidRPr="00C5280D" w:rsidRDefault="001337A5"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D484F">
      <w:rPr>
        <w:rStyle w:val="PageNumber"/>
        <w:noProof/>
      </w:rPr>
      <w:t>4</w:t>
    </w:r>
    <w:r w:rsidRPr="00C5280D">
      <w:rPr>
        <w:rStyle w:val="PageNumber"/>
      </w:rPr>
      <w:fldChar w:fldCharType="end"/>
    </w:r>
  </w:p>
  <w:p w:rsidR="001337A5" w:rsidRDefault="001337A5" w:rsidP="008043F4">
    <w:pPr>
      <w:tabs>
        <w:tab w:val="left" w:pos="5556"/>
      </w:tabs>
    </w:pPr>
  </w:p>
  <w:p w:rsidR="001337A5" w:rsidRPr="00C5280D" w:rsidRDefault="001337A5" w:rsidP="008043F4">
    <w:pPr>
      <w:tabs>
        <w:tab w:val="left" w:pos="5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EB048E">
    <w:pPr>
      <w:pStyle w:val="Header"/>
      <w:rPr>
        <w:rStyle w:val="PageNumber"/>
      </w:rPr>
    </w:pPr>
    <w:r>
      <w:rPr>
        <w:rStyle w:val="PageNumber"/>
      </w:rPr>
      <w:t>TWO/47/9</w:t>
    </w:r>
  </w:p>
  <w:p w:rsidR="001337A5" w:rsidRPr="00C5280D" w:rsidRDefault="001337A5" w:rsidP="00EB048E">
    <w:pPr>
      <w:pStyle w:val="Header"/>
    </w:pPr>
    <w:r>
      <w:t>ANNEX III</w:t>
    </w:r>
  </w:p>
  <w:p w:rsidR="001337A5" w:rsidRDefault="001337A5" w:rsidP="008043F4">
    <w:pPr>
      <w:tabs>
        <w:tab w:val="left" w:pos="5556"/>
      </w:tabs>
    </w:pPr>
    <w:r>
      <w:tab/>
    </w:r>
  </w:p>
  <w:p w:rsidR="001337A5" w:rsidRPr="00C5280D" w:rsidRDefault="001337A5" w:rsidP="008043F4">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Default="001337A5" w:rsidP="009E29F7">
    <w:pPr>
      <w:pStyle w:val="Header"/>
      <w:rPr>
        <w:rStyle w:val="PageNumber"/>
      </w:rPr>
    </w:pPr>
    <w:r>
      <w:rPr>
        <w:rStyle w:val="PageNumber"/>
      </w:rPr>
      <w:t>TW</w:t>
    </w:r>
    <w:r w:rsidR="00F0041B">
      <w:rPr>
        <w:rStyle w:val="PageNumber"/>
      </w:rPr>
      <w:t>F</w:t>
    </w:r>
    <w:r>
      <w:rPr>
        <w:rStyle w:val="PageNumber"/>
      </w:rPr>
      <w:t>/4</w:t>
    </w:r>
    <w:r w:rsidR="00F0041B">
      <w:rPr>
        <w:rStyle w:val="PageNumber"/>
      </w:rPr>
      <w:t>5</w:t>
    </w:r>
    <w:r>
      <w:rPr>
        <w:rStyle w:val="PageNumber"/>
      </w:rPr>
      <w:t>/9</w:t>
    </w:r>
  </w:p>
  <w:p w:rsidR="00A102F6" w:rsidRPr="00C5280D" w:rsidRDefault="00A102F6" w:rsidP="009E29F7">
    <w:pPr>
      <w:pStyle w:val="Header"/>
      <w:rPr>
        <w:rStyle w:val="PageNumber"/>
      </w:rPr>
    </w:pPr>
  </w:p>
  <w:p w:rsidR="001337A5" w:rsidRPr="000555A3" w:rsidRDefault="001337A5" w:rsidP="009A432A">
    <w:pPr>
      <w:pStyle w:val="Header"/>
    </w:pPr>
    <w:r>
      <w:t>ANNEX I</w:t>
    </w:r>
  </w:p>
  <w:p w:rsidR="001337A5" w:rsidRDefault="001337A5" w:rsidP="009A432A">
    <w:pPr>
      <w:pStyle w:val="Header"/>
      <w:rPr>
        <w:rFonts w:eastAsia="MS Mincho"/>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Default="001337A5" w:rsidP="009E29F7">
    <w:pPr>
      <w:pStyle w:val="Header"/>
      <w:rPr>
        <w:rStyle w:val="PageNumber"/>
      </w:rPr>
    </w:pPr>
    <w:r>
      <w:rPr>
        <w:rStyle w:val="PageNumber"/>
      </w:rPr>
      <w:t>TW</w:t>
    </w:r>
    <w:r w:rsidR="00F0041B">
      <w:rPr>
        <w:rStyle w:val="PageNumber"/>
      </w:rPr>
      <w:t>F</w:t>
    </w:r>
    <w:r>
      <w:rPr>
        <w:rStyle w:val="PageNumber"/>
      </w:rPr>
      <w:t>/4</w:t>
    </w:r>
    <w:r w:rsidR="00F0041B">
      <w:rPr>
        <w:rStyle w:val="PageNumber"/>
      </w:rPr>
      <w:t>5</w:t>
    </w:r>
    <w:r>
      <w:rPr>
        <w:rStyle w:val="PageNumber"/>
      </w:rPr>
      <w:t>/9</w:t>
    </w:r>
  </w:p>
  <w:p w:rsidR="00A102F6" w:rsidRPr="00C5280D" w:rsidRDefault="00A102F6" w:rsidP="009E29F7">
    <w:pPr>
      <w:pStyle w:val="Header"/>
      <w:rPr>
        <w:rStyle w:val="PageNumber"/>
      </w:rPr>
    </w:pPr>
  </w:p>
  <w:p w:rsidR="001337A5" w:rsidRPr="000555A3" w:rsidRDefault="001337A5" w:rsidP="009A432A">
    <w:pPr>
      <w:pStyle w:val="Header"/>
    </w:pPr>
    <w:r>
      <w:t>ANNEX II</w:t>
    </w:r>
  </w:p>
  <w:p w:rsidR="001337A5" w:rsidRDefault="001337A5" w:rsidP="009A432A">
    <w:pPr>
      <w:pStyle w:val="Header"/>
      <w:rPr>
        <w:rFonts w:eastAsia="MS Mincho"/>
        <w:lang w:eastAsia="ja-JP"/>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Default="001337A5" w:rsidP="009E29F7">
    <w:pPr>
      <w:pStyle w:val="Header"/>
      <w:rPr>
        <w:rStyle w:val="PageNumber"/>
      </w:rPr>
    </w:pPr>
    <w:r>
      <w:rPr>
        <w:rStyle w:val="PageNumber"/>
      </w:rPr>
      <w:t>TW</w:t>
    </w:r>
    <w:r w:rsidR="00F0041B">
      <w:rPr>
        <w:rStyle w:val="PageNumber"/>
      </w:rPr>
      <w:t>F</w:t>
    </w:r>
    <w:r>
      <w:rPr>
        <w:rStyle w:val="PageNumber"/>
      </w:rPr>
      <w:t>/4</w:t>
    </w:r>
    <w:r w:rsidR="00F0041B">
      <w:rPr>
        <w:rStyle w:val="PageNumber"/>
      </w:rPr>
      <w:t>5</w:t>
    </w:r>
    <w:r>
      <w:rPr>
        <w:rStyle w:val="PageNumber"/>
      </w:rPr>
      <w:t>/9</w:t>
    </w:r>
  </w:p>
  <w:p w:rsidR="00A102F6" w:rsidRPr="00C5280D" w:rsidRDefault="00A102F6" w:rsidP="009E29F7">
    <w:pPr>
      <w:pStyle w:val="Header"/>
      <w:rPr>
        <w:rStyle w:val="PageNumber"/>
      </w:rPr>
    </w:pPr>
  </w:p>
  <w:p w:rsidR="001337A5" w:rsidRPr="000555A3" w:rsidRDefault="001337A5" w:rsidP="009A432A">
    <w:pPr>
      <w:pStyle w:val="Header"/>
    </w:pPr>
    <w:r>
      <w:t>ANNEX III</w:t>
    </w:r>
  </w:p>
  <w:p w:rsidR="001337A5" w:rsidRDefault="001337A5" w:rsidP="009A432A">
    <w:pPr>
      <w:pStyle w:val="Header"/>
      <w:rPr>
        <w:rFonts w:eastAsia="MS Minch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832298" w:rsidRDefault="001337A5" w:rsidP="00832298">
    <w:pPr>
      <w:pStyle w:val="Header"/>
    </w:pPr>
    <w:r w:rsidRPr="00832298">
      <w:t>T</w:t>
    </w:r>
    <w:r>
      <w:t>WO/47</w:t>
    </w:r>
    <w:r w:rsidRPr="00832298">
      <w:t>/</w:t>
    </w:r>
    <w:r>
      <w:t>9</w:t>
    </w:r>
  </w:p>
  <w:p w:rsidR="001337A5" w:rsidRPr="00C5280D" w:rsidRDefault="001337A5"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A0D84">
      <w:rPr>
        <w:noProof/>
      </w:rPr>
      <w:t>2</w:t>
    </w:r>
    <w:r w:rsidRPr="00832298">
      <w:fldChar w:fldCharType="end"/>
    </w:r>
  </w:p>
  <w:p w:rsidR="001337A5" w:rsidRPr="00C5280D" w:rsidRDefault="001337A5" w:rsidP="008322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w:t>
    </w:r>
    <w:r w:rsidR="00F0041B">
      <w:rPr>
        <w:rStyle w:val="PageNumber"/>
      </w:rPr>
      <w:t>F/</w:t>
    </w:r>
    <w:r>
      <w:rPr>
        <w:rStyle w:val="PageNumber"/>
      </w:rPr>
      <w:t>4</w:t>
    </w:r>
    <w:r w:rsidR="00F0041B">
      <w:rPr>
        <w:rStyle w:val="PageNumber"/>
      </w:rPr>
      <w:t>5</w:t>
    </w:r>
    <w:r>
      <w:rPr>
        <w:rStyle w:val="PageNumber"/>
      </w:rPr>
      <w:t>/9</w:t>
    </w:r>
  </w:p>
  <w:p w:rsidR="001337A5" w:rsidRDefault="001337A5" w:rsidP="009A432A">
    <w:pPr>
      <w:pStyle w:val="Header"/>
    </w:pPr>
  </w:p>
  <w:p w:rsidR="001337A5" w:rsidRPr="000555A3" w:rsidRDefault="001337A5" w:rsidP="009A432A">
    <w:pPr>
      <w:pStyle w:val="Header"/>
    </w:pPr>
    <w:r>
      <w:t>ANNEX IV</w:t>
    </w:r>
  </w:p>
  <w:p w:rsidR="001337A5" w:rsidRDefault="001337A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832298" w:rsidRDefault="001337A5" w:rsidP="00832298">
    <w:pPr>
      <w:pStyle w:val="Header"/>
    </w:pPr>
    <w:r w:rsidRPr="00832298">
      <w:t>T</w:t>
    </w:r>
    <w:r>
      <w:t>W</w:t>
    </w:r>
    <w:r w:rsidR="00F0041B">
      <w:t>F</w:t>
    </w:r>
    <w:r>
      <w:t>/4</w:t>
    </w:r>
    <w:r w:rsidR="00F0041B">
      <w:t>5</w:t>
    </w:r>
    <w:r w:rsidRPr="00832298">
      <w:t>/</w:t>
    </w:r>
    <w:r>
      <w:t>9</w:t>
    </w:r>
  </w:p>
  <w:p w:rsidR="001337A5" w:rsidRPr="00C5280D" w:rsidRDefault="001337A5" w:rsidP="00EB048E">
    <w:pPr>
      <w:pStyle w:val="Header"/>
    </w:pPr>
    <w:r>
      <w:t xml:space="preserve">Annex V, </w:t>
    </w:r>
    <w:r w:rsidRPr="00C5280D">
      <w:t xml:space="preserve">page </w:t>
    </w:r>
    <w:r w:rsidRPr="00832298">
      <w:fldChar w:fldCharType="begin"/>
    </w:r>
    <w:r w:rsidRPr="00832298">
      <w:instrText xml:space="preserve"> PAGE </w:instrText>
    </w:r>
    <w:r w:rsidRPr="00832298">
      <w:fldChar w:fldCharType="separate"/>
    </w:r>
    <w:r w:rsidR="004D484F">
      <w:rPr>
        <w:noProof/>
      </w:rPr>
      <w:t>2</w:t>
    </w:r>
    <w:r w:rsidRPr="00832298">
      <w:fldChar w:fldCharType="end"/>
    </w:r>
  </w:p>
  <w:p w:rsidR="001337A5" w:rsidRPr="00C5280D" w:rsidRDefault="001337A5" w:rsidP="008322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w:t>
    </w:r>
    <w:r w:rsidR="00F0041B">
      <w:rPr>
        <w:rStyle w:val="PageNumber"/>
      </w:rPr>
      <w:t>F</w:t>
    </w:r>
    <w:r>
      <w:rPr>
        <w:rStyle w:val="PageNumber"/>
      </w:rPr>
      <w:t>/4</w:t>
    </w:r>
    <w:r w:rsidR="00F0041B">
      <w:rPr>
        <w:rStyle w:val="PageNumber"/>
      </w:rPr>
      <w:t>5</w:t>
    </w:r>
    <w:r>
      <w:rPr>
        <w:rStyle w:val="PageNumber"/>
      </w:rPr>
      <w:t>/9</w:t>
    </w:r>
  </w:p>
  <w:p w:rsidR="001337A5" w:rsidRDefault="001337A5" w:rsidP="009A432A">
    <w:pPr>
      <w:pStyle w:val="Header"/>
    </w:pPr>
  </w:p>
  <w:p w:rsidR="001337A5" w:rsidRPr="000555A3" w:rsidRDefault="001337A5" w:rsidP="009A432A">
    <w:pPr>
      <w:pStyle w:val="Header"/>
    </w:pPr>
    <w:r>
      <w:t>ANNEX V</w:t>
    </w:r>
  </w:p>
  <w:p w:rsidR="001337A5" w:rsidRDefault="001337A5" w:rsidP="009A432A">
    <w:pPr>
      <w:pStyle w:val="Header"/>
      <w:rPr>
        <w:rFonts w:eastAsia="MS Mincho"/>
        <w:lang w:eastAsia="ja-JP"/>
      </w:rPr>
    </w:pPr>
  </w:p>
  <w:p w:rsidR="001337A5" w:rsidRDefault="00133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701444"/>
    <w:multiLevelType w:val="hybridMultilevel"/>
    <w:tmpl w:val="D55497C2"/>
    <w:lvl w:ilvl="0" w:tplc="461E64C2">
      <w:start w:val="1"/>
      <w:numFmt w:val="lowerLetter"/>
      <w:lvlText w:val="(%1)"/>
      <w:lvlJc w:val="left"/>
      <w:pPr>
        <w:ind w:left="5180" w:hanging="360"/>
      </w:pPr>
      <w:rPr>
        <w:rFonts w:cs="Times New Roman"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5F03F72"/>
    <w:multiLevelType w:val="hybridMultilevel"/>
    <w:tmpl w:val="127CA6B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1B6711"/>
    <w:multiLevelType w:val="hybridMultilevel"/>
    <w:tmpl w:val="9CFE5CC4"/>
    <w:lvl w:ilvl="0" w:tplc="699E2F02">
      <w:start w:val="1"/>
      <w:numFmt w:val="lowerLetter"/>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57E2D8C"/>
    <w:multiLevelType w:val="hybridMultilevel"/>
    <w:tmpl w:val="D5CA2D2E"/>
    <w:lvl w:ilvl="0" w:tplc="D40C6B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F7"/>
    <w:rsid w:val="00003294"/>
    <w:rsid w:val="00007020"/>
    <w:rsid w:val="00010CF3"/>
    <w:rsid w:val="00011E27"/>
    <w:rsid w:val="0001259A"/>
    <w:rsid w:val="000148BC"/>
    <w:rsid w:val="000231B8"/>
    <w:rsid w:val="00024AB8"/>
    <w:rsid w:val="00024D61"/>
    <w:rsid w:val="00030854"/>
    <w:rsid w:val="00036028"/>
    <w:rsid w:val="000374FC"/>
    <w:rsid w:val="000414AF"/>
    <w:rsid w:val="00044642"/>
    <w:rsid w:val="000446B9"/>
    <w:rsid w:val="00047E21"/>
    <w:rsid w:val="00085505"/>
    <w:rsid w:val="000C7021"/>
    <w:rsid w:val="000D42C6"/>
    <w:rsid w:val="000D6BBC"/>
    <w:rsid w:val="000D6DA7"/>
    <w:rsid w:val="000D7780"/>
    <w:rsid w:val="000E6DC7"/>
    <w:rsid w:val="000F430A"/>
    <w:rsid w:val="000F5771"/>
    <w:rsid w:val="00104C37"/>
    <w:rsid w:val="00105929"/>
    <w:rsid w:val="001131D5"/>
    <w:rsid w:val="00124ACE"/>
    <w:rsid w:val="001322D2"/>
    <w:rsid w:val="001337A5"/>
    <w:rsid w:val="00141DB8"/>
    <w:rsid w:val="001651AA"/>
    <w:rsid w:val="0017474A"/>
    <w:rsid w:val="00174968"/>
    <w:rsid w:val="001758C6"/>
    <w:rsid w:val="001823D1"/>
    <w:rsid w:val="00182B99"/>
    <w:rsid w:val="00184ABD"/>
    <w:rsid w:val="0018780B"/>
    <w:rsid w:val="001A2FDB"/>
    <w:rsid w:val="001A7DB6"/>
    <w:rsid w:val="0021332C"/>
    <w:rsid w:val="00213982"/>
    <w:rsid w:val="002221FD"/>
    <w:rsid w:val="0024416D"/>
    <w:rsid w:val="002800A0"/>
    <w:rsid w:val="002801B3"/>
    <w:rsid w:val="00281060"/>
    <w:rsid w:val="002940E8"/>
    <w:rsid w:val="002A6E50"/>
    <w:rsid w:val="002C2517"/>
    <w:rsid w:val="002C256A"/>
    <w:rsid w:val="002C3355"/>
    <w:rsid w:val="002C4D9B"/>
    <w:rsid w:val="002C7777"/>
    <w:rsid w:val="00305A7F"/>
    <w:rsid w:val="003152FE"/>
    <w:rsid w:val="00322B01"/>
    <w:rsid w:val="00327436"/>
    <w:rsid w:val="00344BD6"/>
    <w:rsid w:val="0035528D"/>
    <w:rsid w:val="00361821"/>
    <w:rsid w:val="0037130A"/>
    <w:rsid w:val="00376C02"/>
    <w:rsid w:val="0038170B"/>
    <w:rsid w:val="00386C38"/>
    <w:rsid w:val="0039542E"/>
    <w:rsid w:val="003A0DEC"/>
    <w:rsid w:val="003B3894"/>
    <w:rsid w:val="003C4843"/>
    <w:rsid w:val="003D227C"/>
    <w:rsid w:val="003D2B4D"/>
    <w:rsid w:val="00404EE6"/>
    <w:rsid w:val="00444A88"/>
    <w:rsid w:val="00474DA4"/>
    <w:rsid w:val="00476B4D"/>
    <w:rsid w:val="004805FA"/>
    <w:rsid w:val="004A31DD"/>
    <w:rsid w:val="004B1163"/>
    <w:rsid w:val="004D047D"/>
    <w:rsid w:val="004D484F"/>
    <w:rsid w:val="004F305A"/>
    <w:rsid w:val="0050342B"/>
    <w:rsid w:val="0050390F"/>
    <w:rsid w:val="00512164"/>
    <w:rsid w:val="00516153"/>
    <w:rsid w:val="00520297"/>
    <w:rsid w:val="005204DF"/>
    <w:rsid w:val="005338F9"/>
    <w:rsid w:val="0054281C"/>
    <w:rsid w:val="0055268D"/>
    <w:rsid w:val="00560BE8"/>
    <w:rsid w:val="00576BE4"/>
    <w:rsid w:val="0057736E"/>
    <w:rsid w:val="00585C4F"/>
    <w:rsid w:val="005A400A"/>
    <w:rsid w:val="005B2844"/>
    <w:rsid w:val="00612379"/>
    <w:rsid w:val="0061555F"/>
    <w:rsid w:val="00623FA1"/>
    <w:rsid w:val="00641200"/>
    <w:rsid w:val="006655D3"/>
    <w:rsid w:val="00667404"/>
    <w:rsid w:val="006820B9"/>
    <w:rsid w:val="006833F7"/>
    <w:rsid w:val="00685222"/>
    <w:rsid w:val="00687EB4"/>
    <w:rsid w:val="0069767B"/>
    <w:rsid w:val="006B17D2"/>
    <w:rsid w:val="006C224E"/>
    <w:rsid w:val="006C39E6"/>
    <w:rsid w:val="006D23CF"/>
    <w:rsid w:val="006D780A"/>
    <w:rsid w:val="006E1436"/>
    <w:rsid w:val="006F5FD3"/>
    <w:rsid w:val="0071326A"/>
    <w:rsid w:val="00732DEC"/>
    <w:rsid w:val="00735BD5"/>
    <w:rsid w:val="0075398A"/>
    <w:rsid w:val="007556F6"/>
    <w:rsid w:val="00760EEF"/>
    <w:rsid w:val="00777EE5"/>
    <w:rsid w:val="00782A80"/>
    <w:rsid w:val="00784836"/>
    <w:rsid w:val="0079023E"/>
    <w:rsid w:val="007A2854"/>
    <w:rsid w:val="007C439F"/>
    <w:rsid w:val="007D0B9D"/>
    <w:rsid w:val="007D19B0"/>
    <w:rsid w:val="007F1886"/>
    <w:rsid w:val="007F498F"/>
    <w:rsid w:val="007F61AE"/>
    <w:rsid w:val="008043F4"/>
    <w:rsid w:val="0080679D"/>
    <w:rsid w:val="008108B0"/>
    <w:rsid w:val="00811B20"/>
    <w:rsid w:val="0082296E"/>
    <w:rsid w:val="00824099"/>
    <w:rsid w:val="00832298"/>
    <w:rsid w:val="00840059"/>
    <w:rsid w:val="00867AC1"/>
    <w:rsid w:val="008701A2"/>
    <w:rsid w:val="00876C58"/>
    <w:rsid w:val="00887BE0"/>
    <w:rsid w:val="008A743F"/>
    <w:rsid w:val="008C0970"/>
    <w:rsid w:val="008C34E3"/>
    <w:rsid w:val="008D1869"/>
    <w:rsid w:val="008D2CF7"/>
    <w:rsid w:val="00900C26"/>
    <w:rsid w:val="0090197F"/>
    <w:rsid w:val="00903656"/>
    <w:rsid w:val="00906DDC"/>
    <w:rsid w:val="009129C3"/>
    <w:rsid w:val="00934E09"/>
    <w:rsid w:val="00936253"/>
    <w:rsid w:val="00952DD4"/>
    <w:rsid w:val="00953260"/>
    <w:rsid w:val="00970FED"/>
    <w:rsid w:val="009818A0"/>
    <w:rsid w:val="00997029"/>
    <w:rsid w:val="009A432A"/>
    <w:rsid w:val="009C0A7F"/>
    <w:rsid w:val="009D690D"/>
    <w:rsid w:val="009E29F7"/>
    <w:rsid w:val="009E65B6"/>
    <w:rsid w:val="00A04A55"/>
    <w:rsid w:val="00A102F6"/>
    <w:rsid w:val="00A152C9"/>
    <w:rsid w:val="00A24C10"/>
    <w:rsid w:val="00A42AC3"/>
    <w:rsid w:val="00A430CF"/>
    <w:rsid w:val="00A501A3"/>
    <w:rsid w:val="00A525FB"/>
    <w:rsid w:val="00A54309"/>
    <w:rsid w:val="00A628C2"/>
    <w:rsid w:val="00A84406"/>
    <w:rsid w:val="00AB2B93"/>
    <w:rsid w:val="00AB530F"/>
    <w:rsid w:val="00AB7E5B"/>
    <w:rsid w:val="00AE0EF1"/>
    <w:rsid w:val="00AE2937"/>
    <w:rsid w:val="00AE65F7"/>
    <w:rsid w:val="00B07301"/>
    <w:rsid w:val="00B224DE"/>
    <w:rsid w:val="00B40556"/>
    <w:rsid w:val="00B46575"/>
    <w:rsid w:val="00B6230C"/>
    <w:rsid w:val="00B63A58"/>
    <w:rsid w:val="00B71144"/>
    <w:rsid w:val="00B84BBD"/>
    <w:rsid w:val="00B948DF"/>
    <w:rsid w:val="00BA43FB"/>
    <w:rsid w:val="00BB0967"/>
    <w:rsid w:val="00BC127D"/>
    <w:rsid w:val="00BC1FE6"/>
    <w:rsid w:val="00BC40A0"/>
    <w:rsid w:val="00BE4F0A"/>
    <w:rsid w:val="00C061B6"/>
    <w:rsid w:val="00C1030A"/>
    <w:rsid w:val="00C2446C"/>
    <w:rsid w:val="00C36AE5"/>
    <w:rsid w:val="00C41F17"/>
    <w:rsid w:val="00C5280D"/>
    <w:rsid w:val="00C5791C"/>
    <w:rsid w:val="00C66290"/>
    <w:rsid w:val="00C72B7A"/>
    <w:rsid w:val="00C747DF"/>
    <w:rsid w:val="00C973F2"/>
    <w:rsid w:val="00CA304C"/>
    <w:rsid w:val="00CA774A"/>
    <w:rsid w:val="00CC11B0"/>
    <w:rsid w:val="00CC458B"/>
    <w:rsid w:val="00CE5B38"/>
    <w:rsid w:val="00CF7E36"/>
    <w:rsid w:val="00D3708D"/>
    <w:rsid w:val="00D40426"/>
    <w:rsid w:val="00D57C96"/>
    <w:rsid w:val="00D838C7"/>
    <w:rsid w:val="00D91203"/>
    <w:rsid w:val="00D95174"/>
    <w:rsid w:val="00D95650"/>
    <w:rsid w:val="00DA0D84"/>
    <w:rsid w:val="00DA6C2D"/>
    <w:rsid w:val="00DA6F36"/>
    <w:rsid w:val="00DB3580"/>
    <w:rsid w:val="00DB596E"/>
    <w:rsid w:val="00DB7773"/>
    <w:rsid w:val="00DB78F6"/>
    <w:rsid w:val="00DC00EA"/>
    <w:rsid w:val="00DF474C"/>
    <w:rsid w:val="00DF716E"/>
    <w:rsid w:val="00E10D4D"/>
    <w:rsid w:val="00E32F7E"/>
    <w:rsid w:val="00E70F18"/>
    <w:rsid w:val="00E72D49"/>
    <w:rsid w:val="00E7593C"/>
    <w:rsid w:val="00E7678A"/>
    <w:rsid w:val="00E935F1"/>
    <w:rsid w:val="00E94A81"/>
    <w:rsid w:val="00EA1FFB"/>
    <w:rsid w:val="00EB048E"/>
    <w:rsid w:val="00EE34DF"/>
    <w:rsid w:val="00EE4F47"/>
    <w:rsid w:val="00EE6571"/>
    <w:rsid w:val="00EF2F89"/>
    <w:rsid w:val="00F0041B"/>
    <w:rsid w:val="00F021CD"/>
    <w:rsid w:val="00F1237A"/>
    <w:rsid w:val="00F13DEF"/>
    <w:rsid w:val="00F22CBD"/>
    <w:rsid w:val="00F45372"/>
    <w:rsid w:val="00F560F7"/>
    <w:rsid w:val="00F6334D"/>
    <w:rsid w:val="00F86393"/>
    <w:rsid w:val="00F94D07"/>
    <w:rsid w:val="00FA2D06"/>
    <w:rsid w:val="00FA3F21"/>
    <w:rsid w:val="00FA49AB"/>
    <w:rsid w:val="00FB4378"/>
    <w:rsid w:val="00FD54E2"/>
    <w:rsid w:val="00FE39C7"/>
    <w:rsid w:val="00FF36CC"/>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40556"/>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E29F7"/>
    <w:pPr>
      <w:ind w:left="720"/>
      <w:contextualSpacing/>
    </w:pPr>
  </w:style>
  <w:style w:type="character" w:styleId="FollowedHyperlink">
    <w:name w:val="FollowedHyperlink"/>
    <w:basedOn w:val="DefaultParagraphFont"/>
    <w:rsid w:val="00DA6C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40556"/>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E29F7"/>
    <w:pPr>
      <w:ind w:left="720"/>
      <w:contextualSpacing/>
    </w:pPr>
  </w:style>
  <w:style w:type="character" w:styleId="FollowedHyperlink">
    <w:name w:val="FollowedHyperlink"/>
    <w:basedOn w:val="DefaultParagraphFont"/>
    <w:rsid w:val="00DA6C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eedtest.org/en/stats_tool_box_content---1--1143.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64972-387F-4F2F-9E2D-650B228E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34</TotalTime>
  <Pages>10</Pages>
  <Words>4138</Words>
  <Characters>21637</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9</cp:revision>
  <cp:lastPrinted>2014-05-20T06:27:00Z</cp:lastPrinted>
  <dcterms:created xsi:type="dcterms:W3CDTF">2014-05-15T10:20:00Z</dcterms:created>
  <dcterms:modified xsi:type="dcterms:W3CDTF">2014-05-20T06:27:00Z</dcterms:modified>
</cp:coreProperties>
</file>