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Technical Working Party for Agricultural Crops</w:t>
            </w:r>
          </w:p>
          <w:p w:rsidR="00EB4E9C" w:rsidRPr="00DC3802" w:rsidRDefault="00E70039" w:rsidP="00C40AF5">
            <w:pPr>
              <w:pStyle w:val="Sessiontcplacedate"/>
              <w:rPr>
                <w:sz w:val="22"/>
              </w:rPr>
            </w:pPr>
            <w:r>
              <w:t>Forty-S</w:t>
            </w:r>
            <w:r w:rsidR="00C40AF5">
              <w:t>even</w:t>
            </w:r>
            <w:r>
              <w:t>th</w:t>
            </w:r>
            <w:r w:rsidR="00EB4E9C" w:rsidRPr="00DA4973">
              <w:t xml:space="preserve"> Session</w:t>
            </w:r>
            <w:r w:rsidR="00EB4E9C" w:rsidRPr="00DA4973">
              <w:br/>
            </w:r>
            <w:proofErr w:type="spellStart"/>
            <w:r w:rsidR="00C40AF5">
              <w:t>N</w:t>
            </w:r>
            <w:r w:rsidR="00C40AF5" w:rsidRPr="007472B2">
              <w:t>aivasha</w:t>
            </w:r>
            <w:proofErr w:type="spellEnd"/>
            <w:r w:rsidR="00C40AF5" w:rsidRPr="007472B2">
              <w:t>, Kenya</w:t>
            </w:r>
            <w:r w:rsidR="00C40AF5">
              <w:t xml:space="preserve">, </w:t>
            </w:r>
            <w:r w:rsidR="00C40AF5" w:rsidRPr="007472B2">
              <w:t>M</w:t>
            </w:r>
            <w:r w:rsidR="00C40AF5">
              <w:t>ay</w:t>
            </w:r>
            <w:r w:rsidR="00C40AF5" w:rsidRPr="007472B2">
              <w:t xml:space="preserve"> 21 to 25</w:t>
            </w:r>
            <w:r w:rsidR="00C40AF5" w:rsidRPr="00D01D7C">
              <w:t>, 201</w:t>
            </w:r>
            <w:r w:rsidR="00C40AF5">
              <w:t>8</w:t>
            </w:r>
          </w:p>
        </w:tc>
        <w:tc>
          <w:tcPr>
            <w:tcW w:w="3127" w:type="dxa"/>
          </w:tcPr>
          <w:p w:rsidR="00DA4499" w:rsidRPr="003C7FBE" w:rsidRDefault="00621302" w:rsidP="003C7FBE">
            <w:pPr>
              <w:pStyle w:val="Doccode"/>
            </w:pPr>
            <w:r>
              <w:t>T</w:t>
            </w:r>
            <w:r w:rsidR="00E70039">
              <w:t>WA</w:t>
            </w:r>
            <w:r w:rsidR="00EB4E9C" w:rsidRPr="00AC2883">
              <w:t>/</w:t>
            </w:r>
            <w:r w:rsidR="00E70039">
              <w:t>4</w:t>
            </w:r>
            <w:r w:rsidR="00C40AF5">
              <w:t>7</w:t>
            </w:r>
            <w:r w:rsidR="00EB4E9C" w:rsidRPr="00AC2883">
              <w:t>/</w:t>
            </w:r>
            <w:r w:rsidR="00FE1D2E">
              <w:t>5</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E15CE1">
            <w:pPr>
              <w:pStyle w:val="Docoriginal"/>
            </w:pPr>
            <w:r w:rsidRPr="00AC2883">
              <w:t>Date:</w:t>
            </w:r>
            <w:r w:rsidRPr="000E636A">
              <w:rPr>
                <w:b w:val="0"/>
                <w:spacing w:val="0"/>
              </w:rPr>
              <w:t xml:space="preserve">  </w:t>
            </w:r>
            <w:r w:rsidR="00094E08" w:rsidRPr="00E15CE1">
              <w:rPr>
                <w:b w:val="0"/>
                <w:spacing w:val="0"/>
              </w:rPr>
              <w:t xml:space="preserve">May </w:t>
            </w:r>
            <w:r w:rsidR="00E15CE1" w:rsidRPr="00E15CE1">
              <w:rPr>
                <w:b w:val="0"/>
                <w:spacing w:val="0"/>
              </w:rPr>
              <w:t>9</w:t>
            </w:r>
            <w:r w:rsidR="00094E08" w:rsidRPr="00E15CE1">
              <w:rPr>
                <w:b w:val="0"/>
                <w:spacing w:val="0"/>
              </w:rPr>
              <w:t>, 2018</w:t>
            </w:r>
          </w:p>
        </w:tc>
      </w:tr>
    </w:tbl>
    <w:p w:rsidR="000D7780" w:rsidRPr="006A644A" w:rsidRDefault="00776588" w:rsidP="006A644A">
      <w:pPr>
        <w:pStyle w:val="Titleofdoc0"/>
      </w:pPr>
      <w:bookmarkStart w:id="1" w:name="TitleOfDoc"/>
      <w:bookmarkEnd w:id="1"/>
      <w:r w:rsidRPr="00776588">
        <w:t>IMPACT OF THE NUMBER OF GROWING CYCLES ON VARIETY DESCRIPTIONS AND DISCRIMINATION POWER IN POTATO</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FE1D2E">
        <w:t>an expert from Germany</w:t>
      </w:r>
    </w:p>
    <w:p w:rsidR="00050E16" w:rsidRPr="006A644A" w:rsidRDefault="00050E16" w:rsidP="006A644A">
      <w:pPr>
        <w:pStyle w:val="Disclaimer"/>
      </w:pPr>
      <w:r w:rsidRPr="006A644A">
        <w:t>Disclaimer:  this document does not represent UPOV policies or guidance</w:t>
      </w:r>
    </w:p>
    <w:p w:rsidR="00FE1D2E" w:rsidRPr="00EA2CB1" w:rsidRDefault="00776588" w:rsidP="00FE1D2E">
      <w:r>
        <w:fldChar w:fldCharType="begin"/>
      </w:r>
      <w:r>
        <w:instrText xml:space="preserve"> AUTONUM  </w:instrText>
      </w:r>
      <w:r>
        <w:fldChar w:fldCharType="end"/>
      </w:r>
      <w:r>
        <w:tab/>
      </w:r>
      <w:r w:rsidR="00FE1D2E" w:rsidRPr="00614469">
        <w:t>The TWA</w:t>
      </w:r>
      <w:r>
        <w:t>,</w:t>
      </w:r>
      <w:r w:rsidR="00FE1D2E" w:rsidRPr="00614469">
        <w:t xml:space="preserve"> </w:t>
      </w:r>
      <w:r w:rsidR="00FE1D2E" w:rsidRPr="00EA2CB1">
        <w:t xml:space="preserve">at its </w:t>
      </w:r>
      <w:proofErr w:type="spellStart"/>
      <w:r w:rsidRPr="00EA2CB1">
        <w:t>its</w:t>
      </w:r>
      <w:proofErr w:type="spellEnd"/>
      <w:r w:rsidRPr="00EA2CB1">
        <w:t xml:space="preserve"> forty-sixth session</w:t>
      </w:r>
      <w:r w:rsidR="00EA2CB1" w:rsidRPr="00EA2CB1">
        <w:t>,</w:t>
      </w:r>
      <w:r w:rsidRPr="00EA2CB1">
        <w:t xml:space="preserve"> held in Hanover, Germany, from June 19 to 23, 2017, </w:t>
      </w:r>
      <w:r w:rsidR="00FE1D2E" w:rsidRPr="00EA2CB1">
        <w:t xml:space="preserve">considered several examples on the impact of using different numbers of growing cycles on DUS decisions and the establishment of variety descriptions (see document TWA/46/8, TWA/46/8 Add.). Members </w:t>
      </w:r>
      <w:r w:rsidRPr="00EA2CB1">
        <w:t xml:space="preserve">of the Union </w:t>
      </w:r>
      <w:r w:rsidR="00FE1D2E" w:rsidRPr="00EA2CB1">
        <w:t>were invited to provide further examples to be considered in 2018. The present document provides a potato example.</w:t>
      </w:r>
    </w:p>
    <w:p w:rsidR="00FE1D2E" w:rsidRPr="00EA2CB1" w:rsidRDefault="00FE1D2E" w:rsidP="00FE1D2E"/>
    <w:p w:rsidR="00FE1D2E" w:rsidRPr="00614469" w:rsidRDefault="00E15CE1" w:rsidP="00FE1D2E">
      <w:r w:rsidRPr="00EA2CB1">
        <w:fldChar w:fldCharType="begin"/>
      </w:r>
      <w:r w:rsidRPr="00EA2CB1">
        <w:instrText xml:space="preserve"> AUTONUM  </w:instrText>
      </w:r>
      <w:r w:rsidRPr="00EA2CB1">
        <w:fldChar w:fldCharType="end"/>
      </w:r>
      <w:r w:rsidRPr="00EA2CB1">
        <w:tab/>
      </w:r>
      <w:r w:rsidR="00776588" w:rsidRPr="00EA2CB1">
        <w:t xml:space="preserve">In the Test Guidelines for Potato (document TG/23/6), </w:t>
      </w:r>
      <w:r w:rsidR="00FE1D2E" w:rsidRPr="00EA2CB1">
        <w:t>it is recommended that</w:t>
      </w:r>
      <w:r w:rsidR="00FE1D2E" w:rsidRPr="00614469">
        <w:t xml:space="preserve"> the minimum duration of tests should normally be two independent growing cycles. This study was performed to validate whether two growing cycles are necessary or the duration of test could be reduced. The impact of the number of growing cycles was analyzed for quantitative characteristics in potato on the basis of data from actual DUS trials.</w:t>
      </w:r>
    </w:p>
    <w:p w:rsidR="00FE1D2E" w:rsidRDefault="00FE1D2E" w:rsidP="00FE1D2E"/>
    <w:p w:rsidR="00E15CE1" w:rsidRPr="00614469" w:rsidRDefault="00E15CE1" w:rsidP="00FE1D2E"/>
    <w:p w:rsidR="00FE1D2E" w:rsidRPr="00FE1D2E" w:rsidRDefault="00FE1D2E" w:rsidP="00FE1D2E">
      <w:pPr>
        <w:pStyle w:val="Heading2"/>
      </w:pPr>
      <w:r w:rsidRPr="00FE1D2E">
        <w:t>Material and methods</w:t>
      </w:r>
    </w:p>
    <w:p w:rsidR="00FE1D2E" w:rsidRPr="00614469" w:rsidRDefault="00FE1D2E" w:rsidP="00FE1D2E"/>
    <w:p w:rsidR="00FE1D2E" w:rsidRPr="00614469" w:rsidRDefault="00E15CE1" w:rsidP="00FE1D2E">
      <w:r>
        <w:fldChar w:fldCharType="begin"/>
      </w:r>
      <w:r>
        <w:instrText xml:space="preserve"> AUTONUM  </w:instrText>
      </w:r>
      <w:r>
        <w:fldChar w:fldCharType="end"/>
      </w:r>
      <w:r>
        <w:tab/>
      </w:r>
      <w:r w:rsidR="00FE1D2E" w:rsidRPr="00614469">
        <w:t>The German DUS growing trials comprise about 360 potato varieties every year. 50 to 70 varieties are candidate varieties, half in the first and half in the second year. Discrimination power of individual characteristics was calculated based on candidate varieties after</w:t>
      </w:r>
      <w:r>
        <w:t xml:space="preserve"> the second growing cycle. Each </w:t>
      </w:r>
      <w:r w:rsidR="00FE1D2E" w:rsidRPr="00614469">
        <w:t>2</w:t>
      </w:r>
      <w:r w:rsidR="00FE1D2E" w:rsidRPr="00614469">
        <w:rPr>
          <w:vertAlign w:val="superscript"/>
        </w:rPr>
        <w:t>nd</w:t>
      </w:r>
      <w:r>
        <w:noBreakHyphen/>
        <w:t>year</w:t>
      </w:r>
      <w:r>
        <w:noBreakHyphen/>
      </w:r>
      <w:r w:rsidR="00FE1D2E" w:rsidRPr="00614469">
        <w:t>candidate variety was compared to all other varieties in the same growing trial. Two distinctness tests were performed:</w:t>
      </w:r>
    </w:p>
    <w:p w:rsidR="00FE1D2E" w:rsidRPr="00614469" w:rsidRDefault="00FE1D2E" w:rsidP="00FE1D2E"/>
    <w:p w:rsidR="00FE1D2E" w:rsidRPr="00614469" w:rsidRDefault="00FE1D2E" w:rsidP="00FE1D2E">
      <w:pPr>
        <w:numPr>
          <w:ilvl w:val="0"/>
          <w:numId w:val="1"/>
        </w:numPr>
        <w:ind w:hanging="644"/>
      </w:pPr>
      <w:r w:rsidRPr="00614469">
        <w:t>‘1-cycle’: second year only. Two varieties are considered to be distinct if a clear difference was observed.</w:t>
      </w:r>
    </w:p>
    <w:p w:rsidR="00FE1D2E" w:rsidRPr="00614469" w:rsidRDefault="00FE1D2E" w:rsidP="00FE1D2E">
      <w:pPr>
        <w:numPr>
          <w:ilvl w:val="0"/>
          <w:numId w:val="1"/>
        </w:numPr>
        <w:ind w:hanging="644"/>
      </w:pPr>
      <w:r w:rsidRPr="00614469">
        <w:t>‘2-cycles’: second year and first year. Two varieties are considered to be distinct if a clear difference in the same direction was observed in both years.</w:t>
      </w:r>
    </w:p>
    <w:p w:rsidR="00FE1D2E" w:rsidRPr="00614469" w:rsidRDefault="00FE1D2E" w:rsidP="00FE1D2E"/>
    <w:p w:rsidR="00FE1D2E" w:rsidRPr="00614469" w:rsidRDefault="00E15CE1" w:rsidP="00FE1D2E">
      <w:r>
        <w:fldChar w:fldCharType="begin"/>
      </w:r>
      <w:r>
        <w:instrText xml:space="preserve"> AUTONUM  </w:instrText>
      </w:r>
      <w:r>
        <w:fldChar w:fldCharType="end"/>
      </w:r>
      <w:r>
        <w:tab/>
      </w:r>
      <w:r w:rsidR="00FE1D2E" w:rsidRPr="00614469">
        <w:t>Discrimination power of each characteristic was calculated as percentage of clear differences in relation to all pairwise comparisons.</w:t>
      </w:r>
    </w:p>
    <w:p w:rsidR="00FE1D2E" w:rsidRPr="00614469" w:rsidRDefault="00FE1D2E" w:rsidP="00FE1D2E">
      <w:r w:rsidRPr="00614469">
        <w:t>The same analysis was performed for 2013 to 2017. In total, about 130 candidate varieties were compared to 350 reference varieties resulting in about 45,000 pairwise comparisons for ‘1-cycle’ and ‘2-cycles’ each.</w:t>
      </w:r>
    </w:p>
    <w:p w:rsidR="00FE1D2E" w:rsidRPr="00614469" w:rsidRDefault="00FE1D2E" w:rsidP="00FE1D2E"/>
    <w:p w:rsidR="00FE1D2E" w:rsidRPr="00614469" w:rsidRDefault="00E15CE1" w:rsidP="00FE1D2E">
      <w:r>
        <w:fldChar w:fldCharType="begin"/>
      </w:r>
      <w:r>
        <w:instrText xml:space="preserve"> AUTONUM  </w:instrText>
      </w:r>
      <w:r>
        <w:fldChar w:fldCharType="end"/>
      </w:r>
      <w:r>
        <w:tab/>
      </w:r>
      <w:r w:rsidR="00FE1D2E" w:rsidRPr="00614469">
        <w:t>A different data set was used to calculate the impact of the number of growing cycles on variety descriptions. Orthogonal DUS observations for 211 varieties in 6 successive growing cycles (2012-2017) were used to establish annual variety descriptions and descriptions over 2 cycles. Six annual descriptions and six descriptions over two cycles were produced for each variety and variation between these descriptions was calculated.</w:t>
      </w:r>
    </w:p>
    <w:p w:rsidR="00FE1D2E" w:rsidRPr="00614469" w:rsidRDefault="00FE1D2E" w:rsidP="00FE1D2E"/>
    <w:p w:rsidR="00FE1D2E" w:rsidRPr="00614469" w:rsidRDefault="00E15CE1" w:rsidP="00FE1D2E">
      <w:r>
        <w:fldChar w:fldCharType="begin"/>
      </w:r>
      <w:r>
        <w:instrText xml:space="preserve"> AUTONUM  </w:instrText>
      </w:r>
      <w:r>
        <w:fldChar w:fldCharType="end"/>
      </w:r>
      <w:r>
        <w:tab/>
      </w:r>
      <w:r w:rsidR="00FE1D2E" w:rsidRPr="00614469">
        <w:t xml:space="preserve">DUS tests were conducted according to </w:t>
      </w:r>
      <w:r w:rsidRPr="00DB70D6">
        <w:t xml:space="preserve">document </w:t>
      </w:r>
      <w:r w:rsidR="00FE1D2E" w:rsidRPr="00DB70D6">
        <w:t xml:space="preserve">TG/23/6. The numbering of characteristics follows these </w:t>
      </w:r>
      <w:r w:rsidRPr="00DB70D6">
        <w:t>T</w:t>
      </w:r>
      <w:r w:rsidR="00FE1D2E" w:rsidRPr="00DB70D6">
        <w:t xml:space="preserve">est </w:t>
      </w:r>
      <w:r w:rsidRPr="00DB70D6">
        <w:t>G</w:t>
      </w:r>
      <w:r w:rsidR="00FE1D2E" w:rsidRPr="00DB70D6">
        <w:t>uidelines.</w:t>
      </w:r>
    </w:p>
    <w:p w:rsidR="00FE1D2E" w:rsidRPr="00614469" w:rsidRDefault="00FE1D2E" w:rsidP="00FE1D2E"/>
    <w:p w:rsidR="00FE1D2E" w:rsidRPr="00FE1D2E" w:rsidRDefault="00FE1D2E" w:rsidP="00E15CE1">
      <w:pPr>
        <w:pStyle w:val="Heading2"/>
      </w:pPr>
      <w:r w:rsidRPr="00FE1D2E">
        <w:lastRenderedPageBreak/>
        <w:t>Results and discussion</w:t>
      </w:r>
    </w:p>
    <w:p w:rsidR="00FE1D2E" w:rsidRPr="00614469" w:rsidRDefault="00FE1D2E" w:rsidP="00E15CE1">
      <w:pPr>
        <w:keepNext/>
      </w:pPr>
    </w:p>
    <w:p w:rsidR="00FE1D2E" w:rsidRPr="00614469" w:rsidRDefault="00FE1D2E" w:rsidP="00E15CE1">
      <w:pPr>
        <w:pStyle w:val="Heading3"/>
      </w:pPr>
      <w:r w:rsidRPr="00614469">
        <w:t>Discrimination power:</w:t>
      </w:r>
    </w:p>
    <w:p w:rsidR="00FE1D2E" w:rsidRPr="00614469" w:rsidRDefault="00FE1D2E" w:rsidP="00E15CE1">
      <w:pPr>
        <w:keepNext/>
      </w:pPr>
    </w:p>
    <w:p w:rsidR="00FE1D2E" w:rsidRPr="00614469" w:rsidRDefault="00E15CE1" w:rsidP="00FE1D2E">
      <w:r>
        <w:fldChar w:fldCharType="begin"/>
      </w:r>
      <w:r>
        <w:instrText xml:space="preserve"> AUTONUM  </w:instrText>
      </w:r>
      <w:r>
        <w:fldChar w:fldCharType="end"/>
      </w:r>
      <w:r>
        <w:tab/>
      </w:r>
      <w:r w:rsidR="00FE1D2E" w:rsidRPr="00614469">
        <w:t>The mean discrimination power based on a single cycle and over two cycles is presented in figure 1. Characteristics were sorted according to the discrimination power in a single cycle with a range between 58 % and 2 % discrimination power. The decision on distinctness was significantly influenced by the number of growing cycles. A clear difference observed in one cycle was not always confirmed in the second cycle. Consequently, the discrimination power was lower after 2 cycles. If varieties were compared in a single year, for some characteristics distinctness was up to 10 % higher than after 2 cycles. Characteristics with the highest ‘overestimation’ in discrimination power were marked in figure 1.</w:t>
      </w:r>
    </w:p>
    <w:p w:rsidR="00FE1D2E" w:rsidRPr="00614469" w:rsidRDefault="00FE1D2E" w:rsidP="00FE1D2E"/>
    <w:p w:rsidR="00FE1D2E" w:rsidRPr="00614469" w:rsidRDefault="00E15CE1" w:rsidP="00FE1D2E">
      <w:r>
        <w:fldChar w:fldCharType="begin"/>
      </w:r>
      <w:r>
        <w:instrText xml:space="preserve"> AUTONUM  </w:instrText>
      </w:r>
      <w:r>
        <w:fldChar w:fldCharType="end"/>
      </w:r>
      <w:r>
        <w:tab/>
      </w:r>
      <w:r w:rsidR="00FE1D2E" w:rsidRPr="00614469">
        <w:t>A clear difference observed in only one of the cycles might be confirmed in a third cycle. But in general, a third cycle is not necessary to establish distinctness in potato due to clear differences in at least one of the other characteristics. Therefore, the ‘2 out of 3 cycles’ option was not analyzed in this study.</w:t>
      </w:r>
    </w:p>
    <w:p w:rsidR="00FE1D2E" w:rsidRPr="00614469" w:rsidRDefault="00FE1D2E" w:rsidP="00FE1D2E"/>
    <w:p w:rsidR="00FE1D2E" w:rsidRPr="00614469" w:rsidRDefault="00E15CE1" w:rsidP="00FE1D2E">
      <w:r>
        <w:fldChar w:fldCharType="begin"/>
      </w:r>
      <w:r>
        <w:instrText xml:space="preserve"> AUTONUM  </w:instrText>
      </w:r>
      <w:r>
        <w:fldChar w:fldCharType="end"/>
      </w:r>
      <w:r>
        <w:tab/>
      </w:r>
      <w:r w:rsidR="00FE1D2E" w:rsidRPr="00614469">
        <w:t>If distinctness shall be based on a single cycle, larger minimum differences have to be applied for several characteristics in order to allow reliable decisions. This would lead to lower discrimination power.</w:t>
      </w:r>
    </w:p>
    <w:p w:rsidR="00FE1D2E" w:rsidRDefault="00FE1D2E" w:rsidP="00FE1D2E"/>
    <w:p w:rsidR="00BB5CDA" w:rsidRDefault="00BB5CDA" w:rsidP="00FE1D2E"/>
    <w:p w:rsidR="00BB5CDA" w:rsidRPr="00614469" w:rsidRDefault="00BB5CDA" w:rsidP="00FE1D2E"/>
    <w:p w:rsidR="00FE1D2E" w:rsidRPr="00614469" w:rsidRDefault="00FE1D2E" w:rsidP="00FE1D2E">
      <w:pPr>
        <w:rPr>
          <w:bCs/>
        </w:rPr>
      </w:pPr>
      <w:r w:rsidRPr="00614469">
        <w:rPr>
          <w:bCs/>
        </w:rPr>
        <w:t>Figure 1: Impact of the number of growing cycles on discrimination power</w:t>
      </w:r>
    </w:p>
    <w:p w:rsidR="00FE1D2E" w:rsidRPr="00614469" w:rsidRDefault="00FE1D2E" w:rsidP="00FE1D2E">
      <w:r w:rsidRPr="00614469">
        <w:rPr>
          <w:noProof/>
          <w:lang w:val="es-ES_tradnl" w:eastAsia="es-ES_tradnl"/>
        </w:rPr>
        <w:drawing>
          <wp:inline distT="0" distB="0" distL="0" distR="0" wp14:anchorId="0946F50C" wp14:editId="02337A2C">
            <wp:extent cx="5907820" cy="5470498"/>
            <wp:effectExtent l="0" t="0" r="0" b="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5CE1" w:rsidRDefault="00E15CE1">
      <w:pPr>
        <w:jc w:val="left"/>
      </w:pPr>
      <w:r>
        <w:br w:type="page"/>
      </w:r>
    </w:p>
    <w:p w:rsidR="00FE1D2E" w:rsidRPr="00614469" w:rsidRDefault="00FE1D2E" w:rsidP="00FE1D2E"/>
    <w:p w:rsidR="00FE1D2E" w:rsidRPr="00614469" w:rsidRDefault="00FE1D2E" w:rsidP="00FE1D2E">
      <w:pPr>
        <w:pStyle w:val="Heading3"/>
      </w:pPr>
      <w:r w:rsidRPr="00614469">
        <w:t>Variety descriptions:</w:t>
      </w:r>
    </w:p>
    <w:p w:rsidR="00FE1D2E" w:rsidRPr="00614469" w:rsidRDefault="00FE1D2E" w:rsidP="00FE1D2E"/>
    <w:p w:rsidR="00FE1D2E" w:rsidRPr="00614469" w:rsidRDefault="00E15CE1" w:rsidP="00FE1D2E">
      <w:r>
        <w:fldChar w:fldCharType="begin"/>
      </w:r>
      <w:r>
        <w:instrText xml:space="preserve"> AUTONUM  </w:instrText>
      </w:r>
      <w:r>
        <w:fldChar w:fldCharType="end"/>
      </w:r>
      <w:r>
        <w:tab/>
      </w:r>
      <w:r w:rsidR="00FE1D2E" w:rsidRPr="00614469">
        <w:t>The maximum difference between six 1-cycle variety descriptions and between six 2-cycle variety descriptions is presented in figures 2 and 3. Characteristics have the same order in both figures, sorted according to the frequency of identical 1-cycle descriptions (0 note difference). Some characteristics were very stable with conformity between the six 1-cycle descriptions for more than 90 % of the varieties, see characteristics 40. Tuber: color of base of eye, 34. Flower corolla: proportion of blue in anthocyanin coloration on inner side and 4. </w:t>
      </w:r>
      <w:proofErr w:type="spellStart"/>
      <w:r w:rsidR="00FE1D2E" w:rsidRPr="00614469">
        <w:t>Lightsprout</w:t>
      </w:r>
      <w:proofErr w:type="spellEnd"/>
      <w:r w:rsidR="00FE1D2E" w:rsidRPr="00614469">
        <w:t>: proportion of blue in anthocyanin coloration of base. On the other side, the percentage of zero notes difference was less than 20 % for characteristics 9. </w:t>
      </w:r>
      <w:proofErr w:type="spellStart"/>
      <w:r w:rsidR="00FE1D2E" w:rsidRPr="00614469">
        <w:t>Lightsprout</w:t>
      </w:r>
      <w:proofErr w:type="spellEnd"/>
      <w:r w:rsidR="00FE1D2E" w:rsidRPr="00614469">
        <w:t xml:space="preserve">: pubescence of tip, 13. Plant: growth habit and 15. Leaf: outline size. </w:t>
      </w:r>
    </w:p>
    <w:p w:rsidR="00FE1D2E" w:rsidRPr="00614469" w:rsidRDefault="00FE1D2E" w:rsidP="00FE1D2E"/>
    <w:p w:rsidR="00FE1D2E" w:rsidRPr="00614469" w:rsidRDefault="00E15CE1" w:rsidP="00FE1D2E">
      <w:r>
        <w:fldChar w:fldCharType="begin"/>
      </w:r>
      <w:r>
        <w:instrText xml:space="preserve"> AUTONUM  </w:instrText>
      </w:r>
      <w:r>
        <w:fldChar w:fldCharType="end"/>
      </w:r>
      <w:r>
        <w:tab/>
      </w:r>
      <w:r w:rsidR="00FE1D2E" w:rsidRPr="00614469">
        <w:t>The stability of descriptions was clearly improved with a second cycles (figure 3).</w:t>
      </w:r>
    </w:p>
    <w:p w:rsidR="00FE1D2E" w:rsidRPr="00614469" w:rsidRDefault="00FE1D2E" w:rsidP="00FE1D2E"/>
    <w:p w:rsidR="00FE1D2E" w:rsidRPr="00614469" w:rsidRDefault="00E15CE1" w:rsidP="00FE1D2E">
      <w:r>
        <w:fldChar w:fldCharType="begin"/>
      </w:r>
      <w:r>
        <w:instrText xml:space="preserve"> AUTONUM  </w:instrText>
      </w:r>
      <w:r>
        <w:fldChar w:fldCharType="end"/>
      </w:r>
      <w:r>
        <w:tab/>
      </w:r>
      <w:r w:rsidR="00FE1D2E" w:rsidRPr="00614469">
        <w:t>The frequency of zero notes difference is significantly higher between 2-cycle descriptions compared to 1-cycle descriptions. The following frequencies of differences were observed across all characteristics:</w:t>
      </w:r>
    </w:p>
    <w:p w:rsidR="00FE1D2E" w:rsidRPr="00614469" w:rsidRDefault="00FE1D2E" w:rsidP="00FE1D2E">
      <w:pPr>
        <w:tabs>
          <w:tab w:val="left" w:pos="1418"/>
          <w:tab w:val="left" w:pos="2552"/>
        </w:tabs>
      </w:pPr>
    </w:p>
    <w:p w:rsidR="00FE1D2E" w:rsidRPr="00FE1D2E" w:rsidRDefault="00FE1D2E" w:rsidP="00FE1D2E">
      <w:pPr>
        <w:pBdr>
          <w:top w:val="single" w:sz="4" w:space="1" w:color="auto"/>
          <w:bottom w:val="single" w:sz="4" w:space="1" w:color="auto"/>
        </w:pBdr>
        <w:tabs>
          <w:tab w:val="center" w:pos="3119"/>
          <w:tab w:val="center" w:pos="4253"/>
        </w:tabs>
        <w:ind w:left="993" w:right="4110"/>
        <w:rPr>
          <w:lang w:val="fr-FR"/>
        </w:rPr>
      </w:pPr>
      <w:proofErr w:type="spellStart"/>
      <w:r w:rsidRPr="00FE1D2E">
        <w:rPr>
          <w:lang w:val="fr-FR"/>
        </w:rPr>
        <w:t>Differences</w:t>
      </w:r>
      <w:proofErr w:type="spellEnd"/>
      <w:r w:rsidRPr="00FE1D2E">
        <w:rPr>
          <w:lang w:val="fr-FR"/>
        </w:rPr>
        <w:tab/>
        <w:t>1-cycle</w:t>
      </w:r>
      <w:r w:rsidRPr="00FE1D2E">
        <w:rPr>
          <w:lang w:val="fr-FR"/>
        </w:rPr>
        <w:tab/>
        <w:t>2-cycles</w:t>
      </w:r>
    </w:p>
    <w:p w:rsidR="00FE1D2E" w:rsidRPr="00FE1D2E" w:rsidRDefault="00FE1D2E" w:rsidP="00FE1D2E">
      <w:pPr>
        <w:tabs>
          <w:tab w:val="center" w:pos="3119"/>
          <w:tab w:val="center" w:pos="4253"/>
        </w:tabs>
        <w:ind w:left="993" w:right="4110"/>
        <w:rPr>
          <w:lang w:val="fr-FR"/>
        </w:rPr>
      </w:pPr>
      <w:r w:rsidRPr="00FE1D2E">
        <w:rPr>
          <w:lang w:val="fr-FR"/>
        </w:rPr>
        <w:t>0 notes</w:t>
      </w:r>
      <w:r w:rsidRPr="00FE1D2E">
        <w:rPr>
          <w:lang w:val="fr-FR"/>
        </w:rPr>
        <w:tab/>
        <w:t>47 %</w:t>
      </w:r>
      <w:r w:rsidRPr="00FE1D2E">
        <w:rPr>
          <w:lang w:val="fr-FR"/>
        </w:rPr>
        <w:tab/>
        <w:t>62 %</w:t>
      </w:r>
    </w:p>
    <w:p w:rsidR="00FE1D2E" w:rsidRPr="00FE1D2E" w:rsidRDefault="00FE1D2E" w:rsidP="00FE1D2E">
      <w:pPr>
        <w:tabs>
          <w:tab w:val="center" w:pos="3119"/>
          <w:tab w:val="center" w:pos="4253"/>
        </w:tabs>
        <w:ind w:left="993" w:right="4110"/>
        <w:rPr>
          <w:lang w:val="fr-FR"/>
        </w:rPr>
      </w:pPr>
      <w:r w:rsidRPr="00FE1D2E">
        <w:rPr>
          <w:lang w:val="fr-FR"/>
        </w:rPr>
        <w:t>1 note</w:t>
      </w:r>
      <w:r w:rsidRPr="00FE1D2E">
        <w:rPr>
          <w:lang w:val="fr-FR"/>
        </w:rPr>
        <w:tab/>
        <w:t>47 %</w:t>
      </w:r>
      <w:r w:rsidRPr="00FE1D2E">
        <w:rPr>
          <w:lang w:val="fr-FR"/>
        </w:rPr>
        <w:tab/>
        <w:t>36 %</w:t>
      </w:r>
    </w:p>
    <w:p w:rsidR="00FE1D2E" w:rsidRPr="00614469" w:rsidRDefault="00FE1D2E" w:rsidP="00FE1D2E">
      <w:pPr>
        <w:pBdr>
          <w:bottom w:val="single" w:sz="4" w:space="1" w:color="auto"/>
        </w:pBdr>
        <w:tabs>
          <w:tab w:val="center" w:pos="3119"/>
          <w:tab w:val="center" w:pos="4253"/>
        </w:tabs>
        <w:ind w:left="993" w:right="4110"/>
      </w:pPr>
      <w:r w:rsidRPr="00614469">
        <w:t>&gt;1 note</w:t>
      </w:r>
      <w:r w:rsidRPr="00614469">
        <w:tab/>
        <w:t>6 %</w:t>
      </w:r>
      <w:r w:rsidRPr="00614469">
        <w:tab/>
        <w:t>2 %</w:t>
      </w:r>
    </w:p>
    <w:p w:rsidR="00FE1D2E" w:rsidRPr="00614469" w:rsidRDefault="00FE1D2E" w:rsidP="00FE1D2E"/>
    <w:p w:rsidR="00FE1D2E" w:rsidRPr="00614469" w:rsidRDefault="00E15CE1" w:rsidP="00FE1D2E">
      <w:r>
        <w:fldChar w:fldCharType="begin"/>
      </w:r>
      <w:r>
        <w:instrText xml:space="preserve"> AUTONUM  </w:instrText>
      </w:r>
      <w:r>
        <w:fldChar w:fldCharType="end"/>
      </w:r>
      <w:r>
        <w:tab/>
      </w:r>
      <w:r w:rsidR="00FE1D2E" w:rsidRPr="00614469">
        <w:t>Variation in variety descriptions of 1 note from year to year can be considered as quite stable. Nevertheless, a clear difference between two varieties e. g. of two notes in a testing period might decrease to 1 or 0 notes in another testing period. Two growing cycles produce more robust variety descriptions.</w:t>
      </w:r>
    </w:p>
    <w:p w:rsidR="00FE1D2E" w:rsidRPr="00614469" w:rsidRDefault="00FE1D2E" w:rsidP="00FE1D2E"/>
    <w:p w:rsidR="00FE1D2E" w:rsidRPr="00614469" w:rsidRDefault="00E15CE1" w:rsidP="00FE1D2E">
      <w:r>
        <w:fldChar w:fldCharType="begin"/>
      </w:r>
      <w:r>
        <w:instrText xml:space="preserve"> AUTONUM  </w:instrText>
      </w:r>
      <w:r>
        <w:fldChar w:fldCharType="end"/>
      </w:r>
      <w:r>
        <w:tab/>
      </w:r>
      <w:r w:rsidR="00FE1D2E" w:rsidRPr="00614469">
        <w:t>Databases with descriptions for varieties of common knowledge can play an important role in the process of assessing distinctness. Descriptions are often used for the identification of similar varieties to be grown together with new candidate varieties. The efficiency of excluding varieties from the growing trial is strongly influenced by the consistency of variety descriptions over years. The potential environmental influence has to be taken into account for defining thresholds and to decide whether a difference between two varieties can be considered as clear and consistent. Less consistency of descriptions leads to more similar varieties in the growing trial.</w:t>
      </w:r>
    </w:p>
    <w:p w:rsidR="00FE1D2E" w:rsidRPr="00614469" w:rsidRDefault="00FE1D2E" w:rsidP="00FE1D2E"/>
    <w:p w:rsidR="00FE1D2E" w:rsidRPr="00614469" w:rsidRDefault="00FE1D2E" w:rsidP="00BB5CDA">
      <w:pPr>
        <w:ind w:left="993" w:hanging="993"/>
        <w:jc w:val="left"/>
      </w:pPr>
      <w:r w:rsidRPr="00614469">
        <w:rPr>
          <w:bCs/>
        </w:rPr>
        <w:t>Figure 2:</w:t>
      </w:r>
      <w:r w:rsidRPr="00614469">
        <w:rPr>
          <w:bCs/>
        </w:rPr>
        <w:tab/>
        <w:t xml:space="preserve">Difference between </w:t>
      </w:r>
      <w:r w:rsidRPr="00614469">
        <w:rPr>
          <w:bCs/>
          <w:u w:val="single"/>
        </w:rPr>
        <w:t>1-cycle</w:t>
      </w:r>
      <w:r w:rsidRPr="00614469">
        <w:rPr>
          <w:bCs/>
        </w:rPr>
        <w:t xml:space="preserve"> variety descriptions </w:t>
      </w:r>
      <w:r w:rsidRPr="00614469">
        <w:rPr>
          <w:bCs/>
        </w:rPr>
        <w:br/>
      </w:r>
      <w:r w:rsidRPr="00614469">
        <w:t>(Maximum difference between 6 descriptions per variety, 211 varieties)</w:t>
      </w:r>
    </w:p>
    <w:p w:rsidR="00FE1D2E" w:rsidRPr="00614469" w:rsidRDefault="00FE1D2E" w:rsidP="00FE1D2E">
      <w:r w:rsidRPr="00614469">
        <w:rPr>
          <w:noProof/>
          <w:lang w:val="es-ES_tradnl" w:eastAsia="es-ES_tradnl"/>
        </w:rPr>
        <w:drawing>
          <wp:inline distT="0" distB="0" distL="0" distR="0" wp14:anchorId="0BE28EED" wp14:editId="0D91E2A2">
            <wp:extent cx="5764696" cy="3347499"/>
            <wp:effectExtent l="0" t="0" r="7620" b="5715"/>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5CE1" w:rsidRDefault="00E15CE1">
      <w:pPr>
        <w:jc w:val="left"/>
      </w:pPr>
      <w:r>
        <w:br w:type="page"/>
      </w:r>
    </w:p>
    <w:p w:rsidR="00FE1D2E" w:rsidRPr="00614469" w:rsidRDefault="00FE1D2E" w:rsidP="00FE1D2E"/>
    <w:p w:rsidR="00FE1D2E" w:rsidRPr="00614469" w:rsidRDefault="00FE1D2E" w:rsidP="00BB5CDA">
      <w:pPr>
        <w:ind w:left="993" w:hanging="993"/>
        <w:jc w:val="left"/>
      </w:pPr>
      <w:r w:rsidRPr="00614469">
        <w:rPr>
          <w:bCs/>
        </w:rPr>
        <w:t>Figure 3:</w:t>
      </w:r>
      <w:r w:rsidRPr="00614469">
        <w:rPr>
          <w:bCs/>
        </w:rPr>
        <w:tab/>
        <w:t xml:space="preserve">Difference between </w:t>
      </w:r>
      <w:r w:rsidRPr="00614469">
        <w:rPr>
          <w:bCs/>
          <w:u w:val="single"/>
        </w:rPr>
        <w:t>2 cycle-</w:t>
      </w:r>
      <w:r w:rsidRPr="00614469">
        <w:rPr>
          <w:bCs/>
        </w:rPr>
        <w:t xml:space="preserve"> variety descriptions </w:t>
      </w:r>
      <w:r w:rsidRPr="00614469">
        <w:rPr>
          <w:bCs/>
        </w:rPr>
        <w:br/>
      </w:r>
      <w:r w:rsidRPr="00614469">
        <w:t>(Maximum difference between 6 descriptions per variety, 211 varieties)</w:t>
      </w:r>
    </w:p>
    <w:p w:rsidR="00FE1D2E" w:rsidRPr="00614469" w:rsidRDefault="00FE1D2E" w:rsidP="00FE1D2E">
      <w:r w:rsidRPr="00614469">
        <w:rPr>
          <w:noProof/>
          <w:lang w:val="es-ES_tradnl" w:eastAsia="es-ES_tradnl"/>
        </w:rPr>
        <w:drawing>
          <wp:inline distT="0" distB="0" distL="0" distR="0" wp14:anchorId="30B024BA" wp14:editId="707DD3E3">
            <wp:extent cx="5759116" cy="3336758"/>
            <wp:effectExtent l="0" t="0" r="0" b="0"/>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E1D2E" w:rsidRDefault="00FE1D2E" w:rsidP="00FE1D2E"/>
    <w:p w:rsidR="00013CBF" w:rsidRPr="00614469" w:rsidRDefault="00013CBF" w:rsidP="00FE1D2E"/>
    <w:p w:rsidR="00FE1D2E" w:rsidRPr="00614469" w:rsidRDefault="00FE1D2E" w:rsidP="00FE1D2E">
      <w:pPr>
        <w:pStyle w:val="Heading2"/>
      </w:pPr>
      <w:r w:rsidRPr="00614469">
        <w:t>Conclusion</w:t>
      </w:r>
    </w:p>
    <w:p w:rsidR="00FE1D2E" w:rsidRPr="00614469" w:rsidRDefault="00FE1D2E" w:rsidP="00FE1D2E"/>
    <w:p w:rsidR="00FE1D2E" w:rsidRPr="00614469" w:rsidRDefault="00FE1D2E" w:rsidP="00FE1D2E">
      <w:pPr>
        <w:numPr>
          <w:ilvl w:val="0"/>
          <w:numId w:val="2"/>
        </w:numPr>
        <w:ind w:left="284" w:hanging="218"/>
      </w:pPr>
      <w:r w:rsidRPr="00614469">
        <w:t>The number of growing cycles has a significant impact on distinctness decisions and variety descriptions. An impact was observed on distinctness decisions for varieties compared in the same growing trials as well as on the management of the reference collection on the basis of descriptions stored in a database.</w:t>
      </w:r>
    </w:p>
    <w:p w:rsidR="00FE1D2E" w:rsidRPr="00614469" w:rsidRDefault="00FE1D2E" w:rsidP="00FE1D2E">
      <w:pPr>
        <w:numPr>
          <w:ilvl w:val="0"/>
          <w:numId w:val="2"/>
        </w:numPr>
        <w:spacing w:before="120"/>
        <w:ind w:left="283" w:hanging="215"/>
      </w:pPr>
      <w:r w:rsidRPr="00614469">
        <w:t>Two growing cycles produce more robust variety descriptions and DUS decisions.</w:t>
      </w:r>
    </w:p>
    <w:p w:rsidR="00FE1D2E" w:rsidRPr="00614469" w:rsidRDefault="00FE1D2E" w:rsidP="00FE1D2E">
      <w:pPr>
        <w:numPr>
          <w:ilvl w:val="0"/>
          <w:numId w:val="2"/>
        </w:numPr>
        <w:spacing w:before="120"/>
        <w:ind w:left="283" w:hanging="215"/>
      </w:pPr>
      <w:r w:rsidRPr="00614469">
        <w:t>The recommended minimum number of two growing cycles should be followed.</w:t>
      </w:r>
    </w:p>
    <w:p w:rsidR="00FE1D2E" w:rsidRPr="00614469" w:rsidRDefault="00FE1D2E" w:rsidP="00FE1D2E">
      <w:pPr>
        <w:numPr>
          <w:ilvl w:val="0"/>
          <w:numId w:val="2"/>
        </w:numPr>
        <w:spacing w:before="120"/>
        <w:ind w:left="283" w:hanging="215"/>
      </w:pPr>
      <w:r w:rsidRPr="00614469">
        <w:t>Variety descriptions based on two cycles provide a better basis for enforcement.</w:t>
      </w:r>
    </w:p>
    <w:p w:rsidR="00FE1D2E" w:rsidRPr="00614469" w:rsidRDefault="00FE1D2E" w:rsidP="00FE1D2E">
      <w:pPr>
        <w:rPr>
          <w:highlight w:val="yellow"/>
        </w:rPr>
      </w:pPr>
    </w:p>
    <w:p w:rsidR="00FE1D2E" w:rsidRDefault="00FE1D2E" w:rsidP="00FE1D2E"/>
    <w:p w:rsidR="00E15CE1" w:rsidRPr="00614469" w:rsidRDefault="00E15CE1" w:rsidP="00FE1D2E"/>
    <w:p w:rsidR="008311B4" w:rsidRDefault="008311B4" w:rsidP="00050E16">
      <w:pPr>
        <w:jc w:val="right"/>
      </w:pPr>
      <w:r>
        <w:t>[End of document]</w:t>
      </w:r>
    </w:p>
    <w:p w:rsidR="00050E16" w:rsidRPr="00C5280D" w:rsidRDefault="00050E16" w:rsidP="009B440E">
      <w:pPr>
        <w:jc w:val="left"/>
      </w:pPr>
    </w:p>
    <w:sectPr w:rsidR="00050E16" w:rsidRPr="00C5280D" w:rsidSect="00FE1D2E">
      <w:headerReference w:type="defaul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E08" w:rsidRDefault="00094E08" w:rsidP="006655D3">
      <w:r>
        <w:separator/>
      </w:r>
    </w:p>
    <w:p w:rsidR="00094E08" w:rsidRDefault="00094E08" w:rsidP="006655D3"/>
    <w:p w:rsidR="00094E08" w:rsidRDefault="00094E08" w:rsidP="006655D3"/>
  </w:endnote>
  <w:endnote w:type="continuationSeparator" w:id="0">
    <w:p w:rsidR="00094E08" w:rsidRDefault="00094E08" w:rsidP="006655D3">
      <w:r>
        <w:separator/>
      </w:r>
    </w:p>
    <w:p w:rsidR="00094E08" w:rsidRPr="00294751" w:rsidRDefault="00094E08">
      <w:pPr>
        <w:pStyle w:val="Footer"/>
        <w:spacing w:after="60"/>
        <w:rPr>
          <w:sz w:val="18"/>
          <w:lang w:val="fr-FR"/>
        </w:rPr>
      </w:pPr>
      <w:r w:rsidRPr="00294751">
        <w:rPr>
          <w:sz w:val="18"/>
          <w:lang w:val="fr-FR"/>
        </w:rPr>
        <w:t>[Suite de la note de la page précédente]</w:t>
      </w:r>
    </w:p>
    <w:p w:rsidR="00094E08" w:rsidRPr="00294751" w:rsidRDefault="00094E08" w:rsidP="006655D3">
      <w:pPr>
        <w:rPr>
          <w:lang w:val="fr-FR"/>
        </w:rPr>
      </w:pPr>
    </w:p>
    <w:p w:rsidR="00094E08" w:rsidRPr="00294751" w:rsidRDefault="00094E08" w:rsidP="006655D3">
      <w:pPr>
        <w:rPr>
          <w:lang w:val="fr-FR"/>
        </w:rPr>
      </w:pPr>
    </w:p>
  </w:endnote>
  <w:endnote w:type="continuationNotice" w:id="1">
    <w:p w:rsidR="00094E08" w:rsidRPr="00294751" w:rsidRDefault="00094E08" w:rsidP="006655D3">
      <w:pPr>
        <w:rPr>
          <w:lang w:val="fr-FR"/>
        </w:rPr>
      </w:pPr>
      <w:r w:rsidRPr="00294751">
        <w:rPr>
          <w:lang w:val="fr-FR"/>
        </w:rPr>
        <w:t>[Suite de la note page suivante]</w:t>
      </w:r>
    </w:p>
    <w:p w:rsidR="00094E08" w:rsidRPr="00294751" w:rsidRDefault="00094E08" w:rsidP="006655D3">
      <w:pPr>
        <w:rPr>
          <w:lang w:val="fr-FR"/>
        </w:rPr>
      </w:pPr>
    </w:p>
    <w:p w:rsidR="00094E08" w:rsidRPr="00294751" w:rsidRDefault="00094E0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E08" w:rsidRDefault="00094E08" w:rsidP="006655D3">
      <w:r>
        <w:separator/>
      </w:r>
    </w:p>
  </w:footnote>
  <w:footnote w:type="continuationSeparator" w:id="0">
    <w:p w:rsidR="00094E08" w:rsidRDefault="00094E08" w:rsidP="006655D3">
      <w:r>
        <w:separator/>
      </w:r>
    </w:p>
  </w:footnote>
  <w:footnote w:type="continuationNotice" w:id="1">
    <w:p w:rsidR="00094E08" w:rsidRPr="00AB530F" w:rsidRDefault="00094E0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2E" w:rsidRPr="00C5280D" w:rsidRDefault="00FE1D2E" w:rsidP="00EB048E">
    <w:pPr>
      <w:pStyle w:val="Header"/>
      <w:rPr>
        <w:rStyle w:val="PageNumber"/>
        <w:lang w:val="en-US"/>
      </w:rPr>
    </w:pPr>
    <w:r>
      <w:rPr>
        <w:rStyle w:val="PageNumber"/>
        <w:lang w:val="en-US"/>
      </w:rPr>
      <w:t>TWA/47/5</w:t>
    </w:r>
  </w:p>
  <w:p w:rsidR="00FE1D2E" w:rsidRPr="00C5280D" w:rsidRDefault="00FE1D2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03B75">
      <w:rPr>
        <w:rStyle w:val="PageNumber"/>
        <w:noProof/>
        <w:lang w:val="en-US"/>
      </w:rPr>
      <w:t>4</w:t>
    </w:r>
    <w:r w:rsidRPr="00C5280D">
      <w:rPr>
        <w:rStyle w:val="PageNumber"/>
        <w:lang w:val="en-US"/>
      </w:rPr>
      <w:fldChar w:fldCharType="end"/>
    </w:r>
  </w:p>
  <w:p w:rsidR="00FE1D2E" w:rsidRPr="00C5280D" w:rsidRDefault="00FE1D2E"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43BBD"/>
    <w:multiLevelType w:val="hybridMultilevel"/>
    <w:tmpl w:val="70D63DE0"/>
    <w:lvl w:ilvl="0" w:tplc="56CA1882">
      <w:start w:val="1"/>
      <w:numFmt w:val="lowerLetter"/>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81B6DFD"/>
    <w:multiLevelType w:val="hybridMultilevel"/>
    <w:tmpl w:val="D65E68A4"/>
    <w:lvl w:ilvl="0" w:tplc="E38272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08"/>
    <w:rsid w:val="00010CF3"/>
    <w:rsid w:val="00011E27"/>
    <w:rsid w:val="00013CBF"/>
    <w:rsid w:val="000148BC"/>
    <w:rsid w:val="00024AB8"/>
    <w:rsid w:val="00030854"/>
    <w:rsid w:val="00036028"/>
    <w:rsid w:val="00044642"/>
    <w:rsid w:val="000446B9"/>
    <w:rsid w:val="00047E21"/>
    <w:rsid w:val="00050E16"/>
    <w:rsid w:val="00085505"/>
    <w:rsid w:val="00094E08"/>
    <w:rsid w:val="000B57FE"/>
    <w:rsid w:val="000C4E25"/>
    <w:rsid w:val="000C7021"/>
    <w:rsid w:val="000D6BBC"/>
    <w:rsid w:val="000D7780"/>
    <w:rsid w:val="000E636A"/>
    <w:rsid w:val="000F2F11"/>
    <w:rsid w:val="00105929"/>
    <w:rsid w:val="00110C36"/>
    <w:rsid w:val="001131D5"/>
    <w:rsid w:val="001132F2"/>
    <w:rsid w:val="00141DB8"/>
    <w:rsid w:val="00172084"/>
    <w:rsid w:val="0017474A"/>
    <w:rsid w:val="001758C6"/>
    <w:rsid w:val="00182B99"/>
    <w:rsid w:val="001D6303"/>
    <w:rsid w:val="0021332C"/>
    <w:rsid w:val="00213982"/>
    <w:rsid w:val="0024416D"/>
    <w:rsid w:val="00271911"/>
    <w:rsid w:val="002800A0"/>
    <w:rsid w:val="002801B3"/>
    <w:rsid w:val="00281060"/>
    <w:rsid w:val="002940E8"/>
    <w:rsid w:val="00294751"/>
    <w:rsid w:val="002A6E50"/>
    <w:rsid w:val="002B4298"/>
    <w:rsid w:val="002C256A"/>
    <w:rsid w:val="002E610C"/>
    <w:rsid w:val="00305A7F"/>
    <w:rsid w:val="003152FE"/>
    <w:rsid w:val="00327436"/>
    <w:rsid w:val="00335389"/>
    <w:rsid w:val="00344BD6"/>
    <w:rsid w:val="0035528D"/>
    <w:rsid w:val="00361821"/>
    <w:rsid w:val="00361E9E"/>
    <w:rsid w:val="00370BF0"/>
    <w:rsid w:val="003C7FBE"/>
    <w:rsid w:val="003D227C"/>
    <w:rsid w:val="003D2B4D"/>
    <w:rsid w:val="00400257"/>
    <w:rsid w:val="00444A88"/>
    <w:rsid w:val="00474DA4"/>
    <w:rsid w:val="00476B4D"/>
    <w:rsid w:val="004805FA"/>
    <w:rsid w:val="004935D2"/>
    <w:rsid w:val="0049744F"/>
    <w:rsid w:val="004B1215"/>
    <w:rsid w:val="004C39C2"/>
    <w:rsid w:val="004C6271"/>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21302"/>
    <w:rsid w:val="00636CA6"/>
    <w:rsid w:val="00641200"/>
    <w:rsid w:val="006655D3"/>
    <w:rsid w:val="00667404"/>
    <w:rsid w:val="00687EB4"/>
    <w:rsid w:val="00695C56"/>
    <w:rsid w:val="006A5CDE"/>
    <w:rsid w:val="006A644A"/>
    <w:rsid w:val="006B17D2"/>
    <w:rsid w:val="006C224E"/>
    <w:rsid w:val="006D780A"/>
    <w:rsid w:val="006D7A71"/>
    <w:rsid w:val="0071271E"/>
    <w:rsid w:val="00732DEC"/>
    <w:rsid w:val="00735BD5"/>
    <w:rsid w:val="00751613"/>
    <w:rsid w:val="007556F6"/>
    <w:rsid w:val="00760EEF"/>
    <w:rsid w:val="00776588"/>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11B4"/>
    <w:rsid w:val="00846D7C"/>
    <w:rsid w:val="00860A1D"/>
    <w:rsid w:val="00867AC1"/>
    <w:rsid w:val="00890DF8"/>
    <w:rsid w:val="008A743F"/>
    <w:rsid w:val="008C0970"/>
    <w:rsid w:val="008D0BC5"/>
    <w:rsid w:val="008D2CF7"/>
    <w:rsid w:val="008F2910"/>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B5CDA"/>
    <w:rsid w:val="00BC127D"/>
    <w:rsid w:val="00BC1FE6"/>
    <w:rsid w:val="00C061B6"/>
    <w:rsid w:val="00C2446C"/>
    <w:rsid w:val="00C36AE5"/>
    <w:rsid w:val="00C40AF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03B75"/>
    <w:rsid w:val="00D3708D"/>
    <w:rsid w:val="00D40426"/>
    <w:rsid w:val="00D57C96"/>
    <w:rsid w:val="00D57D18"/>
    <w:rsid w:val="00D91203"/>
    <w:rsid w:val="00D95174"/>
    <w:rsid w:val="00DA1712"/>
    <w:rsid w:val="00DA4499"/>
    <w:rsid w:val="00DA4973"/>
    <w:rsid w:val="00DA6F36"/>
    <w:rsid w:val="00DB596E"/>
    <w:rsid w:val="00DB70D6"/>
    <w:rsid w:val="00DB7773"/>
    <w:rsid w:val="00DB7CFA"/>
    <w:rsid w:val="00DC00EA"/>
    <w:rsid w:val="00DC3802"/>
    <w:rsid w:val="00DC53FB"/>
    <w:rsid w:val="00E07D87"/>
    <w:rsid w:val="00E15CE1"/>
    <w:rsid w:val="00E32F7E"/>
    <w:rsid w:val="00E5267B"/>
    <w:rsid w:val="00E70039"/>
    <w:rsid w:val="00E72D49"/>
    <w:rsid w:val="00E7593C"/>
    <w:rsid w:val="00E7678A"/>
    <w:rsid w:val="00E935F1"/>
    <w:rsid w:val="00E94A81"/>
    <w:rsid w:val="00EA1FFB"/>
    <w:rsid w:val="00EA2CB1"/>
    <w:rsid w:val="00EB048E"/>
    <w:rsid w:val="00EB4E9C"/>
    <w:rsid w:val="00EC481C"/>
    <w:rsid w:val="00EE1AFA"/>
    <w:rsid w:val="00EE34DF"/>
    <w:rsid w:val="00EF2F89"/>
    <w:rsid w:val="00F03E98"/>
    <w:rsid w:val="00F1237A"/>
    <w:rsid w:val="00F22CBD"/>
    <w:rsid w:val="00F272F1"/>
    <w:rsid w:val="00F45372"/>
    <w:rsid w:val="00F560F7"/>
    <w:rsid w:val="00F6334D"/>
    <w:rsid w:val="00FA49AB"/>
    <w:rsid w:val="00FE1D2E"/>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7\template\twa_47.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an002s\r&#252;cker$\Eigene%20Dateien\Ablage%20AL2\08.09.02%20TWP_TC_div\UPOV-TWA\TWA%202018%20Naivasha\Paper\2018-04-24%20U_Test_neu.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han002s\r&#252;cker$\Eigene%20Dateien\Ablage%20AL2\08.09.02%20TWP_TC_div\UPOV-TWA\TWA%202018%20Naivasha\Paper\2018-04-11%20K_RegList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an002s\r&#252;cker$\Eigene%20Dateien\Ablage%20AL2\08.09.02%20TWP_TC_div\UPOV-TWA\TWA%202018%20Naivasha\Paper\2018-04-11%20K_RegLis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311405769538408E-2"/>
          <c:y val="2.734332865926006E-2"/>
          <c:w val="0.84060059378924878"/>
          <c:h val="0.5999826321918722"/>
        </c:manualLayout>
      </c:layout>
      <c:lineChart>
        <c:grouping val="standard"/>
        <c:varyColors val="0"/>
        <c:ser>
          <c:idx val="0"/>
          <c:order val="0"/>
          <c:tx>
            <c:strRef>
              <c:f>Tabelle2!$A$8</c:f>
              <c:strCache>
                <c:ptCount val="1"/>
              </c:strCache>
            </c:strRef>
          </c:tx>
          <c:spPr>
            <a:ln>
              <a:solidFill>
                <a:srgbClr val="C00000"/>
              </a:solidFill>
              <a:prstDash val="solid"/>
            </a:ln>
          </c:spPr>
          <c:marker>
            <c:symbol val="none"/>
          </c:marker>
          <c:dPt>
            <c:idx val="1"/>
            <c:bubble3D val="0"/>
          </c:dPt>
          <c:dPt>
            <c:idx val="5"/>
            <c:bubble3D val="0"/>
          </c:dPt>
          <c:dPt>
            <c:idx val="7"/>
            <c:bubble3D val="0"/>
          </c:dPt>
          <c:dPt>
            <c:idx val="10"/>
            <c:bubble3D val="0"/>
          </c:dPt>
          <c:dPt>
            <c:idx val="11"/>
            <c:bubble3D val="0"/>
          </c:dPt>
          <c:dPt>
            <c:idx val="15"/>
            <c:bubble3D val="0"/>
          </c:dPt>
          <c:dPt>
            <c:idx val="16"/>
            <c:bubble3D val="0"/>
          </c:dPt>
          <c:dPt>
            <c:idx val="17"/>
            <c:bubble3D val="0"/>
          </c:dPt>
          <c:cat>
            <c:strRef>
              <c:f>Tabelle2!$B$7:$AG$7</c:f>
              <c:strCache>
                <c:ptCount val="32"/>
                <c:pt idx="0">
                  <c:v>8. LS: anthocyanin of tip</c:v>
                </c:pt>
                <c:pt idx="1">
                  <c:v>29.Frequency inflorescences</c:v>
                </c:pt>
                <c:pt idx="2">
                  <c:v>33. Corolla: intensity anthocyanin inner side</c:v>
                </c:pt>
                <c:pt idx="3">
                  <c:v>35. Corolla: extent anthocyanin inner side</c:v>
                </c:pt>
                <c:pt idx="4">
                  <c:v>31. Anthocyanin peduncle</c:v>
                </c:pt>
                <c:pt idx="5">
                  <c:v>27. Flower bud: anthocyanin</c:v>
                </c:pt>
                <c:pt idx="6">
                  <c:v>14. Stem: anthocyanin</c:v>
                </c:pt>
                <c:pt idx="7">
                  <c:v>30. Inflorescence: size</c:v>
                </c:pt>
                <c:pt idx="8">
                  <c:v>3. LS: anthocyanin of base</c:v>
                </c:pt>
                <c:pt idx="9">
                  <c:v>5. LS: pubescence of base</c:v>
                </c:pt>
                <c:pt idx="10">
                  <c:v>9. LS: pubescence of tip</c:v>
                </c:pt>
                <c:pt idx="11">
                  <c:v>19. Leaf: anthocyanin midrib</c:v>
                </c:pt>
                <c:pt idx="12">
                  <c:v>7. LS: habit of tip </c:v>
                </c:pt>
                <c:pt idx="13">
                  <c:v>32. Flower corolla: size</c:v>
                </c:pt>
                <c:pt idx="14">
                  <c:v>41 Colour of flesh</c:v>
                </c:pt>
                <c:pt idx="15">
                  <c:v>6. LS: size of tip</c:v>
                </c:pt>
                <c:pt idx="16">
                  <c:v>18. Leaf: green colour</c:v>
                </c:pt>
                <c:pt idx="17">
                  <c:v>38. Tuber: depth of eyes</c:v>
                </c:pt>
                <c:pt idx="18">
                  <c:v>37. Tuber: shape</c:v>
                </c:pt>
                <c:pt idx="19">
                  <c:v>13. Plant: growth habit</c:v>
                </c:pt>
                <c:pt idx="20">
                  <c:v>11. LS: length of lateral shoots</c:v>
                </c:pt>
                <c:pt idx="21">
                  <c:v>15. Leaf: outline size</c:v>
                </c:pt>
                <c:pt idx="22">
                  <c:v>2. LS: shape of base</c:v>
                </c:pt>
                <c:pt idx="23">
                  <c:v>4. LS: blue in anthocyaninof base</c:v>
                </c:pt>
                <c:pt idx="24">
                  <c:v>16. Leaf: openness</c:v>
                </c:pt>
                <c:pt idx="25">
                  <c:v>21. Leaflets: width</c:v>
                </c:pt>
                <c:pt idx="26">
                  <c:v>40. Tuber: colour of eye  </c:v>
                </c:pt>
                <c:pt idx="27">
                  <c:v>17. Leaf: secondary leaflets</c:v>
                </c:pt>
                <c:pt idx="28">
                  <c:v>10. LS: number root tips</c:v>
                </c:pt>
                <c:pt idx="29">
                  <c:v>1. LS: size</c:v>
                </c:pt>
                <c:pt idx="30">
                  <c:v>34. Flower corolla: blue in anthocyanin inner side</c:v>
                </c:pt>
                <c:pt idx="31">
                  <c:v>12. Plant: foliage structure</c:v>
                </c:pt>
              </c:strCache>
            </c:strRef>
          </c:cat>
          <c:val>
            <c:numRef>
              <c:f>Tabelle2!$B$8:$AG$8</c:f>
              <c:numCache>
                <c:formatCode>General</c:formatCode>
                <c:ptCount val="32"/>
                <c:pt idx="0">
                  <c:v>58.339999999999996</c:v>
                </c:pt>
                <c:pt idx="1">
                  <c:v>57.5</c:v>
                </c:pt>
                <c:pt idx="2">
                  <c:v>54.339999999999996</c:v>
                </c:pt>
                <c:pt idx="3">
                  <c:v>53.779999999999994</c:v>
                </c:pt>
                <c:pt idx="4">
                  <c:v>53.180000000000007</c:v>
                </c:pt>
                <c:pt idx="5">
                  <c:v>52.1</c:v>
                </c:pt>
                <c:pt idx="6">
                  <c:v>51.120000000000005</c:v>
                </c:pt>
                <c:pt idx="7">
                  <c:v>49.8</c:v>
                </c:pt>
                <c:pt idx="8">
                  <c:v>49.260000000000005</c:v>
                </c:pt>
                <c:pt idx="9">
                  <c:v>48.620000000000005</c:v>
                </c:pt>
                <c:pt idx="10">
                  <c:v>46.040000000000006</c:v>
                </c:pt>
                <c:pt idx="11">
                  <c:v>42.099999999999994</c:v>
                </c:pt>
                <c:pt idx="12">
                  <c:v>41.1</c:v>
                </c:pt>
                <c:pt idx="13">
                  <c:v>35.5</c:v>
                </c:pt>
                <c:pt idx="14">
                  <c:v>34.6</c:v>
                </c:pt>
                <c:pt idx="15">
                  <c:v>34.14</c:v>
                </c:pt>
                <c:pt idx="16">
                  <c:v>31.46</c:v>
                </c:pt>
                <c:pt idx="17">
                  <c:v>31.159999999999997</c:v>
                </c:pt>
                <c:pt idx="18">
                  <c:v>30.959999999999997</c:v>
                </c:pt>
              </c:numCache>
            </c:numRef>
          </c:val>
          <c:smooth val="0"/>
        </c:ser>
        <c:ser>
          <c:idx val="1"/>
          <c:order val="1"/>
          <c:tx>
            <c:strRef>
              <c:f>Tabelle2!$A$9</c:f>
              <c:strCache>
                <c:ptCount val="1"/>
              </c:strCache>
            </c:strRef>
          </c:tx>
          <c:spPr>
            <a:ln>
              <a:solidFill>
                <a:schemeClr val="accent3"/>
              </a:solidFill>
            </a:ln>
          </c:spPr>
          <c:marker>
            <c:symbol val="none"/>
          </c:marker>
          <c:dPt>
            <c:idx val="1"/>
            <c:bubble3D val="0"/>
          </c:dPt>
          <c:dPt>
            <c:idx val="5"/>
            <c:bubble3D val="0"/>
          </c:dPt>
          <c:dPt>
            <c:idx val="7"/>
            <c:bubble3D val="0"/>
          </c:dPt>
          <c:dPt>
            <c:idx val="10"/>
            <c:bubble3D val="0"/>
          </c:dPt>
          <c:dPt>
            <c:idx val="11"/>
            <c:bubble3D val="0"/>
          </c:dPt>
          <c:dPt>
            <c:idx val="15"/>
            <c:bubble3D val="0"/>
          </c:dPt>
          <c:dPt>
            <c:idx val="16"/>
            <c:bubble3D val="0"/>
          </c:dPt>
          <c:dPt>
            <c:idx val="17"/>
            <c:bubble3D val="0"/>
          </c:dPt>
          <c:cat>
            <c:strRef>
              <c:f>Tabelle2!$B$7:$AG$7</c:f>
              <c:strCache>
                <c:ptCount val="32"/>
                <c:pt idx="0">
                  <c:v>8. LS: anthocyanin of tip</c:v>
                </c:pt>
                <c:pt idx="1">
                  <c:v>29.Frequency inflorescences</c:v>
                </c:pt>
                <c:pt idx="2">
                  <c:v>33. Corolla: intensity anthocyanin inner side</c:v>
                </c:pt>
                <c:pt idx="3">
                  <c:v>35. Corolla: extent anthocyanin inner side</c:v>
                </c:pt>
                <c:pt idx="4">
                  <c:v>31. Anthocyanin peduncle</c:v>
                </c:pt>
                <c:pt idx="5">
                  <c:v>27. Flower bud: anthocyanin</c:v>
                </c:pt>
                <c:pt idx="6">
                  <c:v>14. Stem: anthocyanin</c:v>
                </c:pt>
                <c:pt idx="7">
                  <c:v>30. Inflorescence: size</c:v>
                </c:pt>
                <c:pt idx="8">
                  <c:v>3. LS: anthocyanin of base</c:v>
                </c:pt>
                <c:pt idx="9">
                  <c:v>5. LS: pubescence of base</c:v>
                </c:pt>
                <c:pt idx="10">
                  <c:v>9. LS: pubescence of tip</c:v>
                </c:pt>
                <c:pt idx="11">
                  <c:v>19. Leaf: anthocyanin midrib</c:v>
                </c:pt>
                <c:pt idx="12">
                  <c:v>7. LS: habit of tip </c:v>
                </c:pt>
                <c:pt idx="13">
                  <c:v>32. Flower corolla: size</c:v>
                </c:pt>
                <c:pt idx="14">
                  <c:v>41 Colour of flesh</c:v>
                </c:pt>
                <c:pt idx="15">
                  <c:v>6. LS: size of tip</c:v>
                </c:pt>
                <c:pt idx="16">
                  <c:v>18. Leaf: green colour</c:v>
                </c:pt>
                <c:pt idx="17">
                  <c:v>38. Tuber: depth of eyes</c:v>
                </c:pt>
                <c:pt idx="18">
                  <c:v>37. Tuber: shape</c:v>
                </c:pt>
                <c:pt idx="19">
                  <c:v>13. Plant: growth habit</c:v>
                </c:pt>
                <c:pt idx="20">
                  <c:v>11. LS: length of lateral shoots</c:v>
                </c:pt>
                <c:pt idx="21">
                  <c:v>15. Leaf: outline size</c:v>
                </c:pt>
                <c:pt idx="22">
                  <c:v>2. LS: shape of base</c:v>
                </c:pt>
                <c:pt idx="23">
                  <c:v>4. LS: blue in anthocyaninof base</c:v>
                </c:pt>
                <c:pt idx="24">
                  <c:v>16. Leaf: openness</c:v>
                </c:pt>
                <c:pt idx="25">
                  <c:v>21. Leaflets: width</c:v>
                </c:pt>
                <c:pt idx="26">
                  <c:v>40. Tuber: colour of eye  </c:v>
                </c:pt>
                <c:pt idx="27">
                  <c:v>17. Leaf: secondary leaflets</c:v>
                </c:pt>
                <c:pt idx="28">
                  <c:v>10. LS: number root tips</c:v>
                </c:pt>
                <c:pt idx="29">
                  <c:v>1. LS: size</c:v>
                </c:pt>
                <c:pt idx="30">
                  <c:v>34. Flower corolla: blue in anthocyanin inner side</c:v>
                </c:pt>
                <c:pt idx="31">
                  <c:v>12. Plant: foliage structure</c:v>
                </c:pt>
              </c:strCache>
            </c:strRef>
          </c:cat>
          <c:val>
            <c:numRef>
              <c:f>Tabelle2!$B$9:$AG$9</c:f>
              <c:numCache>
                <c:formatCode>General</c:formatCode>
                <c:ptCount val="32"/>
                <c:pt idx="0">
                  <c:v>52.840000000000011</c:v>
                </c:pt>
                <c:pt idx="1">
                  <c:v>51.339999999999996</c:v>
                </c:pt>
                <c:pt idx="2">
                  <c:v>52.86</c:v>
                </c:pt>
                <c:pt idx="3">
                  <c:v>52.9</c:v>
                </c:pt>
                <c:pt idx="4">
                  <c:v>47.86</c:v>
                </c:pt>
                <c:pt idx="5">
                  <c:v>46.019999999999996</c:v>
                </c:pt>
                <c:pt idx="6">
                  <c:v>46.2</c:v>
                </c:pt>
                <c:pt idx="7">
                  <c:v>45.279999999999994</c:v>
                </c:pt>
                <c:pt idx="8">
                  <c:v>43.839999999999996</c:v>
                </c:pt>
                <c:pt idx="9">
                  <c:v>43.1</c:v>
                </c:pt>
                <c:pt idx="10">
                  <c:v>39.120000000000005</c:v>
                </c:pt>
                <c:pt idx="11">
                  <c:v>36.700000000000003</c:v>
                </c:pt>
                <c:pt idx="12">
                  <c:v>33.160000000000004</c:v>
                </c:pt>
                <c:pt idx="13">
                  <c:v>29.32</c:v>
                </c:pt>
                <c:pt idx="14">
                  <c:v>29.880000000000003</c:v>
                </c:pt>
                <c:pt idx="15">
                  <c:v>27.82</c:v>
                </c:pt>
                <c:pt idx="16">
                  <c:v>24.54</c:v>
                </c:pt>
                <c:pt idx="17">
                  <c:v>25.8</c:v>
                </c:pt>
                <c:pt idx="18">
                  <c:v>26.559999999999995</c:v>
                </c:pt>
              </c:numCache>
            </c:numRef>
          </c:val>
          <c:smooth val="0"/>
        </c:ser>
        <c:dLbls>
          <c:showLegendKey val="0"/>
          <c:showVal val="0"/>
          <c:showCatName val="0"/>
          <c:showSerName val="0"/>
          <c:showPercent val="0"/>
          <c:showBubbleSize val="0"/>
        </c:dLbls>
        <c:marker val="1"/>
        <c:smooth val="0"/>
        <c:axId val="140441088"/>
        <c:axId val="140442624"/>
      </c:lineChart>
      <c:lineChart>
        <c:grouping val="standard"/>
        <c:varyColors val="0"/>
        <c:ser>
          <c:idx val="2"/>
          <c:order val="2"/>
          <c:tx>
            <c:strRef>
              <c:f>Tabelle2!$A$10</c:f>
              <c:strCache>
                <c:ptCount val="1"/>
                <c:pt idx="0">
                  <c:v>1 cycle</c:v>
                </c:pt>
              </c:strCache>
            </c:strRef>
          </c:tx>
          <c:spPr>
            <a:ln>
              <a:solidFill>
                <a:srgbClr val="C00000"/>
              </a:solidFill>
              <a:prstDash val="solid"/>
            </a:ln>
          </c:spPr>
          <c:marker>
            <c:symbol val="none"/>
          </c:marker>
          <c:dPt>
            <c:idx val="0"/>
            <c:bubble3D val="0"/>
          </c:dPt>
          <c:dPt>
            <c:idx val="19"/>
            <c:bubble3D val="0"/>
          </c:dPt>
          <c:dPt>
            <c:idx val="20"/>
            <c:bubble3D val="0"/>
          </c:dPt>
          <c:cat>
            <c:strRef>
              <c:f>Tabelle2!$B$7:$AG$7</c:f>
              <c:strCache>
                <c:ptCount val="32"/>
                <c:pt idx="0">
                  <c:v>8. LS: anthocyanin of tip</c:v>
                </c:pt>
                <c:pt idx="1">
                  <c:v>29.Frequency inflorescences</c:v>
                </c:pt>
                <c:pt idx="2">
                  <c:v>33. Corolla: intensity anthocyanin inner side</c:v>
                </c:pt>
                <c:pt idx="3">
                  <c:v>35. Corolla: extent anthocyanin inner side</c:v>
                </c:pt>
                <c:pt idx="4">
                  <c:v>31. Anthocyanin peduncle</c:v>
                </c:pt>
                <c:pt idx="5">
                  <c:v>27. Flower bud: anthocyanin</c:v>
                </c:pt>
                <c:pt idx="6">
                  <c:v>14. Stem: anthocyanin</c:v>
                </c:pt>
                <c:pt idx="7">
                  <c:v>30. Inflorescence: size</c:v>
                </c:pt>
                <c:pt idx="8">
                  <c:v>3. LS: anthocyanin of base</c:v>
                </c:pt>
                <c:pt idx="9">
                  <c:v>5. LS: pubescence of base</c:v>
                </c:pt>
                <c:pt idx="10">
                  <c:v>9. LS: pubescence of tip</c:v>
                </c:pt>
                <c:pt idx="11">
                  <c:v>19. Leaf: anthocyanin midrib</c:v>
                </c:pt>
                <c:pt idx="12">
                  <c:v>7. LS: habit of tip </c:v>
                </c:pt>
                <c:pt idx="13">
                  <c:v>32. Flower corolla: size</c:v>
                </c:pt>
                <c:pt idx="14">
                  <c:v>41 Colour of flesh</c:v>
                </c:pt>
                <c:pt idx="15">
                  <c:v>6. LS: size of tip</c:v>
                </c:pt>
                <c:pt idx="16">
                  <c:v>18. Leaf: green colour</c:v>
                </c:pt>
                <c:pt idx="17">
                  <c:v>38. Tuber: depth of eyes</c:v>
                </c:pt>
                <c:pt idx="18">
                  <c:v>37. Tuber: shape</c:v>
                </c:pt>
                <c:pt idx="19">
                  <c:v>13. Plant: growth habit</c:v>
                </c:pt>
                <c:pt idx="20">
                  <c:v>11. LS: length of lateral shoots</c:v>
                </c:pt>
                <c:pt idx="21">
                  <c:v>15. Leaf: outline size</c:v>
                </c:pt>
                <c:pt idx="22">
                  <c:v>2. LS: shape of base</c:v>
                </c:pt>
                <c:pt idx="23">
                  <c:v>4. LS: blue in anthocyaninof base</c:v>
                </c:pt>
                <c:pt idx="24">
                  <c:v>16. Leaf: openness</c:v>
                </c:pt>
                <c:pt idx="25">
                  <c:v>21. Leaflets: width</c:v>
                </c:pt>
                <c:pt idx="26">
                  <c:v>40. Tuber: colour of eye  </c:v>
                </c:pt>
                <c:pt idx="27">
                  <c:v>17. Leaf: secondary leaflets</c:v>
                </c:pt>
                <c:pt idx="28">
                  <c:v>10. LS: number root tips</c:v>
                </c:pt>
                <c:pt idx="29">
                  <c:v>1. LS: size</c:v>
                </c:pt>
                <c:pt idx="30">
                  <c:v>34. Flower corolla: blue in anthocyanin inner side</c:v>
                </c:pt>
                <c:pt idx="31">
                  <c:v>12. Plant: foliage structure</c:v>
                </c:pt>
              </c:strCache>
            </c:strRef>
          </c:cat>
          <c:val>
            <c:numRef>
              <c:f>Tabelle2!$B$10:$AG$10</c:f>
              <c:numCache>
                <c:formatCode>General</c:formatCode>
                <c:ptCount val="32"/>
                <c:pt idx="19">
                  <c:v>27.2</c:v>
                </c:pt>
                <c:pt idx="20">
                  <c:v>23.3</c:v>
                </c:pt>
                <c:pt idx="21">
                  <c:v>22.759999999999998</c:v>
                </c:pt>
                <c:pt idx="22">
                  <c:v>22.660000000000004</c:v>
                </c:pt>
                <c:pt idx="23">
                  <c:v>19.68</c:v>
                </c:pt>
                <c:pt idx="24">
                  <c:v>17.62</c:v>
                </c:pt>
                <c:pt idx="25">
                  <c:v>16.240000000000002</c:v>
                </c:pt>
                <c:pt idx="26">
                  <c:v>15.6</c:v>
                </c:pt>
                <c:pt idx="27">
                  <c:v>12.860000000000003</c:v>
                </c:pt>
                <c:pt idx="28">
                  <c:v>9.9599999999999991</c:v>
                </c:pt>
                <c:pt idx="29">
                  <c:v>7.1599999999999993</c:v>
                </c:pt>
                <c:pt idx="30">
                  <c:v>6.75</c:v>
                </c:pt>
                <c:pt idx="31">
                  <c:v>2.2399999999999998</c:v>
                </c:pt>
              </c:numCache>
            </c:numRef>
          </c:val>
          <c:smooth val="0"/>
        </c:ser>
        <c:ser>
          <c:idx val="3"/>
          <c:order val="3"/>
          <c:tx>
            <c:strRef>
              <c:f>Tabelle2!$A$11</c:f>
              <c:strCache>
                <c:ptCount val="1"/>
                <c:pt idx="0">
                  <c:v>2 cycles</c:v>
                </c:pt>
              </c:strCache>
            </c:strRef>
          </c:tx>
          <c:spPr>
            <a:ln>
              <a:solidFill>
                <a:schemeClr val="accent3"/>
              </a:solidFill>
            </a:ln>
          </c:spPr>
          <c:marker>
            <c:symbol val="none"/>
          </c:marker>
          <c:cat>
            <c:strRef>
              <c:f>Tabelle2!$B$7:$AG$7</c:f>
              <c:strCache>
                <c:ptCount val="32"/>
                <c:pt idx="0">
                  <c:v>8. LS: anthocyanin of tip</c:v>
                </c:pt>
                <c:pt idx="1">
                  <c:v>29.Frequency inflorescences</c:v>
                </c:pt>
                <c:pt idx="2">
                  <c:v>33. Corolla: intensity anthocyanin inner side</c:v>
                </c:pt>
                <c:pt idx="3">
                  <c:v>35. Corolla: extent anthocyanin inner side</c:v>
                </c:pt>
                <c:pt idx="4">
                  <c:v>31. Anthocyanin peduncle</c:v>
                </c:pt>
                <c:pt idx="5">
                  <c:v>27. Flower bud: anthocyanin</c:v>
                </c:pt>
                <c:pt idx="6">
                  <c:v>14. Stem: anthocyanin</c:v>
                </c:pt>
                <c:pt idx="7">
                  <c:v>30. Inflorescence: size</c:v>
                </c:pt>
                <c:pt idx="8">
                  <c:v>3. LS: anthocyanin of base</c:v>
                </c:pt>
                <c:pt idx="9">
                  <c:v>5. LS: pubescence of base</c:v>
                </c:pt>
                <c:pt idx="10">
                  <c:v>9. LS: pubescence of tip</c:v>
                </c:pt>
                <c:pt idx="11">
                  <c:v>19. Leaf: anthocyanin midrib</c:v>
                </c:pt>
                <c:pt idx="12">
                  <c:v>7. LS: habit of tip </c:v>
                </c:pt>
                <c:pt idx="13">
                  <c:v>32. Flower corolla: size</c:v>
                </c:pt>
                <c:pt idx="14">
                  <c:v>41 Colour of flesh</c:v>
                </c:pt>
                <c:pt idx="15">
                  <c:v>6. LS: size of tip</c:v>
                </c:pt>
                <c:pt idx="16">
                  <c:v>18. Leaf: green colour</c:v>
                </c:pt>
                <c:pt idx="17">
                  <c:v>38. Tuber: depth of eyes</c:v>
                </c:pt>
                <c:pt idx="18">
                  <c:v>37. Tuber: shape</c:v>
                </c:pt>
                <c:pt idx="19">
                  <c:v>13. Plant: growth habit</c:v>
                </c:pt>
                <c:pt idx="20">
                  <c:v>11. LS: length of lateral shoots</c:v>
                </c:pt>
                <c:pt idx="21">
                  <c:v>15. Leaf: outline size</c:v>
                </c:pt>
                <c:pt idx="22">
                  <c:v>2. LS: shape of base</c:v>
                </c:pt>
                <c:pt idx="23">
                  <c:v>4. LS: blue in anthocyaninof base</c:v>
                </c:pt>
                <c:pt idx="24">
                  <c:v>16. Leaf: openness</c:v>
                </c:pt>
                <c:pt idx="25">
                  <c:v>21. Leaflets: width</c:v>
                </c:pt>
                <c:pt idx="26">
                  <c:v>40. Tuber: colour of eye  </c:v>
                </c:pt>
                <c:pt idx="27">
                  <c:v>17. Leaf: secondary leaflets</c:v>
                </c:pt>
                <c:pt idx="28">
                  <c:v>10. LS: number root tips</c:v>
                </c:pt>
                <c:pt idx="29">
                  <c:v>1. LS: size</c:v>
                </c:pt>
                <c:pt idx="30">
                  <c:v>34. Flower corolla: blue in anthocyanin inner side</c:v>
                </c:pt>
                <c:pt idx="31">
                  <c:v>12. Plant: foliage structure</c:v>
                </c:pt>
              </c:strCache>
            </c:strRef>
          </c:cat>
          <c:val>
            <c:numRef>
              <c:f>Tabelle2!$B$11:$AG$11</c:f>
              <c:numCache>
                <c:formatCode>General</c:formatCode>
                <c:ptCount val="32"/>
                <c:pt idx="19">
                  <c:v>19.38</c:v>
                </c:pt>
                <c:pt idx="20">
                  <c:v>20.459999999999997</c:v>
                </c:pt>
                <c:pt idx="21">
                  <c:v>13.680000000000001</c:v>
                </c:pt>
                <c:pt idx="22">
                  <c:v>19.940000000000001</c:v>
                </c:pt>
                <c:pt idx="23">
                  <c:v>19.34</c:v>
                </c:pt>
                <c:pt idx="24">
                  <c:v>13.280000000000001</c:v>
                </c:pt>
                <c:pt idx="25">
                  <c:v>13.6</c:v>
                </c:pt>
                <c:pt idx="26">
                  <c:v>15.6</c:v>
                </c:pt>
                <c:pt idx="27">
                  <c:v>9.620000000000001</c:v>
                </c:pt>
                <c:pt idx="28">
                  <c:v>7.1599999999999993</c:v>
                </c:pt>
                <c:pt idx="29">
                  <c:v>5.36</c:v>
                </c:pt>
                <c:pt idx="30">
                  <c:v>6.4</c:v>
                </c:pt>
                <c:pt idx="31">
                  <c:v>0.6</c:v>
                </c:pt>
              </c:numCache>
            </c:numRef>
          </c:val>
          <c:smooth val="0"/>
        </c:ser>
        <c:dLbls>
          <c:showLegendKey val="0"/>
          <c:showVal val="0"/>
          <c:showCatName val="0"/>
          <c:showSerName val="0"/>
          <c:showPercent val="0"/>
          <c:showBubbleSize val="0"/>
        </c:dLbls>
        <c:marker val="1"/>
        <c:smooth val="0"/>
        <c:axId val="102206464"/>
        <c:axId val="102204544"/>
      </c:lineChart>
      <c:catAx>
        <c:axId val="140441088"/>
        <c:scaling>
          <c:orientation val="minMax"/>
        </c:scaling>
        <c:delete val="0"/>
        <c:axPos val="b"/>
        <c:majorGridlines/>
        <c:majorTickMark val="out"/>
        <c:minorTickMark val="none"/>
        <c:tickLblPos val="nextTo"/>
        <c:txPr>
          <a:bodyPr rot="-5400000" vert="horz"/>
          <a:lstStyle/>
          <a:p>
            <a:pPr>
              <a:defRPr sz="900">
                <a:latin typeface="Arial" panose="020B0604020202020204" pitchFamily="34" charset="0"/>
                <a:cs typeface="Arial" panose="020B0604020202020204" pitchFamily="34" charset="0"/>
              </a:defRPr>
            </a:pPr>
            <a:endParaRPr lang="es-ES_tradnl"/>
          </a:p>
        </c:txPr>
        <c:crossAx val="140442624"/>
        <c:crosses val="autoZero"/>
        <c:auto val="1"/>
        <c:lblAlgn val="ctr"/>
        <c:lblOffset val="100"/>
        <c:noMultiLvlLbl val="0"/>
      </c:catAx>
      <c:valAx>
        <c:axId val="140442624"/>
        <c:scaling>
          <c:orientation val="minMax"/>
          <c:max val="60"/>
          <c:min val="20"/>
        </c:scaling>
        <c:delete val="0"/>
        <c:axPos val="l"/>
        <c:majorGridlines/>
        <c:title>
          <c:tx>
            <c:rich>
              <a:bodyPr rot="-5400000" vert="horz"/>
              <a:lstStyle/>
              <a:p>
                <a:pPr>
                  <a:defRPr sz="1100" b="0">
                    <a:latin typeface="Arial" panose="020B0604020202020204" pitchFamily="34" charset="0"/>
                    <a:cs typeface="Arial" panose="020B0604020202020204" pitchFamily="34" charset="0"/>
                  </a:defRPr>
                </a:pPr>
                <a:r>
                  <a:rPr lang="en-US" sz="1100" b="0">
                    <a:latin typeface="Arial" panose="020B0604020202020204" pitchFamily="34" charset="0"/>
                    <a:cs typeface="Arial" panose="020B0604020202020204" pitchFamily="34" charset="0"/>
                  </a:rPr>
                  <a:t>Discrimination power (%)</a:t>
                </a:r>
              </a:p>
            </c:rich>
          </c:tx>
          <c:layout>
            <c:manualLayout>
              <c:xMode val="edge"/>
              <c:yMode val="edge"/>
              <c:x val="6.5098462715519429E-3"/>
              <c:y val="0.22379396625287737"/>
            </c:manualLayout>
          </c:layout>
          <c:overlay val="0"/>
        </c:title>
        <c:numFmt formatCode="General" sourceLinked="1"/>
        <c:majorTickMark val="out"/>
        <c:minorTickMark val="none"/>
        <c:tickLblPos val="nextTo"/>
        <c:crossAx val="140441088"/>
        <c:crosses val="autoZero"/>
        <c:crossBetween val="between"/>
      </c:valAx>
      <c:valAx>
        <c:axId val="102204544"/>
        <c:scaling>
          <c:orientation val="minMax"/>
          <c:max val="40"/>
          <c:min val="0"/>
        </c:scaling>
        <c:delete val="0"/>
        <c:axPos val="r"/>
        <c:title>
          <c:tx>
            <c:rich>
              <a:bodyPr rot="-5400000" vert="horz"/>
              <a:lstStyle/>
              <a:p>
                <a:pPr>
                  <a:defRPr sz="1100" b="0">
                    <a:latin typeface="Arial" panose="020B0604020202020204" pitchFamily="34" charset="0"/>
                    <a:cs typeface="Arial" panose="020B0604020202020204" pitchFamily="34" charset="0"/>
                  </a:defRPr>
                </a:pPr>
                <a:r>
                  <a:rPr lang="en-US" sz="1100" b="0">
                    <a:latin typeface="Arial" panose="020B0604020202020204" pitchFamily="34" charset="0"/>
                    <a:cs typeface="Arial" panose="020B0604020202020204" pitchFamily="34" charset="0"/>
                  </a:rPr>
                  <a:t>Discrimination power (%)</a:t>
                </a:r>
              </a:p>
            </c:rich>
          </c:tx>
          <c:layout>
            <c:manualLayout>
              <c:xMode val="edge"/>
              <c:yMode val="edge"/>
              <c:x val="0.97017482793191623"/>
              <c:y val="0.22805690154115352"/>
            </c:manualLayout>
          </c:layout>
          <c:overlay val="0"/>
        </c:title>
        <c:numFmt formatCode="General" sourceLinked="1"/>
        <c:majorTickMark val="out"/>
        <c:minorTickMark val="none"/>
        <c:tickLblPos val="nextTo"/>
        <c:crossAx val="102206464"/>
        <c:crosses val="max"/>
        <c:crossBetween val="between"/>
      </c:valAx>
      <c:catAx>
        <c:axId val="102206464"/>
        <c:scaling>
          <c:orientation val="minMax"/>
        </c:scaling>
        <c:delete val="1"/>
        <c:axPos val="b"/>
        <c:majorTickMark val="out"/>
        <c:minorTickMark val="none"/>
        <c:tickLblPos val="nextTo"/>
        <c:crossAx val="102204544"/>
        <c:crosses val="autoZero"/>
        <c:auto val="1"/>
        <c:lblAlgn val="ctr"/>
        <c:lblOffset val="100"/>
        <c:noMultiLvlLbl val="0"/>
      </c:catAx>
    </c:plotArea>
    <c:legend>
      <c:legendPos val="r"/>
      <c:layout>
        <c:manualLayout>
          <c:xMode val="edge"/>
          <c:yMode val="edge"/>
          <c:x val="0.59655517100994426"/>
          <c:y val="2.9684874832949109E-2"/>
          <c:w val="0.31968351585848614"/>
          <c:h val="6.5839178129489667E-2"/>
        </c:manualLayout>
      </c:layout>
      <c:overlay val="0"/>
      <c:spPr>
        <a:solidFill>
          <a:schemeClr val="bg1"/>
        </a:solidFill>
      </c:spPr>
      <c:txPr>
        <a:bodyPr/>
        <a:lstStyle/>
        <a:p>
          <a:pPr>
            <a:defRPr sz="900">
              <a:latin typeface="Arial" panose="020B0604020202020204" pitchFamily="34" charset="0"/>
              <a:cs typeface="Arial" panose="020B0604020202020204" pitchFamily="34" charset="0"/>
            </a:defRPr>
          </a:pPr>
          <a:endParaRPr lang="es-ES_tradnl"/>
        </a:p>
      </c:txPr>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06012181735169E-2"/>
          <c:y val="4.5552515474985955E-2"/>
          <c:w val="0.92871116899288564"/>
          <c:h val="0.74677009995264532"/>
        </c:manualLayout>
      </c:layout>
      <c:barChart>
        <c:barDir val="col"/>
        <c:grouping val="percentStacked"/>
        <c:varyColors val="0"/>
        <c:ser>
          <c:idx val="0"/>
          <c:order val="0"/>
          <c:tx>
            <c:strRef>
              <c:f>Zusammenfassung!$C$10</c:f>
              <c:strCache>
                <c:ptCount val="1"/>
                <c:pt idx="0">
                  <c:v>0 note</c:v>
                </c:pt>
              </c:strCache>
            </c:strRef>
          </c:tx>
          <c:spPr>
            <a:solidFill>
              <a:schemeClr val="accent3"/>
            </a:solidFill>
            <a:ln>
              <a:noFill/>
            </a:ln>
          </c:spPr>
          <c:invertIfNegative val="0"/>
          <c:cat>
            <c:strRef>
              <c:f>Zusammenfassung!$D$9:$AI$9</c:f>
              <c:strCache>
                <c:ptCount val="32"/>
                <c:pt idx="0">
                  <c:v>40.</c:v>
                </c:pt>
                <c:pt idx="1">
                  <c:v>34.</c:v>
                </c:pt>
                <c:pt idx="2">
                  <c:v>4.</c:v>
                </c:pt>
                <c:pt idx="3">
                  <c:v>35.</c:v>
                </c:pt>
                <c:pt idx="4">
                  <c:v>33.</c:v>
                </c:pt>
                <c:pt idx="5">
                  <c:v>2.</c:v>
                </c:pt>
                <c:pt idx="6">
                  <c:v>12.</c:v>
                </c:pt>
                <c:pt idx="7">
                  <c:v>19.</c:v>
                </c:pt>
                <c:pt idx="8">
                  <c:v>21.</c:v>
                </c:pt>
                <c:pt idx="9">
                  <c:v>31.</c:v>
                </c:pt>
                <c:pt idx="10">
                  <c:v>37.</c:v>
                </c:pt>
                <c:pt idx="11">
                  <c:v>41.</c:v>
                </c:pt>
                <c:pt idx="12">
                  <c:v>14.</c:v>
                </c:pt>
                <c:pt idx="13">
                  <c:v>3.</c:v>
                </c:pt>
                <c:pt idx="14">
                  <c:v>27.</c:v>
                </c:pt>
                <c:pt idx="15">
                  <c:v>7.</c:v>
                </c:pt>
                <c:pt idx="16">
                  <c:v>38.</c:v>
                </c:pt>
                <c:pt idx="17">
                  <c:v>30.</c:v>
                </c:pt>
                <c:pt idx="18">
                  <c:v>5.</c:v>
                </c:pt>
                <c:pt idx="19">
                  <c:v>11.</c:v>
                </c:pt>
                <c:pt idx="20">
                  <c:v>29.</c:v>
                </c:pt>
                <c:pt idx="21">
                  <c:v>18.</c:v>
                </c:pt>
                <c:pt idx="22">
                  <c:v>8.</c:v>
                </c:pt>
                <c:pt idx="23">
                  <c:v>6.</c:v>
                </c:pt>
                <c:pt idx="24">
                  <c:v>32.</c:v>
                </c:pt>
                <c:pt idx="25">
                  <c:v>16.</c:v>
                </c:pt>
                <c:pt idx="26">
                  <c:v>17.</c:v>
                </c:pt>
                <c:pt idx="27">
                  <c:v>10.</c:v>
                </c:pt>
                <c:pt idx="28">
                  <c:v>1.</c:v>
                </c:pt>
                <c:pt idx="29">
                  <c:v>9.</c:v>
                </c:pt>
                <c:pt idx="30">
                  <c:v>13.</c:v>
                </c:pt>
                <c:pt idx="31">
                  <c:v>15.</c:v>
                </c:pt>
              </c:strCache>
            </c:strRef>
          </c:cat>
          <c:val>
            <c:numRef>
              <c:f>Zusammenfassung!$D$10:$AI$10</c:f>
              <c:numCache>
                <c:formatCode>General</c:formatCode>
                <c:ptCount val="32"/>
                <c:pt idx="0">
                  <c:v>208</c:v>
                </c:pt>
                <c:pt idx="1">
                  <c:v>205</c:v>
                </c:pt>
                <c:pt idx="2">
                  <c:v>195</c:v>
                </c:pt>
                <c:pt idx="3">
                  <c:v>175</c:v>
                </c:pt>
                <c:pt idx="4">
                  <c:v>173</c:v>
                </c:pt>
                <c:pt idx="5">
                  <c:v>154</c:v>
                </c:pt>
                <c:pt idx="6">
                  <c:v>147</c:v>
                </c:pt>
                <c:pt idx="7">
                  <c:v>127</c:v>
                </c:pt>
                <c:pt idx="8">
                  <c:v>125</c:v>
                </c:pt>
                <c:pt idx="9">
                  <c:v>114</c:v>
                </c:pt>
                <c:pt idx="10">
                  <c:v>113</c:v>
                </c:pt>
                <c:pt idx="11">
                  <c:v>112</c:v>
                </c:pt>
                <c:pt idx="12">
                  <c:v>101</c:v>
                </c:pt>
                <c:pt idx="13">
                  <c:v>100</c:v>
                </c:pt>
                <c:pt idx="14">
                  <c:v>99</c:v>
                </c:pt>
                <c:pt idx="15">
                  <c:v>87</c:v>
                </c:pt>
                <c:pt idx="16">
                  <c:v>86</c:v>
                </c:pt>
                <c:pt idx="17">
                  <c:v>86</c:v>
                </c:pt>
                <c:pt idx="18">
                  <c:v>81</c:v>
                </c:pt>
                <c:pt idx="19">
                  <c:v>77</c:v>
                </c:pt>
                <c:pt idx="20">
                  <c:v>70</c:v>
                </c:pt>
                <c:pt idx="21">
                  <c:v>67</c:v>
                </c:pt>
                <c:pt idx="22">
                  <c:v>65</c:v>
                </c:pt>
                <c:pt idx="23">
                  <c:v>60</c:v>
                </c:pt>
                <c:pt idx="24">
                  <c:v>60</c:v>
                </c:pt>
                <c:pt idx="25">
                  <c:v>58</c:v>
                </c:pt>
                <c:pt idx="26">
                  <c:v>56</c:v>
                </c:pt>
                <c:pt idx="27">
                  <c:v>53</c:v>
                </c:pt>
                <c:pt idx="28">
                  <c:v>52</c:v>
                </c:pt>
                <c:pt idx="29">
                  <c:v>41</c:v>
                </c:pt>
                <c:pt idx="30">
                  <c:v>36</c:v>
                </c:pt>
                <c:pt idx="31">
                  <c:v>17</c:v>
                </c:pt>
              </c:numCache>
            </c:numRef>
          </c:val>
        </c:ser>
        <c:ser>
          <c:idx val="1"/>
          <c:order val="1"/>
          <c:tx>
            <c:strRef>
              <c:f>Zusammenfassung!$C$11</c:f>
              <c:strCache>
                <c:ptCount val="1"/>
                <c:pt idx="0">
                  <c:v>1 note</c:v>
                </c:pt>
              </c:strCache>
            </c:strRef>
          </c:tx>
          <c:spPr>
            <a:solidFill>
              <a:srgbClr val="C00000"/>
            </a:solidFill>
            <a:ln>
              <a:noFill/>
            </a:ln>
          </c:spPr>
          <c:invertIfNegative val="0"/>
          <c:cat>
            <c:strRef>
              <c:f>Zusammenfassung!$D$9:$AI$9</c:f>
              <c:strCache>
                <c:ptCount val="32"/>
                <c:pt idx="0">
                  <c:v>40.</c:v>
                </c:pt>
                <c:pt idx="1">
                  <c:v>34.</c:v>
                </c:pt>
                <c:pt idx="2">
                  <c:v>4.</c:v>
                </c:pt>
                <c:pt idx="3">
                  <c:v>35.</c:v>
                </c:pt>
                <c:pt idx="4">
                  <c:v>33.</c:v>
                </c:pt>
                <c:pt idx="5">
                  <c:v>2.</c:v>
                </c:pt>
                <c:pt idx="6">
                  <c:v>12.</c:v>
                </c:pt>
                <c:pt idx="7">
                  <c:v>19.</c:v>
                </c:pt>
                <c:pt idx="8">
                  <c:v>21.</c:v>
                </c:pt>
                <c:pt idx="9">
                  <c:v>31.</c:v>
                </c:pt>
                <c:pt idx="10">
                  <c:v>37.</c:v>
                </c:pt>
                <c:pt idx="11">
                  <c:v>41.</c:v>
                </c:pt>
                <c:pt idx="12">
                  <c:v>14.</c:v>
                </c:pt>
                <c:pt idx="13">
                  <c:v>3.</c:v>
                </c:pt>
                <c:pt idx="14">
                  <c:v>27.</c:v>
                </c:pt>
                <c:pt idx="15">
                  <c:v>7.</c:v>
                </c:pt>
                <c:pt idx="16">
                  <c:v>38.</c:v>
                </c:pt>
                <c:pt idx="17">
                  <c:v>30.</c:v>
                </c:pt>
                <c:pt idx="18">
                  <c:v>5.</c:v>
                </c:pt>
                <c:pt idx="19">
                  <c:v>11.</c:v>
                </c:pt>
                <c:pt idx="20">
                  <c:v>29.</c:v>
                </c:pt>
                <c:pt idx="21">
                  <c:v>18.</c:v>
                </c:pt>
                <c:pt idx="22">
                  <c:v>8.</c:v>
                </c:pt>
                <c:pt idx="23">
                  <c:v>6.</c:v>
                </c:pt>
                <c:pt idx="24">
                  <c:v>32.</c:v>
                </c:pt>
                <c:pt idx="25">
                  <c:v>16.</c:v>
                </c:pt>
                <c:pt idx="26">
                  <c:v>17.</c:v>
                </c:pt>
                <c:pt idx="27">
                  <c:v>10.</c:v>
                </c:pt>
                <c:pt idx="28">
                  <c:v>1.</c:v>
                </c:pt>
                <c:pt idx="29">
                  <c:v>9.</c:v>
                </c:pt>
                <c:pt idx="30">
                  <c:v>13.</c:v>
                </c:pt>
                <c:pt idx="31">
                  <c:v>15.</c:v>
                </c:pt>
              </c:strCache>
            </c:strRef>
          </c:cat>
          <c:val>
            <c:numRef>
              <c:f>Zusammenfassung!$D$11:$AI$11</c:f>
              <c:numCache>
                <c:formatCode>General</c:formatCode>
                <c:ptCount val="32"/>
                <c:pt idx="0">
                  <c:v>2</c:v>
                </c:pt>
                <c:pt idx="1">
                  <c:v>6</c:v>
                </c:pt>
                <c:pt idx="2">
                  <c:v>16</c:v>
                </c:pt>
                <c:pt idx="3">
                  <c:v>34</c:v>
                </c:pt>
                <c:pt idx="4">
                  <c:v>35</c:v>
                </c:pt>
                <c:pt idx="5">
                  <c:v>52</c:v>
                </c:pt>
                <c:pt idx="6">
                  <c:v>64</c:v>
                </c:pt>
                <c:pt idx="7">
                  <c:v>74</c:v>
                </c:pt>
                <c:pt idx="8">
                  <c:v>84</c:v>
                </c:pt>
                <c:pt idx="9">
                  <c:v>92</c:v>
                </c:pt>
                <c:pt idx="10">
                  <c:v>97</c:v>
                </c:pt>
                <c:pt idx="11">
                  <c:v>98</c:v>
                </c:pt>
                <c:pt idx="12">
                  <c:v>97</c:v>
                </c:pt>
                <c:pt idx="13">
                  <c:v>107</c:v>
                </c:pt>
                <c:pt idx="14">
                  <c:v>105</c:v>
                </c:pt>
                <c:pt idx="15">
                  <c:v>107</c:v>
                </c:pt>
                <c:pt idx="16">
                  <c:v>121</c:v>
                </c:pt>
                <c:pt idx="17">
                  <c:v>109</c:v>
                </c:pt>
                <c:pt idx="18">
                  <c:v>115</c:v>
                </c:pt>
                <c:pt idx="19">
                  <c:v>111</c:v>
                </c:pt>
                <c:pt idx="20">
                  <c:v>110</c:v>
                </c:pt>
                <c:pt idx="21">
                  <c:v>124</c:v>
                </c:pt>
                <c:pt idx="22">
                  <c:v>134</c:v>
                </c:pt>
                <c:pt idx="23">
                  <c:v>137</c:v>
                </c:pt>
                <c:pt idx="24">
                  <c:v>131</c:v>
                </c:pt>
                <c:pt idx="25">
                  <c:v>137</c:v>
                </c:pt>
                <c:pt idx="26">
                  <c:v>145</c:v>
                </c:pt>
                <c:pt idx="27">
                  <c:v>138</c:v>
                </c:pt>
                <c:pt idx="28">
                  <c:v>145</c:v>
                </c:pt>
                <c:pt idx="29">
                  <c:v>151</c:v>
                </c:pt>
                <c:pt idx="30">
                  <c:v>149</c:v>
                </c:pt>
                <c:pt idx="31">
                  <c:v>141</c:v>
                </c:pt>
              </c:numCache>
            </c:numRef>
          </c:val>
        </c:ser>
        <c:ser>
          <c:idx val="2"/>
          <c:order val="2"/>
          <c:tx>
            <c:strRef>
              <c:f>Zusammenfassung!$C$12</c:f>
              <c:strCache>
                <c:ptCount val="1"/>
                <c:pt idx="0">
                  <c:v>2 notes</c:v>
                </c:pt>
              </c:strCache>
            </c:strRef>
          </c:tx>
          <c:spPr>
            <a:solidFill>
              <a:schemeClr val="accent1"/>
            </a:solidFill>
            <a:ln>
              <a:noFill/>
            </a:ln>
          </c:spPr>
          <c:invertIfNegative val="0"/>
          <c:cat>
            <c:strRef>
              <c:f>Zusammenfassung!$D$9:$AI$9</c:f>
              <c:strCache>
                <c:ptCount val="32"/>
                <c:pt idx="0">
                  <c:v>40.</c:v>
                </c:pt>
                <c:pt idx="1">
                  <c:v>34.</c:v>
                </c:pt>
                <c:pt idx="2">
                  <c:v>4.</c:v>
                </c:pt>
                <c:pt idx="3">
                  <c:v>35.</c:v>
                </c:pt>
                <c:pt idx="4">
                  <c:v>33.</c:v>
                </c:pt>
                <c:pt idx="5">
                  <c:v>2.</c:v>
                </c:pt>
                <c:pt idx="6">
                  <c:v>12.</c:v>
                </c:pt>
                <c:pt idx="7">
                  <c:v>19.</c:v>
                </c:pt>
                <c:pt idx="8">
                  <c:v>21.</c:v>
                </c:pt>
                <c:pt idx="9">
                  <c:v>31.</c:v>
                </c:pt>
                <c:pt idx="10">
                  <c:v>37.</c:v>
                </c:pt>
                <c:pt idx="11">
                  <c:v>41.</c:v>
                </c:pt>
                <c:pt idx="12">
                  <c:v>14.</c:v>
                </c:pt>
                <c:pt idx="13">
                  <c:v>3.</c:v>
                </c:pt>
                <c:pt idx="14">
                  <c:v>27.</c:v>
                </c:pt>
                <c:pt idx="15">
                  <c:v>7.</c:v>
                </c:pt>
                <c:pt idx="16">
                  <c:v>38.</c:v>
                </c:pt>
                <c:pt idx="17">
                  <c:v>30.</c:v>
                </c:pt>
                <c:pt idx="18">
                  <c:v>5.</c:v>
                </c:pt>
                <c:pt idx="19">
                  <c:v>11.</c:v>
                </c:pt>
                <c:pt idx="20">
                  <c:v>29.</c:v>
                </c:pt>
                <c:pt idx="21">
                  <c:v>18.</c:v>
                </c:pt>
                <c:pt idx="22">
                  <c:v>8.</c:v>
                </c:pt>
                <c:pt idx="23">
                  <c:v>6.</c:v>
                </c:pt>
                <c:pt idx="24">
                  <c:v>32.</c:v>
                </c:pt>
                <c:pt idx="25">
                  <c:v>16.</c:v>
                </c:pt>
                <c:pt idx="26">
                  <c:v>17.</c:v>
                </c:pt>
                <c:pt idx="27">
                  <c:v>10.</c:v>
                </c:pt>
                <c:pt idx="28">
                  <c:v>1.</c:v>
                </c:pt>
                <c:pt idx="29">
                  <c:v>9.</c:v>
                </c:pt>
                <c:pt idx="30">
                  <c:v>13.</c:v>
                </c:pt>
                <c:pt idx="31">
                  <c:v>15.</c:v>
                </c:pt>
              </c:strCache>
            </c:strRef>
          </c:cat>
          <c:val>
            <c:numRef>
              <c:f>Zusammenfassung!$D$12:$AI$12</c:f>
              <c:numCache>
                <c:formatCode>General</c:formatCode>
                <c:ptCount val="32"/>
                <c:pt idx="0">
                  <c:v>1</c:v>
                </c:pt>
                <c:pt idx="1">
                  <c:v>0</c:v>
                </c:pt>
                <c:pt idx="2">
                  <c:v>0</c:v>
                </c:pt>
                <c:pt idx="3">
                  <c:v>1</c:v>
                </c:pt>
                <c:pt idx="4">
                  <c:v>3</c:v>
                </c:pt>
                <c:pt idx="5">
                  <c:v>5</c:v>
                </c:pt>
                <c:pt idx="6">
                  <c:v>0</c:v>
                </c:pt>
                <c:pt idx="7">
                  <c:v>9</c:v>
                </c:pt>
                <c:pt idx="8">
                  <c:v>2</c:v>
                </c:pt>
                <c:pt idx="9">
                  <c:v>4</c:v>
                </c:pt>
                <c:pt idx="10">
                  <c:v>1</c:v>
                </c:pt>
                <c:pt idx="11">
                  <c:v>1</c:v>
                </c:pt>
                <c:pt idx="12">
                  <c:v>13</c:v>
                </c:pt>
                <c:pt idx="13">
                  <c:v>4</c:v>
                </c:pt>
                <c:pt idx="14">
                  <c:v>7</c:v>
                </c:pt>
                <c:pt idx="15">
                  <c:v>17</c:v>
                </c:pt>
                <c:pt idx="16">
                  <c:v>4</c:v>
                </c:pt>
                <c:pt idx="17">
                  <c:v>15</c:v>
                </c:pt>
                <c:pt idx="18">
                  <c:v>14</c:v>
                </c:pt>
                <c:pt idx="19">
                  <c:v>19</c:v>
                </c:pt>
                <c:pt idx="20">
                  <c:v>31</c:v>
                </c:pt>
                <c:pt idx="21">
                  <c:v>20</c:v>
                </c:pt>
                <c:pt idx="22">
                  <c:v>12</c:v>
                </c:pt>
                <c:pt idx="23">
                  <c:v>14</c:v>
                </c:pt>
                <c:pt idx="24">
                  <c:v>20</c:v>
                </c:pt>
                <c:pt idx="25">
                  <c:v>16</c:v>
                </c:pt>
                <c:pt idx="26">
                  <c:v>10</c:v>
                </c:pt>
                <c:pt idx="27">
                  <c:v>19</c:v>
                </c:pt>
                <c:pt idx="28">
                  <c:v>14</c:v>
                </c:pt>
                <c:pt idx="29">
                  <c:v>19</c:v>
                </c:pt>
                <c:pt idx="30">
                  <c:v>26</c:v>
                </c:pt>
                <c:pt idx="31">
                  <c:v>50</c:v>
                </c:pt>
              </c:numCache>
            </c:numRef>
          </c:val>
        </c:ser>
        <c:ser>
          <c:idx val="3"/>
          <c:order val="3"/>
          <c:tx>
            <c:strRef>
              <c:f>Zusammenfassung!$C$13</c:f>
              <c:strCache>
                <c:ptCount val="1"/>
                <c:pt idx="0">
                  <c:v>3 notes</c:v>
                </c:pt>
              </c:strCache>
            </c:strRef>
          </c:tx>
          <c:spPr>
            <a:solidFill>
              <a:srgbClr val="FFC000"/>
            </a:solidFill>
            <a:ln>
              <a:noFill/>
            </a:ln>
          </c:spPr>
          <c:invertIfNegative val="0"/>
          <c:cat>
            <c:strRef>
              <c:f>Zusammenfassung!$D$9:$AI$9</c:f>
              <c:strCache>
                <c:ptCount val="32"/>
                <c:pt idx="0">
                  <c:v>40.</c:v>
                </c:pt>
                <c:pt idx="1">
                  <c:v>34.</c:v>
                </c:pt>
                <c:pt idx="2">
                  <c:v>4.</c:v>
                </c:pt>
                <c:pt idx="3">
                  <c:v>35.</c:v>
                </c:pt>
                <c:pt idx="4">
                  <c:v>33.</c:v>
                </c:pt>
                <c:pt idx="5">
                  <c:v>2.</c:v>
                </c:pt>
                <c:pt idx="6">
                  <c:v>12.</c:v>
                </c:pt>
                <c:pt idx="7">
                  <c:v>19.</c:v>
                </c:pt>
                <c:pt idx="8">
                  <c:v>21.</c:v>
                </c:pt>
                <c:pt idx="9">
                  <c:v>31.</c:v>
                </c:pt>
                <c:pt idx="10">
                  <c:v>37.</c:v>
                </c:pt>
                <c:pt idx="11">
                  <c:v>41.</c:v>
                </c:pt>
                <c:pt idx="12">
                  <c:v>14.</c:v>
                </c:pt>
                <c:pt idx="13">
                  <c:v>3.</c:v>
                </c:pt>
                <c:pt idx="14">
                  <c:v>27.</c:v>
                </c:pt>
                <c:pt idx="15">
                  <c:v>7.</c:v>
                </c:pt>
                <c:pt idx="16">
                  <c:v>38.</c:v>
                </c:pt>
                <c:pt idx="17">
                  <c:v>30.</c:v>
                </c:pt>
                <c:pt idx="18">
                  <c:v>5.</c:v>
                </c:pt>
                <c:pt idx="19">
                  <c:v>11.</c:v>
                </c:pt>
                <c:pt idx="20">
                  <c:v>29.</c:v>
                </c:pt>
                <c:pt idx="21">
                  <c:v>18.</c:v>
                </c:pt>
                <c:pt idx="22">
                  <c:v>8.</c:v>
                </c:pt>
                <c:pt idx="23">
                  <c:v>6.</c:v>
                </c:pt>
                <c:pt idx="24">
                  <c:v>32.</c:v>
                </c:pt>
                <c:pt idx="25">
                  <c:v>16.</c:v>
                </c:pt>
                <c:pt idx="26">
                  <c:v>17.</c:v>
                </c:pt>
                <c:pt idx="27">
                  <c:v>10.</c:v>
                </c:pt>
                <c:pt idx="28">
                  <c:v>1.</c:v>
                </c:pt>
                <c:pt idx="29">
                  <c:v>9.</c:v>
                </c:pt>
                <c:pt idx="30">
                  <c:v>13.</c:v>
                </c:pt>
                <c:pt idx="31">
                  <c:v>15.</c:v>
                </c:pt>
              </c:strCache>
            </c:strRef>
          </c:cat>
          <c:val>
            <c:numRef>
              <c:f>Zusammenfassung!$D$13:$AI$13</c:f>
              <c:numCache>
                <c:formatCode>General</c:formatCode>
                <c:ptCount val="32"/>
                <c:pt idx="0">
                  <c:v>0</c:v>
                </c:pt>
                <c:pt idx="1">
                  <c:v>0</c:v>
                </c:pt>
                <c:pt idx="2">
                  <c:v>0</c:v>
                </c:pt>
                <c:pt idx="3">
                  <c:v>1</c:v>
                </c:pt>
                <c:pt idx="4">
                  <c:v>0</c:v>
                </c:pt>
                <c:pt idx="5">
                  <c:v>0</c:v>
                </c:pt>
                <c:pt idx="6">
                  <c:v>0</c:v>
                </c:pt>
                <c:pt idx="7">
                  <c:v>1</c:v>
                </c:pt>
                <c:pt idx="8">
                  <c:v>0</c:v>
                </c:pt>
                <c:pt idx="9">
                  <c:v>1</c:v>
                </c:pt>
                <c:pt idx="10">
                  <c:v>0</c:v>
                </c:pt>
                <c:pt idx="11">
                  <c:v>0</c:v>
                </c:pt>
                <c:pt idx="12">
                  <c:v>0</c:v>
                </c:pt>
                <c:pt idx="13">
                  <c:v>0</c:v>
                </c:pt>
                <c:pt idx="14">
                  <c:v>0</c:v>
                </c:pt>
                <c:pt idx="15">
                  <c:v>0</c:v>
                </c:pt>
                <c:pt idx="16">
                  <c:v>0</c:v>
                </c:pt>
                <c:pt idx="17">
                  <c:v>1</c:v>
                </c:pt>
                <c:pt idx="18">
                  <c:v>1</c:v>
                </c:pt>
                <c:pt idx="19">
                  <c:v>4</c:v>
                </c:pt>
                <c:pt idx="20">
                  <c:v>0</c:v>
                </c:pt>
                <c:pt idx="21">
                  <c:v>0</c:v>
                </c:pt>
                <c:pt idx="22">
                  <c:v>0</c:v>
                </c:pt>
                <c:pt idx="23">
                  <c:v>0</c:v>
                </c:pt>
                <c:pt idx="24">
                  <c:v>0</c:v>
                </c:pt>
                <c:pt idx="25">
                  <c:v>0</c:v>
                </c:pt>
                <c:pt idx="26">
                  <c:v>0</c:v>
                </c:pt>
                <c:pt idx="27">
                  <c:v>1</c:v>
                </c:pt>
                <c:pt idx="28">
                  <c:v>0</c:v>
                </c:pt>
                <c:pt idx="29">
                  <c:v>0</c:v>
                </c:pt>
                <c:pt idx="30">
                  <c:v>0</c:v>
                </c:pt>
                <c:pt idx="31">
                  <c:v>3</c:v>
                </c:pt>
              </c:numCache>
            </c:numRef>
          </c:val>
        </c:ser>
        <c:dLbls>
          <c:showLegendKey val="0"/>
          <c:showVal val="0"/>
          <c:showCatName val="0"/>
          <c:showSerName val="0"/>
          <c:showPercent val="0"/>
          <c:showBubbleSize val="0"/>
        </c:dLbls>
        <c:gapWidth val="62"/>
        <c:overlap val="100"/>
        <c:axId val="113672960"/>
        <c:axId val="113674880"/>
      </c:barChart>
      <c:catAx>
        <c:axId val="113672960"/>
        <c:scaling>
          <c:orientation val="minMax"/>
        </c:scaling>
        <c:delete val="0"/>
        <c:axPos val="b"/>
        <c:title>
          <c:tx>
            <c:rich>
              <a:bodyPr/>
              <a:lstStyle/>
              <a:p>
                <a:pPr>
                  <a:defRPr sz="900" b="0">
                    <a:latin typeface="Arial" panose="020B0604020202020204" pitchFamily="34" charset="0"/>
                    <a:cs typeface="Arial" panose="020B0604020202020204" pitchFamily="34" charset="0"/>
                  </a:defRPr>
                </a:pPr>
                <a:r>
                  <a:rPr lang="en-US" sz="900" b="0">
                    <a:latin typeface="Arial" panose="020B0604020202020204" pitchFamily="34" charset="0"/>
                    <a:cs typeface="Arial" panose="020B0604020202020204" pitchFamily="34" charset="0"/>
                  </a:rPr>
                  <a:t>Characteristic number according to UPOV-TG/23/6</a:t>
                </a:r>
              </a:p>
            </c:rich>
          </c:tx>
          <c:layout>
            <c:manualLayout>
              <c:xMode val="edge"/>
              <c:yMode val="edge"/>
              <c:x val="0.25448904851183829"/>
              <c:y val="0.86575751736212259"/>
            </c:manualLayout>
          </c:layout>
          <c:overlay val="0"/>
        </c:title>
        <c:numFmt formatCode="General" sourceLinked="1"/>
        <c:majorTickMark val="out"/>
        <c:minorTickMark val="none"/>
        <c:tickLblPos val="nextTo"/>
        <c:txPr>
          <a:bodyPr rot="0" vert="horz"/>
          <a:lstStyle/>
          <a:p>
            <a:pPr>
              <a:defRPr sz="900">
                <a:latin typeface="Arial" panose="020B0604020202020204" pitchFamily="34" charset="0"/>
                <a:cs typeface="Arial" panose="020B0604020202020204" pitchFamily="34" charset="0"/>
              </a:defRPr>
            </a:pPr>
            <a:endParaRPr lang="es-ES_tradnl"/>
          </a:p>
        </c:txPr>
        <c:crossAx val="113674880"/>
        <c:crosses val="autoZero"/>
        <c:auto val="1"/>
        <c:lblAlgn val="ctr"/>
        <c:lblOffset val="100"/>
        <c:noMultiLvlLbl val="0"/>
      </c:catAx>
      <c:valAx>
        <c:axId val="113674880"/>
        <c:scaling>
          <c:orientation val="minMax"/>
        </c:scaling>
        <c:delete val="0"/>
        <c:axPos val="l"/>
        <c:majorGridlines/>
        <c:numFmt formatCode="0%"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s-ES_tradnl"/>
          </a:p>
        </c:txPr>
        <c:crossAx val="113672960"/>
        <c:crosses val="autoZero"/>
        <c:crossBetween val="between"/>
      </c:valAx>
      <c:spPr>
        <a:ln>
          <a:solidFill>
            <a:schemeClr val="tx1"/>
          </a:solidFill>
        </a:ln>
      </c:spPr>
    </c:plotArea>
    <c:legend>
      <c:legendPos val="b"/>
      <c:layout>
        <c:manualLayout>
          <c:xMode val="edge"/>
          <c:yMode val="edge"/>
          <c:x val="0.27583588102477563"/>
          <c:y val="0.93308206992054277"/>
          <c:w val="0.40104716710126603"/>
          <c:h val="3.7336283438942838E-2"/>
        </c:manualLayout>
      </c:layout>
      <c:overlay val="0"/>
      <c:txPr>
        <a:bodyPr/>
        <a:lstStyle/>
        <a:p>
          <a:pPr>
            <a:defRPr sz="900">
              <a:latin typeface="Arial" panose="020B0604020202020204" pitchFamily="34" charset="0"/>
              <a:cs typeface="Arial" panose="020B0604020202020204" pitchFamily="34" charset="0"/>
            </a:defRPr>
          </a:pPr>
          <a:endParaRPr lang="es-ES_tradnl"/>
        </a:p>
      </c:txPr>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132689624514772E-2"/>
          <c:y val="3.8161550704525087E-2"/>
          <c:w val="0.92871116899288564"/>
          <c:h val="0.78313093236459297"/>
        </c:manualLayout>
      </c:layout>
      <c:barChart>
        <c:barDir val="col"/>
        <c:grouping val="percentStacked"/>
        <c:varyColors val="0"/>
        <c:ser>
          <c:idx val="0"/>
          <c:order val="0"/>
          <c:tx>
            <c:strRef>
              <c:f>Zusammenfassung!$C$14</c:f>
              <c:strCache>
                <c:ptCount val="1"/>
                <c:pt idx="0">
                  <c:v>0 note</c:v>
                </c:pt>
              </c:strCache>
            </c:strRef>
          </c:tx>
          <c:spPr>
            <a:solidFill>
              <a:schemeClr val="accent3"/>
            </a:solidFill>
            <a:ln>
              <a:noFill/>
            </a:ln>
          </c:spPr>
          <c:invertIfNegative val="0"/>
          <c:cat>
            <c:strRef>
              <c:f>Zusammenfassung!$D$9:$AI$9</c:f>
              <c:strCache>
                <c:ptCount val="32"/>
                <c:pt idx="0">
                  <c:v>40.</c:v>
                </c:pt>
                <c:pt idx="1">
                  <c:v>34.</c:v>
                </c:pt>
                <c:pt idx="2">
                  <c:v>4.</c:v>
                </c:pt>
                <c:pt idx="3">
                  <c:v>35.</c:v>
                </c:pt>
                <c:pt idx="4">
                  <c:v>33.</c:v>
                </c:pt>
                <c:pt idx="5">
                  <c:v>2.</c:v>
                </c:pt>
                <c:pt idx="6">
                  <c:v>12.</c:v>
                </c:pt>
                <c:pt idx="7">
                  <c:v>19.</c:v>
                </c:pt>
                <c:pt idx="8">
                  <c:v>21.</c:v>
                </c:pt>
                <c:pt idx="9">
                  <c:v>31.</c:v>
                </c:pt>
                <c:pt idx="10">
                  <c:v>37.</c:v>
                </c:pt>
                <c:pt idx="11">
                  <c:v>41.</c:v>
                </c:pt>
                <c:pt idx="12">
                  <c:v>14.</c:v>
                </c:pt>
                <c:pt idx="13">
                  <c:v>3.</c:v>
                </c:pt>
                <c:pt idx="14">
                  <c:v>27.</c:v>
                </c:pt>
                <c:pt idx="15">
                  <c:v>7.</c:v>
                </c:pt>
                <c:pt idx="16">
                  <c:v>38.</c:v>
                </c:pt>
                <c:pt idx="17">
                  <c:v>30.</c:v>
                </c:pt>
                <c:pt idx="18">
                  <c:v>5.</c:v>
                </c:pt>
                <c:pt idx="19">
                  <c:v>11.</c:v>
                </c:pt>
                <c:pt idx="20">
                  <c:v>29.</c:v>
                </c:pt>
                <c:pt idx="21">
                  <c:v>18.</c:v>
                </c:pt>
                <c:pt idx="22">
                  <c:v>8.</c:v>
                </c:pt>
                <c:pt idx="23">
                  <c:v>6.</c:v>
                </c:pt>
                <c:pt idx="24">
                  <c:v>32.</c:v>
                </c:pt>
                <c:pt idx="25">
                  <c:v>16.</c:v>
                </c:pt>
                <c:pt idx="26">
                  <c:v>17.</c:v>
                </c:pt>
                <c:pt idx="27">
                  <c:v>10.</c:v>
                </c:pt>
                <c:pt idx="28">
                  <c:v>1.</c:v>
                </c:pt>
                <c:pt idx="29">
                  <c:v>9.</c:v>
                </c:pt>
                <c:pt idx="30">
                  <c:v>13.</c:v>
                </c:pt>
                <c:pt idx="31">
                  <c:v>15.</c:v>
                </c:pt>
              </c:strCache>
            </c:strRef>
          </c:cat>
          <c:val>
            <c:numRef>
              <c:f>Zusammenfassung!$D$14:$AI$14</c:f>
              <c:numCache>
                <c:formatCode>General</c:formatCode>
                <c:ptCount val="32"/>
                <c:pt idx="0">
                  <c:v>209</c:v>
                </c:pt>
                <c:pt idx="1">
                  <c:v>205</c:v>
                </c:pt>
                <c:pt idx="2">
                  <c:v>198</c:v>
                </c:pt>
                <c:pt idx="3">
                  <c:v>186</c:v>
                </c:pt>
                <c:pt idx="4">
                  <c:v>184</c:v>
                </c:pt>
                <c:pt idx="5">
                  <c:v>173</c:v>
                </c:pt>
                <c:pt idx="6">
                  <c:v>169</c:v>
                </c:pt>
                <c:pt idx="7">
                  <c:v>141</c:v>
                </c:pt>
                <c:pt idx="8">
                  <c:v>154</c:v>
                </c:pt>
                <c:pt idx="9">
                  <c:v>149</c:v>
                </c:pt>
                <c:pt idx="10">
                  <c:v>143</c:v>
                </c:pt>
                <c:pt idx="11">
                  <c:v>156</c:v>
                </c:pt>
                <c:pt idx="12">
                  <c:v>123</c:v>
                </c:pt>
                <c:pt idx="13">
                  <c:v>128</c:v>
                </c:pt>
                <c:pt idx="14">
                  <c:v>122</c:v>
                </c:pt>
                <c:pt idx="15">
                  <c:v>108</c:v>
                </c:pt>
                <c:pt idx="16">
                  <c:v>124</c:v>
                </c:pt>
                <c:pt idx="17">
                  <c:v>120</c:v>
                </c:pt>
                <c:pt idx="18">
                  <c:v>121</c:v>
                </c:pt>
                <c:pt idx="19">
                  <c:v>111</c:v>
                </c:pt>
                <c:pt idx="20">
                  <c:v>121</c:v>
                </c:pt>
                <c:pt idx="21">
                  <c:v>105</c:v>
                </c:pt>
                <c:pt idx="22">
                  <c:v>114</c:v>
                </c:pt>
                <c:pt idx="23">
                  <c:v>99</c:v>
                </c:pt>
                <c:pt idx="24">
                  <c:v>87</c:v>
                </c:pt>
                <c:pt idx="25">
                  <c:v>112</c:v>
                </c:pt>
                <c:pt idx="26">
                  <c:v>108</c:v>
                </c:pt>
                <c:pt idx="27">
                  <c:v>104</c:v>
                </c:pt>
                <c:pt idx="28">
                  <c:v>102</c:v>
                </c:pt>
                <c:pt idx="29">
                  <c:v>85</c:v>
                </c:pt>
                <c:pt idx="30">
                  <c:v>85</c:v>
                </c:pt>
                <c:pt idx="31">
                  <c:v>77</c:v>
                </c:pt>
              </c:numCache>
            </c:numRef>
          </c:val>
        </c:ser>
        <c:ser>
          <c:idx val="1"/>
          <c:order val="1"/>
          <c:tx>
            <c:strRef>
              <c:f>Zusammenfassung!$C$15</c:f>
              <c:strCache>
                <c:ptCount val="1"/>
                <c:pt idx="0">
                  <c:v>1 note</c:v>
                </c:pt>
              </c:strCache>
            </c:strRef>
          </c:tx>
          <c:spPr>
            <a:solidFill>
              <a:srgbClr val="C00000"/>
            </a:solidFill>
            <a:ln>
              <a:noFill/>
            </a:ln>
          </c:spPr>
          <c:invertIfNegative val="0"/>
          <c:cat>
            <c:strRef>
              <c:f>Zusammenfassung!$D$9:$AI$9</c:f>
              <c:strCache>
                <c:ptCount val="32"/>
                <c:pt idx="0">
                  <c:v>40.</c:v>
                </c:pt>
                <c:pt idx="1">
                  <c:v>34.</c:v>
                </c:pt>
                <c:pt idx="2">
                  <c:v>4.</c:v>
                </c:pt>
                <c:pt idx="3">
                  <c:v>35.</c:v>
                </c:pt>
                <c:pt idx="4">
                  <c:v>33.</c:v>
                </c:pt>
                <c:pt idx="5">
                  <c:v>2.</c:v>
                </c:pt>
                <c:pt idx="6">
                  <c:v>12.</c:v>
                </c:pt>
                <c:pt idx="7">
                  <c:v>19.</c:v>
                </c:pt>
                <c:pt idx="8">
                  <c:v>21.</c:v>
                </c:pt>
                <c:pt idx="9">
                  <c:v>31.</c:v>
                </c:pt>
                <c:pt idx="10">
                  <c:v>37.</c:v>
                </c:pt>
                <c:pt idx="11">
                  <c:v>41.</c:v>
                </c:pt>
                <c:pt idx="12">
                  <c:v>14.</c:v>
                </c:pt>
                <c:pt idx="13">
                  <c:v>3.</c:v>
                </c:pt>
                <c:pt idx="14">
                  <c:v>27.</c:v>
                </c:pt>
                <c:pt idx="15">
                  <c:v>7.</c:v>
                </c:pt>
                <c:pt idx="16">
                  <c:v>38.</c:v>
                </c:pt>
                <c:pt idx="17">
                  <c:v>30.</c:v>
                </c:pt>
                <c:pt idx="18">
                  <c:v>5.</c:v>
                </c:pt>
                <c:pt idx="19">
                  <c:v>11.</c:v>
                </c:pt>
                <c:pt idx="20">
                  <c:v>29.</c:v>
                </c:pt>
                <c:pt idx="21">
                  <c:v>18.</c:v>
                </c:pt>
                <c:pt idx="22">
                  <c:v>8.</c:v>
                </c:pt>
                <c:pt idx="23">
                  <c:v>6.</c:v>
                </c:pt>
                <c:pt idx="24">
                  <c:v>32.</c:v>
                </c:pt>
                <c:pt idx="25">
                  <c:v>16.</c:v>
                </c:pt>
                <c:pt idx="26">
                  <c:v>17.</c:v>
                </c:pt>
                <c:pt idx="27">
                  <c:v>10.</c:v>
                </c:pt>
                <c:pt idx="28">
                  <c:v>1.</c:v>
                </c:pt>
                <c:pt idx="29">
                  <c:v>9.</c:v>
                </c:pt>
                <c:pt idx="30">
                  <c:v>13.</c:v>
                </c:pt>
                <c:pt idx="31">
                  <c:v>15.</c:v>
                </c:pt>
              </c:strCache>
            </c:strRef>
          </c:cat>
          <c:val>
            <c:numRef>
              <c:f>Zusammenfassung!$D$15:$AI$15</c:f>
              <c:numCache>
                <c:formatCode>General</c:formatCode>
                <c:ptCount val="32"/>
                <c:pt idx="0">
                  <c:v>2</c:v>
                </c:pt>
                <c:pt idx="1">
                  <c:v>6</c:v>
                </c:pt>
                <c:pt idx="2">
                  <c:v>13</c:v>
                </c:pt>
                <c:pt idx="3">
                  <c:v>25</c:v>
                </c:pt>
                <c:pt idx="4">
                  <c:v>26</c:v>
                </c:pt>
                <c:pt idx="5">
                  <c:v>38</c:v>
                </c:pt>
                <c:pt idx="6">
                  <c:v>42</c:v>
                </c:pt>
                <c:pt idx="7">
                  <c:v>64</c:v>
                </c:pt>
                <c:pt idx="8">
                  <c:v>57</c:v>
                </c:pt>
                <c:pt idx="9">
                  <c:v>59</c:v>
                </c:pt>
                <c:pt idx="10">
                  <c:v>68</c:v>
                </c:pt>
                <c:pt idx="11">
                  <c:v>55</c:v>
                </c:pt>
                <c:pt idx="12">
                  <c:v>83</c:v>
                </c:pt>
                <c:pt idx="13">
                  <c:v>83</c:v>
                </c:pt>
                <c:pt idx="14">
                  <c:v>88</c:v>
                </c:pt>
                <c:pt idx="15">
                  <c:v>93</c:v>
                </c:pt>
                <c:pt idx="16">
                  <c:v>87</c:v>
                </c:pt>
                <c:pt idx="17">
                  <c:v>85</c:v>
                </c:pt>
                <c:pt idx="18">
                  <c:v>87</c:v>
                </c:pt>
                <c:pt idx="19">
                  <c:v>92</c:v>
                </c:pt>
                <c:pt idx="20">
                  <c:v>85</c:v>
                </c:pt>
                <c:pt idx="21">
                  <c:v>104</c:v>
                </c:pt>
                <c:pt idx="22">
                  <c:v>94</c:v>
                </c:pt>
                <c:pt idx="23">
                  <c:v>107</c:v>
                </c:pt>
                <c:pt idx="24">
                  <c:v>117</c:v>
                </c:pt>
                <c:pt idx="25">
                  <c:v>94</c:v>
                </c:pt>
                <c:pt idx="26">
                  <c:v>103</c:v>
                </c:pt>
                <c:pt idx="27">
                  <c:v>99</c:v>
                </c:pt>
                <c:pt idx="28">
                  <c:v>105</c:v>
                </c:pt>
                <c:pt idx="29">
                  <c:v>119</c:v>
                </c:pt>
                <c:pt idx="30">
                  <c:v>119</c:v>
                </c:pt>
                <c:pt idx="31">
                  <c:v>122</c:v>
                </c:pt>
              </c:numCache>
            </c:numRef>
          </c:val>
        </c:ser>
        <c:ser>
          <c:idx val="2"/>
          <c:order val="2"/>
          <c:tx>
            <c:strRef>
              <c:f>Zusammenfassung!$C$16</c:f>
              <c:strCache>
                <c:ptCount val="1"/>
                <c:pt idx="0">
                  <c:v>2 notes</c:v>
                </c:pt>
              </c:strCache>
            </c:strRef>
          </c:tx>
          <c:spPr>
            <a:solidFill>
              <a:schemeClr val="accent1"/>
            </a:solidFill>
            <a:ln>
              <a:noFill/>
            </a:ln>
          </c:spPr>
          <c:invertIfNegative val="0"/>
          <c:cat>
            <c:strRef>
              <c:f>Zusammenfassung!$D$9:$AI$9</c:f>
              <c:strCache>
                <c:ptCount val="32"/>
                <c:pt idx="0">
                  <c:v>40.</c:v>
                </c:pt>
                <c:pt idx="1">
                  <c:v>34.</c:v>
                </c:pt>
                <c:pt idx="2">
                  <c:v>4.</c:v>
                </c:pt>
                <c:pt idx="3">
                  <c:v>35.</c:v>
                </c:pt>
                <c:pt idx="4">
                  <c:v>33.</c:v>
                </c:pt>
                <c:pt idx="5">
                  <c:v>2.</c:v>
                </c:pt>
                <c:pt idx="6">
                  <c:v>12.</c:v>
                </c:pt>
                <c:pt idx="7">
                  <c:v>19.</c:v>
                </c:pt>
                <c:pt idx="8">
                  <c:v>21.</c:v>
                </c:pt>
                <c:pt idx="9">
                  <c:v>31.</c:v>
                </c:pt>
                <c:pt idx="10">
                  <c:v>37.</c:v>
                </c:pt>
                <c:pt idx="11">
                  <c:v>41.</c:v>
                </c:pt>
                <c:pt idx="12">
                  <c:v>14.</c:v>
                </c:pt>
                <c:pt idx="13">
                  <c:v>3.</c:v>
                </c:pt>
                <c:pt idx="14">
                  <c:v>27.</c:v>
                </c:pt>
                <c:pt idx="15">
                  <c:v>7.</c:v>
                </c:pt>
                <c:pt idx="16">
                  <c:v>38.</c:v>
                </c:pt>
                <c:pt idx="17">
                  <c:v>30.</c:v>
                </c:pt>
                <c:pt idx="18">
                  <c:v>5.</c:v>
                </c:pt>
                <c:pt idx="19">
                  <c:v>11.</c:v>
                </c:pt>
                <c:pt idx="20">
                  <c:v>29.</c:v>
                </c:pt>
                <c:pt idx="21">
                  <c:v>18.</c:v>
                </c:pt>
                <c:pt idx="22">
                  <c:v>8.</c:v>
                </c:pt>
                <c:pt idx="23">
                  <c:v>6.</c:v>
                </c:pt>
                <c:pt idx="24">
                  <c:v>32.</c:v>
                </c:pt>
                <c:pt idx="25">
                  <c:v>16.</c:v>
                </c:pt>
                <c:pt idx="26">
                  <c:v>17.</c:v>
                </c:pt>
                <c:pt idx="27">
                  <c:v>10.</c:v>
                </c:pt>
                <c:pt idx="28">
                  <c:v>1.</c:v>
                </c:pt>
                <c:pt idx="29">
                  <c:v>9.</c:v>
                </c:pt>
                <c:pt idx="30">
                  <c:v>13.</c:v>
                </c:pt>
                <c:pt idx="31">
                  <c:v>15.</c:v>
                </c:pt>
              </c:strCache>
            </c:strRef>
          </c:cat>
          <c:val>
            <c:numRef>
              <c:f>Zusammenfassung!$D$16:$AI$16</c:f>
              <c:numCache>
                <c:formatCode>General</c:formatCode>
                <c:ptCount val="32"/>
                <c:pt idx="0">
                  <c:v>0</c:v>
                </c:pt>
                <c:pt idx="1">
                  <c:v>0</c:v>
                </c:pt>
                <c:pt idx="2">
                  <c:v>0</c:v>
                </c:pt>
                <c:pt idx="3">
                  <c:v>0</c:v>
                </c:pt>
                <c:pt idx="4">
                  <c:v>1</c:v>
                </c:pt>
                <c:pt idx="5">
                  <c:v>0</c:v>
                </c:pt>
                <c:pt idx="6">
                  <c:v>0</c:v>
                </c:pt>
                <c:pt idx="7">
                  <c:v>6</c:v>
                </c:pt>
                <c:pt idx="8">
                  <c:v>0</c:v>
                </c:pt>
                <c:pt idx="9">
                  <c:v>2</c:v>
                </c:pt>
                <c:pt idx="10">
                  <c:v>0</c:v>
                </c:pt>
                <c:pt idx="11">
                  <c:v>0</c:v>
                </c:pt>
                <c:pt idx="12">
                  <c:v>5</c:v>
                </c:pt>
                <c:pt idx="13">
                  <c:v>0</c:v>
                </c:pt>
                <c:pt idx="14">
                  <c:v>1</c:v>
                </c:pt>
                <c:pt idx="15">
                  <c:v>10</c:v>
                </c:pt>
                <c:pt idx="16">
                  <c:v>0</c:v>
                </c:pt>
                <c:pt idx="17">
                  <c:v>6</c:v>
                </c:pt>
                <c:pt idx="18">
                  <c:v>3</c:v>
                </c:pt>
                <c:pt idx="19">
                  <c:v>7</c:v>
                </c:pt>
                <c:pt idx="20">
                  <c:v>5</c:v>
                </c:pt>
                <c:pt idx="21">
                  <c:v>2</c:v>
                </c:pt>
                <c:pt idx="22">
                  <c:v>3</c:v>
                </c:pt>
                <c:pt idx="23">
                  <c:v>5</c:v>
                </c:pt>
                <c:pt idx="24">
                  <c:v>7</c:v>
                </c:pt>
                <c:pt idx="25">
                  <c:v>5</c:v>
                </c:pt>
                <c:pt idx="26">
                  <c:v>0</c:v>
                </c:pt>
                <c:pt idx="27">
                  <c:v>8</c:v>
                </c:pt>
                <c:pt idx="28">
                  <c:v>4</c:v>
                </c:pt>
                <c:pt idx="29">
                  <c:v>7</c:v>
                </c:pt>
                <c:pt idx="30">
                  <c:v>7</c:v>
                </c:pt>
                <c:pt idx="31">
                  <c:v>11</c:v>
                </c:pt>
              </c:numCache>
            </c:numRef>
          </c:val>
        </c:ser>
        <c:ser>
          <c:idx val="3"/>
          <c:order val="3"/>
          <c:tx>
            <c:strRef>
              <c:f>Zusammenfassung!$C$17</c:f>
              <c:strCache>
                <c:ptCount val="1"/>
                <c:pt idx="0">
                  <c:v>3 notes</c:v>
                </c:pt>
              </c:strCache>
            </c:strRef>
          </c:tx>
          <c:spPr>
            <a:solidFill>
              <a:srgbClr val="FFC000"/>
            </a:solidFill>
            <a:ln>
              <a:noFill/>
            </a:ln>
          </c:spPr>
          <c:invertIfNegative val="0"/>
          <c:cat>
            <c:strRef>
              <c:f>Zusammenfassung!$D$9:$AI$9</c:f>
              <c:strCache>
                <c:ptCount val="32"/>
                <c:pt idx="0">
                  <c:v>40.</c:v>
                </c:pt>
                <c:pt idx="1">
                  <c:v>34.</c:v>
                </c:pt>
                <c:pt idx="2">
                  <c:v>4.</c:v>
                </c:pt>
                <c:pt idx="3">
                  <c:v>35.</c:v>
                </c:pt>
                <c:pt idx="4">
                  <c:v>33.</c:v>
                </c:pt>
                <c:pt idx="5">
                  <c:v>2.</c:v>
                </c:pt>
                <c:pt idx="6">
                  <c:v>12.</c:v>
                </c:pt>
                <c:pt idx="7">
                  <c:v>19.</c:v>
                </c:pt>
                <c:pt idx="8">
                  <c:v>21.</c:v>
                </c:pt>
                <c:pt idx="9">
                  <c:v>31.</c:v>
                </c:pt>
                <c:pt idx="10">
                  <c:v>37.</c:v>
                </c:pt>
                <c:pt idx="11">
                  <c:v>41.</c:v>
                </c:pt>
                <c:pt idx="12">
                  <c:v>14.</c:v>
                </c:pt>
                <c:pt idx="13">
                  <c:v>3.</c:v>
                </c:pt>
                <c:pt idx="14">
                  <c:v>27.</c:v>
                </c:pt>
                <c:pt idx="15">
                  <c:v>7.</c:v>
                </c:pt>
                <c:pt idx="16">
                  <c:v>38.</c:v>
                </c:pt>
                <c:pt idx="17">
                  <c:v>30.</c:v>
                </c:pt>
                <c:pt idx="18">
                  <c:v>5.</c:v>
                </c:pt>
                <c:pt idx="19">
                  <c:v>11.</c:v>
                </c:pt>
                <c:pt idx="20">
                  <c:v>29.</c:v>
                </c:pt>
                <c:pt idx="21">
                  <c:v>18.</c:v>
                </c:pt>
                <c:pt idx="22">
                  <c:v>8.</c:v>
                </c:pt>
                <c:pt idx="23">
                  <c:v>6.</c:v>
                </c:pt>
                <c:pt idx="24">
                  <c:v>32.</c:v>
                </c:pt>
                <c:pt idx="25">
                  <c:v>16.</c:v>
                </c:pt>
                <c:pt idx="26">
                  <c:v>17.</c:v>
                </c:pt>
                <c:pt idx="27">
                  <c:v>10.</c:v>
                </c:pt>
                <c:pt idx="28">
                  <c:v>1.</c:v>
                </c:pt>
                <c:pt idx="29">
                  <c:v>9.</c:v>
                </c:pt>
                <c:pt idx="30">
                  <c:v>13.</c:v>
                </c:pt>
                <c:pt idx="31">
                  <c:v>15.</c:v>
                </c:pt>
              </c:strCache>
            </c:strRef>
          </c:cat>
          <c:val>
            <c:numRef>
              <c:f>Zusammenfassung!$D$17:$AI$17</c:f>
              <c:numCache>
                <c:formatCode>General</c:formatCode>
                <c:ptCount val="32"/>
                <c:pt idx="0">
                  <c:v>0</c:v>
                </c:pt>
                <c:pt idx="1">
                  <c:v>0</c:v>
                </c:pt>
                <c:pt idx="2">
                  <c:v>0</c:v>
                </c:pt>
                <c:pt idx="3">
                  <c:v>0</c:v>
                </c:pt>
                <c:pt idx="4">
                  <c:v>0</c:v>
                </c:pt>
                <c:pt idx="5">
                  <c:v>0</c:v>
                </c:pt>
                <c:pt idx="6">
                  <c:v>0</c:v>
                </c:pt>
                <c:pt idx="7">
                  <c:v>0</c:v>
                </c:pt>
                <c:pt idx="8">
                  <c:v>0</c:v>
                </c:pt>
                <c:pt idx="9">
                  <c:v>1</c:v>
                </c:pt>
                <c:pt idx="10">
                  <c:v>0</c:v>
                </c:pt>
                <c:pt idx="11">
                  <c:v>0</c:v>
                </c:pt>
                <c:pt idx="12">
                  <c:v>0</c:v>
                </c:pt>
                <c:pt idx="13">
                  <c:v>0</c:v>
                </c:pt>
                <c:pt idx="14">
                  <c:v>0</c:v>
                </c:pt>
                <c:pt idx="15">
                  <c:v>0</c:v>
                </c:pt>
                <c:pt idx="16">
                  <c:v>0</c:v>
                </c:pt>
                <c:pt idx="17">
                  <c:v>0</c:v>
                </c:pt>
                <c:pt idx="18">
                  <c:v>0</c:v>
                </c:pt>
                <c:pt idx="19">
                  <c:v>1</c:v>
                </c:pt>
                <c:pt idx="20">
                  <c:v>0</c:v>
                </c:pt>
                <c:pt idx="21">
                  <c:v>0</c:v>
                </c:pt>
                <c:pt idx="22">
                  <c:v>0</c:v>
                </c:pt>
                <c:pt idx="23">
                  <c:v>0</c:v>
                </c:pt>
                <c:pt idx="24">
                  <c:v>0</c:v>
                </c:pt>
                <c:pt idx="25">
                  <c:v>0</c:v>
                </c:pt>
                <c:pt idx="26">
                  <c:v>0</c:v>
                </c:pt>
                <c:pt idx="27">
                  <c:v>0</c:v>
                </c:pt>
                <c:pt idx="28">
                  <c:v>0</c:v>
                </c:pt>
                <c:pt idx="29">
                  <c:v>0</c:v>
                </c:pt>
                <c:pt idx="30">
                  <c:v>0</c:v>
                </c:pt>
                <c:pt idx="31">
                  <c:v>1</c:v>
                </c:pt>
              </c:numCache>
            </c:numRef>
          </c:val>
        </c:ser>
        <c:dLbls>
          <c:showLegendKey val="0"/>
          <c:showVal val="0"/>
          <c:showCatName val="0"/>
          <c:showSerName val="0"/>
          <c:showPercent val="0"/>
          <c:showBubbleSize val="0"/>
        </c:dLbls>
        <c:gapWidth val="62"/>
        <c:overlap val="100"/>
        <c:axId val="123491456"/>
        <c:axId val="123493376"/>
      </c:barChart>
      <c:catAx>
        <c:axId val="123491456"/>
        <c:scaling>
          <c:orientation val="minMax"/>
        </c:scaling>
        <c:delete val="0"/>
        <c:axPos val="b"/>
        <c:title>
          <c:tx>
            <c:rich>
              <a:bodyPr/>
              <a:lstStyle/>
              <a:p>
                <a:pPr>
                  <a:defRPr sz="900" b="0">
                    <a:latin typeface="Arial" panose="020B0604020202020204" pitchFamily="34" charset="0"/>
                    <a:cs typeface="Arial" panose="020B0604020202020204" pitchFamily="34" charset="0"/>
                  </a:defRPr>
                </a:pPr>
                <a:r>
                  <a:rPr lang="en-US" sz="900" b="0">
                    <a:latin typeface="Arial" panose="020B0604020202020204" pitchFamily="34" charset="0"/>
                    <a:cs typeface="Arial" panose="020B0604020202020204" pitchFamily="34" charset="0"/>
                  </a:rPr>
                  <a:t>Characteristic number according to UPOV-TG/023/6</a:t>
                </a:r>
              </a:p>
            </c:rich>
          </c:tx>
          <c:layout>
            <c:manualLayout>
              <c:xMode val="edge"/>
              <c:yMode val="edge"/>
              <c:x val="0.28972817952123986"/>
              <c:y val="0.89426158996969685"/>
            </c:manualLayout>
          </c:layout>
          <c:overlay val="0"/>
        </c:title>
        <c:numFmt formatCode="General" sourceLinked="1"/>
        <c:majorTickMark val="out"/>
        <c:minorTickMark val="none"/>
        <c:tickLblPos val="nextTo"/>
        <c:txPr>
          <a:bodyPr rot="0" vert="horz"/>
          <a:lstStyle/>
          <a:p>
            <a:pPr>
              <a:defRPr sz="900">
                <a:latin typeface="Arial" panose="020B0604020202020204" pitchFamily="34" charset="0"/>
                <a:cs typeface="Arial" panose="020B0604020202020204" pitchFamily="34" charset="0"/>
              </a:defRPr>
            </a:pPr>
            <a:endParaRPr lang="es-ES_tradnl"/>
          </a:p>
        </c:txPr>
        <c:crossAx val="123493376"/>
        <c:crosses val="autoZero"/>
        <c:auto val="1"/>
        <c:lblAlgn val="ctr"/>
        <c:lblOffset val="100"/>
        <c:noMultiLvlLbl val="0"/>
      </c:catAx>
      <c:valAx>
        <c:axId val="123493376"/>
        <c:scaling>
          <c:orientation val="minMax"/>
        </c:scaling>
        <c:delete val="0"/>
        <c:axPos val="l"/>
        <c:majorGridlines/>
        <c:numFmt formatCode="0%"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s-ES_tradnl"/>
          </a:p>
        </c:txPr>
        <c:crossAx val="123491456"/>
        <c:crosses val="autoZero"/>
        <c:crossBetween val="between"/>
      </c:valAx>
      <c:spPr>
        <a:ln>
          <a:solidFill>
            <a:schemeClr val="tx1"/>
          </a:solidFill>
        </a:ln>
      </c:spPr>
    </c:plotArea>
    <c:legend>
      <c:legendPos val="b"/>
      <c:layout>
        <c:manualLayout>
          <c:xMode val="edge"/>
          <c:yMode val="edge"/>
          <c:x val="0.3220829804338089"/>
          <c:y val="0.96286533844479949"/>
          <c:w val="0.34602171562906353"/>
          <c:h val="3.6993448989608005E-2"/>
        </c:manualLayout>
      </c:layout>
      <c:overlay val="0"/>
      <c:txPr>
        <a:bodyPr/>
        <a:lstStyle/>
        <a:p>
          <a:pPr>
            <a:defRPr sz="800">
              <a:latin typeface="Arial" panose="020B0604020202020204" pitchFamily="34" charset="0"/>
              <a:cs typeface="Arial" panose="020B0604020202020204" pitchFamily="34" charset="0"/>
            </a:defRPr>
          </a:pPr>
          <a:endParaRPr lang="es-ES_tradnl"/>
        </a:p>
      </c:txPr>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0.57743</cdr:x>
      <cdr:y>0.02692</cdr:y>
    </cdr:from>
    <cdr:to>
      <cdr:x>0.57906</cdr:x>
      <cdr:y>0.62798</cdr:y>
    </cdr:to>
    <cdr:cxnSp macro="">
      <cdr:nvCxnSpPr>
        <cdr:cNvPr id="4" name="Gerade Verbindung 3"/>
        <cdr:cNvCxnSpPr/>
      </cdr:nvCxnSpPr>
      <cdr:spPr>
        <a:xfrm xmlns:a="http://schemas.openxmlformats.org/drawingml/2006/main" flipH="1">
          <a:off x="3411110" y="147250"/>
          <a:ext cx="9610" cy="3287714"/>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0.60973</cdr:x>
      <cdr:y>0.04012</cdr:y>
    </cdr:from>
    <cdr:to>
      <cdr:x>0.91527</cdr:x>
      <cdr:y>0.05804</cdr:y>
    </cdr:to>
    <cdr:sp macro="" textlink="">
      <cdr:nvSpPr>
        <cdr:cNvPr id="3" name="Rechteck 2"/>
        <cdr:cNvSpPr/>
      </cdr:nvSpPr>
      <cdr:spPr>
        <a:xfrm xmlns:a="http://schemas.openxmlformats.org/drawingml/2006/main">
          <a:off x="3601922" y="219456"/>
          <a:ext cx="1804949" cy="98023"/>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de-DE"/>
        </a:p>
      </cdr:txBody>
    </cdr:sp>
  </cdr:relSizeAnchor>
  <cdr:relSizeAnchor xmlns:cdr="http://schemas.openxmlformats.org/drawingml/2006/chartDrawing">
    <cdr:from>
      <cdr:x>0.62837</cdr:x>
      <cdr:y>0.59618</cdr:y>
    </cdr:from>
    <cdr:to>
      <cdr:x>0.65685</cdr:x>
      <cdr:y>0.93483</cdr:y>
    </cdr:to>
    <cdr:sp macro="" textlink="">
      <cdr:nvSpPr>
        <cdr:cNvPr id="5" name="Ellipse 4"/>
        <cdr:cNvSpPr/>
      </cdr:nvSpPr>
      <cdr:spPr>
        <a:xfrm xmlns:a="http://schemas.openxmlformats.org/drawingml/2006/main">
          <a:off x="3712048" y="3261037"/>
          <a:ext cx="168202" cy="1852365"/>
        </a:xfrm>
        <a:prstGeom xmlns:a="http://schemas.openxmlformats.org/drawingml/2006/main" prst="ellipse">
          <a:avLst/>
        </a:prstGeom>
        <a:noFill xmlns:a="http://schemas.openxmlformats.org/drawingml/2006/main"/>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de-DE"/>
        </a:p>
      </cdr:txBody>
    </cdr:sp>
  </cdr:relSizeAnchor>
  <cdr:relSizeAnchor xmlns:cdr="http://schemas.openxmlformats.org/drawingml/2006/chartDrawing">
    <cdr:from>
      <cdr:x>0.50358</cdr:x>
      <cdr:y>0.59758</cdr:y>
    </cdr:from>
    <cdr:to>
      <cdr:x>0.53167</cdr:x>
      <cdr:y>0.93615</cdr:y>
    </cdr:to>
    <cdr:sp macro="" textlink="">
      <cdr:nvSpPr>
        <cdr:cNvPr id="6" name="Ellipse 5"/>
        <cdr:cNvSpPr/>
      </cdr:nvSpPr>
      <cdr:spPr>
        <a:xfrm xmlns:a="http://schemas.openxmlformats.org/drawingml/2006/main">
          <a:off x="2974874" y="3268691"/>
          <a:ext cx="165891" cy="1851949"/>
        </a:xfrm>
        <a:prstGeom xmlns:a="http://schemas.openxmlformats.org/drawingml/2006/main" prst="ellipse">
          <a:avLst/>
        </a:prstGeom>
        <a:noFill xmlns:a="http://schemas.openxmlformats.org/drawingml/2006/main"/>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0.34014</cdr:x>
      <cdr:y>0.59407</cdr:y>
    </cdr:from>
    <cdr:to>
      <cdr:x>0.36975</cdr:x>
      <cdr:y>0.9296</cdr:y>
    </cdr:to>
    <cdr:sp macro="" textlink="">
      <cdr:nvSpPr>
        <cdr:cNvPr id="7" name="Ellipse 6"/>
        <cdr:cNvSpPr/>
      </cdr:nvSpPr>
      <cdr:spPr>
        <a:xfrm xmlns:a="http://schemas.openxmlformats.org/drawingml/2006/main">
          <a:off x="2009369" y="3249493"/>
          <a:ext cx="174866" cy="1835292"/>
        </a:xfrm>
        <a:prstGeom xmlns:a="http://schemas.openxmlformats.org/drawingml/2006/main" prst="ellipse">
          <a:avLst/>
        </a:prstGeom>
        <a:noFill xmlns:a="http://schemas.openxmlformats.org/drawingml/2006/main"/>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0.42203</cdr:x>
      <cdr:y>0.5931</cdr:y>
    </cdr:from>
    <cdr:to>
      <cdr:x>0.45126</cdr:x>
      <cdr:y>0.93569</cdr:y>
    </cdr:to>
    <cdr:sp macro="" textlink="">
      <cdr:nvSpPr>
        <cdr:cNvPr id="8" name="Ellipse 7"/>
        <cdr:cNvSpPr/>
      </cdr:nvSpPr>
      <cdr:spPr>
        <a:xfrm xmlns:a="http://schemas.openxmlformats.org/drawingml/2006/main">
          <a:off x="2493126" y="3244187"/>
          <a:ext cx="172622" cy="1873934"/>
        </a:xfrm>
        <a:prstGeom xmlns:a="http://schemas.openxmlformats.org/drawingml/2006/main" prst="ellipse">
          <a:avLst/>
        </a:prstGeom>
        <a:noFill xmlns:a="http://schemas.openxmlformats.org/drawingml/2006/main"/>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0.39247</cdr:x>
      <cdr:y>0.59224</cdr:y>
    </cdr:from>
    <cdr:to>
      <cdr:x>0.41942</cdr:x>
      <cdr:y>0.93335</cdr:y>
    </cdr:to>
    <cdr:sp macro="" textlink="">
      <cdr:nvSpPr>
        <cdr:cNvPr id="9" name="Ellipse 8"/>
        <cdr:cNvSpPr/>
      </cdr:nvSpPr>
      <cdr:spPr>
        <a:xfrm xmlns:a="http://schemas.openxmlformats.org/drawingml/2006/main">
          <a:off x="2318503" y="3239484"/>
          <a:ext cx="159161" cy="1865856"/>
        </a:xfrm>
        <a:prstGeom xmlns:a="http://schemas.openxmlformats.org/drawingml/2006/main" prst="ellipse">
          <a:avLst/>
        </a:prstGeom>
        <a:noFill xmlns:a="http://schemas.openxmlformats.org/drawingml/2006/main"/>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0.47469</cdr:x>
      <cdr:y>0.59499</cdr:y>
    </cdr:from>
    <cdr:to>
      <cdr:x>0.50317</cdr:x>
      <cdr:y>0.9361</cdr:y>
    </cdr:to>
    <cdr:sp macro="" textlink="">
      <cdr:nvSpPr>
        <cdr:cNvPr id="10" name="Ellipse 9"/>
        <cdr:cNvSpPr/>
      </cdr:nvSpPr>
      <cdr:spPr>
        <a:xfrm xmlns:a="http://schemas.openxmlformats.org/drawingml/2006/main">
          <a:off x="2804209" y="3254524"/>
          <a:ext cx="168202" cy="1865857"/>
        </a:xfrm>
        <a:prstGeom xmlns:a="http://schemas.openxmlformats.org/drawingml/2006/main" prst="ellipse">
          <a:avLst/>
        </a:prstGeom>
        <a:noFill xmlns:a="http://schemas.openxmlformats.org/drawingml/2006/main"/>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0.57872</cdr:x>
      <cdr:y>0.59796</cdr:y>
    </cdr:from>
    <cdr:to>
      <cdr:x>0.60832</cdr:x>
      <cdr:y>0.93175</cdr:y>
    </cdr:to>
    <cdr:sp macro="" textlink="">
      <cdr:nvSpPr>
        <cdr:cNvPr id="11" name="Ellipse 10"/>
        <cdr:cNvSpPr/>
      </cdr:nvSpPr>
      <cdr:spPr>
        <a:xfrm xmlns:a="http://schemas.openxmlformats.org/drawingml/2006/main">
          <a:off x="3418711" y="3270770"/>
          <a:ext cx="174866" cy="1825799"/>
        </a:xfrm>
        <a:prstGeom xmlns:a="http://schemas.openxmlformats.org/drawingml/2006/main" prst="ellipse">
          <a:avLst/>
        </a:prstGeom>
        <a:noFill xmlns:a="http://schemas.openxmlformats.org/drawingml/2006/main"/>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userShapes>
</file>

<file path=word/drawings/drawing2.xml><?xml version="1.0" encoding="utf-8"?>
<c:userShapes xmlns:c="http://schemas.openxmlformats.org/drawingml/2006/chart">
  <cdr:relSizeAnchor xmlns:cdr="http://schemas.openxmlformats.org/drawingml/2006/chartDrawing">
    <cdr:from>
      <cdr:x>0.09576</cdr:x>
      <cdr:y>0.04744</cdr:y>
    </cdr:from>
    <cdr:to>
      <cdr:x>0.92492</cdr:x>
      <cdr:y>0.13409</cdr:y>
    </cdr:to>
    <cdr:sp macro="" textlink="">
      <cdr:nvSpPr>
        <cdr:cNvPr id="2" name="Textfeld 1"/>
        <cdr:cNvSpPr txBox="1"/>
      </cdr:nvSpPr>
      <cdr:spPr>
        <a:xfrm xmlns:a="http://schemas.openxmlformats.org/drawingml/2006/main">
          <a:off x="862075" y="275317"/>
          <a:ext cx="7464786" cy="5029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de-DE" sz="120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685DF-73B7-4E2F-A37D-39FB9D13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twa_47</Template>
  <TotalTime>19</TotalTime>
  <Pages>4</Pages>
  <Words>1135</Words>
  <Characters>6358</Characters>
  <Application>Microsoft Office Word</Application>
  <DocSecurity>0</DocSecurity>
  <Lines>167</Lines>
  <Paragraphs>70</Paragraphs>
  <ScaleCrop>false</ScaleCrop>
  <HeadingPairs>
    <vt:vector size="2" baseType="variant">
      <vt:variant>
        <vt:lpstr>Title</vt:lpstr>
      </vt:variant>
      <vt:variant>
        <vt:i4>1</vt:i4>
      </vt:variant>
    </vt:vector>
  </HeadingPairs>
  <TitlesOfParts>
    <vt:vector size="1" baseType="lpstr">
      <vt:lpstr>TWA/46</vt:lpstr>
    </vt:vector>
  </TitlesOfParts>
  <Company>UPOV</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TWA/47/5</dc:title>
  <dc:creator>OERTEL Romy</dc:creator>
  <cp:lastModifiedBy>MAY Jessica</cp:lastModifiedBy>
  <cp:revision>15</cp:revision>
  <cp:lastPrinted>2018-05-07T11:44:00Z</cp:lastPrinted>
  <dcterms:created xsi:type="dcterms:W3CDTF">2018-05-07T11:32:00Z</dcterms:created>
  <dcterms:modified xsi:type="dcterms:W3CDTF">2018-05-09T15:10:00Z</dcterms:modified>
</cp:coreProperties>
</file>