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66126B" w:rsidRDefault="006B17D2" w:rsidP="006655D3">
            <w:pPr>
              <w:pStyle w:val="Docoriginal"/>
              <w:rPr>
                <w:lang w:eastAsia="ja-JP"/>
              </w:rPr>
            </w:pPr>
            <w:r w:rsidRPr="00C5280D">
              <w:t>T</w:t>
            </w:r>
            <w:r w:rsidR="0017474A" w:rsidRPr="00C5280D">
              <w:t>C</w:t>
            </w:r>
            <w:r w:rsidR="00125EFC">
              <w:t>-EDC</w:t>
            </w:r>
            <w:r w:rsidR="0017474A" w:rsidRPr="00C5280D">
              <w:t>/</w:t>
            </w:r>
            <w:r w:rsidR="00125EFC">
              <w:t>Jan1</w:t>
            </w:r>
            <w:r w:rsidR="007B286C">
              <w:t>6</w:t>
            </w:r>
            <w:r w:rsidR="0017474A" w:rsidRPr="00C5280D">
              <w:t>/</w:t>
            </w:r>
            <w:bookmarkStart w:id="0" w:name="Code"/>
            <w:bookmarkEnd w:id="0"/>
            <w:r w:rsidR="0066126B">
              <w:rPr>
                <w:rFonts w:hint="eastAsia"/>
                <w:lang w:eastAsia="ja-JP"/>
              </w:rPr>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1045E8">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1045E8" w:rsidRPr="00D916E5">
              <w:rPr>
                <w:b w:val="0"/>
                <w:spacing w:val="0"/>
                <w:lang w:eastAsia="ja-JP"/>
              </w:rPr>
              <w:t>December 1</w:t>
            </w:r>
            <w:r w:rsidR="0024416D" w:rsidRPr="00D916E5">
              <w:rPr>
                <w:b w:val="0"/>
                <w:spacing w:val="0"/>
              </w:rPr>
              <w:t xml:space="preserve">, </w:t>
            </w:r>
            <w:r w:rsidR="001131D5" w:rsidRPr="00D916E5">
              <w:rPr>
                <w:b w:val="0"/>
                <w:spacing w:val="0"/>
              </w:rPr>
              <w:t>201</w:t>
            </w:r>
            <w:r w:rsidR="007B286C" w:rsidRPr="00D916E5">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B286C">
        <w:t>6</w:t>
      </w:r>
      <w:r w:rsidR="00125EFC">
        <w:t xml:space="preserve"> and </w:t>
      </w:r>
      <w:r w:rsidR="007B286C">
        <w:t>7</w:t>
      </w:r>
      <w:r w:rsidR="0061555F" w:rsidRPr="00C5280D">
        <w:t>,</w:t>
      </w:r>
      <w:r w:rsidR="00125EFC">
        <w:t xml:space="preserve"> 201</w:t>
      </w:r>
      <w:r w:rsidR="007B286C">
        <w:t>6</w:t>
      </w:r>
    </w:p>
    <w:p w:rsidR="0066126B" w:rsidRDefault="0066126B" w:rsidP="006655D3">
      <w:pPr>
        <w:pStyle w:val="preparedby1"/>
        <w:rPr>
          <w:i w:val="0"/>
          <w:iCs w:val="0"/>
          <w:caps/>
          <w:lang w:eastAsia="ja-JP"/>
        </w:rPr>
      </w:pPr>
      <w:bookmarkStart w:id="3" w:name="TitleOfDoc"/>
      <w:bookmarkStart w:id="4" w:name="Prepared"/>
      <w:bookmarkEnd w:id="3"/>
      <w:bookmarkEnd w:id="4"/>
      <w:r w:rsidRPr="0066126B">
        <w:rPr>
          <w:i w:val="0"/>
          <w:iCs w:val="0"/>
          <w:caps/>
        </w:rPr>
        <w:t>Molecular Techniques</w:t>
      </w:r>
    </w:p>
    <w:p w:rsidR="000D7780" w:rsidRPr="00C5280D" w:rsidRDefault="006F1C0C" w:rsidP="006655D3">
      <w:pPr>
        <w:pStyle w:val="preparedby1"/>
      </w:pPr>
      <w:r>
        <w:t xml:space="preserve"> </w:t>
      </w:r>
      <w:r w:rsidR="00AE0EF1" w:rsidRPr="00421884">
        <w:t xml:space="preserve">Document </w:t>
      </w:r>
      <w:r w:rsidR="0061555F" w:rsidRPr="00421884">
        <w:t>prepared by the Office of the Union</w:t>
      </w:r>
      <w:r w:rsidR="00C21C04">
        <w:br/>
      </w:r>
      <w:r w:rsidR="00C21C04">
        <w:br/>
      </w:r>
      <w:r w:rsidR="00C21C04" w:rsidRPr="00C21C04">
        <w:rPr>
          <w:color w:val="A6A6A6"/>
        </w:rPr>
        <w:t>Disclaimer:  this document does not represent UPOV policies or guidance</w:t>
      </w:r>
    </w:p>
    <w:p w:rsidR="00421884" w:rsidRDefault="00421884" w:rsidP="00421884">
      <w:r>
        <w:t>EXECUTIVE SUMMARY</w:t>
      </w:r>
    </w:p>
    <w:p w:rsidR="00421884" w:rsidRDefault="00421884" w:rsidP="00421884"/>
    <w:p w:rsidR="00CA6CB7" w:rsidRDefault="00421884" w:rsidP="00421884">
      <w:pPr>
        <w:rPr>
          <w:lang w:eastAsia="ja-JP"/>
        </w:rPr>
      </w:pPr>
      <w:r>
        <w:fldChar w:fldCharType="begin"/>
      </w:r>
      <w:r>
        <w:instrText xml:space="preserve"> AUTONUM  </w:instrText>
      </w:r>
      <w:r>
        <w:fldChar w:fldCharType="end"/>
      </w:r>
      <w:r>
        <w:tab/>
        <w:t xml:space="preserve">The purpose of this document is </w:t>
      </w:r>
      <w:r w:rsidR="00CA6CB7" w:rsidRPr="00CA6CB7">
        <w:rPr>
          <w:lang w:eastAsia="ja-JP"/>
        </w:rPr>
        <w:t xml:space="preserve">to </w:t>
      </w:r>
      <w:r w:rsidR="002F6F63">
        <w:rPr>
          <w:lang w:eastAsia="ja-JP"/>
        </w:rPr>
        <w:t xml:space="preserve">report on consideration by the Technical Working Parties on </w:t>
      </w:r>
      <w:r w:rsidR="00CA6CB7" w:rsidRPr="00CA6CB7">
        <w:rPr>
          <w:lang w:eastAsia="ja-JP"/>
        </w:rPr>
        <w:t>the initial draft question and answer</w:t>
      </w:r>
      <w:r w:rsidR="00CA6CB7">
        <w:rPr>
          <w:rFonts w:hint="eastAsia"/>
          <w:lang w:eastAsia="ja-JP"/>
        </w:rPr>
        <w:t xml:space="preserve"> for the Frequently Asked Question</w:t>
      </w:r>
      <w:r w:rsidR="00CA6CB7" w:rsidRPr="00CA6CB7">
        <w:rPr>
          <w:lang w:eastAsia="ja-JP"/>
        </w:rPr>
        <w:t xml:space="preserve"> concerning the situation in UPOV with regard to the use of molecular techniques for a wider audience, including the public in general</w:t>
      </w:r>
      <w:r w:rsidR="00CA6CB7">
        <w:rPr>
          <w:rFonts w:hint="eastAsia"/>
          <w:lang w:eastAsia="ja-JP"/>
        </w:rPr>
        <w:t>.</w:t>
      </w:r>
    </w:p>
    <w:p w:rsidR="00421884" w:rsidRDefault="00421884" w:rsidP="00421884"/>
    <w:p w:rsidR="00CA3735" w:rsidRDefault="008C3AA6" w:rsidP="008C3AA6">
      <w:pPr>
        <w:rPr>
          <w:lang w:eastAsia="ja-JP"/>
        </w:rPr>
      </w:pPr>
      <w:r w:rsidRPr="008C3AA6">
        <w:fldChar w:fldCharType="begin"/>
      </w:r>
      <w:r w:rsidRPr="008C3AA6">
        <w:instrText xml:space="preserve"> AUTONUM  </w:instrText>
      </w:r>
      <w:r w:rsidRPr="008C3AA6">
        <w:fldChar w:fldCharType="end"/>
      </w:r>
      <w:r w:rsidRPr="008C3AA6">
        <w:tab/>
      </w:r>
      <w:r w:rsidR="00CA3735" w:rsidRPr="00CA3735">
        <w:rPr>
          <w:lang w:eastAsia="ja-JP"/>
        </w:rPr>
        <w:t xml:space="preserve">The </w:t>
      </w:r>
      <w:r w:rsidR="00CA3735">
        <w:rPr>
          <w:rFonts w:hint="eastAsia"/>
          <w:lang w:eastAsia="ja-JP"/>
        </w:rPr>
        <w:t>Enlarged Editorial Committee</w:t>
      </w:r>
      <w:r w:rsidR="00CA3735" w:rsidRPr="00FD63E1">
        <w:t xml:space="preserve"> </w:t>
      </w:r>
      <w:r w:rsidR="00CA3735" w:rsidRPr="00CA3735">
        <w:rPr>
          <w:lang w:eastAsia="ja-JP"/>
        </w:rPr>
        <w:t xml:space="preserve">is invited to note that it is proposed to invite the </w:t>
      </w:r>
      <w:r w:rsidR="00CA3735">
        <w:rPr>
          <w:rFonts w:hint="eastAsia"/>
          <w:lang w:eastAsia="ja-JP"/>
        </w:rPr>
        <w:t>Technical Committee</w:t>
      </w:r>
      <w:r w:rsidR="00CA3735" w:rsidRPr="00CA3735">
        <w:rPr>
          <w:lang w:eastAsia="ja-JP"/>
        </w:rPr>
        <w:t xml:space="preserve"> to consider the revision proposed by the TWA, TWF and TWO to the initial draft question and answer on the situation in UPOV with regard to the use of molecular techniques in DUS examination for a wider audience, including the public in general discussed by the TC at its fifty-first session, as set out </w:t>
      </w:r>
      <w:r w:rsidR="00CA3735">
        <w:rPr>
          <w:rFonts w:hint="eastAsia"/>
          <w:lang w:eastAsia="ja-JP"/>
        </w:rPr>
        <w:t>in paragraph 14 of this document a</w:t>
      </w:r>
      <w:r w:rsidR="00CA3735" w:rsidRPr="00CA3735">
        <w:rPr>
          <w:lang w:eastAsia="ja-JP"/>
        </w:rPr>
        <w:t>nd to propose any improvements</w:t>
      </w:r>
      <w:r w:rsidR="00CA3735">
        <w:rPr>
          <w:lang w:eastAsia="ja-JP"/>
        </w:rPr>
        <w:t xml:space="preserve"> to the document in that regard</w:t>
      </w:r>
      <w:r w:rsidR="00CA3735">
        <w:rPr>
          <w:rFonts w:hint="eastAsia"/>
          <w:lang w:eastAsia="ja-JP"/>
        </w:rPr>
        <w:t>.</w:t>
      </w:r>
    </w:p>
    <w:p w:rsidR="00CA3735" w:rsidRDefault="00CA3735" w:rsidP="008C3AA6">
      <w:pPr>
        <w:rPr>
          <w:lang w:eastAsia="ja-JP"/>
        </w:rPr>
      </w:pPr>
    </w:p>
    <w:p w:rsidR="00421884" w:rsidRDefault="00421884" w:rsidP="00421884">
      <w:pPr>
        <w:keepNext/>
        <w:rPr>
          <w:snapToGrid w:val="0"/>
        </w:rPr>
      </w:pPr>
      <w:r>
        <w:fldChar w:fldCharType="begin"/>
      </w:r>
      <w:r>
        <w:instrText xml:space="preserve"> AUTONUM  </w:instrText>
      </w:r>
      <w:r>
        <w:fldChar w:fldCharType="end"/>
      </w:r>
      <w:r>
        <w:tab/>
      </w:r>
      <w:r>
        <w:rPr>
          <w:snapToGrid w:val="0"/>
        </w:rPr>
        <w:t>The structure of this document is as follows:</w:t>
      </w:r>
    </w:p>
    <w:p w:rsidR="00421884" w:rsidRDefault="00421884" w:rsidP="00421884">
      <w:pPr>
        <w:rPr>
          <w:snapToGrid w:val="0"/>
        </w:rPr>
      </w:pPr>
    </w:p>
    <w:p w:rsidR="007C1F89" w:rsidRDefault="00421884">
      <w:pPr>
        <w:pStyle w:val="TOC1"/>
        <w:rPr>
          <w:rFonts w:asciiTheme="minorHAnsi" w:hAnsiTheme="minorHAnsi" w:cstheme="minorBidi"/>
          <w:caps w:val="0"/>
          <w:noProof/>
          <w:sz w:val="22"/>
          <w:szCs w:val="22"/>
          <w:lang w:eastAsia="ja-JP"/>
        </w:rPr>
      </w:pPr>
      <w:r>
        <w:rPr>
          <w:noProof/>
          <w:snapToGrid w:val="0"/>
        </w:rPr>
        <w:fldChar w:fldCharType="begin"/>
      </w:r>
      <w:r>
        <w:rPr>
          <w:snapToGrid w:val="0"/>
        </w:rPr>
        <w:instrText xml:space="preserve"> TOC \o "1-3" \h \z \u </w:instrText>
      </w:r>
      <w:r>
        <w:rPr>
          <w:noProof/>
          <w:snapToGrid w:val="0"/>
        </w:rPr>
        <w:fldChar w:fldCharType="separate"/>
      </w:r>
      <w:hyperlink w:anchor="_Toc436405254" w:history="1">
        <w:r w:rsidR="007C1F89" w:rsidRPr="00970ECF">
          <w:rPr>
            <w:rStyle w:val="Hyperlink"/>
            <w:noProof/>
          </w:rPr>
          <w:t>BACKGROUND</w:t>
        </w:r>
        <w:r w:rsidR="007C1F89">
          <w:rPr>
            <w:noProof/>
            <w:webHidden/>
          </w:rPr>
          <w:tab/>
        </w:r>
        <w:r w:rsidR="007C1F89">
          <w:rPr>
            <w:noProof/>
            <w:webHidden/>
          </w:rPr>
          <w:fldChar w:fldCharType="begin"/>
        </w:r>
        <w:r w:rsidR="007C1F89">
          <w:rPr>
            <w:noProof/>
            <w:webHidden/>
          </w:rPr>
          <w:instrText xml:space="preserve"> PAGEREF _Toc436405254 \h </w:instrText>
        </w:r>
        <w:r w:rsidR="007C1F89">
          <w:rPr>
            <w:noProof/>
            <w:webHidden/>
          </w:rPr>
        </w:r>
        <w:r w:rsidR="007C1F89">
          <w:rPr>
            <w:noProof/>
            <w:webHidden/>
          </w:rPr>
          <w:fldChar w:fldCharType="separate"/>
        </w:r>
        <w:r w:rsidR="005407A6">
          <w:rPr>
            <w:noProof/>
            <w:webHidden/>
          </w:rPr>
          <w:t>1</w:t>
        </w:r>
        <w:r w:rsidR="007C1F89">
          <w:rPr>
            <w:noProof/>
            <w:webHidden/>
          </w:rPr>
          <w:fldChar w:fldCharType="end"/>
        </w:r>
      </w:hyperlink>
    </w:p>
    <w:p w:rsidR="007C1F89" w:rsidRDefault="005407A6">
      <w:pPr>
        <w:pStyle w:val="TOC1"/>
        <w:rPr>
          <w:rFonts w:asciiTheme="minorHAnsi" w:hAnsiTheme="minorHAnsi" w:cstheme="minorBidi"/>
          <w:caps w:val="0"/>
          <w:noProof/>
          <w:sz w:val="22"/>
          <w:szCs w:val="22"/>
          <w:lang w:eastAsia="ja-JP"/>
        </w:rPr>
      </w:pPr>
      <w:hyperlink w:anchor="_Toc436405255" w:history="1">
        <w:r w:rsidR="007C1F89" w:rsidRPr="00970ECF">
          <w:rPr>
            <w:rStyle w:val="Hyperlink"/>
            <w:noProof/>
          </w:rPr>
          <w:t>COMMENTS BY THE TECHNICAL WORKING PARTIES IN 2015</w:t>
        </w:r>
        <w:r w:rsidR="007C1F89">
          <w:rPr>
            <w:noProof/>
            <w:webHidden/>
          </w:rPr>
          <w:tab/>
        </w:r>
        <w:r w:rsidR="007C1F89">
          <w:rPr>
            <w:noProof/>
            <w:webHidden/>
          </w:rPr>
          <w:fldChar w:fldCharType="begin"/>
        </w:r>
        <w:r w:rsidR="007C1F89">
          <w:rPr>
            <w:noProof/>
            <w:webHidden/>
          </w:rPr>
          <w:instrText xml:space="preserve"> PAGEREF _Toc436405255 \h </w:instrText>
        </w:r>
        <w:r w:rsidR="007C1F89">
          <w:rPr>
            <w:noProof/>
            <w:webHidden/>
          </w:rPr>
        </w:r>
        <w:r w:rsidR="007C1F89">
          <w:rPr>
            <w:noProof/>
            <w:webHidden/>
          </w:rPr>
          <w:fldChar w:fldCharType="separate"/>
        </w:r>
        <w:r>
          <w:rPr>
            <w:noProof/>
            <w:webHidden/>
          </w:rPr>
          <w:t>2</w:t>
        </w:r>
        <w:r w:rsidR="007C1F89">
          <w:rPr>
            <w:noProof/>
            <w:webHidden/>
          </w:rPr>
          <w:fldChar w:fldCharType="end"/>
        </w:r>
      </w:hyperlink>
    </w:p>
    <w:p w:rsidR="007C1F89" w:rsidRDefault="005407A6">
      <w:pPr>
        <w:pStyle w:val="TOC1"/>
        <w:rPr>
          <w:rFonts w:asciiTheme="minorHAnsi" w:hAnsiTheme="minorHAnsi" w:cstheme="minorBidi"/>
          <w:caps w:val="0"/>
          <w:noProof/>
          <w:sz w:val="22"/>
          <w:szCs w:val="22"/>
          <w:lang w:eastAsia="ja-JP"/>
        </w:rPr>
      </w:pPr>
      <w:hyperlink w:anchor="_Toc436405256" w:history="1">
        <w:r w:rsidR="007C1F89" w:rsidRPr="00970ECF">
          <w:rPr>
            <w:rStyle w:val="Hyperlink"/>
            <w:noProof/>
          </w:rPr>
          <w:t>PROPOSAL</w:t>
        </w:r>
        <w:r w:rsidR="007C1F89">
          <w:rPr>
            <w:noProof/>
            <w:webHidden/>
          </w:rPr>
          <w:tab/>
        </w:r>
        <w:r w:rsidR="007C1F89">
          <w:rPr>
            <w:noProof/>
            <w:webHidden/>
          </w:rPr>
          <w:fldChar w:fldCharType="begin"/>
        </w:r>
        <w:r w:rsidR="007C1F89">
          <w:rPr>
            <w:noProof/>
            <w:webHidden/>
          </w:rPr>
          <w:instrText xml:space="preserve"> PAGEREF _Toc436405256 \h </w:instrText>
        </w:r>
        <w:r w:rsidR="007C1F89">
          <w:rPr>
            <w:noProof/>
            <w:webHidden/>
          </w:rPr>
        </w:r>
        <w:r w:rsidR="007C1F89">
          <w:rPr>
            <w:noProof/>
            <w:webHidden/>
          </w:rPr>
          <w:fldChar w:fldCharType="separate"/>
        </w:r>
        <w:r>
          <w:rPr>
            <w:noProof/>
            <w:webHidden/>
          </w:rPr>
          <w:t>3</w:t>
        </w:r>
        <w:r w:rsidR="007C1F89">
          <w:rPr>
            <w:noProof/>
            <w:webHidden/>
          </w:rPr>
          <w:fldChar w:fldCharType="end"/>
        </w:r>
      </w:hyperlink>
    </w:p>
    <w:p w:rsidR="00421884" w:rsidRPr="00E9743E" w:rsidRDefault="00421884" w:rsidP="00421884">
      <w:r>
        <w:rPr>
          <w:snapToGrid w:val="0"/>
        </w:rPr>
        <w:fldChar w:fldCharType="end"/>
      </w:r>
    </w:p>
    <w:p w:rsidR="00421884" w:rsidRDefault="00421884" w:rsidP="00421884">
      <w:r>
        <w:fldChar w:fldCharType="begin"/>
      </w:r>
      <w:r>
        <w:instrText xml:space="preserve"> AUTONUM  </w:instrText>
      </w:r>
      <w:r>
        <w:fldChar w:fldCharType="end"/>
      </w:r>
      <w:r>
        <w:tab/>
        <w:t>The following abbreviations are used in this document:</w:t>
      </w:r>
    </w:p>
    <w:p w:rsidR="00421884" w:rsidRPr="00130A6C" w:rsidRDefault="00421884" w:rsidP="00421884">
      <w:pPr>
        <w:rPr>
          <w:color w:val="000000"/>
          <w:sz w:val="16"/>
        </w:rPr>
      </w:pPr>
    </w:p>
    <w:p w:rsidR="00421884" w:rsidRDefault="00421884" w:rsidP="00421884">
      <w:pPr>
        <w:ind w:left="1701" w:hanging="1134"/>
      </w:pPr>
      <w:r>
        <w:t xml:space="preserve">CAJ:  </w:t>
      </w:r>
      <w:r>
        <w:tab/>
        <w:t xml:space="preserve">Administrative and Legal Committee </w:t>
      </w:r>
    </w:p>
    <w:p w:rsidR="00421884" w:rsidRDefault="00421884" w:rsidP="00421884">
      <w:pPr>
        <w:ind w:left="1701" w:hanging="1134"/>
      </w:pPr>
      <w:r>
        <w:t xml:space="preserve">TC:  </w:t>
      </w:r>
      <w:r>
        <w:tab/>
        <w:t>Technical Committee</w:t>
      </w:r>
    </w:p>
    <w:p w:rsidR="00421884" w:rsidRDefault="00421884" w:rsidP="00421884">
      <w:pPr>
        <w:ind w:left="1701" w:hanging="1134"/>
      </w:pPr>
      <w:r>
        <w:t xml:space="preserve">TC-EDC:  </w:t>
      </w:r>
      <w:r>
        <w:tab/>
        <w:t>Enlarged Editorial Committee</w:t>
      </w:r>
    </w:p>
    <w:p w:rsidR="00421884" w:rsidRDefault="00421884" w:rsidP="00421884">
      <w:pPr>
        <w:ind w:left="1701" w:hanging="1134"/>
      </w:pPr>
      <w:r>
        <w:t xml:space="preserve">TWA:  </w:t>
      </w:r>
      <w:r>
        <w:tab/>
        <w:t>Technical Working Party for Agricultural Crops</w:t>
      </w:r>
    </w:p>
    <w:p w:rsidR="00421884" w:rsidRDefault="00421884" w:rsidP="00421884">
      <w:pPr>
        <w:ind w:left="1701" w:hanging="1134"/>
      </w:pPr>
      <w:r>
        <w:t xml:space="preserve">TWC:  </w:t>
      </w:r>
      <w:r>
        <w:tab/>
        <w:t>Technical Working Party on Automation and Computer Programs</w:t>
      </w:r>
    </w:p>
    <w:p w:rsidR="00421884" w:rsidRDefault="00421884" w:rsidP="00421884">
      <w:pPr>
        <w:ind w:left="1701" w:hanging="1134"/>
      </w:pPr>
      <w:r>
        <w:t xml:space="preserve">TWF:  </w:t>
      </w:r>
      <w:r>
        <w:tab/>
        <w:t xml:space="preserve">Technical Working Party for Fruit Crops </w:t>
      </w:r>
    </w:p>
    <w:p w:rsidR="00421884" w:rsidRDefault="00421884" w:rsidP="00421884">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421884" w:rsidRDefault="00421884" w:rsidP="00421884">
      <w:pPr>
        <w:ind w:left="1701" w:hanging="1134"/>
      </w:pPr>
      <w:r>
        <w:t xml:space="preserve">TWV:  </w:t>
      </w:r>
      <w:r>
        <w:tab/>
        <w:t>Technical Working Party for Vegetables</w:t>
      </w:r>
    </w:p>
    <w:p w:rsidR="00421884" w:rsidRDefault="00421884" w:rsidP="00421884">
      <w:pPr>
        <w:ind w:left="1701" w:hanging="1134"/>
        <w:rPr>
          <w:color w:val="000000"/>
        </w:rPr>
      </w:pPr>
      <w:r>
        <w:rPr>
          <w:color w:val="000000"/>
        </w:rPr>
        <w:t>TWPs:</w:t>
      </w:r>
      <w:r>
        <w:rPr>
          <w:color w:val="000000"/>
        </w:rPr>
        <w:tab/>
        <w:t>Technical Working Parties</w:t>
      </w:r>
    </w:p>
    <w:p w:rsidR="004D3729" w:rsidRDefault="004D3729" w:rsidP="008C3AA6">
      <w:pPr>
        <w:rPr>
          <w:lang w:eastAsia="ja-JP"/>
        </w:rPr>
      </w:pPr>
    </w:p>
    <w:p w:rsidR="00421884" w:rsidRDefault="00421884" w:rsidP="00421884">
      <w:pPr>
        <w:pStyle w:val="Heading1"/>
      </w:pPr>
      <w:bookmarkStart w:id="5" w:name="_Toc436405254"/>
      <w:r>
        <w:t>BACKGROUND</w:t>
      </w:r>
      <w:bookmarkEnd w:id="5"/>
    </w:p>
    <w:p w:rsidR="00421884" w:rsidRDefault="00421884" w:rsidP="00421884">
      <w:pPr>
        <w:rPr>
          <w:lang w:eastAsia="ja-JP"/>
        </w:rPr>
      </w:pPr>
    </w:p>
    <w:p w:rsidR="00CA6CB7" w:rsidRPr="00CA6CB7" w:rsidRDefault="00CA6CB7" w:rsidP="00CA6CB7">
      <w:pPr>
        <w:autoSpaceDE w:val="0"/>
        <w:autoSpaceDN w:val="0"/>
        <w:adjustRightInd w:val="0"/>
        <w:rPr>
          <w:rFonts w:cs="Arial"/>
        </w:rPr>
      </w:pPr>
      <w:r w:rsidRPr="00CA6CB7">
        <w:fldChar w:fldCharType="begin"/>
      </w:r>
      <w:r w:rsidRPr="00CA6CB7">
        <w:instrText xml:space="preserve"> AUTONUM  </w:instrText>
      </w:r>
      <w:r w:rsidRPr="00CA6CB7">
        <w:fldChar w:fldCharType="end"/>
      </w:r>
      <w:r w:rsidRPr="00CA6CB7">
        <w:tab/>
      </w:r>
      <w:r w:rsidRPr="00CA6CB7">
        <w:rPr>
          <w:rFonts w:cs="Arial"/>
        </w:rPr>
        <w:t>The 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CA6CB7" w:rsidRPr="00CA6CB7" w:rsidRDefault="00CA6CB7" w:rsidP="00CA6CB7">
      <w:pPr>
        <w:autoSpaceDE w:val="0"/>
        <w:autoSpaceDN w:val="0"/>
        <w:adjustRightInd w:val="0"/>
      </w:pPr>
      <w:r w:rsidRPr="00CA6CB7">
        <w:lastRenderedPageBreak/>
        <w:fldChar w:fldCharType="begin"/>
      </w:r>
      <w:r w:rsidRPr="00CA6CB7">
        <w:instrText xml:space="preserve"> AUTONUM  </w:instrText>
      </w:r>
      <w:r w:rsidRPr="00CA6CB7">
        <w:fldChar w:fldCharType="end"/>
      </w:r>
      <w:r w:rsidRPr="00CA6CB7">
        <w:tab/>
      </w:r>
      <w:r w:rsidRPr="00CA6CB7">
        <w:rPr>
          <w:rFonts w:cs="Arial"/>
        </w:rPr>
        <w:t xml:space="preserve">The </w:t>
      </w:r>
      <w:r w:rsidRPr="00CA6CB7">
        <w:rPr>
          <w:rFonts w:hint="eastAsia"/>
          <w:lang w:eastAsia="ja-JP"/>
        </w:rPr>
        <w:t>Consultative Committee</w:t>
      </w:r>
      <w:r w:rsidR="00D40F4B">
        <w:rPr>
          <w:rFonts w:cs="Arial"/>
        </w:rPr>
        <w:t>, at its eighty-sixth session</w:t>
      </w:r>
      <w:r w:rsidRPr="00CA6CB7">
        <w:rPr>
          <w:rFonts w:cs="Arial"/>
        </w:rPr>
        <w:t xml:space="preserve"> held in Geneva</w:t>
      </w:r>
      <w:r w:rsidR="00D40F4B">
        <w:rPr>
          <w:rFonts w:cs="Arial" w:hint="eastAsia"/>
          <w:lang w:eastAsia="ja-JP"/>
        </w:rPr>
        <w:t>,</w:t>
      </w:r>
      <w:r w:rsidRPr="00CA6CB7">
        <w:rPr>
          <w:rFonts w:cs="Arial"/>
        </w:rPr>
        <w:t xml:space="preserve"> on October 23 and 24, 2013, considered a series of answers to frequently asked questions.  One of the questions included was “Does UPOV allow molecular techniques (DNA profiles) in the DUS examination?” In that regard </w:t>
      </w:r>
      <w:r w:rsidRPr="00CA6CB7">
        <w:rPr>
          <w:rFonts w:hint="eastAsia"/>
          <w:lang w:eastAsia="ja-JP"/>
        </w:rPr>
        <w:t xml:space="preserve">the Consultative Committee </w:t>
      </w:r>
      <w:r w:rsidRPr="00CA6CB7">
        <w:rPr>
          <w:rFonts w:cs="Arial"/>
        </w:rPr>
        <w:t xml:space="preserve">agreed that the answer should be developed via the Technical Committee. </w:t>
      </w:r>
      <w:r w:rsidRPr="00CA6CB7">
        <w:rPr>
          <w:lang w:eastAsia="ja-JP"/>
        </w:rPr>
        <w:t>T</w:t>
      </w:r>
      <w:r w:rsidRPr="00CA6CB7">
        <w:rPr>
          <w:rFonts w:hint="eastAsia"/>
          <w:lang w:eastAsia="ja-JP"/>
        </w:rPr>
        <w:t xml:space="preserve">he Consultative Committee </w:t>
      </w:r>
      <w:r w:rsidRPr="00CA6CB7">
        <w:rPr>
          <w:rFonts w:cs="Arial"/>
        </w:rPr>
        <w:t>agreed to consider draft answers to this and other frequently asked questions at its eighty</w:t>
      </w:r>
      <w:r w:rsidRPr="00CA6CB7">
        <w:rPr>
          <w:rFonts w:cs="Arial"/>
        </w:rPr>
        <w:noBreakHyphen/>
        <w:t>seventh session, held in Geneva on April 11, 2014.</w:t>
      </w:r>
    </w:p>
    <w:p w:rsidR="00CA6CB7" w:rsidRPr="00CA6CB7" w:rsidRDefault="00CA6CB7" w:rsidP="00CA6CB7"/>
    <w:p w:rsidR="00CA6CB7" w:rsidRPr="00CA6CB7" w:rsidRDefault="00CA6CB7" w:rsidP="00CA6CB7">
      <w:pPr>
        <w:rPr>
          <w:rFonts w:cs="Arial"/>
        </w:rPr>
      </w:pPr>
      <w:r w:rsidRPr="00CA6CB7">
        <w:fldChar w:fldCharType="begin"/>
      </w:r>
      <w:r w:rsidRPr="00CA6CB7">
        <w:instrText xml:space="preserve"> AUTONUM  </w:instrText>
      </w:r>
      <w:r w:rsidRPr="00CA6CB7">
        <w:fldChar w:fldCharType="end"/>
      </w:r>
      <w:r w:rsidRPr="00CA6CB7">
        <w:tab/>
      </w:r>
      <w:r w:rsidRPr="00CA6CB7">
        <w:rPr>
          <w:rFonts w:eastAsia="MS Mincho" w:cs="Arial"/>
          <w:snapToGrid w:val="0"/>
        </w:rPr>
        <w:t>The TC, at its fiftieth session, held in Geneva</w:t>
      </w:r>
      <w:r w:rsidR="00D40F4B">
        <w:rPr>
          <w:rFonts w:eastAsia="MS Mincho" w:cs="Arial"/>
          <w:snapToGrid w:val="0"/>
        </w:rPr>
        <w:t xml:space="preserve"> </w:t>
      </w:r>
      <w:r w:rsidR="00D40F4B">
        <w:rPr>
          <w:rFonts w:eastAsia="MS Mincho" w:cs="Arial" w:hint="eastAsia"/>
          <w:snapToGrid w:val="0"/>
          <w:lang w:eastAsia="ja-JP"/>
        </w:rPr>
        <w:t>from</w:t>
      </w:r>
      <w:r w:rsidRPr="00CA6CB7">
        <w:rPr>
          <w:rFonts w:eastAsia="MS Mincho" w:cs="Arial"/>
          <w:snapToGrid w:val="0"/>
        </w:rPr>
        <w:t xml:space="preserve"> April 7 to 9, 2014 and the CAJ, at its sixty-ninth session, held in Geneva on April 10, 2014, agreed</w:t>
      </w:r>
      <w:r w:rsidRPr="00CA6CB7">
        <w:t xml:space="preserve"> the proposed explanation of </w:t>
      </w:r>
      <w:r w:rsidRPr="00CA6CB7">
        <w:rPr>
          <w:rFonts w:cs="Arial"/>
        </w:rPr>
        <w:t>the situation in UPOV with regard to the use of molecular techniques.</w:t>
      </w:r>
    </w:p>
    <w:p w:rsidR="00CA6CB7" w:rsidRPr="00CA6CB7" w:rsidRDefault="00CA6CB7" w:rsidP="00CA6CB7">
      <w:pPr>
        <w:rPr>
          <w:sz w:val="18"/>
          <w:szCs w:val="18"/>
        </w:rPr>
      </w:pPr>
    </w:p>
    <w:p w:rsidR="00CA6CB7" w:rsidRPr="00CA6CB7" w:rsidRDefault="00CA6CB7" w:rsidP="00CA6CB7">
      <w:r w:rsidRPr="00CA6CB7">
        <w:fldChar w:fldCharType="begin"/>
      </w:r>
      <w:r w:rsidRPr="00CA6CB7">
        <w:instrText xml:space="preserve"> AUTONUM  </w:instrText>
      </w:r>
      <w:r w:rsidRPr="00CA6CB7">
        <w:fldChar w:fldCharType="end"/>
      </w:r>
      <w:r w:rsidRPr="00CA6CB7">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r w:rsidRPr="00CA6CB7">
        <w:rPr>
          <w:rFonts w:hint="eastAsia"/>
          <w:lang w:eastAsia="ja-JP"/>
        </w:rPr>
        <w:t xml:space="preserve"> (see document TC/50/36 </w:t>
      </w:r>
      <w:r w:rsidRPr="00CA6CB7">
        <w:rPr>
          <w:lang w:eastAsia="ja-JP"/>
        </w:rPr>
        <w:t>“</w:t>
      </w:r>
      <w:r w:rsidRPr="00CA6CB7">
        <w:rPr>
          <w:rFonts w:hint="eastAsia"/>
          <w:lang w:eastAsia="ja-JP"/>
        </w:rPr>
        <w:t>Report on the Conclusions</w:t>
      </w:r>
      <w:r w:rsidRPr="00CA6CB7">
        <w:rPr>
          <w:lang w:eastAsia="ja-JP"/>
        </w:rPr>
        <w:t>”</w:t>
      </w:r>
      <w:r w:rsidRPr="00CA6CB7">
        <w:rPr>
          <w:rFonts w:hint="eastAsia"/>
          <w:lang w:eastAsia="ja-JP"/>
        </w:rPr>
        <w:t>, paragraph 83 to 85)</w:t>
      </w:r>
      <w:r w:rsidRPr="00CA6CB7">
        <w:t>.</w:t>
      </w:r>
    </w:p>
    <w:p w:rsidR="00CA6CB7" w:rsidRPr="00CA6CB7" w:rsidRDefault="00CA6CB7" w:rsidP="00CA6CB7">
      <w:pPr>
        <w:rPr>
          <w:lang w:eastAsia="ja-JP"/>
        </w:rPr>
      </w:pPr>
    </w:p>
    <w:p w:rsidR="00CA6CB7" w:rsidRPr="00CA6CB7" w:rsidRDefault="00CA6CB7" w:rsidP="00CA6CB7">
      <w:pPr>
        <w:rPr>
          <w:snapToGrid w:val="0"/>
          <w:color w:val="000000" w:themeColor="text1"/>
        </w:rPr>
      </w:pPr>
      <w:r w:rsidRPr="00CA6CB7">
        <w:rPr>
          <w:snapToGrid w:val="0"/>
          <w:color w:val="000000" w:themeColor="text1"/>
        </w:rPr>
        <w:fldChar w:fldCharType="begin"/>
      </w:r>
      <w:r w:rsidRPr="00CA6CB7">
        <w:rPr>
          <w:snapToGrid w:val="0"/>
          <w:color w:val="000000" w:themeColor="text1"/>
        </w:rPr>
        <w:instrText xml:space="preserve"> AUTONUM  </w:instrText>
      </w:r>
      <w:r w:rsidRPr="00CA6CB7">
        <w:rPr>
          <w:snapToGrid w:val="0"/>
          <w:color w:val="000000" w:themeColor="text1"/>
        </w:rPr>
        <w:fldChar w:fldCharType="end"/>
      </w:r>
      <w:r w:rsidRPr="00CA6CB7">
        <w:rPr>
          <w:snapToGrid w:val="0"/>
          <w:color w:val="000000" w:themeColor="text1"/>
        </w:rPr>
        <w:tab/>
        <w:t>The Consultative Committee, at its eighty</w:t>
      </w:r>
      <w:r w:rsidR="00D40F4B">
        <w:rPr>
          <w:snapToGrid w:val="0"/>
          <w:color w:val="000000" w:themeColor="text1"/>
        </w:rPr>
        <w:t>-eighth session, held in Geneva</w:t>
      </w:r>
      <w:r w:rsidRPr="00CA6CB7">
        <w:rPr>
          <w:snapToGrid w:val="0"/>
          <w:color w:val="000000" w:themeColor="text1"/>
        </w:rPr>
        <w:t xml:space="preserve"> on October 15, 2014, agreed that the draft FAQ concerning information on the situation in UPOV with regard to the use of molecular techniques for a wider audience, including the public in general, should be referred to the Technical Committee for consideration (see document C/48/19 “Report by the President on the work of the eighty-sixth session of the Consultative Committee; adoption of recommendations, if any, prepared by that Committee”, paragraph 48).</w:t>
      </w:r>
    </w:p>
    <w:p w:rsidR="00CA6CB7" w:rsidRPr="00CA6CB7" w:rsidRDefault="00CA6CB7" w:rsidP="00CA6CB7">
      <w:pPr>
        <w:rPr>
          <w:snapToGrid w:val="0"/>
          <w:color w:val="000000" w:themeColor="text1"/>
        </w:rPr>
      </w:pPr>
    </w:p>
    <w:p w:rsidR="00CA6CB7" w:rsidRPr="00CA6CB7" w:rsidRDefault="00CA6CB7" w:rsidP="00CA6CB7">
      <w:pPr>
        <w:rPr>
          <w:snapToGrid w:val="0"/>
          <w:color w:val="000000" w:themeColor="text1"/>
          <w:lang w:eastAsia="ja-JP"/>
        </w:rPr>
      </w:pPr>
      <w:r w:rsidRPr="00CA6CB7">
        <w:rPr>
          <w:snapToGrid w:val="0"/>
          <w:color w:val="000000" w:themeColor="text1"/>
        </w:rPr>
        <w:fldChar w:fldCharType="begin"/>
      </w:r>
      <w:r w:rsidRPr="00CA6CB7">
        <w:rPr>
          <w:snapToGrid w:val="0"/>
          <w:color w:val="000000" w:themeColor="text1"/>
        </w:rPr>
        <w:instrText xml:space="preserve"> AUTONUM  </w:instrText>
      </w:r>
      <w:r w:rsidRPr="00CA6CB7">
        <w:rPr>
          <w:snapToGrid w:val="0"/>
          <w:color w:val="000000" w:themeColor="text1"/>
        </w:rPr>
        <w:fldChar w:fldCharType="end"/>
      </w:r>
      <w:r w:rsidRPr="00CA6CB7">
        <w:rPr>
          <w:snapToGrid w:val="0"/>
          <w:color w:val="000000" w:themeColor="text1"/>
        </w:rPr>
        <w:tab/>
        <w:t xml:space="preserve">The TC, at its fifty-first session, </w:t>
      </w:r>
      <w:r w:rsidR="00D40F4B">
        <w:rPr>
          <w:rFonts w:hint="eastAsia"/>
          <w:snapToGrid w:val="0"/>
          <w:color w:val="000000" w:themeColor="text1"/>
          <w:lang w:eastAsia="ja-JP"/>
        </w:rPr>
        <w:t xml:space="preserve">held in Geneva from March 23 to 25, 2015, </w:t>
      </w:r>
      <w:r w:rsidRPr="00CA6CB7">
        <w:rPr>
          <w:snapToGrid w:val="0"/>
          <w:color w:val="000000" w:themeColor="text1"/>
        </w:rPr>
        <w:t xml:space="preserve">considered the development of a draft question and answer concerning the information on the situation in UPOV with regard to the use of molecular techniques for a wider audience, including the public in general. The TC agreed to request the TWPs, at their sessions in 2015, to consider the </w:t>
      </w:r>
      <w:r w:rsidR="006F59A4">
        <w:rPr>
          <w:rFonts w:hint="eastAsia"/>
          <w:snapToGrid w:val="0"/>
          <w:color w:val="000000" w:themeColor="text1"/>
          <w:lang w:eastAsia="ja-JP"/>
        </w:rPr>
        <w:t xml:space="preserve">following </w:t>
      </w:r>
      <w:r w:rsidRPr="00CA6CB7">
        <w:rPr>
          <w:snapToGrid w:val="0"/>
          <w:color w:val="000000" w:themeColor="text1"/>
        </w:rPr>
        <w:t>initial draft discussed during the TC session (see document TC/51/39 “Report”, paragraph 181).</w:t>
      </w:r>
    </w:p>
    <w:p w:rsidR="001A7FD4" w:rsidRDefault="001A7FD4" w:rsidP="00CA6CB7">
      <w:pPr>
        <w:rPr>
          <w:snapToGrid w:val="0"/>
          <w:color w:val="000000" w:themeColor="text1"/>
          <w:lang w:eastAsia="ja-JP"/>
        </w:rPr>
      </w:pPr>
    </w:p>
    <w:p w:rsidR="006F59A4" w:rsidRPr="006F59A4" w:rsidRDefault="006F59A4" w:rsidP="006F59A4">
      <w:pPr>
        <w:ind w:left="567" w:right="567"/>
        <w:rPr>
          <w:rFonts w:eastAsia="Times New Roman"/>
          <w:sz w:val="18"/>
        </w:rPr>
      </w:pPr>
      <w:r w:rsidRPr="006F59A4">
        <w:rPr>
          <w:rFonts w:eastAsia="Times New Roman"/>
          <w:sz w:val="18"/>
        </w:rPr>
        <w:t>“Is it possible to obtain protection of a variety on the basis of its DNA-profile?</w:t>
      </w:r>
    </w:p>
    <w:p w:rsidR="006F59A4" w:rsidRPr="006F59A4" w:rsidRDefault="006F59A4" w:rsidP="006F59A4">
      <w:pPr>
        <w:ind w:left="567" w:right="567"/>
        <w:rPr>
          <w:rFonts w:eastAsia="Times New Roman"/>
          <w:sz w:val="18"/>
        </w:rPr>
      </w:pPr>
    </w:p>
    <w:p w:rsidR="006F59A4" w:rsidRPr="006F59A4" w:rsidRDefault="006F59A4" w:rsidP="006F59A4">
      <w:pPr>
        <w:ind w:left="567" w:right="567"/>
        <w:rPr>
          <w:rFonts w:eastAsia="Times New Roman"/>
          <w:sz w:val="18"/>
        </w:rPr>
      </w:pPr>
      <w:r w:rsidRPr="006F59A4">
        <w:rPr>
          <w:rFonts w:eastAsia="Times New Roman"/>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6F59A4" w:rsidRPr="006F59A4" w:rsidRDefault="006F59A4" w:rsidP="006F59A4">
      <w:pPr>
        <w:ind w:left="567" w:right="567"/>
        <w:rPr>
          <w:rFonts w:eastAsia="Times New Roman"/>
          <w:sz w:val="18"/>
        </w:rPr>
      </w:pPr>
    </w:p>
    <w:p w:rsidR="006F59A4" w:rsidRPr="006F59A4" w:rsidRDefault="006F59A4" w:rsidP="006F59A4">
      <w:pPr>
        <w:ind w:left="567" w:right="567"/>
        <w:rPr>
          <w:rFonts w:eastAsia="Times New Roman"/>
          <w:sz w:val="18"/>
        </w:rPr>
      </w:pPr>
      <w:r w:rsidRPr="006F59A4">
        <w:rPr>
          <w:rFonts w:eastAsia="Times New Roman"/>
          <w:sz w:val="18"/>
        </w:rPr>
        <w:t>“A more detailed explanation is provided in the FAQ ‘Does UPOV allow molecular techniques (DNA profiles) in the examination of Distinctness, Uniformity and Stability (“DUS”)?’</w:t>
      </w:r>
    </w:p>
    <w:p w:rsidR="006F59A4" w:rsidRPr="006F59A4" w:rsidRDefault="006F59A4" w:rsidP="006F59A4">
      <w:pPr>
        <w:ind w:left="567" w:right="567"/>
        <w:rPr>
          <w:rFonts w:eastAsia="Times New Roman"/>
          <w:sz w:val="18"/>
        </w:rPr>
      </w:pPr>
    </w:p>
    <w:p w:rsidR="006F59A4" w:rsidRPr="006F59A4" w:rsidRDefault="006F59A4" w:rsidP="006F59A4">
      <w:pPr>
        <w:ind w:left="567" w:right="567"/>
        <w:rPr>
          <w:rFonts w:eastAsia="Times New Roman"/>
          <w:sz w:val="18"/>
        </w:rPr>
      </w:pPr>
      <w:r w:rsidRPr="006F59A4">
        <w:rPr>
          <w:rFonts w:eastAsia="Times New Roman"/>
          <w:sz w:val="18"/>
        </w:rPr>
        <w:t>“See also:</w:t>
      </w:r>
    </w:p>
    <w:p w:rsidR="006F59A4" w:rsidRPr="006F59A4" w:rsidRDefault="006F59A4" w:rsidP="006F59A4">
      <w:pPr>
        <w:ind w:left="567" w:right="567"/>
        <w:rPr>
          <w:rFonts w:eastAsia="Times New Roman"/>
          <w:sz w:val="18"/>
        </w:rPr>
      </w:pPr>
      <w:r w:rsidRPr="006F59A4">
        <w:rPr>
          <w:rFonts w:eastAsia="Times New Roman"/>
          <w:sz w:val="18"/>
        </w:rPr>
        <w:t>“What are the requirements for protecting a new plant variety?”</w:t>
      </w:r>
    </w:p>
    <w:p w:rsidR="006F59A4" w:rsidRDefault="006F59A4" w:rsidP="00CA6CB7">
      <w:pPr>
        <w:rPr>
          <w:snapToGrid w:val="0"/>
          <w:color w:val="000000" w:themeColor="text1"/>
          <w:lang w:eastAsia="ja-JP"/>
        </w:rPr>
      </w:pPr>
    </w:p>
    <w:p w:rsidR="006F59A4" w:rsidRPr="00CA6CB7" w:rsidRDefault="006F59A4" w:rsidP="00CA6CB7">
      <w:pPr>
        <w:rPr>
          <w:snapToGrid w:val="0"/>
          <w:color w:val="000000" w:themeColor="text1"/>
          <w:lang w:eastAsia="ja-JP"/>
        </w:rPr>
      </w:pPr>
    </w:p>
    <w:p w:rsidR="00CA6CB7" w:rsidRDefault="00CA6CB7" w:rsidP="00CA6CB7">
      <w:pPr>
        <w:pStyle w:val="Heading1"/>
      </w:pPr>
      <w:bookmarkStart w:id="6" w:name="_Toc436405255"/>
      <w:r>
        <w:t>COMMENTS BY THE TECHNICAL WORKING PARTIES IN 2015</w:t>
      </w:r>
      <w:bookmarkEnd w:id="6"/>
    </w:p>
    <w:p w:rsidR="00CA6CB7" w:rsidRDefault="00CA6CB7" w:rsidP="00CA6CB7">
      <w:pPr>
        <w:rPr>
          <w:snapToGrid w:val="0"/>
          <w:color w:val="000000" w:themeColor="text1"/>
          <w:lang w:eastAsia="ja-JP"/>
        </w:rPr>
      </w:pPr>
    </w:p>
    <w:p w:rsidR="006F59A4" w:rsidRPr="006F59A4" w:rsidRDefault="006F59A4" w:rsidP="006F59A4">
      <w:pPr>
        <w:rPr>
          <w:rFonts w:eastAsia="Times New Roman"/>
          <w:snapToGrid w:val="0"/>
        </w:rPr>
      </w:pPr>
      <w:r w:rsidRPr="006F59A4">
        <w:rPr>
          <w:rFonts w:eastAsia="Times New Roman"/>
          <w:snapToGrid w:val="0"/>
        </w:rPr>
        <w:fldChar w:fldCharType="begin"/>
      </w:r>
      <w:r w:rsidRPr="006F59A4">
        <w:rPr>
          <w:rFonts w:eastAsia="Times New Roman"/>
          <w:snapToGrid w:val="0"/>
        </w:rPr>
        <w:instrText xml:space="preserve"> AUTONUM  </w:instrText>
      </w:r>
      <w:r w:rsidRPr="006F59A4">
        <w:rPr>
          <w:rFonts w:eastAsia="Times New Roman"/>
          <w:snapToGrid w:val="0"/>
        </w:rPr>
        <w:fldChar w:fldCharType="end"/>
      </w:r>
      <w:r w:rsidRPr="006F59A4">
        <w:rPr>
          <w:rFonts w:eastAsia="Times New Roman"/>
          <w:snapToGrid w:val="0"/>
        </w:rPr>
        <w:tab/>
        <w:t>The TWV, TWC, TWA, TWF and TWO considered documents TWV/49/</w:t>
      </w:r>
      <w:r>
        <w:rPr>
          <w:rFonts w:hint="eastAsia"/>
          <w:snapToGrid w:val="0"/>
          <w:lang w:eastAsia="ja-JP"/>
        </w:rPr>
        <w:t>2</w:t>
      </w:r>
      <w:r w:rsidRPr="006F59A4">
        <w:rPr>
          <w:rFonts w:eastAsia="Times New Roman"/>
          <w:snapToGrid w:val="0"/>
        </w:rPr>
        <w:t>, TWC/33/</w:t>
      </w:r>
      <w:r>
        <w:rPr>
          <w:rFonts w:hint="eastAsia"/>
          <w:snapToGrid w:val="0"/>
          <w:lang w:eastAsia="ja-JP"/>
        </w:rPr>
        <w:t>2</w:t>
      </w:r>
      <w:r w:rsidRPr="006F59A4">
        <w:rPr>
          <w:rFonts w:eastAsia="Times New Roman"/>
          <w:snapToGrid w:val="0"/>
        </w:rPr>
        <w:t>, TWA/44/</w:t>
      </w:r>
      <w:r>
        <w:rPr>
          <w:rFonts w:hint="eastAsia"/>
          <w:snapToGrid w:val="0"/>
          <w:lang w:eastAsia="ja-JP"/>
        </w:rPr>
        <w:t>2</w:t>
      </w:r>
      <w:r w:rsidRPr="006F59A4">
        <w:rPr>
          <w:rFonts w:eastAsia="Times New Roman"/>
          <w:snapToGrid w:val="0"/>
        </w:rPr>
        <w:t>, TWF/46/</w:t>
      </w:r>
      <w:r>
        <w:rPr>
          <w:rFonts w:hint="eastAsia"/>
          <w:snapToGrid w:val="0"/>
          <w:lang w:eastAsia="ja-JP"/>
        </w:rPr>
        <w:t>2</w:t>
      </w:r>
      <w:r w:rsidRPr="006F59A4">
        <w:rPr>
          <w:rFonts w:eastAsia="Times New Roman"/>
          <w:snapToGrid w:val="0"/>
        </w:rPr>
        <w:t xml:space="preserve"> and TWO/48/</w:t>
      </w:r>
      <w:r>
        <w:rPr>
          <w:rFonts w:hint="eastAsia"/>
          <w:snapToGrid w:val="0"/>
          <w:lang w:eastAsia="ja-JP"/>
        </w:rPr>
        <w:t>2</w:t>
      </w:r>
      <w:r w:rsidRPr="006F59A4">
        <w:rPr>
          <w:rFonts w:eastAsia="Times New Roman"/>
          <w:snapToGrid w:val="0"/>
        </w:rPr>
        <w:t>, respectively.</w:t>
      </w:r>
    </w:p>
    <w:p w:rsidR="006F59A4" w:rsidRPr="00CA6CB7" w:rsidRDefault="006F59A4" w:rsidP="00CA6CB7">
      <w:pPr>
        <w:rPr>
          <w:snapToGrid w:val="0"/>
          <w:color w:val="000000" w:themeColor="text1"/>
          <w:lang w:eastAsia="ja-JP"/>
        </w:rPr>
      </w:pPr>
    </w:p>
    <w:p w:rsidR="00CA6CB7" w:rsidRPr="00CA6CB7" w:rsidRDefault="00CA6CB7" w:rsidP="00CA6CB7">
      <w:pPr>
        <w:rPr>
          <w:lang w:eastAsia="ja-JP"/>
        </w:rPr>
      </w:pPr>
      <w:r w:rsidRPr="00CA6CB7">
        <w:rPr>
          <w:snapToGrid w:val="0"/>
        </w:rPr>
        <w:fldChar w:fldCharType="begin"/>
      </w:r>
      <w:r w:rsidRPr="00CA6CB7">
        <w:rPr>
          <w:snapToGrid w:val="0"/>
        </w:rPr>
        <w:instrText xml:space="preserve"> AUTONUM  </w:instrText>
      </w:r>
      <w:r w:rsidRPr="00CA6CB7">
        <w:rPr>
          <w:snapToGrid w:val="0"/>
        </w:rPr>
        <w:fldChar w:fldCharType="end"/>
      </w:r>
      <w:r w:rsidRPr="00CA6CB7">
        <w:rPr>
          <w:snapToGrid w:val="0"/>
        </w:rPr>
        <w:tab/>
        <w:t>The TWV, at its forty-ninth session,</w:t>
      </w:r>
      <w:r w:rsidR="00FD51AB">
        <w:rPr>
          <w:rFonts w:hint="eastAsia"/>
          <w:snapToGrid w:val="0"/>
          <w:lang w:eastAsia="ja-JP"/>
        </w:rPr>
        <w:t xml:space="preserve"> held in</w:t>
      </w:r>
      <w:r w:rsidR="00FD51AB" w:rsidRPr="00FD51AB">
        <w:t xml:space="preserve"> </w:t>
      </w:r>
      <w:r w:rsidR="00FD51AB" w:rsidRPr="00FD51AB">
        <w:rPr>
          <w:snapToGrid w:val="0"/>
          <w:lang w:eastAsia="ja-JP"/>
        </w:rPr>
        <w:t>Angers, France</w:t>
      </w:r>
      <w:r w:rsidR="006F59A4">
        <w:rPr>
          <w:rFonts w:hint="eastAsia"/>
          <w:snapToGrid w:val="0"/>
          <w:lang w:eastAsia="ja-JP"/>
        </w:rPr>
        <w:t>,</w:t>
      </w:r>
      <w:r w:rsidR="00FD51AB">
        <w:rPr>
          <w:rFonts w:hint="eastAsia"/>
          <w:snapToGrid w:val="0"/>
          <w:lang w:eastAsia="ja-JP"/>
        </w:rPr>
        <w:t xml:space="preserve"> from </w:t>
      </w:r>
      <w:r w:rsidR="00FD51AB" w:rsidRPr="00FD51AB">
        <w:rPr>
          <w:snapToGrid w:val="0"/>
          <w:lang w:eastAsia="ja-JP"/>
        </w:rPr>
        <w:t xml:space="preserve">June 15 to </w:t>
      </w:r>
      <w:r w:rsidR="00FD51AB">
        <w:rPr>
          <w:rFonts w:hint="eastAsia"/>
          <w:snapToGrid w:val="0"/>
          <w:lang w:eastAsia="ja-JP"/>
        </w:rPr>
        <w:t xml:space="preserve">19, 2015, </w:t>
      </w:r>
      <w:r w:rsidRPr="00CA6CB7">
        <w:rPr>
          <w:snapToGrid w:val="0"/>
        </w:rPr>
        <w:t xml:space="preserve"> and </w:t>
      </w:r>
      <w:r w:rsidR="006F59A4">
        <w:rPr>
          <w:rFonts w:hint="eastAsia"/>
          <w:snapToGrid w:val="0"/>
          <w:lang w:eastAsia="ja-JP"/>
        </w:rPr>
        <w:t xml:space="preserve">the </w:t>
      </w:r>
      <w:r w:rsidRPr="00CA6CB7">
        <w:rPr>
          <w:snapToGrid w:val="0"/>
        </w:rPr>
        <w:t xml:space="preserve">TWC, at its thirty-third session, </w:t>
      </w:r>
      <w:r w:rsidR="00FD51AB">
        <w:rPr>
          <w:rFonts w:hint="eastAsia"/>
          <w:snapToGrid w:val="0"/>
          <w:lang w:eastAsia="ja-JP"/>
        </w:rPr>
        <w:t>held in Natal, Brazil</w:t>
      </w:r>
      <w:r w:rsidR="006F59A4">
        <w:rPr>
          <w:rFonts w:hint="eastAsia"/>
          <w:snapToGrid w:val="0"/>
          <w:lang w:eastAsia="ja-JP"/>
        </w:rPr>
        <w:t>,</w:t>
      </w:r>
      <w:r w:rsidR="00FD51AB">
        <w:rPr>
          <w:rFonts w:hint="eastAsia"/>
          <w:snapToGrid w:val="0"/>
          <w:lang w:eastAsia="ja-JP"/>
        </w:rPr>
        <w:t xml:space="preserve"> from June 30 to July 2, 2015, </w:t>
      </w:r>
      <w:r w:rsidRPr="00CA6CB7">
        <w:rPr>
          <w:snapToGrid w:val="0"/>
        </w:rPr>
        <w:t>agreed with the initial draft question and answer concerning the information on the situation in UPOV with regard to the use of molecular techniques for a wider audience, including the public in general, discussed during the TC, at its fifty-first session (see documents</w:t>
      </w:r>
      <w:r w:rsidRPr="00CA6CB7">
        <w:rPr>
          <w:rFonts w:cs="Arial" w:hint="eastAsia"/>
          <w:shd w:val="clear" w:color="auto" w:fill="FFFFFF"/>
          <w:lang w:eastAsia="ja-JP"/>
        </w:rPr>
        <w:t xml:space="preserve"> TW</w:t>
      </w:r>
      <w:r w:rsidRPr="00CA6CB7">
        <w:rPr>
          <w:rFonts w:cs="Arial"/>
          <w:shd w:val="clear" w:color="auto" w:fill="FFFFFF"/>
          <w:lang w:eastAsia="ja-JP"/>
        </w:rPr>
        <w:t>V</w:t>
      </w:r>
      <w:r w:rsidRPr="00CA6CB7">
        <w:rPr>
          <w:rFonts w:cs="Arial" w:hint="eastAsia"/>
          <w:shd w:val="clear" w:color="auto" w:fill="FFFFFF"/>
          <w:lang w:eastAsia="ja-JP"/>
        </w:rPr>
        <w:t>/</w:t>
      </w:r>
      <w:r w:rsidRPr="00CA6CB7">
        <w:rPr>
          <w:rFonts w:cs="Arial"/>
          <w:shd w:val="clear" w:color="auto" w:fill="FFFFFF"/>
          <w:lang w:eastAsia="ja-JP"/>
        </w:rPr>
        <w:t>49</w:t>
      </w:r>
      <w:r w:rsidRPr="00CA6CB7">
        <w:rPr>
          <w:rFonts w:cs="Arial" w:hint="eastAsia"/>
          <w:shd w:val="clear" w:color="auto" w:fill="FFFFFF"/>
          <w:lang w:eastAsia="ja-JP"/>
        </w:rPr>
        <w:t>/</w:t>
      </w:r>
      <w:r w:rsidRPr="00CA6CB7">
        <w:rPr>
          <w:rFonts w:cs="Arial"/>
          <w:shd w:val="clear" w:color="auto" w:fill="FFFFFF"/>
          <w:lang w:eastAsia="ja-JP"/>
        </w:rPr>
        <w:t>32</w:t>
      </w:r>
      <w:r w:rsidRPr="00CA6CB7">
        <w:rPr>
          <w:rFonts w:cs="Arial" w:hint="eastAsia"/>
          <w:shd w:val="clear" w:color="auto" w:fill="FFFFFF"/>
          <w:lang w:eastAsia="ja-JP"/>
        </w:rPr>
        <w:t xml:space="preserve"> </w:t>
      </w:r>
      <w:r w:rsidRPr="00CA6CB7">
        <w:rPr>
          <w:rFonts w:cs="Arial"/>
          <w:shd w:val="clear" w:color="auto" w:fill="FFFFFF"/>
          <w:lang w:eastAsia="ja-JP"/>
        </w:rPr>
        <w:t>“</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xml:space="preserve">, paragraph </w:t>
      </w:r>
      <w:r w:rsidRPr="00CA6CB7">
        <w:rPr>
          <w:rFonts w:cs="Arial"/>
          <w:shd w:val="clear" w:color="auto" w:fill="FFFFFF"/>
          <w:lang w:eastAsia="ja-JP"/>
        </w:rPr>
        <w:t xml:space="preserve">15 and </w:t>
      </w:r>
      <w:r w:rsidRPr="00CA6CB7">
        <w:rPr>
          <w:rFonts w:cs="Arial" w:hint="eastAsia"/>
          <w:shd w:val="clear" w:color="auto" w:fill="FFFFFF"/>
          <w:lang w:eastAsia="ja-JP"/>
        </w:rPr>
        <w:t>TW</w:t>
      </w:r>
      <w:r w:rsidRPr="00CA6CB7">
        <w:rPr>
          <w:rFonts w:cs="Arial"/>
          <w:shd w:val="clear" w:color="auto" w:fill="FFFFFF"/>
          <w:lang w:eastAsia="ja-JP"/>
        </w:rPr>
        <w:t>C</w:t>
      </w:r>
      <w:r w:rsidRPr="00CA6CB7">
        <w:rPr>
          <w:rFonts w:cs="Arial" w:hint="eastAsia"/>
          <w:shd w:val="clear" w:color="auto" w:fill="FFFFFF"/>
          <w:lang w:eastAsia="ja-JP"/>
        </w:rPr>
        <w:t>/</w:t>
      </w:r>
      <w:r w:rsidRPr="00CA6CB7">
        <w:rPr>
          <w:rFonts w:cs="Arial"/>
          <w:shd w:val="clear" w:color="auto" w:fill="FFFFFF"/>
          <w:lang w:eastAsia="ja-JP"/>
        </w:rPr>
        <w:t>33</w:t>
      </w:r>
      <w:r w:rsidRPr="00CA6CB7">
        <w:rPr>
          <w:rFonts w:cs="Arial" w:hint="eastAsia"/>
          <w:shd w:val="clear" w:color="auto" w:fill="FFFFFF"/>
          <w:lang w:eastAsia="ja-JP"/>
        </w:rPr>
        <w:t>/</w:t>
      </w:r>
      <w:r w:rsidRPr="00CA6CB7">
        <w:rPr>
          <w:rFonts w:cs="Arial"/>
          <w:shd w:val="clear" w:color="auto" w:fill="FFFFFF"/>
          <w:lang w:eastAsia="ja-JP"/>
        </w:rPr>
        <w:t>30</w:t>
      </w:r>
      <w:r w:rsidRPr="00CA6CB7">
        <w:rPr>
          <w:rFonts w:cs="Arial" w:hint="eastAsia"/>
          <w:shd w:val="clear" w:color="auto" w:fill="FFFFFF"/>
          <w:lang w:eastAsia="ja-JP"/>
        </w:rPr>
        <w:t xml:space="preserve"> </w:t>
      </w:r>
      <w:r w:rsidRPr="00CA6CB7">
        <w:rPr>
          <w:rFonts w:cs="Arial"/>
          <w:shd w:val="clear" w:color="auto" w:fill="FFFFFF"/>
          <w:lang w:eastAsia="ja-JP"/>
        </w:rPr>
        <w:t>“</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xml:space="preserve">, paragraph </w:t>
      </w:r>
      <w:r w:rsidRPr="00CA6CB7">
        <w:rPr>
          <w:rFonts w:cs="Arial"/>
          <w:shd w:val="clear" w:color="auto" w:fill="FFFFFF"/>
          <w:lang w:eastAsia="ja-JP"/>
        </w:rPr>
        <w:t>1</w:t>
      </w:r>
      <w:r w:rsidRPr="00CA6CB7">
        <w:rPr>
          <w:rFonts w:cs="Arial" w:hint="eastAsia"/>
          <w:shd w:val="clear" w:color="auto" w:fill="FFFFFF"/>
          <w:lang w:eastAsia="ja-JP"/>
        </w:rPr>
        <w:t>1</w:t>
      </w:r>
      <w:r w:rsidRPr="00CA6CB7">
        <w:rPr>
          <w:rFonts w:cs="Arial"/>
          <w:shd w:val="clear" w:color="auto" w:fill="FFFFFF"/>
          <w:lang w:eastAsia="ja-JP"/>
        </w:rPr>
        <w:t>0</w:t>
      </w:r>
      <w:r w:rsidR="006F59A4">
        <w:rPr>
          <w:rFonts w:cs="Arial" w:hint="eastAsia"/>
          <w:shd w:val="clear" w:color="auto" w:fill="FFFFFF"/>
          <w:lang w:eastAsia="ja-JP"/>
        </w:rPr>
        <w:t>, respectively</w:t>
      </w:r>
      <w:r w:rsidRPr="00CA6CB7">
        <w:rPr>
          <w:rFonts w:cs="Arial"/>
          <w:shd w:val="clear" w:color="auto" w:fill="FFFFFF"/>
          <w:lang w:eastAsia="ja-JP"/>
        </w:rPr>
        <w:t>)</w:t>
      </w:r>
      <w:r w:rsidRPr="00CA6CB7">
        <w:rPr>
          <w:snapToGrid w:val="0"/>
        </w:rPr>
        <w:t>.</w:t>
      </w:r>
    </w:p>
    <w:p w:rsidR="00CA6CB7" w:rsidRPr="00CA6CB7" w:rsidRDefault="00CA6CB7" w:rsidP="00CA6CB7">
      <w:pPr>
        <w:rPr>
          <w:lang w:eastAsia="ja-JP"/>
        </w:rPr>
      </w:pPr>
    </w:p>
    <w:p w:rsidR="00CA6CB7" w:rsidRDefault="00CA6CB7" w:rsidP="00CA6CB7">
      <w:pPr>
        <w:rPr>
          <w:lang w:eastAsia="ja-JP"/>
        </w:rPr>
      </w:pPr>
      <w:r w:rsidRPr="00CA6CB7">
        <w:rPr>
          <w:snapToGrid w:val="0"/>
        </w:rPr>
        <w:fldChar w:fldCharType="begin"/>
      </w:r>
      <w:r w:rsidRPr="00CA6CB7">
        <w:rPr>
          <w:snapToGrid w:val="0"/>
        </w:rPr>
        <w:instrText xml:space="preserve"> AUTONUM  </w:instrText>
      </w:r>
      <w:r w:rsidRPr="00CA6CB7">
        <w:rPr>
          <w:snapToGrid w:val="0"/>
        </w:rPr>
        <w:fldChar w:fldCharType="end"/>
      </w:r>
      <w:r w:rsidRPr="00CA6CB7">
        <w:rPr>
          <w:snapToGrid w:val="0"/>
        </w:rPr>
        <w:tab/>
      </w:r>
      <w:r w:rsidRPr="00CA6CB7">
        <w:rPr>
          <w:lang w:eastAsia="ja-JP"/>
        </w:rPr>
        <w:t xml:space="preserve">The TWA, at its forty-forth session, </w:t>
      </w:r>
      <w:r w:rsidR="00FD51AB">
        <w:rPr>
          <w:rFonts w:hint="eastAsia"/>
          <w:lang w:eastAsia="ja-JP"/>
        </w:rPr>
        <w:t xml:space="preserve">held in </w:t>
      </w:r>
      <w:proofErr w:type="spellStart"/>
      <w:r w:rsidR="00FD51AB" w:rsidRPr="00FD51AB">
        <w:rPr>
          <w:lang w:eastAsia="ja-JP"/>
        </w:rPr>
        <w:t>Obihiro</w:t>
      </w:r>
      <w:proofErr w:type="spellEnd"/>
      <w:r w:rsidR="00FD51AB" w:rsidRPr="00FD51AB">
        <w:rPr>
          <w:lang w:eastAsia="ja-JP"/>
        </w:rPr>
        <w:t>, Japan</w:t>
      </w:r>
      <w:r w:rsidR="00FD51AB">
        <w:rPr>
          <w:rFonts w:hint="eastAsia"/>
          <w:lang w:eastAsia="ja-JP"/>
        </w:rPr>
        <w:t xml:space="preserve"> from </w:t>
      </w:r>
      <w:r w:rsidR="00FD51AB" w:rsidRPr="00FD51AB">
        <w:rPr>
          <w:lang w:eastAsia="ja-JP"/>
        </w:rPr>
        <w:t>July 6 to</w:t>
      </w:r>
      <w:r w:rsidR="00FD51AB">
        <w:rPr>
          <w:rFonts w:hint="eastAsia"/>
          <w:lang w:eastAsia="ja-JP"/>
        </w:rPr>
        <w:t xml:space="preserve"> 10, 2015, </w:t>
      </w:r>
      <w:r w:rsidR="006F59A4">
        <w:rPr>
          <w:rFonts w:hint="eastAsia"/>
          <w:lang w:eastAsia="ja-JP"/>
        </w:rPr>
        <w:t xml:space="preserve">the </w:t>
      </w:r>
      <w:r w:rsidRPr="00CA6CB7">
        <w:rPr>
          <w:lang w:eastAsia="ja-JP"/>
        </w:rPr>
        <w:t xml:space="preserve">TWF, at its forty-sixth session, </w:t>
      </w:r>
      <w:r w:rsidR="00FD51AB">
        <w:rPr>
          <w:rFonts w:hint="eastAsia"/>
          <w:lang w:eastAsia="ja-JP"/>
        </w:rPr>
        <w:t xml:space="preserve">held in </w:t>
      </w:r>
      <w:r w:rsidR="00FD51AB" w:rsidRPr="007512C7">
        <w:rPr>
          <w:lang w:eastAsia="ja-JP"/>
        </w:rPr>
        <w:t>Mpumalanga, South Africa</w:t>
      </w:r>
      <w:r w:rsidR="006F59A4">
        <w:rPr>
          <w:rFonts w:hint="eastAsia"/>
          <w:lang w:eastAsia="ja-JP"/>
        </w:rPr>
        <w:t>,</w:t>
      </w:r>
      <w:r w:rsidR="00FD51AB">
        <w:rPr>
          <w:rFonts w:hint="eastAsia"/>
          <w:lang w:eastAsia="ja-JP"/>
        </w:rPr>
        <w:t xml:space="preserve"> from </w:t>
      </w:r>
      <w:r w:rsidR="00FD51AB" w:rsidRPr="007512C7">
        <w:rPr>
          <w:lang w:eastAsia="ja-JP"/>
        </w:rPr>
        <w:t xml:space="preserve">August 24 to </w:t>
      </w:r>
      <w:r w:rsidR="00FD51AB">
        <w:rPr>
          <w:rFonts w:hint="eastAsia"/>
          <w:lang w:eastAsia="ja-JP"/>
        </w:rPr>
        <w:t xml:space="preserve">28, 2015, </w:t>
      </w:r>
      <w:r w:rsidRPr="00CA6CB7">
        <w:rPr>
          <w:lang w:eastAsia="ja-JP"/>
        </w:rPr>
        <w:t xml:space="preserve">and </w:t>
      </w:r>
      <w:r w:rsidR="006F59A4">
        <w:rPr>
          <w:rFonts w:hint="eastAsia"/>
          <w:lang w:eastAsia="ja-JP"/>
        </w:rPr>
        <w:t xml:space="preserve">the </w:t>
      </w:r>
      <w:r w:rsidRPr="00CA6CB7">
        <w:rPr>
          <w:lang w:eastAsia="ja-JP"/>
        </w:rPr>
        <w:t>TWO, at its forty</w:t>
      </w:r>
      <w:r w:rsidR="006F59A4">
        <w:rPr>
          <w:rFonts w:hint="eastAsia"/>
          <w:lang w:eastAsia="ja-JP"/>
        </w:rPr>
        <w:noBreakHyphen/>
      </w:r>
      <w:r w:rsidRPr="00CA6CB7">
        <w:rPr>
          <w:lang w:eastAsia="ja-JP"/>
        </w:rPr>
        <w:t>eighth session,</w:t>
      </w:r>
      <w:r w:rsidR="00FD51AB" w:rsidRPr="00FD51AB">
        <w:rPr>
          <w:rFonts w:hint="eastAsia"/>
          <w:lang w:eastAsia="ja-JP"/>
        </w:rPr>
        <w:t xml:space="preserve"> </w:t>
      </w:r>
      <w:r w:rsidR="00FD51AB">
        <w:rPr>
          <w:rFonts w:hint="eastAsia"/>
          <w:lang w:eastAsia="ja-JP"/>
        </w:rPr>
        <w:t xml:space="preserve">held in </w:t>
      </w:r>
      <w:r w:rsidR="00FD51AB" w:rsidRPr="007512C7">
        <w:rPr>
          <w:lang w:eastAsia="ja-JP"/>
        </w:rPr>
        <w:t>Cambridge, United Kingdom</w:t>
      </w:r>
      <w:r w:rsidR="006F59A4">
        <w:rPr>
          <w:rFonts w:hint="eastAsia"/>
          <w:lang w:eastAsia="ja-JP"/>
        </w:rPr>
        <w:t>,</w:t>
      </w:r>
      <w:r w:rsidR="00FD51AB">
        <w:rPr>
          <w:rFonts w:hint="eastAsia"/>
          <w:lang w:eastAsia="ja-JP"/>
        </w:rPr>
        <w:t xml:space="preserve"> from September 14 to 18, 2015,</w:t>
      </w:r>
      <w:r w:rsidRPr="00CA6CB7">
        <w:rPr>
          <w:lang w:eastAsia="ja-JP"/>
        </w:rPr>
        <w:t xml:space="preserve"> agreed to propose the text </w:t>
      </w:r>
      <w:r w:rsidRPr="00CA6CB7">
        <w:rPr>
          <w:snapToGrid w:val="0"/>
        </w:rPr>
        <w:t>of the initial draft question and answer concerning the information on the situation in UPOV with regard to the use of molecular techniques for a wider audience, including the public in general</w:t>
      </w:r>
      <w:r w:rsidRPr="00CA6CB7">
        <w:rPr>
          <w:lang w:eastAsia="ja-JP"/>
        </w:rPr>
        <w:t xml:space="preserve"> to read as </w:t>
      </w:r>
      <w:r w:rsidR="00FD63E1">
        <w:rPr>
          <w:rFonts w:hint="eastAsia"/>
          <w:lang w:eastAsia="ja-JP"/>
        </w:rPr>
        <w:t>f</w:t>
      </w:r>
      <w:r w:rsidR="006F59A4">
        <w:rPr>
          <w:rFonts w:hint="eastAsia"/>
          <w:lang w:eastAsia="ja-JP"/>
        </w:rPr>
        <w:t>ollows</w:t>
      </w:r>
      <w:r w:rsidRPr="00CA6CB7">
        <w:rPr>
          <w:lang w:eastAsia="ja-JP"/>
        </w:rPr>
        <w:t xml:space="preserve"> (see documents </w:t>
      </w:r>
      <w:r w:rsidRPr="00CA6CB7">
        <w:rPr>
          <w:rFonts w:cs="Arial" w:hint="eastAsia"/>
          <w:shd w:val="clear" w:color="auto" w:fill="FFFFFF"/>
          <w:lang w:eastAsia="ja-JP"/>
        </w:rPr>
        <w:t>TW</w:t>
      </w:r>
      <w:r w:rsidRPr="00CA6CB7">
        <w:rPr>
          <w:rFonts w:cs="Arial"/>
          <w:shd w:val="clear" w:color="auto" w:fill="FFFFFF"/>
          <w:lang w:eastAsia="ja-JP"/>
        </w:rPr>
        <w:t>A</w:t>
      </w:r>
      <w:r w:rsidRPr="00CA6CB7">
        <w:rPr>
          <w:rFonts w:cs="Arial" w:hint="eastAsia"/>
          <w:shd w:val="clear" w:color="auto" w:fill="FFFFFF"/>
          <w:lang w:eastAsia="ja-JP"/>
        </w:rPr>
        <w:t>/</w:t>
      </w:r>
      <w:r w:rsidRPr="00CA6CB7">
        <w:rPr>
          <w:rFonts w:cs="Arial"/>
          <w:shd w:val="clear" w:color="auto" w:fill="FFFFFF"/>
          <w:lang w:eastAsia="ja-JP"/>
        </w:rPr>
        <w:t>44</w:t>
      </w:r>
      <w:r w:rsidRPr="00CA6CB7">
        <w:rPr>
          <w:rFonts w:cs="Arial" w:hint="eastAsia"/>
          <w:shd w:val="clear" w:color="auto" w:fill="FFFFFF"/>
          <w:lang w:eastAsia="ja-JP"/>
        </w:rPr>
        <w:t>/</w:t>
      </w:r>
      <w:r w:rsidRPr="00CA6CB7">
        <w:rPr>
          <w:rFonts w:cs="Arial"/>
          <w:shd w:val="clear" w:color="auto" w:fill="FFFFFF"/>
          <w:lang w:eastAsia="ja-JP"/>
        </w:rPr>
        <w:t>23</w:t>
      </w:r>
      <w:r w:rsidRPr="00CA6CB7">
        <w:rPr>
          <w:rFonts w:cs="Arial" w:hint="eastAsia"/>
          <w:shd w:val="clear" w:color="auto" w:fill="FFFFFF"/>
          <w:lang w:eastAsia="ja-JP"/>
        </w:rPr>
        <w:t xml:space="preserve"> </w:t>
      </w:r>
      <w:r w:rsidRPr="00CA6CB7">
        <w:rPr>
          <w:rFonts w:cs="Arial"/>
          <w:shd w:val="clear" w:color="auto" w:fill="FFFFFF"/>
          <w:lang w:eastAsia="ja-JP"/>
        </w:rPr>
        <w:t>“</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paragraph</w:t>
      </w:r>
      <w:r w:rsidR="002A5EF8">
        <w:rPr>
          <w:rFonts w:cs="Arial"/>
          <w:shd w:val="clear" w:color="auto" w:fill="FFFFFF"/>
          <w:lang w:eastAsia="ja-JP"/>
        </w:rPr>
        <w:t> </w:t>
      </w:r>
      <w:r w:rsidRPr="00CA6CB7">
        <w:rPr>
          <w:rFonts w:cs="Arial"/>
          <w:shd w:val="clear" w:color="auto" w:fill="FFFFFF"/>
          <w:lang w:eastAsia="ja-JP"/>
        </w:rPr>
        <w:t xml:space="preserve">70, </w:t>
      </w:r>
      <w:r w:rsidRPr="00CA6CB7">
        <w:rPr>
          <w:rFonts w:cs="Arial" w:hint="eastAsia"/>
          <w:shd w:val="clear" w:color="auto" w:fill="FFFFFF"/>
          <w:lang w:eastAsia="ja-JP"/>
        </w:rPr>
        <w:t>TW</w:t>
      </w:r>
      <w:r w:rsidRPr="00CA6CB7">
        <w:rPr>
          <w:rFonts w:cs="Arial"/>
          <w:shd w:val="clear" w:color="auto" w:fill="FFFFFF"/>
          <w:lang w:eastAsia="ja-JP"/>
        </w:rPr>
        <w:t>F</w:t>
      </w:r>
      <w:r w:rsidRPr="00CA6CB7">
        <w:rPr>
          <w:rFonts w:cs="Arial" w:hint="eastAsia"/>
          <w:shd w:val="clear" w:color="auto" w:fill="FFFFFF"/>
          <w:lang w:eastAsia="ja-JP"/>
        </w:rPr>
        <w:t>/</w:t>
      </w:r>
      <w:r w:rsidRPr="00CA6CB7">
        <w:rPr>
          <w:rFonts w:cs="Arial"/>
          <w:shd w:val="clear" w:color="auto" w:fill="FFFFFF"/>
          <w:lang w:eastAsia="ja-JP"/>
        </w:rPr>
        <w:t>46</w:t>
      </w:r>
      <w:r w:rsidRPr="00CA6CB7">
        <w:rPr>
          <w:rFonts w:cs="Arial" w:hint="eastAsia"/>
          <w:shd w:val="clear" w:color="auto" w:fill="FFFFFF"/>
          <w:lang w:eastAsia="ja-JP"/>
        </w:rPr>
        <w:t>/</w:t>
      </w:r>
      <w:r w:rsidRPr="00CA6CB7">
        <w:rPr>
          <w:rFonts w:cs="Arial"/>
          <w:shd w:val="clear" w:color="auto" w:fill="FFFFFF"/>
          <w:lang w:eastAsia="ja-JP"/>
        </w:rPr>
        <w:t>29</w:t>
      </w:r>
      <w:r w:rsidRPr="00CA6CB7">
        <w:rPr>
          <w:rFonts w:cs="Arial" w:hint="eastAsia"/>
          <w:shd w:val="clear" w:color="auto" w:fill="FFFFFF"/>
          <w:lang w:eastAsia="ja-JP"/>
        </w:rPr>
        <w:t xml:space="preserve"> </w:t>
      </w:r>
      <w:r w:rsidRPr="00CA6CB7">
        <w:rPr>
          <w:rFonts w:cs="Arial"/>
          <w:shd w:val="clear" w:color="auto" w:fill="FFFFFF"/>
          <w:lang w:eastAsia="ja-JP"/>
        </w:rPr>
        <w:t>“</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xml:space="preserve">, paragraph </w:t>
      </w:r>
      <w:r w:rsidRPr="00CA6CB7">
        <w:rPr>
          <w:rFonts w:cs="Arial"/>
          <w:shd w:val="clear" w:color="auto" w:fill="FFFFFF"/>
          <w:lang w:eastAsia="ja-JP"/>
        </w:rPr>
        <w:t xml:space="preserve">72 and </w:t>
      </w:r>
      <w:r w:rsidRPr="00CA6CB7">
        <w:rPr>
          <w:rFonts w:cs="Arial" w:hint="eastAsia"/>
          <w:shd w:val="clear" w:color="auto" w:fill="FFFFFF"/>
          <w:lang w:eastAsia="ja-JP"/>
        </w:rPr>
        <w:t>TW</w:t>
      </w:r>
      <w:r w:rsidRPr="00CA6CB7">
        <w:rPr>
          <w:rFonts w:cs="Arial"/>
          <w:shd w:val="clear" w:color="auto" w:fill="FFFFFF"/>
          <w:lang w:eastAsia="ja-JP"/>
        </w:rPr>
        <w:t>O</w:t>
      </w:r>
      <w:r w:rsidRPr="00CA6CB7">
        <w:rPr>
          <w:rFonts w:cs="Arial" w:hint="eastAsia"/>
          <w:shd w:val="clear" w:color="auto" w:fill="FFFFFF"/>
          <w:lang w:eastAsia="ja-JP"/>
        </w:rPr>
        <w:t>/</w:t>
      </w:r>
      <w:r w:rsidRPr="00CA6CB7">
        <w:rPr>
          <w:rFonts w:cs="Arial"/>
          <w:shd w:val="clear" w:color="auto" w:fill="FFFFFF"/>
          <w:lang w:eastAsia="ja-JP"/>
        </w:rPr>
        <w:t>48</w:t>
      </w:r>
      <w:r w:rsidRPr="00CA6CB7">
        <w:rPr>
          <w:rFonts w:cs="Arial" w:hint="eastAsia"/>
          <w:shd w:val="clear" w:color="auto" w:fill="FFFFFF"/>
          <w:lang w:eastAsia="ja-JP"/>
        </w:rPr>
        <w:t>/</w:t>
      </w:r>
      <w:r w:rsidRPr="00CA6CB7">
        <w:rPr>
          <w:rFonts w:cs="Arial"/>
          <w:shd w:val="clear" w:color="auto" w:fill="FFFFFF"/>
          <w:lang w:eastAsia="ja-JP"/>
        </w:rPr>
        <w:t>26</w:t>
      </w:r>
      <w:r w:rsidRPr="00CA6CB7">
        <w:rPr>
          <w:rFonts w:cs="Arial" w:hint="eastAsia"/>
          <w:shd w:val="clear" w:color="auto" w:fill="FFFFFF"/>
          <w:lang w:eastAsia="ja-JP"/>
        </w:rPr>
        <w:t xml:space="preserve"> </w:t>
      </w:r>
      <w:r w:rsidRPr="00CA6CB7">
        <w:rPr>
          <w:rFonts w:cs="Arial"/>
          <w:shd w:val="clear" w:color="auto" w:fill="FFFFFF"/>
          <w:lang w:eastAsia="ja-JP"/>
        </w:rPr>
        <w:t>“</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xml:space="preserve">, paragraph </w:t>
      </w:r>
      <w:r w:rsidRPr="00CA6CB7">
        <w:rPr>
          <w:rFonts w:cs="Arial"/>
          <w:shd w:val="clear" w:color="auto" w:fill="FFFFFF"/>
          <w:lang w:eastAsia="ja-JP"/>
        </w:rPr>
        <w:t>80</w:t>
      </w:r>
      <w:r w:rsidR="00FD63E1">
        <w:rPr>
          <w:rFonts w:cs="Arial" w:hint="eastAsia"/>
          <w:shd w:val="clear" w:color="auto" w:fill="FFFFFF"/>
          <w:lang w:eastAsia="ja-JP"/>
        </w:rPr>
        <w:t>, respectively</w:t>
      </w:r>
      <w:r w:rsidRPr="00CA6CB7">
        <w:rPr>
          <w:rFonts w:cs="Arial"/>
          <w:shd w:val="clear" w:color="auto" w:fill="FFFFFF"/>
          <w:lang w:eastAsia="ja-JP"/>
        </w:rPr>
        <w:t>)</w:t>
      </w:r>
      <w:r w:rsidR="00FD63E1">
        <w:rPr>
          <w:rFonts w:hint="eastAsia"/>
          <w:lang w:eastAsia="ja-JP"/>
        </w:rPr>
        <w:t>:</w:t>
      </w:r>
    </w:p>
    <w:p w:rsidR="00FD63E1" w:rsidRDefault="00FD63E1" w:rsidP="00CA6CB7">
      <w:pPr>
        <w:rPr>
          <w:lang w:eastAsia="ja-JP"/>
        </w:rPr>
      </w:pPr>
    </w:p>
    <w:p w:rsidR="00CA3735" w:rsidRDefault="00CA3735" w:rsidP="00CA6CB7">
      <w:pPr>
        <w:rPr>
          <w:lang w:eastAsia="ja-JP"/>
        </w:rPr>
      </w:pPr>
    </w:p>
    <w:p w:rsidR="00CA3735" w:rsidRDefault="00CA3735" w:rsidP="00CA6CB7">
      <w:pPr>
        <w:rPr>
          <w:lang w:eastAsia="ja-JP"/>
        </w:rPr>
      </w:pPr>
    </w:p>
    <w:p w:rsidR="00FD63E1" w:rsidRPr="00CA6CB7" w:rsidRDefault="00FD63E1" w:rsidP="00FD63E1">
      <w:pPr>
        <w:ind w:left="567"/>
        <w:rPr>
          <w:rFonts w:eastAsia="Times New Roman" w:cs="Arial"/>
          <w:sz w:val="18"/>
          <w:szCs w:val="24"/>
        </w:rPr>
      </w:pPr>
      <w:r w:rsidRPr="00CA6CB7">
        <w:rPr>
          <w:rFonts w:eastAsia="Times New Roman" w:cs="Arial"/>
          <w:sz w:val="18"/>
          <w:szCs w:val="24"/>
        </w:rPr>
        <w:lastRenderedPageBreak/>
        <w:t>“Is it possible to obtain protection of a variety on the basis of its DNA-profile?</w:t>
      </w:r>
    </w:p>
    <w:p w:rsidR="00FD63E1" w:rsidRPr="00CA6CB7" w:rsidRDefault="00FD63E1" w:rsidP="00FD63E1">
      <w:pPr>
        <w:ind w:left="567" w:right="567"/>
        <w:rPr>
          <w:rFonts w:eastAsia="Times New Roman" w:cs="Arial"/>
          <w:sz w:val="18"/>
          <w:szCs w:val="24"/>
        </w:rPr>
      </w:pPr>
    </w:p>
    <w:p w:rsidR="00FD63E1" w:rsidRPr="00CA6CB7" w:rsidRDefault="00FD63E1" w:rsidP="00FD63E1">
      <w:pPr>
        <w:ind w:left="567" w:right="567"/>
        <w:rPr>
          <w:rFonts w:eastAsia="Times New Roman" w:cs="Arial"/>
          <w:strike/>
          <w:sz w:val="18"/>
          <w:szCs w:val="24"/>
        </w:rPr>
      </w:pPr>
      <w:r w:rsidRPr="00CA6CB7">
        <w:rPr>
          <w:rFonts w:eastAsia="Times New Roman" w:cs="Arial"/>
          <w:sz w:val="18"/>
          <w:szCs w:val="24"/>
        </w:rPr>
        <w:t>“</w:t>
      </w:r>
      <w:r w:rsidRPr="00CA6CB7">
        <w:rPr>
          <w:rFonts w:eastAsia="Times New Roman" w:cs="Arial"/>
          <w:sz w:val="18"/>
          <w:szCs w:val="24"/>
          <w:highlight w:val="lightGray"/>
          <w:u w:val="single"/>
        </w:rPr>
        <w:t>A variety cannot be protected on the basis of DNA profiles.</w:t>
      </w:r>
      <w:r w:rsidRPr="00CA6CB7">
        <w:rPr>
          <w:rFonts w:eastAsia="Times New Roman" w:cs="Arial"/>
          <w:sz w:val="18"/>
          <w:szCs w:val="24"/>
        </w:rPr>
        <w:t xml:space="preserve"> For a variety to be protected, it needs to be clearly distinguishable from all existing varieties on the basis of characteristics that are physically expressed, e.g. plant height, time of flowering, fruit color, disease resistance etc.  </w:t>
      </w:r>
      <w:r w:rsidRPr="00CA6CB7">
        <w:rPr>
          <w:rFonts w:eastAsia="Times New Roman" w:cs="Arial"/>
          <w:strike/>
          <w:sz w:val="18"/>
          <w:szCs w:val="24"/>
          <w:highlight w:val="lightGray"/>
        </w:rPr>
        <w:t>[Molecular techniques (DNA profiles) may be used as supporting information].</w:t>
      </w:r>
    </w:p>
    <w:p w:rsidR="00FD63E1" w:rsidRPr="00CA6CB7" w:rsidRDefault="00FD63E1" w:rsidP="00FD63E1">
      <w:pPr>
        <w:ind w:left="567" w:right="567"/>
        <w:rPr>
          <w:rFonts w:eastAsia="Times New Roman" w:cs="Arial"/>
          <w:sz w:val="18"/>
          <w:szCs w:val="24"/>
        </w:rPr>
      </w:pPr>
    </w:p>
    <w:p w:rsidR="00FD63E1" w:rsidRPr="00CA6CB7" w:rsidRDefault="00FD63E1" w:rsidP="00FD63E1">
      <w:pPr>
        <w:ind w:left="567" w:right="567"/>
        <w:rPr>
          <w:rFonts w:eastAsia="Times New Roman" w:cs="Arial"/>
          <w:sz w:val="18"/>
          <w:szCs w:val="24"/>
        </w:rPr>
      </w:pPr>
      <w:r w:rsidRPr="00CA6CB7">
        <w:rPr>
          <w:rFonts w:eastAsia="Times New Roman" w:cs="Arial"/>
          <w:sz w:val="18"/>
          <w:szCs w:val="24"/>
        </w:rPr>
        <w:t>“A more detailed explanation is provided in the FAQ ‘Does UPOV allow molecular techniques (DNA profiles) in the examination of Distinctness, Uniformity and Stability (“DUS”)?’</w:t>
      </w:r>
    </w:p>
    <w:p w:rsidR="00FD63E1" w:rsidRPr="00CA6CB7" w:rsidRDefault="00FD63E1" w:rsidP="00FD63E1">
      <w:pPr>
        <w:ind w:left="567" w:right="567"/>
        <w:rPr>
          <w:rFonts w:eastAsia="Times New Roman" w:cs="Arial"/>
          <w:sz w:val="18"/>
          <w:szCs w:val="24"/>
        </w:rPr>
      </w:pPr>
    </w:p>
    <w:p w:rsidR="00FD63E1" w:rsidRPr="00CA6CB7" w:rsidRDefault="00FD63E1" w:rsidP="00FD63E1">
      <w:pPr>
        <w:ind w:left="567" w:right="567"/>
        <w:rPr>
          <w:rFonts w:eastAsia="Times New Roman" w:cs="Arial"/>
          <w:sz w:val="18"/>
          <w:szCs w:val="24"/>
        </w:rPr>
      </w:pPr>
      <w:r w:rsidRPr="00CA6CB7">
        <w:rPr>
          <w:rFonts w:eastAsia="Times New Roman" w:cs="Arial"/>
          <w:sz w:val="18"/>
          <w:szCs w:val="24"/>
        </w:rPr>
        <w:t>“See also:</w:t>
      </w:r>
    </w:p>
    <w:p w:rsidR="00FD63E1" w:rsidRPr="00CA6CB7" w:rsidRDefault="00FD63E1" w:rsidP="00E82C2D">
      <w:pPr>
        <w:ind w:left="567"/>
        <w:rPr>
          <w:lang w:eastAsia="ja-JP"/>
        </w:rPr>
      </w:pPr>
      <w:r w:rsidRPr="00CA6CB7">
        <w:rPr>
          <w:rFonts w:eastAsia="Times New Roman" w:cs="Arial"/>
          <w:sz w:val="18"/>
          <w:szCs w:val="24"/>
        </w:rPr>
        <w:t>“What are the requirements for protecting a new plant variety?”</w:t>
      </w:r>
    </w:p>
    <w:p w:rsidR="001A7FD4" w:rsidRDefault="001A7FD4" w:rsidP="00CA6CB7">
      <w:pPr>
        <w:rPr>
          <w:lang w:eastAsia="ja-JP"/>
        </w:rPr>
      </w:pPr>
    </w:p>
    <w:p w:rsidR="006F59A4" w:rsidRDefault="006F59A4" w:rsidP="00CA6CB7">
      <w:pPr>
        <w:rPr>
          <w:lang w:eastAsia="ja-JP"/>
        </w:rPr>
      </w:pPr>
    </w:p>
    <w:p w:rsidR="00E83182" w:rsidRDefault="00E83182" w:rsidP="00E83182">
      <w:pPr>
        <w:pStyle w:val="Heading1"/>
      </w:pPr>
      <w:bookmarkStart w:id="7" w:name="_Toc436405256"/>
      <w:r>
        <w:t>PROPOSAL</w:t>
      </w:r>
      <w:bookmarkEnd w:id="7"/>
    </w:p>
    <w:p w:rsidR="00E83182" w:rsidRDefault="00E83182" w:rsidP="00E83182"/>
    <w:p w:rsidR="00E83182" w:rsidRDefault="00E83182" w:rsidP="00E83182">
      <w:pPr>
        <w:rPr>
          <w:lang w:eastAsia="ja-JP"/>
        </w:rPr>
      </w:pPr>
      <w:r>
        <w:fldChar w:fldCharType="begin"/>
      </w:r>
      <w:r>
        <w:instrText xml:space="preserve"> AUTONUM  </w:instrText>
      </w:r>
      <w:r>
        <w:fldChar w:fldCharType="end"/>
      </w:r>
      <w:r>
        <w:tab/>
        <w:t xml:space="preserve">It is proposed </w:t>
      </w:r>
      <w:r w:rsidR="00C37B87">
        <w:rPr>
          <w:lang w:eastAsia="ja-JP"/>
        </w:rPr>
        <w:t xml:space="preserve">to invite the TC to consider the revision proposed by the TWA, TWF and TWO to the initial draft discussed by the TC at its fifty-first session as follows: </w:t>
      </w:r>
    </w:p>
    <w:p w:rsidR="00E83182" w:rsidRDefault="00E83182" w:rsidP="00E83182">
      <w:pPr>
        <w:rPr>
          <w:lang w:eastAsia="ja-JP"/>
        </w:rPr>
      </w:pPr>
    </w:p>
    <w:p w:rsidR="00CA6CB7" w:rsidRPr="00CA6CB7" w:rsidRDefault="00CA6CB7" w:rsidP="00CA6CB7">
      <w:pPr>
        <w:ind w:left="567"/>
        <w:rPr>
          <w:rFonts w:eastAsia="Times New Roman" w:cs="Arial"/>
          <w:sz w:val="18"/>
          <w:szCs w:val="24"/>
        </w:rPr>
      </w:pPr>
      <w:r w:rsidRPr="00CA6CB7">
        <w:rPr>
          <w:rFonts w:eastAsia="Times New Roman" w:cs="Arial"/>
          <w:sz w:val="18"/>
          <w:szCs w:val="24"/>
        </w:rPr>
        <w:t>“Is it possible to obtain protection of a variety on the basis of its DNA-profile?</w:t>
      </w:r>
    </w:p>
    <w:p w:rsidR="00CA6CB7" w:rsidRPr="00CA6CB7" w:rsidRDefault="00CA6CB7" w:rsidP="00CA6CB7">
      <w:pPr>
        <w:ind w:left="567" w:right="567"/>
        <w:rPr>
          <w:rFonts w:eastAsia="Times New Roman" w:cs="Arial"/>
          <w:sz w:val="18"/>
          <w:szCs w:val="24"/>
        </w:rPr>
      </w:pPr>
    </w:p>
    <w:p w:rsidR="00CA6CB7" w:rsidRPr="00CA6CB7" w:rsidRDefault="00CA6CB7" w:rsidP="00CA6CB7">
      <w:pPr>
        <w:ind w:left="567" w:right="567"/>
        <w:rPr>
          <w:rFonts w:eastAsia="Times New Roman" w:cs="Arial"/>
          <w:strike/>
          <w:sz w:val="18"/>
          <w:szCs w:val="24"/>
        </w:rPr>
      </w:pPr>
      <w:r w:rsidRPr="00CA6CB7">
        <w:rPr>
          <w:rFonts w:eastAsia="Times New Roman" w:cs="Arial"/>
          <w:sz w:val="18"/>
          <w:szCs w:val="24"/>
        </w:rPr>
        <w:t>“</w:t>
      </w:r>
      <w:r w:rsidRPr="00CA6CB7">
        <w:rPr>
          <w:rFonts w:eastAsia="Times New Roman" w:cs="Arial"/>
          <w:sz w:val="18"/>
          <w:szCs w:val="24"/>
          <w:highlight w:val="lightGray"/>
          <w:u w:val="single"/>
        </w:rPr>
        <w:t>A variety cannot be protected on the basis of DNA profiles.</w:t>
      </w:r>
      <w:r w:rsidRPr="00CA6CB7">
        <w:rPr>
          <w:rFonts w:eastAsia="Times New Roman" w:cs="Arial"/>
          <w:sz w:val="18"/>
          <w:szCs w:val="24"/>
        </w:rPr>
        <w:t xml:space="preserve"> For a variety to be protected, it needs to be clearly distinguishable from all existing varieties on the basis of characteristics that are physically expressed, e.g. plant height, time of flowering, fruit color, disease resistance etc.  </w:t>
      </w:r>
      <w:r w:rsidRPr="00CA6CB7">
        <w:rPr>
          <w:rFonts w:eastAsia="Times New Roman" w:cs="Arial"/>
          <w:strike/>
          <w:sz w:val="18"/>
          <w:szCs w:val="24"/>
          <w:highlight w:val="lightGray"/>
        </w:rPr>
        <w:t>[Molecular techniques (DNA profiles) may be used as supporting information].</w:t>
      </w:r>
    </w:p>
    <w:p w:rsidR="00CA6CB7" w:rsidRPr="00CA6CB7" w:rsidRDefault="00CA6CB7" w:rsidP="00CA6CB7">
      <w:pPr>
        <w:ind w:left="567" w:right="567"/>
        <w:rPr>
          <w:rFonts w:eastAsia="Times New Roman" w:cs="Arial"/>
          <w:sz w:val="18"/>
          <w:szCs w:val="24"/>
        </w:rPr>
      </w:pPr>
    </w:p>
    <w:p w:rsidR="00CA6CB7" w:rsidRPr="00CA6CB7" w:rsidRDefault="00CA6CB7" w:rsidP="00CA6CB7">
      <w:pPr>
        <w:ind w:left="567" w:right="567"/>
        <w:rPr>
          <w:rFonts w:eastAsia="Times New Roman" w:cs="Arial"/>
          <w:sz w:val="18"/>
          <w:szCs w:val="24"/>
        </w:rPr>
      </w:pPr>
      <w:r w:rsidRPr="00CA6CB7">
        <w:rPr>
          <w:rFonts w:eastAsia="Times New Roman" w:cs="Arial"/>
          <w:sz w:val="18"/>
          <w:szCs w:val="24"/>
        </w:rPr>
        <w:t>“A more detailed explanation is provided in the FAQ ‘Does UPOV allow molecular techniques (DNA profiles) in the examination of Distinctness, Uniformity and Stability (“DUS”)?’</w:t>
      </w:r>
    </w:p>
    <w:p w:rsidR="00CA6CB7" w:rsidRPr="00CA6CB7" w:rsidRDefault="00CA6CB7" w:rsidP="00CA6CB7">
      <w:pPr>
        <w:ind w:left="567" w:right="567"/>
        <w:rPr>
          <w:rFonts w:eastAsia="Times New Roman" w:cs="Arial"/>
          <w:sz w:val="18"/>
          <w:szCs w:val="24"/>
        </w:rPr>
      </w:pPr>
    </w:p>
    <w:p w:rsidR="00CA6CB7" w:rsidRPr="00CA6CB7" w:rsidRDefault="00CA6CB7" w:rsidP="00CA6CB7">
      <w:pPr>
        <w:ind w:left="567" w:right="567"/>
        <w:rPr>
          <w:rFonts w:eastAsia="Times New Roman" w:cs="Arial"/>
          <w:sz w:val="18"/>
          <w:szCs w:val="24"/>
        </w:rPr>
      </w:pPr>
      <w:r w:rsidRPr="00CA6CB7">
        <w:rPr>
          <w:rFonts w:eastAsia="Times New Roman" w:cs="Arial"/>
          <w:sz w:val="18"/>
          <w:szCs w:val="24"/>
        </w:rPr>
        <w:t>“See also:</w:t>
      </w:r>
    </w:p>
    <w:p w:rsidR="00E83182" w:rsidRDefault="00CA6CB7" w:rsidP="002A5EF8">
      <w:pPr>
        <w:ind w:left="567" w:right="567"/>
        <w:rPr>
          <w:rFonts w:cs="Arial"/>
          <w:sz w:val="18"/>
          <w:szCs w:val="24"/>
          <w:lang w:eastAsia="ja-JP"/>
        </w:rPr>
      </w:pPr>
      <w:r w:rsidRPr="00CA6CB7">
        <w:rPr>
          <w:rFonts w:eastAsia="Times New Roman" w:cs="Arial"/>
          <w:sz w:val="18"/>
          <w:szCs w:val="24"/>
        </w:rPr>
        <w:t>“What are the requirements for protecting a new plant variety?”</w:t>
      </w:r>
    </w:p>
    <w:p w:rsidR="00E83182" w:rsidRDefault="00E83182" w:rsidP="00E83182"/>
    <w:p w:rsidR="00E32606" w:rsidRDefault="00E32606" w:rsidP="00E83182"/>
    <w:p w:rsidR="006B17D2" w:rsidRDefault="00826E28" w:rsidP="00544A8A">
      <w:pPr>
        <w:tabs>
          <w:tab w:val="left" w:pos="5387"/>
          <w:tab w:val="left" w:pos="5954"/>
        </w:tabs>
        <w:ind w:left="4820"/>
        <w:rPr>
          <w:i/>
          <w:lang w:eastAsia="ja-JP"/>
        </w:rPr>
      </w:pPr>
      <w:r w:rsidRPr="00B763A7">
        <w:rPr>
          <w:i/>
        </w:rPr>
        <w:fldChar w:fldCharType="begin"/>
      </w:r>
      <w:r w:rsidRPr="00B763A7">
        <w:rPr>
          <w:i/>
        </w:rPr>
        <w:instrText xml:space="preserve"> AUTONUM  </w:instrText>
      </w:r>
      <w:r w:rsidRPr="00B763A7">
        <w:rPr>
          <w:i/>
        </w:rPr>
        <w:fldChar w:fldCharType="end"/>
      </w:r>
      <w:r>
        <w:rPr>
          <w:i/>
        </w:rPr>
        <w:tab/>
        <w:t xml:space="preserve">The TC-EDC is invited to </w:t>
      </w:r>
      <w:r w:rsidR="00E83182">
        <w:rPr>
          <w:rFonts w:hint="eastAsia"/>
          <w:i/>
          <w:lang w:eastAsia="ja-JP"/>
        </w:rPr>
        <w:t>note</w:t>
      </w:r>
      <w:r>
        <w:rPr>
          <w:i/>
        </w:rPr>
        <w:t xml:space="preserve"> </w:t>
      </w:r>
      <w:r w:rsidR="004F7C65">
        <w:rPr>
          <w:rFonts w:hint="eastAsia"/>
          <w:i/>
          <w:lang w:eastAsia="ja-JP"/>
        </w:rPr>
        <w:t xml:space="preserve">that it </w:t>
      </w:r>
      <w:r w:rsidR="00CA3735">
        <w:rPr>
          <w:rFonts w:hint="eastAsia"/>
          <w:i/>
          <w:lang w:eastAsia="ja-JP"/>
        </w:rPr>
        <w:t>i</w:t>
      </w:r>
      <w:r w:rsidR="004F7C65">
        <w:rPr>
          <w:rFonts w:hint="eastAsia"/>
          <w:i/>
          <w:lang w:eastAsia="ja-JP"/>
        </w:rPr>
        <w:t xml:space="preserve">s proposed to invite </w:t>
      </w:r>
      <w:r w:rsidR="00EA086D" w:rsidRPr="00EA086D">
        <w:rPr>
          <w:i/>
        </w:rPr>
        <w:t xml:space="preserve">the </w:t>
      </w:r>
      <w:r w:rsidR="004F7C65">
        <w:rPr>
          <w:rFonts w:hint="eastAsia"/>
          <w:i/>
          <w:lang w:eastAsia="ja-JP"/>
        </w:rPr>
        <w:t xml:space="preserve">TC to consider the </w:t>
      </w:r>
      <w:r w:rsidR="00EA086D" w:rsidRPr="00EA086D">
        <w:rPr>
          <w:i/>
        </w:rPr>
        <w:t xml:space="preserve">revision proposed by the TWA, TWF and TWO to the initial draft </w:t>
      </w:r>
      <w:r w:rsidR="00EA086D">
        <w:rPr>
          <w:i/>
        </w:rPr>
        <w:t xml:space="preserve">question and answer </w:t>
      </w:r>
      <w:r w:rsidR="004F7C65" w:rsidRPr="00CA6CB7">
        <w:rPr>
          <w:i/>
        </w:rPr>
        <w:t xml:space="preserve">on the situation in UPOV with regard to the use of molecular techniques </w:t>
      </w:r>
      <w:r w:rsidR="004F7C65">
        <w:rPr>
          <w:i/>
        </w:rPr>
        <w:t xml:space="preserve">in DUS examination </w:t>
      </w:r>
      <w:r w:rsidR="004F7C65" w:rsidRPr="00CA6CB7">
        <w:rPr>
          <w:i/>
        </w:rPr>
        <w:t xml:space="preserve">for a wider audience, including the public in </w:t>
      </w:r>
      <w:bookmarkStart w:id="8" w:name="_GoBack"/>
      <w:bookmarkEnd w:id="8"/>
      <w:r w:rsidR="004F7C65" w:rsidRPr="00D916E5">
        <w:rPr>
          <w:i/>
        </w:rPr>
        <w:t xml:space="preserve">general </w:t>
      </w:r>
      <w:r w:rsidR="00EA086D" w:rsidRPr="00D916E5">
        <w:rPr>
          <w:i/>
        </w:rPr>
        <w:t>discussed by the TC at its fifty-first session</w:t>
      </w:r>
      <w:r w:rsidR="00FD63E1" w:rsidRPr="00D916E5">
        <w:rPr>
          <w:rFonts w:hint="eastAsia"/>
          <w:i/>
          <w:lang w:eastAsia="ja-JP"/>
        </w:rPr>
        <w:t xml:space="preserve">, as set out in paragraph 14 </w:t>
      </w:r>
      <w:r w:rsidR="001045E8" w:rsidRPr="00D916E5">
        <w:rPr>
          <w:i/>
          <w:lang w:eastAsia="ja-JP"/>
        </w:rPr>
        <w:t>of</w:t>
      </w:r>
      <w:r w:rsidR="00FD63E1" w:rsidRPr="00D916E5">
        <w:rPr>
          <w:rFonts w:hint="eastAsia"/>
          <w:i/>
          <w:lang w:eastAsia="ja-JP"/>
        </w:rPr>
        <w:t xml:space="preserve"> this document</w:t>
      </w:r>
      <w:r w:rsidR="00CA3735" w:rsidRPr="00D916E5">
        <w:rPr>
          <w:rFonts w:hint="eastAsia"/>
          <w:i/>
          <w:lang w:eastAsia="ja-JP"/>
        </w:rPr>
        <w:t xml:space="preserve"> and to propose any improvements to the document in that regard</w:t>
      </w:r>
      <w:r w:rsidRPr="00D916E5">
        <w:rPr>
          <w:i/>
        </w:rPr>
        <w:t>.</w:t>
      </w:r>
    </w:p>
    <w:p w:rsidR="00E83182" w:rsidRDefault="00E83182" w:rsidP="00544A8A">
      <w:pPr>
        <w:tabs>
          <w:tab w:val="left" w:pos="5387"/>
          <w:tab w:val="left" w:pos="5954"/>
        </w:tabs>
        <w:ind w:left="4820"/>
        <w:rPr>
          <w:i/>
          <w:lang w:eastAsia="ja-JP"/>
        </w:rPr>
      </w:pPr>
    </w:p>
    <w:p w:rsidR="00D954D1" w:rsidRDefault="00D954D1" w:rsidP="00544A8A">
      <w:pPr>
        <w:tabs>
          <w:tab w:val="left" w:pos="5387"/>
          <w:tab w:val="left" w:pos="5954"/>
        </w:tabs>
        <w:ind w:left="4820"/>
        <w:rPr>
          <w:i/>
          <w:lang w:eastAsia="ja-JP"/>
        </w:rPr>
      </w:pPr>
    </w:p>
    <w:p w:rsidR="00E83182" w:rsidRDefault="00E83182" w:rsidP="00544A8A">
      <w:pPr>
        <w:tabs>
          <w:tab w:val="left" w:pos="5387"/>
          <w:tab w:val="left" w:pos="5954"/>
        </w:tabs>
        <w:ind w:left="4820"/>
        <w:rPr>
          <w:i/>
          <w:lang w:eastAsia="ja-JP"/>
        </w:rPr>
      </w:pPr>
    </w:p>
    <w:p w:rsidR="00E83182" w:rsidRDefault="00E83182" w:rsidP="00E83182">
      <w:pPr>
        <w:pStyle w:val="Footer"/>
      </w:pPr>
      <w:r w:rsidRPr="00544A8A">
        <w:t>[End of document]</w:t>
      </w:r>
    </w:p>
    <w:p w:rsidR="00E83182" w:rsidRPr="00C5280D" w:rsidRDefault="00E83182" w:rsidP="00544A8A">
      <w:pPr>
        <w:tabs>
          <w:tab w:val="left" w:pos="5387"/>
          <w:tab w:val="left" w:pos="5954"/>
        </w:tabs>
        <w:ind w:left="4820"/>
        <w:rPr>
          <w:lang w:eastAsia="ja-JP"/>
        </w:rPr>
      </w:pPr>
    </w:p>
    <w:sectPr w:rsidR="00E83182"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5C" w:rsidRDefault="00A5035C" w:rsidP="006655D3">
      <w:r>
        <w:separator/>
      </w:r>
    </w:p>
    <w:p w:rsidR="00A5035C" w:rsidRDefault="00A5035C" w:rsidP="006655D3"/>
    <w:p w:rsidR="00A5035C" w:rsidRDefault="00A5035C" w:rsidP="006655D3"/>
  </w:endnote>
  <w:endnote w:type="continuationSeparator" w:id="0">
    <w:p w:rsidR="00A5035C" w:rsidRDefault="00A5035C" w:rsidP="006655D3">
      <w:r>
        <w:separator/>
      </w:r>
    </w:p>
    <w:p w:rsidR="00A5035C" w:rsidRPr="00311399" w:rsidRDefault="00A5035C" w:rsidP="00544A8A">
      <w:pPr>
        <w:pStyle w:val="Footer"/>
        <w:rPr>
          <w:lang w:val="fr-CH"/>
        </w:rPr>
      </w:pPr>
      <w:r w:rsidRPr="00311399">
        <w:rPr>
          <w:lang w:val="fr-CH"/>
        </w:rPr>
        <w:t>[Suite de la note de la page précédente]</w:t>
      </w:r>
    </w:p>
    <w:p w:rsidR="00A5035C" w:rsidRPr="00311399" w:rsidRDefault="00A5035C" w:rsidP="006655D3">
      <w:pPr>
        <w:rPr>
          <w:lang w:val="fr-CH"/>
        </w:rPr>
      </w:pPr>
    </w:p>
    <w:p w:rsidR="00A5035C" w:rsidRPr="00311399" w:rsidRDefault="00A5035C" w:rsidP="006655D3">
      <w:pPr>
        <w:rPr>
          <w:lang w:val="fr-CH"/>
        </w:rPr>
      </w:pPr>
    </w:p>
  </w:endnote>
  <w:endnote w:type="continuationNotice" w:id="1">
    <w:p w:rsidR="00A5035C" w:rsidRPr="00311399" w:rsidRDefault="00A5035C" w:rsidP="006655D3">
      <w:pPr>
        <w:rPr>
          <w:lang w:val="fr-CH"/>
        </w:rPr>
      </w:pPr>
      <w:r w:rsidRPr="00311399">
        <w:rPr>
          <w:lang w:val="fr-CH"/>
        </w:rPr>
        <w:t>[Suite de la note page suivante]</w:t>
      </w:r>
    </w:p>
    <w:p w:rsidR="00A5035C" w:rsidRPr="00311399" w:rsidRDefault="00A5035C" w:rsidP="006655D3">
      <w:pPr>
        <w:rPr>
          <w:lang w:val="fr-CH"/>
        </w:rPr>
      </w:pPr>
    </w:p>
    <w:p w:rsidR="00A5035C" w:rsidRPr="00311399" w:rsidRDefault="00A5035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5C" w:rsidRDefault="00A5035C" w:rsidP="006655D3">
      <w:r>
        <w:separator/>
      </w:r>
    </w:p>
  </w:footnote>
  <w:footnote w:type="continuationSeparator" w:id="0">
    <w:p w:rsidR="00A5035C" w:rsidRDefault="00A5035C" w:rsidP="006655D3">
      <w:r>
        <w:separator/>
      </w:r>
    </w:p>
    <w:p w:rsidR="00A5035C" w:rsidRPr="00311399" w:rsidRDefault="00A5035C" w:rsidP="00544A8A">
      <w:pPr>
        <w:pStyle w:val="Footer"/>
        <w:rPr>
          <w:lang w:val="fr-CH"/>
        </w:rPr>
      </w:pPr>
      <w:r w:rsidRPr="00311399">
        <w:rPr>
          <w:lang w:val="fr-CH"/>
        </w:rPr>
        <w:t>[Suite de la note de la page précédente]</w:t>
      </w:r>
    </w:p>
    <w:p w:rsidR="00A5035C" w:rsidRPr="00311399" w:rsidRDefault="00A5035C" w:rsidP="006655D3">
      <w:pPr>
        <w:rPr>
          <w:lang w:val="fr-CH"/>
        </w:rPr>
      </w:pPr>
    </w:p>
    <w:p w:rsidR="00A5035C" w:rsidRPr="00311399" w:rsidRDefault="00A5035C" w:rsidP="006655D3">
      <w:pPr>
        <w:rPr>
          <w:lang w:val="fr-CH"/>
        </w:rPr>
      </w:pPr>
    </w:p>
    <w:p w:rsidR="00A5035C" w:rsidRPr="00311399" w:rsidRDefault="00A5035C" w:rsidP="006655D3">
      <w:pPr>
        <w:rPr>
          <w:lang w:val="fr-CH"/>
        </w:rPr>
      </w:pPr>
    </w:p>
  </w:footnote>
  <w:footnote w:type="continuationNotice" w:id="1">
    <w:p w:rsidR="00A5035C" w:rsidRPr="00311399" w:rsidRDefault="00A5035C" w:rsidP="006655D3">
      <w:pPr>
        <w:rPr>
          <w:lang w:val="fr-CH"/>
        </w:rPr>
      </w:pPr>
      <w:r w:rsidRPr="00311399">
        <w:rPr>
          <w:lang w:val="fr-CH"/>
        </w:rPr>
        <w:t>[Suite de la note page suivante]</w:t>
      </w:r>
    </w:p>
    <w:p w:rsidR="00A5035C" w:rsidRPr="00311399" w:rsidRDefault="00A5035C" w:rsidP="006655D3">
      <w:pPr>
        <w:rPr>
          <w:lang w:val="fr-CH"/>
        </w:rPr>
      </w:pPr>
    </w:p>
    <w:p w:rsidR="00A5035C" w:rsidRPr="00311399" w:rsidRDefault="00A5035C"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eastAsia="ja-JP"/>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8E6BA9">
      <w:rPr>
        <w:rStyle w:val="PageNumber"/>
        <w:lang w:val="en-US"/>
      </w:rPr>
      <w:t>6</w:t>
    </w:r>
    <w:r w:rsidRPr="00C5280D">
      <w:rPr>
        <w:rStyle w:val="PageNumber"/>
        <w:lang w:val="en-US"/>
      </w:rPr>
      <w:t>/</w:t>
    </w:r>
    <w:r w:rsidR="00CA6CB7">
      <w:rPr>
        <w:rStyle w:val="PageNumber"/>
        <w:rFonts w:hint="eastAsia"/>
        <w:lang w:val="en-US" w:eastAsia="ja-JP"/>
      </w:rPr>
      <w:t>6</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407A6">
      <w:rPr>
        <w:rStyle w:val="PageNumber"/>
        <w:noProof/>
        <w:lang w:val="en-US"/>
      </w:rPr>
      <w:t>3</w:t>
    </w:r>
    <w:r w:rsidRPr="00C5280D">
      <w:rPr>
        <w:rStyle w:val="PageNumber"/>
        <w:lang w:val="en-US"/>
      </w:rPr>
      <w:fldChar w:fldCharType="end"/>
    </w:r>
  </w:p>
  <w:p w:rsidR="00125EFC" w:rsidRPr="00C5280D" w:rsidRDefault="00125EFC"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5C"/>
    <w:rsid w:val="00010CF3"/>
    <w:rsid w:val="00011E27"/>
    <w:rsid w:val="000148BC"/>
    <w:rsid w:val="00024AB8"/>
    <w:rsid w:val="00030854"/>
    <w:rsid w:val="00036028"/>
    <w:rsid w:val="00044642"/>
    <w:rsid w:val="000446B9"/>
    <w:rsid w:val="00047E21"/>
    <w:rsid w:val="00083EE0"/>
    <w:rsid w:val="00085505"/>
    <w:rsid w:val="00086F66"/>
    <w:rsid w:val="0009479D"/>
    <w:rsid w:val="000C59BB"/>
    <w:rsid w:val="000C7021"/>
    <w:rsid w:val="000D6BBC"/>
    <w:rsid w:val="000D7780"/>
    <w:rsid w:val="001045E8"/>
    <w:rsid w:val="00105127"/>
    <w:rsid w:val="00105929"/>
    <w:rsid w:val="001131D5"/>
    <w:rsid w:val="00125EFC"/>
    <w:rsid w:val="00141DB8"/>
    <w:rsid w:val="00165D19"/>
    <w:rsid w:val="0017474A"/>
    <w:rsid w:val="001758C6"/>
    <w:rsid w:val="00182B99"/>
    <w:rsid w:val="001A7FD4"/>
    <w:rsid w:val="001D7305"/>
    <w:rsid w:val="001E30F9"/>
    <w:rsid w:val="001F6843"/>
    <w:rsid w:val="0021332C"/>
    <w:rsid w:val="00213982"/>
    <w:rsid w:val="00222D41"/>
    <w:rsid w:val="0024416D"/>
    <w:rsid w:val="002571B5"/>
    <w:rsid w:val="00266165"/>
    <w:rsid w:val="0026748A"/>
    <w:rsid w:val="002800A0"/>
    <w:rsid w:val="002801B3"/>
    <w:rsid w:val="00281060"/>
    <w:rsid w:val="002940E8"/>
    <w:rsid w:val="002A5EF8"/>
    <w:rsid w:val="002A6E50"/>
    <w:rsid w:val="002C256A"/>
    <w:rsid w:val="002F6F63"/>
    <w:rsid w:val="00305A7F"/>
    <w:rsid w:val="00311399"/>
    <w:rsid w:val="003152FE"/>
    <w:rsid w:val="00327436"/>
    <w:rsid w:val="00344BD6"/>
    <w:rsid w:val="0035528D"/>
    <w:rsid w:val="00361821"/>
    <w:rsid w:val="003D227C"/>
    <w:rsid w:val="003D2B4D"/>
    <w:rsid w:val="00421884"/>
    <w:rsid w:val="00444A88"/>
    <w:rsid w:val="00474DA4"/>
    <w:rsid w:val="00476B4D"/>
    <w:rsid w:val="004805FA"/>
    <w:rsid w:val="004A39C3"/>
    <w:rsid w:val="004A6A70"/>
    <w:rsid w:val="004D047D"/>
    <w:rsid w:val="004D3729"/>
    <w:rsid w:val="004D3B68"/>
    <w:rsid w:val="004F305A"/>
    <w:rsid w:val="004F7C65"/>
    <w:rsid w:val="00512164"/>
    <w:rsid w:val="00520297"/>
    <w:rsid w:val="005338F9"/>
    <w:rsid w:val="005407A6"/>
    <w:rsid w:val="0054281C"/>
    <w:rsid w:val="00544A8A"/>
    <w:rsid w:val="0055268D"/>
    <w:rsid w:val="00576BE4"/>
    <w:rsid w:val="005A400A"/>
    <w:rsid w:val="00612379"/>
    <w:rsid w:val="0061555F"/>
    <w:rsid w:val="00641200"/>
    <w:rsid w:val="0066126B"/>
    <w:rsid w:val="006655D3"/>
    <w:rsid w:val="00687EB4"/>
    <w:rsid w:val="006B17D2"/>
    <w:rsid w:val="006C224E"/>
    <w:rsid w:val="006D780A"/>
    <w:rsid w:val="006F1C0C"/>
    <w:rsid w:val="006F59A4"/>
    <w:rsid w:val="00732DEC"/>
    <w:rsid w:val="00735BD5"/>
    <w:rsid w:val="00737D5B"/>
    <w:rsid w:val="007556F6"/>
    <w:rsid w:val="00760EEF"/>
    <w:rsid w:val="00777EE5"/>
    <w:rsid w:val="00784836"/>
    <w:rsid w:val="0078600C"/>
    <w:rsid w:val="0079023E"/>
    <w:rsid w:val="00795AEF"/>
    <w:rsid w:val="007A2854"/>
    <w:rsid w:val="007B286C"/>
    <w:rsid w:val="007C1F89"/>
    <w:rsid w:val="007D0B9D"/>
    <w:rsid w:val="007D19B0"/>
    <w:rsid w:val="007F498F"/>
    <w:rsid w:val="0080679D"/>
    <w:rsid w:val="008108B0"/>
    <w:rsid w:val="00811B20"/>
    <w:rsid w:val="0082296E"/>
    <w:rsid w:val="00824099"/>
    <w:rsid w:val="00826E28"/>
    <w:rsid w:val="00867AC1"/>
    <w:rsid w:val="00893C34"/>
    <w:rsid w:val="008A743F"/>
    <w:rsid w:val="008C0970"/>
    <w:rsid w:val="008C3AA6"/>
    <w:rsid w:val="008D2CF7"/>
    <w:rsid w:val="008E6BA9"/>
    <w:rsid w:val="00900C26"/>
    <w:rsid w:val="0090197F"/>
    <w:rsid w:val="00906DDC"/>
    <w:rsid w:val="0091372D"/>
    <w:rsid w:val="009241B1"/>
    <w:rsid w:val="00926AB3"/>
    <w:rsid w:val="00934E09"/>
    <w:rsid w:val="00936253"/>
    <w:rsid w:val="00952DD4"/>
    <w:rsid w:val="00970FED"/>
    <w:rsid w:val="00972043"/>
    <w:rsid w:val="00997029"/>
    <w:rsid w:val="009A0C21"/>
    <w:rsid w:val="009D690D"/>
    <w:rsid w:val="009E65B6"/>
    <w:rsid w:val="00A42AC3"/>
    <w:rsid w:val="00A430CF"/>
    <w:rsid w:val="00A5035C"/>
    <w:rsid w:val="00A54309"/>
    <w:rsid w:val="00A63CBC"/>
    <w:rsid w:val="00A67DE6"/>
    <w:rsid w:val="00A67FA7"/>
    <w:rsid w:val="00A93049"/>
    <w:rsid w:val="00AB2B93"/>
    <w:rsid w:val="00AB6E1D"/>
    <w:rsid w:val="00AB7E5B"/>
    <w:rsid w:val="00AE0EF1"/>
    <w:rsid w:val="00AE2937"/>
    <w:rsid w:val="00B07301"/>
    <w:rsid w:val="00B224DE"/>
    <w:rsid w:val="00B46575"/>
    <w:rsid w:val="00B5009E"/>
    <w:rsid w:val="00B80944"/>
    <w:rsid w:val="00B84BBD"/>
    <w:rsid w:val="00BA43FB"/>
    <w:rsid w:val="00BC127D"/>
    <w:rsid w:val="00BC1FE6"/>
    <w:rsid w:val="00BF31F1"/>
    <w:rsid w:val="00C01157"/>
    <w:rsid w:val="00C061B6"/>
    <w:rsid w:val="00C17BDB"/>
    <w:rsid w:val="00C21C04"/>
    <w:rsid w:val="00C2446C"/>
    <w:rsid w:val="00C36AE5"/>
    <w:rsid w:val="00C37B87"/>
    <w:rsid w:val="00C41F17"/>
    <w:rsid w:val="00C5280D"/>
    <w:rsid w:val="00C5791C"/>
    <w:rsid w:val="00C66290"/>
    <w:rsid w:val="00C72B7A"/>
    <w:rsid w:val="00C973F2"/>
    <w:rsid w:val="00CA304C"/>
    <w:rsid w:val="00CA3735"/>
    <w:rsid w:val="00CA6CB7"/>
    <w:rsid w:val="00CA774A"/>
    <w:rsid w:val="00CC0CC7"/>
    <w:rsid w:val="00CC11B0"/>
    <w:rsid w:val="00CE1087"/>
    <w:rsid w:val="00CF7E36"/>
    <w:rsid w:val="00D23DE8"/>
    <w:rsid w:val="00D3708D"/>
    <w:rsid w:val="00D40426"/>
    <w:rsid w:val="00D40F4B"/>
    <w:rsid w:val="00D5220A"/>
    <w:rsid w:val="00D57C96"/>
    <w:rsid w:val="00D73895"/>
    <w:rsid w:val="00D90BD1"/>
    <w:rsid w:val="00D91203"/>
    <w:rsid w:val="00D916E5"/>
    <w:rsid w:val="00D95174"/>
    <w:rsid w:val="00D954D1"/>
    <w:rsid w:val="00DA6BF8"/>
    <w:rsid w:val="00DA6F36"/>
    <w:rsid w:val="00DB58D6"/>
    <w:rsid w:val="00DB596E"/>
    <w:rsid w:val="00DC00EA"/>
    <w:rsid w:val="00E01807"/>
    <w:rsid w:val="00E32606"/>
    <w:rsid w:val="00E32F7E"/>
    <w:rsid w:val="00E47284"/>
    <w:rsid w:val="00E66A92"/>
    <w:rsid w:val="00E72D49"/>
    <w:rsid w:val="00E7593C"/>
    <w:rsid w:val="00E7678A"/>
    <w:rsid w:val="00E82C2D"/>
    <w:rsid w:val="00E83182"/>
    <w:rsid w:val="00E935F1"/>
    <w:rsid w:val="00E94A81"/>
    <w:rsid w:val="00EA086D"/>
    <w:rsid w:val="00EA1FFB"/>
    <w:rsid w:val="00EB048E"/>
    <w:rsid w:val="00ED780F"/>
    <w:rsid w:val="00EE34DF"/>
    <w:rsid w:val="00EF2F89"/>
    <w:rsid w:val="00F1237A"/>
    <w:rsid w:val="00F22CBD"/>
    <w:rsid w:val="00F413A0"/>
    <w:rsid w:val="00F45372"/>
    <w:rsid w:val="00F560F7"/>
    <w:rsid w:val="00F6334D"/>
    <w:rsid w:val="00FA49AB"/>
    <w:rsid w:val="00FB070E"/>
    <w:rsid w:val="00FB1517"/>
    <w:rsid w:val="00FD51AB"/>
    <w:rsid w:val="00FD63E1"/>
    <w:rsid w:val="00FE39C7"/>
    <w:rsid w:val="00FE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D5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544A8A"/>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basedOn w:val="DefaultParagraphFont"/>
    <w:link w:val="Heading1"/>
    <w:rsid w:val="0091372D"/>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D5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544A8A"/>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basedOn w:val="DefaultParagraphFont"/>
    <w:link w:val="Heading1"/>
    <w:rsid w:val="0091372D"/>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6_Jan_Mtg\Template\template%20TC_EDC_Jan_1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TC_EDC_Jan_16_EN.dotx</Template>
  <TotalTime>171</TotalTime>
  <Pages>3</Pages>
  <Words>1383</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9054</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REZENDE TAVEIRA Leontino</dc:creator>
  <cp:lastModifiedBy>OERTEL Romy</cp:lastModifiedBy>
  <cp:revision>28</cp:revision>
  <cp:lastPrinted>2015-12-01T11:07:00Z</cp:lastPrinted>
  <dcterms:created xsi:type="dcterms:W3CDTF">2015-11-04T17:55:00Z</dcterms:created>
  <dcterms:modified xsi:type="dcterms:W3CDTF">2015-12-01T11:07:00Z</dcterms:modified>
</cp:coreProperties>
</file>