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bookmarkStart w:id="0" w:name="_GoBack"/>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A7706A" w:rsidP="003C7FBE">
            <w:pPr>
              <w:pStyle w:val="Doccode"/>
            </w:pPr>
            <w:r>
              <w:t>TC/56/INF/6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3473F">
            <w:pPr>
              <w:pStyle w:val="Docoriginal"/>
            </w:pPr>
            <w:r w:rsidRPr="00AC2883">
              <w:t>Date:</w:t>
            </w:r>
            <w:r w:rsidR="008B6E60">
              <w:rPr>
                <w:b w:val="0"/>
                <w:spacing w:val="0"/>
              </w:rPr>
              <w:t xml:space="preserve">  </w:t>
            </w:r>
            <w:r w:rsidR="006C5657" w:rsidRPr="00FE6E55">
              <w:rPr>
                <w:b w:val="0"/>
                <w:spacing w:val="0"/>
              </w:rPr>
              <w:t xml:space="preserve">October </w:t>
            </w:r>
            <w:r w:rsidR="00FE31AE" w:rsidRPr="00FE6E55">
              <w:rPr>
                <w:b w:val="0"/>
                <w:spacing w:val="0"/>
              </w:rPr>
              <w:t>1</w:t>
            </w:r>
            <w:r w:rsidR="00E3473F" w:rsidRPr="00FE6E55">
              <w:rPr>
                <w:b w:val="0"/>
                <w:spacing w:val="0"/>
              </w:rPr>
              <w:t>5</w:t>
            </w:r>
            <w:r w:rsidR="008B6E60" w:rsidRPr="00FE6E55">
              <w:rPr>
                <w:b w:val="0"/>
                <w:spacing w:val="0"/>
              </w:rPr>
              <w:t xml:space="preserve">, </w:t>
            </w:r>
            <w:r w:rsidR="00E75233" w:rsidRPr="00FE6E55">
              <w:rPr>
                <w:b w:val="0"/>
                <w:spacing w:val="0"/>
              </w:rPr>
              <w:t>2020</w:t>
            </w:r>
          </w:p>
        </w:tc>
      </w:tr>
    </w:tbl>
    <w:p w:rsidR="000D7780" w:rsidRPr="007645F2" w:rsidRDefault="00A7706A" w:rsidP="006A644A">
      <w:pPr>
        <w:pStyle w:val="Titleofdoc0"/>
      </w:pPr>
      <w:bookmarkStart w:id="1" w:name="TitleOfDoc"/>
      <w:bookmarkEnd w:id="1"/>
      <w:bookmarkEnd w:id="0"/>
      <w:r w:rsidRPr="00A7706A">
        <w:t>Molecular techniques</w:t>
      </w:r>
      <w:r w:rsidR="00F9295F">
        <w:t xml:space="preserve"> – Matters for information</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C5657" w:rsidRPr="00440683" w:rsidRDefault="006C5657" w:rsidP="006C5657">
      <w:pPr>
        <w:pStyle w:val="Heading1"/>
      </w:pPr>
      <w:bookmarkStart w:id="3" w:name="_Toc53728404"/>
      <w:r w:rsidRPr="00440683">
        <w:t>E</w:t>
      </w:r>
      <w:r w:rsidRPr="00440683">
        <w:rPr>
          <w:rFonts w:hint="eastAsia"/>
        </w:rPr>
        <w:t>xecutive summary</w:t>
      </w:r>
      <w:bookmarkEnd w:id="3"/>
    </w:p>
    <w:p w:rsidR="006C5657" w:rsidRPr="00DF1E9C" w:rsidRDefault="006C5657" w:rsidP="006C5657">
      <w:pPr>
        <w:rPr>
          <w:sz w:val="18"/>
          <w:lang w:eastAsia="ja-JP"/>
        </w:rPr>
      </w:pPr>
    </w:p>
    <w:p w:rsidR="006C5657" w:rsidRPr="002310E5" w:rsidRDefault="006C5657" w:rsidP="006C5657">
      <w:r w:rsidRPr="002310E5">
        <w:fldChar w:fldCharType="begin"/>
      </w:r>
      <w:r w:rsidRPr="002310E5">
        <w:instrText xml:space="preserve"> AUTONUM  </w:instrText>
      </w:r>
      <w:r w:rsidRPr="002310E5">
        <w:fldChar w:fldCharType="end"/>
      </w:r>
      <w:r w:rsidRPr="002310E5">
        <w:tab/>
        <w:t xml:space="preserve">The purpose of this document is to report on developments at the </w:t>
      </w:r>
      <w:r w:rsidR="00535784" w:rsidRPr="002310E5">
        <w:t xml:space="preserve">Technical Working Parties, at their sessions in 2020, and at the </w:t>
      </w:r>
      <w:r w:rsidR="006A1B9B" w:rsidRPr="002310E5">
        <w:t xml:space="preserve">nineteenth </w:t>
      </w:r>
      <w:r w:rsidRPr="002310E5">
        <w:t>session of the Working Group on Biochemical and Molecular Techniques, and DNA-Profiling in Particular (BMT) for information purposes.</w:t>
      </w:r>
    </w:p>
    <w:p w:rsidR="006C5657" w:rsidRPr="002310E5" w:rsidRDefault="006C5657" w:rsidP="006C5657">
      <w:pPr>
        <w:rPr>
          <w:lang w:eastAsia="ja-JP"/>
        </w:rPr>
      </w:pPr>
    </w:p>
    <w:p w:rsidR="006C5657" w:rsidRPr="009A13DE" w:rsidRDefault="006C5657" w:rsidP="006C5657">
      <w:r w:rsidRPr="002310E5">
        <w:fldChar w:fldCharType="begin"/>
      </w:r>
      <w:r w:rsidRPr="002310E5">
        <w:instrText xml:space="preserve"> AUTONUM  </w:instrText>
      </w:r>
      <w:r w:rsidRPr="002310E5">
        <w:fldChar w:fldCharType="end"/>
      </w:r>
      <w:r w:rsidRPr="002310E5">
        <w:tab/>
        <w:t>Matters for consideration by the</w:t>
      </w:r>
      <w:r w:rsidRPr="002310E5">
        <w:rPr>
          <w:rFonts w:cs="Arial"/>
          <w:snapToGrid w:val="0"/>
          <w:lang w:eastAsia="ja-JP"/>
        </w:rPr>
        <w:t xml:space="preserve"> Technical Committee (TC) on the use of biochemical and molecular techniques in DUS examination and molecular techniques in relation to the Technical Working Parties (TWPs) and the Working Group on Biochemical and Molecular Techniques, and DNA-Profiling in Particular (BMT) </w:t>
      </w:r>
      <w:r w:rsidRPr="002310E5">
        <w:t>are presented in document TC/5</w:t>
      </w:r>
      <w:r w:rsidR="006A1B9B" w:rsidRPr="002310E5">
        <w:t>6</w:t>
      </w:r>
      <w:r w:rsidRPr="002310E5">
        <w:t>/7 “Molecular techniques”.</w:t>
      </w:r>
    </w:p>
    <w:p w:rsidR="006C5657" w:rsidRPr="00995EAD" w:rsidRDefault="006C5657" w:rsidP="006C5657">
      <w:pPr>
        <w:jc w:val="left"/>
        <w:rPr>
          <w:rFonts w:cs="Arial"/>
          <w:snapToGrid w:val="0"/>
          <w:szCs w:val="24"/>
          <w:lang w:eastAsia="ja-JP"/>
        </w:rPr>
      </w:pPr>
    </w:p>
    <w:p w:rsidR="006C5657" w:rsidRPr="00440683" w:rsidRDefault="006C5657" w:rsidP="006C5657">
      <w:pPr>
        <w:keepNext/>
        <w:keepLines/>
      </w:pPr>
      <w:r w:rsidRPr="00440683">
        <w:fldChar w:fldCharType="begin"/>
      </w:r>
      <w:r w:rsidRPr="00440683">
        <w:instrText xml:space="preserve"> AUTONUM  </w:instrText>
      </w:r>
      <w:r w:rsidRPr="00440683">
        <w:fldChar w:fldCharType="end"/>
      </w:r>
      <w:r w:rsidRPr="00440683">
        <w:tab/>
        <w:t>The structure of this document is as follows:</w:t>
      </w:r>
    </w:p>
    <w:sdt>
      <w:sdtPr>
        <w:rPr>
          <w:smallCaps/>
          <w:sz w:val="18"/>
        </w:rPr>
        <w:id w:val="-1800911247"/>
        <w:docPartObj>
          <w:docPartGallery w:val="Table of Contents"/>
          <w:docPartUnique/>
        </w:docPartObj>
      </w:sdtPr>
      <w:sdtEndPr>
        <w:rPr>
          <w:b/>
          <w:bCs/>
          <w:noProof/>
          <w:szCs w:val="18"/>
        </w:rPr>
      </w:sdtEndPr>
      <w:sdtContent>
        <w:p w:rsidR="006C5657" w:rsidRPr="00DF1E9C" w:rsidRDefault="006C5657" w:rsidP="006C5657">
          <w:pPr>
            <w:keepNext/>
            <w:keepLines/>
            <w:rPr>
              <w:rFonts w:cs="Arial"/>
              <w:b/>
              <w:sz w:val="18"/>
            </w:rPr>
          </w:pPr>
        </w:p>
        <w:p w:rsidR="00B26198" w:rsidRDefault="006C5657">
          <w:pPr>
            <w:pStyle w:val="TOC1"/>
            <w:rPr>
              <w:rFonts w:asciiTheme="minorHAnsi" w:eastAsiaTheme="minorEastAsia" w:hAnsiTheme="minorHAnsi" w:cstheme="minorBidi"/>
              <w:caps w:val="0"/>
              <w:noProof/>
              <w:sz w:val="22"/>
              <w:szCs w:val="22"/>
            </w:rPr>
          </w:pPr>
          <w:r w:rsidRPr="00440683">
            <w:rPr>
              <w:rFonts w:cs="Arial"/>
              <w:szCs w:val="18"/>
              <w:lang w:eastAsia="ja-JP"/>
            </w:rPr>
            <w:fldChar w:fldCharType="begin"/>
          </w:r>
          <w:r w:rsidRPr="00440683">
            <w:rPr>
              <w:rFonts w:cs="Arial"/>
              <w:bCs/>
              <w:noProof/>
              <w:szCs w:val="18"/>
              <w:lang w:eastAsia="ja-JP"/>
            </w:rPr>
            <w:instrText xml:space="preserve"> TOC \o "1-3" \h \z \u </w:instrText>
          </w:r>
          <w:r w:rsidRPr="00440683">
            <w:rPr>
              <w:rFonts w:cs="Arial"/>
              <w:szCs w:val="18"/>
              <w:lang w:eastAsia="ja-JP"/>
            </w:rPr>
            <w:fldChar w:fldCharType="separate"/>
          </w:r>
          <w:hyperlink w:anchor="_Toc53728404" w:history="1">
            <w:r w:rsidR="00B26198" w:rsidRPr="006E1C9A">
              <w:rPr>
                <w:rStyle w:val="Hyperlink"/>
                <w:noProof/>
              </w:rPr>
              <w:t>Executive summary</w:t>
            </w:r>
            <w:r w:rsidR="00B26198">
              <w:rPr>
                <w:noProof/>
                <w:webHidden/>
              </w:rPr>
              <w:tab/>
            </w:r>
            <w:r w:rsidR="00B26198">
              <w:rPr>
                <w:noProof/>
                <w:webHidden/>
              </w:rPr>
              <w:fldChar w:fldCharType="begin"/>
            </w:r>
            <w:r w:rsidR="00B26198">
              <w:rPr>
                <w:noProof/>
                <w:webHidden/>
              </w:rPr>
              <w:instrText xml:space="preserve"> PAGEREF _Toc53728404 \h </w:instrText>
            </w:r>
            <w:r w:rsidR="00B26198">
              <w:rPr>
                <w:noProof/>
                <w:webHidden/>
              </w:rPr>
            </w:r>
            <w:r w:rsidR="00B26198">
              <w:rPr>
                <w:noProof/>
                <w:webHidden/>
              </w:rPr>
              <w:fldChar w:fldCharType="separate"/>
            </w:r>
            <w:r w:rsidR="00B26198">
              <w:rPr>
                <w:noProof/>
                <w:webHidden/>
              </w:rPr>
              <w:t>1</w:t>
            </w:r>
            <w:r w:rsidR="00B26198">
              <w:rPr>
                <w:noProof/>
                <w:webHidden/>
              </w:rPr>
              <w:fldChar w:fldCharType="end"/>
            </w:r>
          </w:hyperlink>
        </w:p>
        <w:p w:rsidR="00B26198" w:rsidRDefault="00B26198">
          <w:pPr>
            <w:pStyle w:val="TOC1"/>
            <w:rPr>
              <w:rFonts w:asciiTheme="minorHAnsi" w:eastAsiaTheme="minorEastAsia" w:hAnsiTheme="minorHAnsi" w:cstheme="minorBidi"/>
              <w:caps w:val="0"/>
              <w:noProof/>
              <w:sz w:val="22"/>
              <w:szCs w:val="22"/>
            </w:rPr>
          </w:pPr>
          <w:hyperlink w:anchor="_Toc53728405" w:history="1">
            <w:r w:rsidRPr="006E1C9A">
              <w:rPr>
                <w:rStyle w:val="Hyperlink"/>
                <w:noProof/>
              </w:rPr>
              <w:t>Developments at the Technical Working Parties at their sessions in 2020</w:t>
            </w:r>
            <w:r>
              <w:rPr>
                <w:noProof/>
                <w:webHidden/>
              </w:rPr>
              <w:tab/>
            </w:r>
            <w:r>
              <w:rPr>
                <w:noProof/>
                <w:webHidden/>
              </w:rPr>
              <w:fldChar w:fldCharType="begin"/>
            </w:r>
            <w:r>
              <w:rPr>
                <w:noProof/>
                <w:webHidden/>
              </w:rPr>
              <w:instrText xml:space="preserve"> PAGEREF _Toc53728405 \h </w:instrText>
            </w:r>
            <w:r>
              <w:rPr>
                <w:noProof/>
                <w:webHidden/>
              </w:rPr>
            </w:r>
            <w:r>
              <w:rPr>
                <w:noProof/>
                <w:webHidden/>
              </w:rPr>
              <w:fldChar w:fldCharType="separate"/>
            </w:r>
            <w:r>
              <w:rPr>
                <w:noProof/>
                <w:webHidden/>
              </w:rPr>
              <w:t>2</w:t>
            </w:r>
            <w:r>
              <w:rPr>
                <w:noProof/>
                <w:webHidden/>
              </w:rPr>
              <w:fldChar w:fldCharType="end"/>
            </w:r>
          </w:hyperlink>
        </w:p>
        <w:p w:rsidR="00B26198" w:rsidRDefault="00B26198">
          <w:pPr>
            <w:pStyle w:val="TOC2"/>
            <w:rPr>
              <w:rFonts w:asciiTheme="minorHAnsi" w:eastAsiaTheme="minorEastAsia" w:hAnsiTheme="minorHAnsi" w:cstheme="minorBidi"/>
              <w:noProof/>
              <w:sz w:val="22"/>
              <w:szCs w:val="22"/>
            </w:rPr>
          </w:pPr>
          <w:hyperlink w:anchor="_Toc53728406" w:history="1">
            <w:r w:rsidRPr="006E1C9A">
              <w:rPr>
                <w:rStyle w:val="Hyperlink"/>
                <w:noProof/>
              </w:rPr>
              <w:t>Presentation on the use of molecular techniques in DUS examination</w:t>
            </w:r>
            <w:r>
              <w:rPr>
                <w:noProof/>
                <w:webHidden/>
              </w:rPr>
              <w:tab/>
            </w:r>
            <w:r>
              <w:rPr>
                <w:noProof/>
                <w:webHidden/>
              </w:rPr>
              <w:fldChar w:fldCharType="begin"/>
            </w:r>
            <w:r>
              <w:rPr>
                <w:noProof/>
                <w:webHidden/>
              </w:rPr>
              <w:instrText xml:space="preserve"> PAGEREF _Toc53728406 \h </w:instrText>
            </w:r>
            <w:r>
              <w:rPr>
                <w:noProof/>
                <w:webHidden/>
              </w:rPr>
            </w:r>
            <w:r>
              <w:rPr>
                <w:noProof/>
                <w:webHidden/>
              </w:rPr>
              <w:fldChar w:fldCharType="separate"/>
            </w:r>
            <w:r>
              <w:rPr>
                <w:noProof/>
                <w:webHidden/>
              </w:rPr>
              <w:t>2</w:t>
            </w:r>
            <w:r>
              <w:rPr>
                <w:noProof/>
                <w:webHidden/>
              </w:rPr>
              <w:fldChar w:fldCharType="end"/>
            </w:r>
          </w:hyperlink>
        </w:p>
        <w:p w:rsidR="00B26198" w:rsidRDefault="00B26198">
          <w:pPr>
            <w:pStyle w:val="TOC3"/>
            <w:rPr>
              <w:rFonts w:asciiTheme="minorHAnsi" w:eastAsiaTheme="minorEastAsia" w:hAnsiTheme="minorHAnsi" w:cstheme="minorBidi"/>
              <w:noProof/>
              <w:sz w:val="22"/>
              <w:szCs w:val="22"/>
              <w:lang w:val="en-US"/>
            </w:rPr>
          </w:pPr>
          <w:hyperlink w:anchor="_Toc53728407" w:history="1">
            <w:r w:rsidRPr="006E1C9A">
              <w:rPr>
                <w:rStyle w:val="Hyperlink"/>
                <w:noProof/>
              </w:rPr>
              <w:t>Information on molecular markers in Test Guidelines explanations</w:t>
            </w:r>
            <w:r>
              <w:rPr>
                <w:noProof/>
                <w:webHidden/>
              </w:rPr>
              <w:tab/>
            </w:r>
            <w:r>
              <w:rPr>
                <w:noProof/>
                <w:webHidden/>
              </w:rPr>
              <w:fldChar w:fldCharType="begin"/>
            </w:r>
            <w:r>
              <w:rPr>
                <w:noProof/>
                <w:webHidden/>
              </w:rPr>
              <w:instrText xml:space="preserve"> PAGEREF _Toc53728407 \h </w:instrText>
            </w:r>
            <w:r>
              <w:rPr>
                <w:noProof/>
                <w:webHidden/>
              </w:rPr>
            </w:r>
            <w:r>
              <w:rPr>
                <w:noProof/>
                <w:webHidden/>
              </w:rPr>
              <w:fldChar w:fldCharType="separate"/>
            </w:r>
            <w:r>
              <w:rPr>
                <w:noProof/>
                <w:webHidden/>
              </w:rPr>
              <w:t>2</w:t>
            </w:r>
            <w:r>
              <w:rPr>
                <w:noProof/>
                <w:webHidden/>
              </w:rPr>
              <w:fldChar w:fldCharType="end"/>
            </w:r>
          </w:hyperlink>
        </w:p>
        <w:p w:rsidR="00B26198" w:rsidRDefault="00B26198">
          <w:pPr>
            <w:pStyle w:val="TOC3"/>
            <w:rPr>
              <w:rFonts w:asciiTheme="minorHAnsi" w:eastAsiaTheme="minorEastAsia" w:hAnsiTheme="minorHAnsi" w:cstheme="minorBidi"/>
              <w:noProof/>
              <w:sz w:val="22"/>
              <w:szCs w:val="22"/>
              <w:lang w:val="en-US"/>
            </w:rPr>
          </w:pPr>
          <w:hyperlink w:anchor="_Toc53728408" w:history="1">
            <w:r w:rsidRPr="006E1C9A">
              <w:rPr>
                <w:rStyle w:val="Hyperlink"/>
                <w:noProof/>
              </w:rPr>
              <w:t>Developing a strategy to apply SNP molecular markers in the framework of winter Oilseed rape DUS testing</w:t>
            </w:r>
            <w:r>
              <w:rPr>
                <w:noProof/>
                <w:webHidden/>
              </w:rPr>
              <w:tab/>
            </w:r>
            <w:r>
              <w:rPr>
                <w:noProof/>
                <w:webHidden/>
              </w:rPr>
              <w:fldChar w:fldCharType="begin"/>
            </w:r>
            <w:r>
              <w:rPr>
                <w:noProof/>
                <w:webHidden/>
              </w:rPr>
              <w:instrText xml:space="preserve"> PAGEREF _Toc53728408 \h </w:instrText>
            </w:r>
            <w:r>
              <w:rPr>
                <w:noProof/>
                <w:webHidden/>
              </w:rPr>
            </w:r>
            <w:r>
              <w:rPr>
                <w:noProof/>
                <w:webHidden/>
              </w:rPr>
              <w:fldChar w:fldCharType="separate"/>
            </w:r>
            <w:r>
              <w:rPr>
                <w:noProof/>
                <w:webHidden/>
              </w:rPr>
              <w:t>2</w:t>
            </w:r>
            <w:r>
              <w:rPr>
                <w:noProof/>
                <w:webHidden/>
              </w:rPr>
              <w:fldChar w:fldCharType="end"/>
            </w:r>
          </w:hyperlink>
        </w:p>
        <w:p w:rsidR="00B26198" w:rsidRDefault="00B26198">
          <w:pPr>
            <w:pStyle w:val="TOC1"/>
            <w:rPr>
              <w:rFonts w:asciiTheme="minorHAnsi" w:eastAsiaTheme="minorEastAsia" w:hAnsiTheme="minorHAnsi" w:cstheme="minorBidi"/>
              <w:caps w:val="0"/>
              <w:noProof/>
              <w:sz w:val="22"/>
              <w:szCs w:val="22"/>
            </w:rPr>
          </w:pPr>
          <w:hyperlink w:anchor="_Toc53728409" w:history="1">
            <w:r w:rsidRPr="006E1C9A">
              <w:rPr>
                <w:rStyle w:val="Hyperlink"/>
                <w:noProof/>
              </w:rPr>
              <w:t>developments at the Nineteenth session of the Working Group on Biochemical and Molecular Techniques, and DNA-Profiling in Particular</w:t>
            </w:r>
            <w:r>
              <w:rPr>
                <w:noProof/>
                <w:webHidden/>
              </w:rPr>
              <w:tab/>
            </w:r>
            <w:r>
              <w:rPr>
                <w:noProof/>
                <w:webHidden/>
              </w:rPr>
              <w:fldChar w:fldCharType="begin"/>
            </w:r>
            <w:r>
              <w:rPr>
                <w:noProof/>
                <w:webHidden/>
              </w:rPr>
              <w:instrText xml:space="preserve"> PAGEREF _Toc53728409 \h </w:instrText>
            </w:r>
            <w:r>
              <w:rPr>
                <w:noProof/>
                <w:webHidden/>
              </w:rPr>
            </w:r>
            <w:r>
              <w:rPr>
                <w:noProof/>
                <w:webHidden/>
              </w:rPr>
              <w:fldChar w:fldCharType="separate"/>
            </w:r>
            <w:r>
              <w:rPr>
                <w:noProof/>
                <w:webHidden/>
              </w:rPr>
              <w:t>2</w:t>
            </w:r>
            <w:r>
              <w:rPr>
                <w:noProof/>
                <w:webHidden/>
              </w:rPr>
              <w:fldChar w:fldCharType="end"/>
            </w:r>
          </w:hyperlink>
        </w:p>
        <w:p w:rsidR="00B26198" w:rsidRDefault="00B26198">
          <w:pPr>
            <w:pStyle w:val="TOC2"/>
            <w:rPr>
              <w:rFonts w:asciiTheme="minorHAnsi" w:eastAsiaTheme="minorEastAsia" w:hAnsiTheme="minorHAnsi" w:cstheme="minorBidi"/>
              <w:noProof/>
              <w:sz w:val="22"/>
              <w:szCs w:val="22"/>
            </w:rPr>
          </w:pPr>
          <w:hyperlink w:anchor="_Toc53728410" w:history="1">
            <w:r w:rsidRPr="006E1C9A">
              <w:rPr>
                <w:rStyle w:val="Hyperlink"/>
                <w:noProof/>
                <w:lang w:eastAsia="ja-JP"/>
              </w:rPr>
              <w:t>Papers presented</w:t>
            </w:r>
            <w:r>
              <w:rPr>
                <w:noProof/>
                <w:webHidden/>
              </w:rPr>
              <w:tab/>
            </w:r>
            <w:r>
              <w:rPr>
                <w:noProof/>
                <w:webHidden/>
              </w:rPr>
              <w:fldChar w:fldCharType="begin"/>
            </w:r>
            <w:r>
              <w:rPr>
                <w:noProof/>
                <w:webHidden/>
              </w:rPr>
              <w:instrText xml:space="preserve"> PAGEREF _Toc53728410 \h </w:instrText>
            </w:r>
            <w:r>
              <w:rPr>
                <w:noProof/>
                <w:webHidden/>
              </w:rPr>
            </w:r>
            <w:r>
              <w:rPr>
                <w:noProof/>
                <w:webHidden/>
              </w:rPr>
              <w:fldChar w:fldCharType="separate"/>
            </w:r>
            <w:r>
              <w:rPr>
                <w:noProof/>
                <w:webHidden/>
              </w:rPr>
              <w:t>2</w:t>
            </w:r>
            <w:r>
              <w:rPr>
                <w:noProof/>
                <w:webHidden/>
              </w:rPr>
              <w:fldChar w:fldCharType="end"/>
            </w:r>
          </w:hyperlink>
        </w:p>
        <w:p w:rsidR="00B26198" w:rsidRDefault="00B26198">
          <w:pPr>
            <w:pStyle w:val="TOC2"/>
            <w:rPr>
              <w:rFonts w:asciiTheme="minorHAnsi" w:eastAsiaTheme="minorEastAsia" w:hAnsiTheme="minorHAnsi" w:cstheme="minorBidi"/>
              <w:noProof/>
              <w:sz w:val="22"/>
              <w:szCs w:val="22"/>
            </w:rPr>
          </w:pPr>
          <w:hyperlink w:anchor="_Toc53728411" w:history="1">
            <w:r w:rsidRPr="006E1C9A">
              <w:rPr>
                <w:rStyle w:val="Hyperlink"/>
                <w:noProof/>
              </w:rPr>
              <w:t>Date and place of next session</w:t>
            </w:r>
            <w:r>
              <w:rPr>
                <w:noProof/>
                <w:webHidden/>
              </w:rPr>
              <w:tab/>
            </w:r>
            <w:r>
              <w:rPr>
                <w:noProof/>
                <w:webHidden/>
              </w:rPr>
              <w:fldChar w:fldCharType="begin"/>
            </w:r>
            <w:r>
              <w:rPr>
                <w:noProof/>
                <w:webHidden/>
              </w:rPr>
              <w:instrText xml:space="preserve"> PAGEREF _Toc53728411 \h </w:instrText>
            </w:r>
            <w:r>
              <w:rPr>
                <w:noProof/>
                <w:webHidden/>
              </w:rPr>
            </w:r>
            <w:r>
              <w:rPr>
                <w:noProof/>
                <w:webHidden/>
              </w:rPr>
              <w:fldChar w:fldCharType="separate"/>
            </w:r>
            <w:r>
              <w:rPr>
                <w:noProof/>
                <w:webHidden/>
              </w:rPr>
              <w:t>3</w:t>
            </w:r>
            <w:r>
              <w:rPr>
                <w:noProof/>
                <w:webHidden/>
              </w:rPr>
              <w:fldChar w:fldCharType="end"/>
            </w:r>
          </w:hyperlink>
        </w:p>
        <w:p w:rsidR="00B26198" w:rsidRDefault="00B26198">
          <w:pPr>
            <w:pStyle w:val="TOC2"/>
            <w:rPr>
              <w:rFonts w:asciiTheme="minorHAnsi" w:eastAsiaTheme="minorEastAsia" w:hAnsiTheme="minorHAnsi" w:cstheme="minorBidi"/>
              <w:noProof/>
              <w:sz w:val="22"/>
              <w:szCs w:val="22"/>
            </w:rPr>
          </w:pPr>
          <w:hyperlink w:anchor="_Toc53728412" w:history="1">
            <w:r w:rsidRPr="006E1C9A">
              <w:rPr>
                <w:rStyle w:val="Hyperlink"/>
                <w:noProof/>
              </w:rPr>
              <w:t>Future program</w:t>
            </w:r>
            <w:r>
              <w:rPr>
                <w:noProof/>
                <w:webHidden/>
              </w:rPr>
              <w:tab/>
            </w:r>
            <w:r>
              <w:rPr>
                <w:noProof/>
                <w:webHidden/>
              </w:rPr>
              <w:fldChar w:fldCharType="begin"/>
            </w:r>
            <w:r>
              <w:rPr>
                <w:noProof/>
                <w:webHidden/>
              </w:rPr>
              <w:instrText xml:space="preserve"> PAGEREF _Toc53728412 \h </w:instrText>
            </w:r>
            <w:r>
              <w:rPr>
                <w:noProof/>
                <w:webHidden/>
              </w:rPr>
            </w:r>
            <w:r>
              <w:rPr>
                <w:noProof/>
                <w:webHidden/>
              </w:rPr>
              <w:fldChar w:fldCharType="separate"/>
            </w:r>
            <w:r>
              <w:rPr>
                <w:noProof/>
                <w:webHidden/>
              </w:rPr>
              <w:t>3</w:t>
            </w:r>
            <w:r>
              <w:rPr>
                <w:noProof/>
                <w:webHidden/>
              </w:rPr>
              <w:fldChar w:fldCharType="end"/>
            </w:r>
          </w:hyperlink>
        </w:p>
        <w:p w:rsidR="006C5657" w:rsidRDefault="006C5657" w:rsidP="006C5657">
          <w:pPr>
            <w:pStyle w:val="TOC2"/>
            <w:rPr>
              <w:b/>
              <w:bCs/>
              <w:smallCaps/>
              <w:noProof/>
              <w:szCs w:val="18"/>
            </w:rPr>
          </w:pPr>
          <w:r w:rsidRPr="00440683">
            <w:rPr>
              <w:b/>
              <w:bCs/>
              <w:smallCaps/>
              <w:noProof/>
              <w:szCs w:val="18"/>
            </w:rPr>
            <w:fldChar w:fldCharType="end"/>
          </w:r>
        </w:p>
      </w:sdtContent>
    </w:sdt>
    <w:p w:rsidR="006C5657" w:rsidRPr="009B01E5" w:rsidRDefault="006C5657" w:rsidP="006C5657"/>
    <w:p w:rsidR="006C5657" w:rsidRPr="009B01E5" w:rsidRDefault="006C5657" w:rsidP="006C5657">
      <w:r w:rsidRPr="009B01E5">
        <w:fldChar w:fldCharType="begin"/>
      </w:r>
      <w:r w:rsidRPr="009B01E5">
        <w:instrText xml:space="preserve"> AUTONUM  </w:instrText>
      </w:r>
      <w:r w:rsidRPr="009B01E5">
        <w:fldChar w:fldCharType="end"/>
      </w:r>
      <w:r w:rsidRPr="009B01E5">
        <w:tab/>
        <w:t xml:space="preserve">The following abbreviations </w:t>
      </w:r>
      <w:proofErr w:type="gramStart"/>
      <w:r w:rsidRPr="009B01E5">
        <w:t>are used</w:t>
      </w:r>
      <w:proofErr w:type="gramEnd"/>
      <w:r w:rsidRPr="009B01E5">
        <w:t xml:space="preserve"> in this document:</w:t>
      </w:r>
    </w:p>
    <w:p w:rsidR="006C5657" w:rsidRPr="009B01E5" w:rsidRDefault="006C5657" w:rsidP="006C5657"/>
    <w:p w:rsidR="00535784" w:rsidRPr="001857B6" w:rsidRDefault="00535784" w:rsidP="00535784">
      <w:pPr>
        <w:keepNext/>
        <w:tabs>
          <w:tab w:val="left" w:pos="567"/>
        </w:tabs>
        <w:ind w:left="1701" w:hanging="1134"/>
        <w:rPr>
          <w:sz w:val="18"/>
        </w:rPr>
      </w:pPr>
      <w:r w:rsidRPr="001857B6">
        <w:rPr>
          <w:sz w:val="18"/>
        </w:rPr>
        <w:t>BMT:</w:t>
      </w:r>
      <w:r w:rsidRPr="001857B6">
        <w:rPr>
          <w:sz w:val="18"/>
        </w:rPr>
        <w:tab/>
        <w:t xml:space="preserve">Working Group on Biochemical and Molecular Techniques, and DNA-Profiling in Particular </w:t>
      </w:r>
    </w:p>
    <w:p w:rsidR="00535784" w:rsidRPr="001857B6" w:rsidRDefault="00535784" w:rsidP="00535784">
      <w:pPr>
        <w:ind w:left="1701" w:hanging="1134"/>
        <w:rPr>
          <w:rFonts w:cs="Arial"/>
          <w:snapToGrid w:val="0"/>
          <w:sz w:val="18"/>
          <w:szCs w:val="24"/>
          <w:lang w:eastAsia="ja-JP"/>
        </w:rPr>
      </w:pPr>
      <w:r w:rsidRPr="001857B6">
        <w:rPr>
          <w:rFonts w:eastAsia="PMingLiU" w:cs="Arial"/>
          <w:snapToGrid w:val="0"/>
          <w:sz w:val="18"/>
          <w:szCs w:val="24"/>
          <w:lang w:eastAsia="fr-FR"/>
        </w:rPr>
        <w:t xml:space="preserve">ISTA: </w:t>
      </w:r>
      <w:r w:rsidRPr="001857B6">
        <w:rPr>
          <w:rFonts w:eastAsia="PMingLiU" w:cs="Arial"/>
          <w:snapToGrid w:val="0"/>
          <w:sz w:val="18"/>
          <w:szCs w:val="24"/>
          <w:lang w:eastAsia="fr-FR"/>
        </w:rPr>
        <w:tab/>
        <w:t>International Seed Testing Association</w:t>
      </w:r>
    </w:p>
    <w:p w:rsidR="00535784" w:rsidRPr="001857B6" w:rsidRDefault="00535784" w:rsidP="00535784">
      <w:pPr>
        <w:ind w:left="1701" w:hanging="1134"/>
        <w:rPr>
          <w:rFonts w:eastAsia="PMingLiU" w:cs="Arial"/>
          <w:snapToGrid w:val="0"/>
          <w:sz w:val="18"/>
          <w:szCs w:val="24"/>
        </w:rPr>
      </w:pPr>
      <w:r w:rsidRPr="001857B6">
        <w:rPr>
          <w:rFonts w:eastAsia="PMingLiU" w:cs="Arial"/>
          <w:sz w:val="18"/>
          <w:szCs w:val="24"/>
        </w:rPr>
        <w:t>OECD:</w:t>
      </w:r>
      <w:r w:rsidRPr="001857B6">
        <w:rPr>
          <w:rFonts w:eastAsia="PMingLiU" w:cs="Arial"/>
          <w:sz w:val="18"/>
          <w:szCs w:val="24"/>
        </w:rPr>
        <w:tab/>
      </w:r>
      <w:r w:rsidRPr="001857B6">
        <w:rPr>
          <w:rFonts w:eastAsia="PMingLiU" w:cs="Arial"/>
          <w:snapToGrid w:val="0"/>
          <w:sz w:val="18"/>
          <w:szCs w:val="24"/>
        </w:rPr>
        <w:t>Organization for Economic Co-operation and Development</w:t>
      </w:r>
    </w:p>
    <w:p w:rsidR="00535784" w:rsidRPr="001857B6" w:rsidRDefault="00535784" w:rsidP="00535784">
      <w:pPr>
        <w:keepNext/>
        <w:tabs>
          <w:tab w:val="left" w:pos="567"/>
        </w:tabs>
        <w:ind w:left="1701" w:hanging="1134"/>
        <w:rPr>
          <w:sz w:val="18"/>
        </w:rPr>
      </w:pPr>
      <w:r w:rsidRPr="001857B6">
        <w:rPr>
          <w:sz w:val="18"/>
        </w:rPr>
        <w:t>TC:</w:t>
      </w:r>
      <w:r w:rsidRPr="001857B6">
        <w:rPr>
          <w:sz w:val="18"/>
        </w:rPr>
        <w:tab/>
        <w:t>Technical Committee</w:t>
      </w:r>
    </w:p>
    <w:p w:rsidR="00535784" w:rsidRPr="001857B6" w:rsidRDefault="00535784" w:rsidP="00535784">
      <w:pPr>
        <w:ind w:left="1701" w:hanging="1134"/>
        <w:rPr>
          <w:rFonts w:eastAsia="PMingLiU" w:cs="Arial"/>
          <w:sz w:val="18"/>
          <w:szCs w:val="24"/>
        </w:rPr>
      </w:pPr>
      <w:r w:rsidRPr="001857B6">
        <w:rPr>
          <w:rFonts w:eastAsia="PMingLiU" w:cs="Arial"/>
          <w:sz w:val="18"/>
          <w:szCs w:val="24"/>
        </w:rPr>
        <w:t>TWA:</w:t>
      </w:r>
      <w:r w:rsidRPr="001857B6">
        <w:rPr>
          <w:rFonts w:eastAsia="PMingLiU" w:cs="Arial"/>
          <w:sz w:val="18"/>
          <w:szCs w:val="24"/>
        </w:rPr>
        <w:tab/>
        <w:t>Technical Working Party for Agricultural Crops</w:t>
      </w:r>
    </w:p>
    <w:p w:rsidR="00535784" w:rsidRPr="001857B6" w:rsidRDefault="00535784" w:rsidP="00535784">
      <w:pPr>
        <w:ind w:left="1701" w:hanging="1134"/>
        <w:rPr>
          <w:rFonts w:eastAsia="PMingLiU" w:cs="Arial"/>
          <w:sz w:val="18"/>
          <w:szCs w:val="24"/>
        </w:rPr>
      </w:pPr>
      <w:r w:rsidRPr="001857B6">
        <w:rPr>
          <w:rFonts w:eastAsia="PMingLiU" w:cs="Arial"/>
          <w:sz w:val="18"/>
          <w:szCs w:val="24"/>
        </w:rPr>
        <w:t>TWC:</w:t>
      </w:r>
      <w:r w:rsidRPr="001857B6">
        <w:rPr>
          <w:rFonts w:eastAsia="PMingLiU" w:cs="Arial"/>
          <w:sz w:val="18"/>
          <w:szCs w:val="24"/>
        </w:rPr>
        <w:tab/>
        <w:t>Technical Working Party on Automation and Computer Programs</w:t>
      </w:r>
    </w:p>
    <w:p w:rsidR="00535784" w:rsidRPr="001857B6" w:rsidRDefault="00535784" w:rsidP="00535784">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F</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Fruit Crops</w:t>
      </w:r>
    </w:p>
    <w:p w:rsidR="00535784" w:rsidRPr="001857B6" w:rsidRDefault="00535784" w:rsidP="00535784">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O</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Ornamental Plants and Forest Trees</w:t>
      </w:r>
    </w:p>
    <w:p w:rsidR="00535784" w:rsidRPr="001857B6" w:rsidRDefault="00535784" w:rsidP="00535784">
      <w:pPr>
        <w:ind w:left="1701" w:hanging="1134"/>
        <w:rPr>
          <w:rFonts w:eastAsia="PMingLiU" w:cs="Arial"/>
          <w:sz w:val="18"/>
          <w:szCs w:val="24"/>
        </w:rPr>
      </w:pPr>
      <w:r w:rsidRPr="001857B6">
        <w:rPr>
          <w:rFonts w:eastAsia="PMingLiU" w:cs="Arial"/>
          <w:sz w:val="18"/>
          <w:szCs w:val="24"/>
        </w:rPr>
        <w:t>TWPs:</w:t>
      </w:r>
      <w:r w:rsidRPr="001857B6">
        <w:rPr>
          <w:rFonts w:eastAsia="PMingLiU" w:cs="Arial"/>
          <w:sz w:val="18"/>
          <w:szCs w:val="24"/>
        </w:rPr>
        <w:tab/>
        <w:t>Technical Working Parties</w:t>
      </w:r>
    </w:p>
    <w:p w:rsidR="00535784" w:rsidRPr="001857B6" w:rsidRDefault="00535784" w:rsidP="00535784">
      <w:pPr>
        <w:ind w:left="1701" w:hanging="1134"/>
        <w:rPr>
          <w:rFonts w:eastAsia="PMingLiU" w:cs="Arial"/>
          <w:sz w:val="18"/>
          <w:szCs w:val="24"/>
        </w:rPr>
      </w:pPr>
      <w:r w:rsidRPr="001857B6">
        <w:rPr>
          <w:rFonts w:eastAsia="PMingLiU" w:cs="Arial"/>
          <w:sz w:val="18"/>
          <w:szCs w:val="24"/>
        </w:rPr>
        <w:t>TWV:</w:t>
      </w:r>
      <w:r w:rsidRPr="001857B6">
        <w:rPr>
          <w:rFonts w:eastAsia="PMingLiU" w:cs="Arial"/>
          <w:sz w:val="18"/>
          <w:szCs w:val="24"/>
        </w:rPr>
        <w:tab/>
        <w:t>Technical Working Party for Vegetables</w:t>
      </w:r>
    </w:p>
    <w:p w:rsidR="006C5657" w:rsidRDefault="006C5657" w:rsidP="006C5657">
      <w:pPr>
        <w:rPr>
          <w:noProof/>
          <w:lang w:eastAsia="ja-JP"/>
        </w:rPr>
      </w:pPr>
    </w:p>
    <w:p w:rsidR="00A66AE5" w:rsidRDefault="00A66AE5" w:rsidP="009B6069">
      <w:pPr>
        <w:pStyle w:val="Heading1"/>
      </w:pPr>
      <w:bookmarkStart w:id="4" w:name="_Toc52799199"/>
      <w:bookmarkStart w:id="5" w:name="_Toc52877567"/>
      <w:bookmarkStart w:id="6" w:name="_Toc53728405"/>
      <w:r w:rsidRPr="005D3505">
        <w:lastRenderedPageBreak/>
        <w:t xml:space="preserve">Developments </w:t>
      </w:r>
      <w:r>
        <w:t>at</w:t>
      </w:r>
      <w:r w:rsidRPr="005D3505">
        <w:t xml:space="preserve"> the Technical Working Parties at their sessions in 2020</w:t>
      </w:r>
      <w:bookmarkEnd w:id="4"/>
      <w:bookmarkEnd w:id="5"/>
      <w:bookmarkEnd w:id="6"/>
    </w:p>
    <w:p w:rsidR="00A66AE5" w:rsidRDefault="00A66AE5" w:rsidP="009B6069">
      <w:pPr>
        <w:keepNext/>
        <w:rPr>
          <w:lang w:eastAsia="ja-JP"/>
        </w:rPr>
      </w:pPr>
    </w:p>
    <w:p w:rsidR="00A66AE5" w:rsidRDefault="00A66AE5" w:rsidP="009B6069">
      <w:pPr>
        <w:keepNext/>
        <w:rPr>
          <w:lang w:eastAsia="ja-JP"/>
        </w:rPr>
      </w:pPr>
      <w:r>
        <w:fldChar w:fldCharType="begin"/>
      </w:r>
      <w:r>
        <w:instrText xml:space="preserve"> AUTONUM  </w:instrText>
      </w:r>
      <w:r>
        <w:fldChar w:fldCharType="end"/>
      </w:r>
      <w:r>
        <w:tab/>
      </w:r>
      <w:proofErr w:type="gramStart"/>
      <w:r>
        <w:t>At their sessions in 2020, t</w:t>
      </w:r>
      <w:r w:rsidRPr="000812D1">
        <w:t>he TWV</w:t>
      </w:r>
      <w:r>
        <w:rPr>
          <w:rStyle w:val="FootnoteReference"/>
        </w:rPr>
        <w:footnoteReference w:id="2"/>
      </w:r>
      <w:r>
        <w:t>, TWO</w:t>
      </w:r>
      <w:r>
        <w:rPr>
          <w:rStyle w:val="FootnoteReference"/>
        </w:rPr>
        <w:footnoteReference w:id="3"/>
      </w:r>
      <w:r>
        <w:t>, TWA</w:t>
      </w:r>
      <w:r>
        <w:rPr>
          <w:rStyle w:val="FootnoteReference"/>
        </w:rPr>
        <w:footnoteReference w:id="4"/>
      </w:r>
      <w:r>
        <w:t>, TWF</w:t>
      </w:r>
      <w:r>
        <w:rPr>
          <w:rStyle w:val="FootnoteReference"/>
        </w:rPr>
        <w:footnoteReference w:id="5"/>
      </w:r>
      <w:r>
        <w:t xml:space="preserve"> and TWC</w:t>
      </w:r>
      <w:r>
        <w:rPr>
          <w:rStyle w:val="FootnoteReference"/>
        </w:rPr>
        <w:footnoteReference w:id="6"/>
      </w:r>
      <w:r>
        <w:t xml:space="preserve"> considered document TWP/4/7 “Molecular techniques”</w:t>
      </w:r>
      <w:r w:rsidRPr="00723939">
        <w:rPr>
          <w:lang w:eastAsia="ja-JP"/>
        </w:rPr>
        <w:t xml:space="preserve"> </w:t>
      </w:r>
      <w:r>
        <w:t>(see documents TWV/54/9 “Report”, paragraphs 8 to 22; TWO/52/11 “Report”, paragraphs 79 to 91; TWA/49/7 “Report”, paragraphs 52 to 66; TWF/51/10 “Report”, paragraphs 8 to 20 and TWC/38/11 “Report”, paragraphs 61 to 73)</w:t>
      </w:r>
      <w:r>
        <w:rPr>
          <w:lang w:eastAsia="ja-JP"/>
        </w:rPr>
        <w:t>.</w:t>
      </w:r>
      <w:proofErr w:type="gramEnd"/>
    </w:p>
    <w:p w:rsidR="00A66AE5" w:rsidRDefault="00A66AE5" w:rsidP="009B6069">
      <w:pPr>
        <w:keepNext/>
        <w:rPr>
          <w:lang w:eastAsia="ja-JP"/>
        </w:rPr>
      </w:pPr>
    </w:p>
    <w:p w:rsidR="000828A6" w:rsidRDefault="000828A6" w:rsidP="000828A6">
      <w:pPr>
        <w:rPr>
          <w:lang w:eastAsia="ja-JP"/>
        </w:rPr>
      </w:pPr>
      <w:r w:rsidRPr="000828A6">
        <w:rPr>
          <w:lang w:eastAsia="ja-JP"/>
        </w:rPr>
        <w:fldChar w:fldCharType="begin"/>
      </w:r>
      <w:r w:rsidRPr="000828A6">
        <w:rPr>
          <w:lang w:eastAsia="ja-JP"/>
        </w:rPr>
        <w:instrText xml:space="preserve"> AUTONUM  </w:instrText>
      </w:r>
      <w:r w:rsidRPr="000828A6">
        <w:rPr>
          <w:lang w:eastAsia="ja-JP"/>
        </w:rPr>
        <w:fldChar w:fldCharType="end"/>
      </w:r>
      <w:r w:rsidRPr="000828A6">
        <w:rPr>
          <w:lang w:eastAsia="ja-JP"/>
        </w:rPr>
        <w:tab/>
        <w:t xml:space="preserve">The TWA, at its forty-ninth session, noted the comment from </w:t>
      </w:r>
      <w:proofErr w:type="spellStart"/>
      <w:r w:rsidRPr="000828A6">
        <w:rPr>
          <w:rFonts w:cs="Arial"/>
        </w:rPr>
        <w:t>CropLife</w:t>
      </w:r>
      <w:proofErr w:type="spellEnd"/>
      <w:r w:rsidRPr="000828A6">
        <w:rPr>
          <w:rFonts w:cs="Arial"/>
        </w:rPr>
        <w:t xml:space="preserve"> International, </w:t>
      </w:r>
      <w:proofErr w:type="spellStart"/>
      <w:r w:rsidRPr="000828A6">
        <w:rPr>
          <w:rFonts w:cs="Arial"/>
        </w:rPr>
        <w:t>Euroseeds</w:t>
      </w:r>
      <w:proofErr w:type="spellEnd"/>
      <w:r w:rsidRPr="000828A6">
        <w:rPr>
          <w:rFonts w:cs="Arial"/>
        </w:rPr>
        <w:t>, International Seed Federation and Seed Association of the Americas</w:t>
      </w:r>
      <w:r w:rsidRPr="000828A6">
        <w:rPr>
          <w:lang w:eastAsia="ja-JP"/>
        </w:rPr>
        <w:t xml:space="preserve"> that </w:t>
      </w:r>
      <w:r w:rsidRPr="000828A6">
        <w:rPr>
          <w:rFonts w:cs="Arial"/>
        </w:rPr>
        <w:t xml:space="preserve">the use of molecular techniques should be encouraged as far as authorities could continue to mutually recognize test results and take-over DUS test reports </w:t>
      </w:r>
      <w:r w:rsidRPr="000828A6">
        <w:t>(see document TWA/49/7 “Report”, paragraph 53)</w:t>
      </w:r>
      <w:r w:rsidRPr="000828A6">
        <w:rPr>
          <w:rFonts w:cs="Arial"/>
        </w:rPr>
        <w:t>.</w:t>
      </w:r>
    </w:p>
    <w:p w:rsidR="00A66AE5" w:rsidRDefault="00A66AE5" w:rsidP="00A66AE5">
      <w:pPr>
        <w:rPr>
          <w:lang w:eastAsia="ja-JP"/>
        </w:rPr>
      </w:pPr>
    </w:p>
    <w:p w:rsidR="00A66AE5" w:rsidRPr="000812D1" w:rsidRDefault="00A66AE5" w:rsidP="00A66AE5"/>
    <w:p w:rsidR="00A66AE5" w:rsidRPr="00FE31AE" w:rsidRDefault="00A66AE5" w:rsidP="00A66AE5">
      <w:pPr>
        <w:pStyle w:val="Heading2"/>
      </w:pPr>
      <w:bookmarkStart w:id="7" w:name="_Toc53728406"/>
      <w:r w:rsidRPr="00FE31AE">
        <w:t>Presentation on the use of molecular techniques in DUS examination</w:t>
      </w:r>
      <w:bookmarkEnd w:id="7"/>
    </w:p>
    <w:p w:rsidR="00A66AE5" w:rsidRPr="00FE31AE" w:rsidRDefault="00A66AE5" w:rsidP="00A66AE5">
      <w:pPr>
        <w:pStyle w:val="Heading2"/>
      </w:pPr>
    </w:p>
    <w:p w:rsidR="00FE31AE" w:rsidRPr="00FE31AE" w:rsidRDefault="00FE31AE" w:rsidP="00FE31AE">
      <w:pPr>
        <w:pStyle w:val="Heading3"/>
      </w:pPr>
      <w:bookmarkStart w:id="8" w:name="_Toc53728407"/>
      <w:r w:rsidRPr="00FE31AE">
        <w:t>Information on molecular markers in Test Guidelines explanations</w:t>
      </w:r>
      <w:bookmarkEnd w:id="8"/>
    </w:p>
    <w:p w:rsidR="00FE31AE" w:rsidRPr="00FE31AE" w:rsidRDefault="00FE31AE" w:rsidP="00FE31AE"/>
    <w:p w:rsidR="00A66AE5" w:rsidRPr="00FE31AE" w:rsidRDefault="00A66AE5" w:rsidP="00723D5D">
      <w:r w:rsidRPr="00FE31AE">
        <w:fldChar w:fldCharType="begin"/>
      </w:r>
      <w:r w:rsidRPr="00FE31AE">
        <w:instrText xml:space="preserve"> AUTONUM  </w:instrText>
      </w:r>
      <w:r w:rsidRPr="00FE31AE">
        <w:fldChar w:fldCharType="end"/>
      </w:r>
      <w:r w:rsidRPr="00FE31AE">
        <w:tab/>
        <w:t>The TWV</w:t>
      </w:r>
      <w:r w:rsidR="00FE31AE" w:rsidRPr="00FE31AE">
        <w:t>, at its fifty-fourth session,</w:t>
      </w:r>
      <w:r w:rsidRPr="00FE31AE">
        <w:t xml:space="preserve"> received a presentation on “Information on molecular markers in Test Guidelines explanations” from an expert from the Netherlands.  A copy of the presentation </w:t>
      </w:r>
      <w:proofErr w:type="gramStart"/>
      <w:r w:rsidRPr="00FE31AE">
        <w:t>is provided</w:t>
      </w:r>
      <w:proofErr w:type="gramEnd"/>
      <w:r w:rsidRPr="00FE31AE">
        <w:t xml:space="preserve"> in documents TWV/54/7 and TWV/54/7 Add (see document TWV/54/9 “Report”, paragraph 21).</w:t>
      </w:r>
    </w:p>
    <w:p w:rsidR="00A66AE5" w:rsidRPr="00FE31AE" w:rsidRDefault="00A66AE5" w:rsidP="00A66AE5"/>
    <w:p w:rsidR="00A66AE5" w:rsidRPr="00FE31AE" w:rsidRDefault="00A66AE5" w:rsidP="00A66AE5">
      <w:r w:rsidRPr="00FE31AE">
        <w:fldChar w:fldCharType="begin"/>
      </w:r>
      <w:r w:rsidRPr="00FE31AE">
        <w:instrText xml:space="preserve"> AUTONUM  </w:instrText>
      </w:r>
      <w:r w:rsidRPr="00FE31AE">
        <w:fldChar w:fldCharType="end"/>
      </w:r>
      <w:r w:rsidRPr="00FE31AE">
        <w:tab/>
        <w:t>The TWV considered the proposal to determine essential criteria for describing molecular marker assays in Test Guidelines, as presented in documents TWV/54/7 and TWV/54/7 Add</w:t>
      </w:r>
      <w:proofErr w:type="gramStart"/>
      <w:r w:rsidRPr="00FE31AE">
        <w:t>..</w:t>
      </w:r>
      <w:proofErr w:type="gramEnd"/>
      <w:r w:rsidRPr="00FE31AE">
        <w:t xml:space="preserve"> The TWV agreed to invite the experts from the European Union and France to work with the Netherlands to prepare a new draft proposal for consideration by the TWV, at its fifty-fifth session (see document TWV/54/9 “Report”, paragraph 22).</w:t>
      </w:r>
    </w:p>
    <w:p w:rsidR="00A66AE5" w:rsidRDefault="00A66AE5" w:rsidP="00A66AE5"/>
    <w:p w:rsidR="00FE31AE" w:rsidRDefault="00FE31AE" w:rsidP="00FE31AE">
      <w:pPr>
        <w:pStyle w:val="Heading3"/>
      </w:pPr>
      <w:bookmarkStart w:id="9" w:name="_Toc53728408"/>
      <w:r w:rsidRPr="00FE31AE">
        <w:t>Developing a strategy to apply SNP molecular markers in the framework of winter Oilseed rape DUS testing</w:t>
      </w:r>
      <w:bookmarkEnd w:id="9"/>
    </w:p>
    <w:p w:rsidR="00FE31AE" w:rsidRPr="00FE31AE" w:rsidRDefault="00FE31AE" w:rsidP="00A66AE5"/>
    <w:p w:rsidR="00A66AE5" w:rsidRPr="009245F9" w:rsidRDefault="00A66AE5" w:rsidP="00A66AE5">
      <w:r w:rsidRPr="00FE31AE">
        <w:fldChar w:fldCharType="begin"/>
      </w:r>
      <w:r w:rsidRPr="00FE31AE">
        <w:instrText xml:space="preserve"> AUTONUM  </w:instrText>
      </w:r>
      <w:r w:rsidRPr="00FE31AE">
        <w:fldChar w:fldCharType="end"/>
      </w:r>
      <w:r w:rsidRPr="00FE31AE">
        <w:tab/>
        <w:t xml:space="preserve">The TWA received a presentation on “Developing a strategy to apply SNP molecular markers in the framework of winter Oilseed rape DUS testing” from an expert from France.  A copy of the presentation </w:t>
      </w:r>
      <w:proofErr w:type="gramStart"/>
      <w:r w:rsidRPr="00FE31AE">
        <w:t>is provided</w:t>
      </w:r>
      <w:proofErr w:type="gramEnd"/>
      <w:r w:rsidRPr="00FE31AE">
        <w:t xml:space="preserve"> in document TWA/49/5.  The TWA agreed to invite France to report on developments on the project at its fiftieth session (see document TWA/49/7 “Report”, paragraph 66).</w:t>
      </w:r>
    </w:p>
    <w:p w:rsidR="00A66AE5" w:rsidRPr="000812D1" w:rsidRDefault="00A66AE5" w:rsidP="00A66AE5"/>
    <w:p w:rsidR="00A66AE5" w:rsidRDefault="00A66AE5" w:rsidP="00A66AE5">
      <w:pPr>
        <w:ind w:left="567" w:hanging="567"/>
        <w:rPr>
          <w:lang w:eastAsia="ja-JP"/>
        </w:rPr>
      </w:pPr>
    </w:p>
    <w:p w:rsidR="000828A6" w:rsidRPr="00FB197B" w:rsidRDefault="000828A6" w:rsidP="000828A6">
      <w:pPr>
        <w:pStyle w:val="Heading1"/>
      </w:pPr>
      <w:bookmarkStart w:id="10" w:name="_Toc525647178"/>
      <w:bookmarkStart w:id="11" w:name="_Toc526175650"/>
      <w:bookmarkStart w:id="12" w:name="_Toc53728409"/>
      <w:r w:rsidRPr="002310E5">
        <w:rPr>
          <w:rFonts w:hint="eastAsia"/>
        </w:rPr>
        <w:t xml:space="preserve">developments at the </w:t>
      </w:r>
      <w:r w:rsidRPr="002310E5">
        <w:t>Nineteenth</w:t>
      </w:r>
      <w:r w:rsidRPr="002310E5">
        <w:rPr>
          <w:rFonts w:hint="eastAsia"/>
        </w:rPr>
        <w:t xml:space="preserve"> session of the </w:t>
      </w:r>
      <w:r w:rsidRPr="002310E5">
        <w:t>Working Group on Biochemical and</w:t>
      </w:r>
      <w:r w:rsidRPr="00FB197B">
        <w:t xml:space="preserve"> Molecular Techniques, and DNA-Profiling in Particular</w:t>
      </w:r>
      <w:bookmarkEnd w:id="10"/>
      <w:bookmarkEnd w:id="11"/>
      <w:bookmarkEnd w:id="12"/>
    </w:p>
    <w:p w:rsidR="000828A6" w:rsidRPr="009B01E5" w:rsidRDefault="000828A6" w:rsidP="000828A6">
      <w:pPr>
        <w:rPr>
          <w:lang w:eastAsia="ja-JP"/>
        </w:rPr>
      </w:pPr>
    </w:p>
    <w:p w:rsidR="000828A6" w:rsidRPr="009B01E5" w:rsidRDefault="000828A6" w:rsidP="000828A6">
      <w:pPr>
        <w:rPr>
          <w:lang w:eastAsia="ja-JP"/>
        </w:rPr>
      </w:pPr>
      <w:r w:rsidRPr="009B01E5">
        <w:rPr>
          <w:color w:val="000000"/>
        </w:rPr>
        <w:fldChar w:fldCharType="begin"/>
      </w:r>
      <w:r w:rsidRPr="009B01E5">
        <w:rPr>
          <w:color w:val="000000"/>
        </w:rPr>
        <w:instrText xml:space="preserve"> AUTONUM  </w:instrText>
      </w:r>
      <w:r w:rsidRPr="009B01E5">
        <w:rPr>
          <w:color w:val="000000"/>
        </w:rPr>
        <w:fldChar w:fldCharType="end"/>
      </w:r>
      <w:r w:rsidRPr="009B01E5">
        <w:rPr>
          <w:color w:val="000000"/>
        </w:rPr>
        <w:tab/>
      </w:r>
      <w:r w:rsidRPr="0067582A">
        <w:rPr>
          <w:color w:val="000000"/>
        </w:rPr>
        <w:t xml:space="preserve">The BMT held its </w:t>
      </w:r>
      <w:r>
        <w:rPr>
          <w:color w:val="000000"/>
        </w:rPr>
        <w:t>nine</w:t>
      </w:r>
      <w:r w:rsidRPr="0067582A">
        <w:rPr>
          <w:color w:val="000000"/>
        </w:rPr>
        <w:t xml:space="preserve">teenth session </w:t>
      </w:r>
      <w:r w:rsidRPr="00A11296">
        <w:rPr>
          <w:rFonts w:cs="Arial"/>
        </w:rPr>
        <w:t>hosted by the United States of America and organized by electronic means, from September 2</w:t>
      </w:r>
      <w:r>
        <w:rPr>
          <w:rFonts w:cs="Arial"/>
        </w:rPr>
        <w:t>3</w:t>
      </w:r>
      <w:r w:rsidRPr="00A11296">
        <w:rPr>
          <w:rFonts w:cs="Arial"/>
        </w:rPr>
        <w:t xml:space="preserve"> to 2</w:t>
      </w:r>
      <w:r>
        <w:rPr>
          <w:rFonts w:cs="Arial"/>
        </w:rPr>
        <w:t>5</w:t>
      </w:r>
      <w:r w:rsidRPr="00A11296">
        <w:rPr>
          <w:rFonts w:cs="Arial"/>
        </w:rPr>
        <w:t>, 2020</w:t>
      </w:r>
      <w:r w:rsidRPr="0006356C">
        <w:rPr>
          <w:lang w:eastAsia="ja-JP"/>
        </w:rPr>
        <w:t xml:space="preserve"> (see document </w:t>
      </w:r>
      <w:r>
        <w:rPr>
          <w:lang w:eastAsia="ja-JP"/>
        </w:rPr>
        <w:t>BMT</w:t>
      </w:r>
      <w:r w:rsidRPr="0006356C">
        <w:rPr>
          <w:lang w:eastAsia="ja-JP"/>
        </w:rPr>
        <w:t>/</w:t>
      </w:r>
      <w:r>
        <w:rPr>
          <w:lang w:eastAsia="ja-JP"/>
        </w:rPr>
        <w:t>19</w:t>
      </w:r>
      <w:r w:rsidRPr="0006356C">
        <w:rPr>
          <w:lang w:eastAsia="ja-JP"/>
        </w:rPr>
        <w:t>/</w:t>
      </w:r>
      <w:r>
        <w:rPr>
          <w:lang w:eastAsia="ja-JP"/>
        </w:rPr>
        <w:t>15</w:t>
      </w:r>
      <w:r w:rsidRPr="0006356C">
        <w:rPr>
          <w:lang w:eastAsia="ja-JP"/>
        </w:rPr>
        <w:t xml:space="preserve"> “</w:t>
      </w:r>
      <w:r>
        <w:rPr>
          <w:lang w:eastAsia="ja-JP"/>
        </w:rPr>
        <w:t>Report</w:t>
      </w:r>
      <w:r w:rsidRPr="0006356C">
        <w:rPr>
          <w:lang w:eastAsia="ja-JP"/>
        </w:rPr>
        <w:t>”, paragraph</w:t>
      </w:r>
      <w:r>
        <w:rPr>
          <w:lang w:eastAsia="ja-JP"/>
        </w:rPr>
        <w:t xml:space="preserve"> 1)</w:t>
      </w:r>
      <w:r w:rsidRPr="009B01E5">
        <w:t>.</w:t>
      </w:r>
      <w:r>
        <w:t xml:space="preserve"> </w:t>
      </w:r>
    </w:p>
    <w:p w:rsidR="000828A6" w:rsidRDefault="000828A6" w:rsidP="000828A6">
      <w:pPr>
        <w:rPr>
          <w:noProof/>
          <w:lang w:eastAsia="ja-JP"/>
        </w:rPr>
      </w:pPr>
    </w:p>
    <w:p w:rsidR="000828A6" w:rsidRDefault="000828A6" w:rsidP="000828A6">
      <w:pPr>
        <w:rPr>
          <w:noProof/>
          <w:lang w:eastAsia="ja-JP"/>
        </w:rPr>
      </w:pPr>
    </w:p>
    <w:p w:rsidR="000828A6" w:rsidRPr="00584903" w:rsidRDefault="000828A6" w:rsidP="000828A6">
      <w:pPr>
        <w:pStyle w:val="Heading2"/>
        <w:rPr>
          <w:lang w:eastAsia="ja-JP"/>
        </w:rPr>
      </w:pPr>
      <w:bookmarkStart w:id="13" w:name="_Toc525647179"/>
      <w:bookmarkStart w:id="14" w:name="_Toc526175651"/>
      <w:bookmarkStart w:id="15" w:name="_Toc53728410"/>
      <w:r>
        <w:rPr>
          <w:lang w:eastAsia="ja-JP"/>
        </w:rPr>
        <w:t>Papers presented</w:t>
      </w:r>
      <w:bookmarkEnd w:id="13"/>
      <w:bookmarkEnd w:id="14"/>
      <w:bookmarkEnd w:id="15"/>
    </w:p>
    <w:p w:rsidR="000828A6" w:rsidRDefault="000828A6" w:rsidP="000828A6">
      <w:pPr>
        <w:keepNext/>
      </w:pPr>
    </w:p>
    <w:p w:rsidR="000828A6" w:rsidRDefault="000828A6" w:rsidP="000828A6">
      <w:pPr>
        <w:keepNext/>
      </w:pPr>
      <w:r w:rsidRPr="00154A92">
        <w:fldChar w:fldCharType="begin"/>
      </w:r>
      <w:r w:rsidRPr="00154A92">
        <w:instrText xml:space="preserve"> AUTONUM  </w:instrText>
      </w:r>
      <w:r w:rsidRPr="00154A92">
        <w:fldChar w:fldCharType="end"/>
      </w:r>
      <w:r w:rsidRPr="00154A92">
        <w:tab/>
        <w:t xml:space="preserve">The papers presented under each of the agenda items of the </w:t>
      </w:r>
      <w:r>
        <w:t>eightee</w:t>
      </w:r>
      <w:r w:rsidRPr="00154A92">
        <w:t>nth session of the BMT were as follows</w:t>
      </w:r>
      <w:r w:rsidRPr="00154A92">
        <w:rPr>
          <w:rFonts w:hint="eastAsia"/>
        </w:rPr>
        <w:t>:</w:t>
      </w:r>
    </w:p>
    <w:p w:rsidR="000828A6" w:rsidRPr="00861DBA" w:rsidRDefault="000828A6" w:rsidP="000828A6">
      <w:pPr>
        <w:rPr>
          <w:snapToGrid w:val="0"/>
          <w:sz w:val="18"/>
        </w:rPr>
      </w:pPr>
    </w:p>
    <w:p w:rsidR="000828A6" w:rsidRDefault="000828A6" w:rsidP="000828A6">
      <w:pPr>
        <w:ind w:left="567"/>
        <w:rPr>
          <w:i/>
          <w:snapToGrid w:val="0"/>
        </w:rPr>
      </w:pPr>
      <w:r w:rsidRPr="007B306D">
        <w:rPr>
          <w:i/>
          <w:snapToGrid w:val="0"/>
        </w:rPr>
        <w:t>Reports on developments in UPOV concerning biochemical and molecular techniques (document BMT/19/2)</w:t>
      </w:r>
    </w:p>
    <w:p w:rsidR="000828A6" w:rsidRPr="007B306D" w:rsidRDefault="000828A6" w:rsidP="000828A6">
      <w:pPr>
        <w:ind w:left="567"/>
        <w:rPr>
          <w:i/>
          <w:snapToGrid w:val="0"/>
        </w:rPr>
      </w:pPr>
    </w:p>
    <w:p w:rsidR="000828A6" w:rsidRDefault="000828A6" w:rsidP="000828A6">
      <w:pPr>
        <w:ind w:left="567"/>
        <w:rPr>
          <w:i/>
          <w:snapToGrid w:val="0"/>
        </w:rPr>
      </w:pPr>
      <w:r w:rsidRPr="007B306D">
        <w:rPr>
          <w:i/>
          <w:snapToGrid w:val="0"/>
        </w:rPr>
        <w:t>Short presentations on new developments in biochemical and molecular techniques by DUS experts, biochemical and molecular specialists, plant breeders and relevant international organizations (oral reports by participants)</w:t>
      </w:r>
    </w:p>
    <w:p w:rsidR="000828A6" w:rsidRPr="007B306D" w:rsidRDefault="000828A6" w:rsidP="000828A6">
      <w:pPr>
        <w:ind w:left="567"/>
        <w:rPr>
          <w:i/>
          <w:snapToGrid w:val="0"/>
        </w:rPr>
      </w:pPr>
    </w:p>
    <w:p w:rsidR="000828A6" w:rsidRDefault="000828A6" w:rsidP="000828A6">
      <w:pPr>
        <w:ind w:left="567"/>
        <w:rPr>
          <w:i/>
          <w:snapToGrid w:val="0"/>
        </w:rPr>
      </w:pPr>
      <w:r w:rsidRPr="007B306D">
        <w:rPr>
          <w:i/>
          <w:snapToGrid w:val="0"/>
        </w:rPr>
        <w:t xml:space="preserve">Report of work on molecular techniques in relation to DUS examination </w:t>
      </w:r>
    </w:p>
    <w:p w:rsidR="000828A6" w:rsidRPr="007B306D" w:rsidRDefault="000828A6" w:rsidP="000828A6">
      <w:pPr>
        <w:ind w:left="567"/>
        <w:rPr>
          <w:i/>
          <w:snapToGrid w:val="0"/>
        </w:rPr>
      </w:pPr>
    </w:p>
    <w:p w:rsidR="000828A6" w:rsidRDefault="000828A6" w:rsidP="000828A6">
      <w:pPr>
        <w:ind w:left="1134"/>
        <w:rPr>
          <w:i/>
        </w:rPr>
      </w:pPr>
      <w:proofErr w:type="spellStart"/>
      <w:proofErr w:type="gramStart"/>
      <w:r w:rsidRPr="007B306D">
        <w:rPr>
          <w:i/>
        </w:rPr>
        <w:t>vmDUS</w:t>
      </w:r>
      <w:proofErr w:type="spellEnd"/>
      <w:proofErr w:type="gramEnd"/>
      <w:r w:rsidRPr="007B306D">
        <w:rPr>
          <w:i/>
        </w:rPr>
        <w:t>: Value-molecular linked distinctness determination (document BMT/19/6)</w:t>
      </w:r>
    </w:p>
    <w:p w:rsidR="000828A6" w:rsidRPr="007B306D" w:rsidRDefault="000828A6" w:rsidP="000828A6">
      <w:pPr>
        <w:ind w:left="1134"/>
        <w:rPr>
          <w:i/>
        </w:rPr>
      </w:pPr>
    </w:p>
    <w:p w:rsidR="000828A6" w:rsidRDefault="000828A6" w:rsidP="000828A6">
      <w:pPr>
        <w:ind w:left="1134"/>
        <w:rPr>
          <w:i/>
        </w:rPr>
      </w:pPr>
      <w:r w:rsidRPr="007B306D">
        <w:rPr>
          <w:i/>
        </w:rPr>
        <w:t>CPVO report on IMODDUS: Update on R&amp;D projects (document BMT/19/4)</w:t>
      </w:r>
    </w:p>
    <w:p w:rsidR="000828A6" w:rsidRPr="007B306D" w:rsidRDefault="000828A6" w:rsidP="000828A6">
      <w:pPr>
        <w:ind w:left="567"/>
        <w:rPr>
          <w:i/>
        </w:rPr>
      </w:pPr>
    </w:p>
    <w:p w:rsidR="000828A6" w:rsidRDefault="000828A6" w:rsidP="000828A6">
      <w:pPr>
        <w:tabs>
          <w:tab w:val="left" w:pos="567"/>
          <w:tab w:val="left" w:pos="1134"/>
        </w:tabs>
        <w:ind w:left="1134"/>
        <w:rPr>
          <w:i/>
        </w:rPr>
      </w:pPr>
      <w:r w:rsidRPr="007B306D">
        <w:rPr>
          <w:i/>
        </w:rPr>
        <w:tab/>
        <w:t>Developing a strategy to apply SNP molecular markers in the framework of winter oilseed rape DUS testing (document BMT/19/11)</w:t>
      </w:r>
    </w:p>
    <w:p w:rsidR="000828A6" w:rsidRPr="007B306D" w:rsidRDefault="000828A6" w:rsidP="000828A6">
      <w:pPr>
        <w:tabs>
          <w:tab w:val="left" w:pos="567"/>
          <w:tab w:val="left" w:pos="1134"/>
        </w:tabs>
        <w:ind w:left="1134"/>
        <w:rPr>
          <w:i/>
        </w:rPr>
      </w:pPr>
    </w:p>
    <w:p w:rsidR="000828A6" w:rsidRDefault="000828A6" w:rsidP="000828A6">
      <w:pPr>
        <w:tabs>
          <w:tab w:val="left" w:pos="567"/>
          <w:tab w:val="left" w:pos="1134"/>
        </w:tabs>
        <w:ind w:left="1134"/>
        <w:rPr>
          <w:i/>
        </w:rPr>
      </w:pPr>
      <w:r w:rsidRPr="007B306D">
        <w:rPr>
          <w:i/>
        </w:rPr>
        <w:tab/>
      </w:r>
      <w:r w:rsidRPr="002E754C">
        <w:rPr>
          <w:i/>
        </w:rPr>
        <w:t>French strategy for access to molecular data and proof of concept for combining phenotype and genotype (document BMT/19/13)</w:t>
      </w:r>
    </w:p>
    <w:p w:rsidR="000828A6" w:rsidRPr="007B306D" w:rsidRDefault="000828A6" w:rsidP="000828A6">
      <w:pPr>
        <w:tabs>
          <w:tab w:val="left" w:pos="567"/>
          <w:tab w:val="left" w:pos="1134"/>
        </w:tabs>
        <w:ind w:left="1134"/>
        <w:rPr>
          <w:i/>
        </w:rPr>
      </w:pPr>
    </w:p>
    <w:p w:rsidR="000828A6" w:rsidRDefault="000828A6" w:rsidP="000828A6">
      <w:pPr>
        <w:ind w:left="567"/>
        <w:rPr>
          <w:i/>
          <w:snapToGrid w:val="0"/>
        </w:rPr>
      </w:pPr>
      <w:r w:rsidRPr="007B306D">
        <w:rPr>
          <w:i/>
          <w:snapToGrid w:val="0"/>
        </w:rPr>
        <w:t>Review of document UPOV/INF/17 “Guidelines for DNA-Profiling: Molecular Marker Selection and Database Construction” (documents BMT/19/3 Rev. and UPOV/INF/17/2 Draft 3)</w:t>
      </w:r>
    </w:p>
    <w:p w:rsidR="000828A6" w:rsidRPr="007B306D" w:rsidRDefault="000828A6" w:rsidP="000828A6">
      <w:pPr>
        <w:ind w:left="567"/>
        <w:rPr>
          <w:i/>
          <w:snapToGrid w:val="0"/>
        </w:rPr>
      </w:pPr>
    </w:p>
    <w:p w:rsidR="000828A6" w:rsidRDefault="000828A6" w:rsidP="000828A6">
      <w:pPr>
        <w:ind w:left="567"/>
        <w:rPr>
          <w:i/>
          <w:snapToGrid w:val="0"/>
        </w:rPr>
      </w:pPr>
      <w:r w:rsidRPr="007B306D">
        <w:rPr>
          <w:i/>
          <w:snapToGrid w:val="0"/>
        </w:rPr>
        <w:t>Confidentiality, ownership and access to molecular data</w:t>
      </w:r>
    </w:p>
    <w:p w:rsidR="00B26198" w:rsidRPr="007B306D" w:rsidRDefault="00B26198" w:rsidP="000828A6">
      <w:pPr>
        <w:ind w:left="567"/>
        <w:rPr>
          <w:i/>
          <w:snapToGrid w:val="0"/>
        </w:rPr>
      </w:pPr>
    </w:p>
    <w:p w:rsidR="000828A6" w:rsidRDefault="000828A6" w:rsidP="000828A6">
      <w:pPr>
        <w:tabs>
          <w:tab w:val="left" w:pos="1134"/>
        </w:tabs>
        <w:ind w:left="1130"/>
        <w:rPr>
          <w:i/>
          <w:snapToGrid w:val="0"/>
        </w:rPr>
      </w:pPr>
      <w:r w:rsidRPr="007B306D">
        <w:rPr>
          <w:i/>
          <w:snapToGrid w:val="0"/>
        </w:rPr>
        <w:tab/>
        <w:t>Access to reference material and molecular data from CPVO Examination Offices (document BMT/19/5)</w:t>
      </w:r>
    </w:p>
    <w:p w:rsidR="000828A6" w:rsidRPr="007B306D" w:rsidRDefault="000828A6" w:rsidP="000828A6">
      <w:pPr>
        <w:tabs>
          <w:tab w:val="left" w:pos="1134"/>
        </w:tabs>
        <w:ind w:left="1130"/>
        <w:rPr>
          <w:i/>
          <w:snapToGrid w:val="0"/>
        </w:rPr>
      </w:pPr>
    </w:p>
    <w:p w:rsidR="000828A6" w:rsidRDefault="000828A6" w:rsidP="000828A6">
      <w:pPr>
        <w:ind w:left="1134"/>
        <w:rPr>
          <w:i/>
          <w:snapToGrid w:val="0"/>
        </w:rPr>
      </w:pPr>
      <w:r w:rsidRPr="007B306D">
        <w:rPr>
          <w:i/>
          <w:snapToGrid w:val="0"/>
        </w:rPr>
        <w:t>Survey on confidentiality and ownership of molecular information (document BMT/19/8)</w:t>
      </w:r>
    </w:p>
    <w:p w:rsidR="000828A6" w:rsidRPr="007B306D" w:rsidRDefault="000828A6" w:rsidP="000828A6">
      <w:pPr>
        <w:ind w:left="567"/>
        <w:rPr>
          <w:i/>
          <w:snapToGrid w:val="0"/>
        </w:rPr>
      </w:pPr>
    </w:p>
    <w:p w:rsidR="000828A6" w:rsidRDefault="000828A6" w:rsidP="000828A6">
      <w:pPr>
        <w:ind w:left="567"/>
        <w:rPr>
          <w:i/>
          <w:snapToGrid w:val="0"/>
        </w:rPr>
      </w:pPr>
      <w:r w:rsidRPr="007B306D">
        <w:rPr>
          <w:i/>
          <w:snapToGrid w:val="0"/>
        </w:rPr>
        <w:t xml:space="preserve">Session to facilitate cooperation (document BMT/19/10) </w:t>
      </w:r>
    </w:p>
    <w:p w:rsidR="000828A6" w:rsidRPr="007B306D" w:rsidRDefault="000828A6" w:rsidP="000828A6">
      <w:pPr>
        <w:ind w:left="567"/>
        <w:rPr>
          <w:i/>
          <w:snapToGrid w:val="0"/>
        </w:rPr>
      </w:pPr>
    </w:p>
    <w:p w:rsidR="000828A6" w:rsidRDefault="000828A6" w:rsidP="000828A6">
      <w:pPr>
        <w:ind w:left="567"/>
        <w:rPr>
          <w:i/>
          <w:snapToGrid w:val="0"/>
        </w:rPr>
      </w:pPr>
      <w:r w:rsidRPr="007B306D">
        <w:rPr>
          <w:i/>
          <w:snapToGrid w:val="0"/>
        </w:rPr>
        <w:t xml:space="preserve">Cooperation between international organizations (document BMT/19/9) </w:t>
      </w:r>
    </w:p>
    <w:p w:rsidR="000828A6" w:rsidRPr="007B306D" w:rsidRDefault="000828A6" w:rsidP="000828A6">
      <w:pPr>
        <w:ind w:left="567"/>
        <w:rPr>
          <w:i/>
          <w:snapToGrid w:val="0"/>
        </w:rPr>
      </w:pPr>
    </w:p>
    <w:p w:rsidR="000828A6" w:rsidRDefault="000828A6" w:rsidP="000828A6">
      <w:pPr>
        <w:ind w:left="1134"/>
        <w:rPr>
          <w:i/>
          <w:snapToGrid w:val="0"/>
        </w:rPr>
      </w:pPr>
      <w:r w:rsidRPr="007B306D">
        <w:rPr>
          <w:i/>
          <w:snapToGrid w:val="0"/>
        </w:rPr>
        <w:tab/>
        <w:t>International Seed Testing Association (BMT/19/12)</w:t>
      </w:r>
    </w:p>
    <w:p w:rsidR="000828A6" w:rsidRDefault="000828A6" w:rsidP="000828A6">
      <w:pPr>
        <w:ind w:left="1134"/>
        <w:rPr>
          <w:i/>
          <w:snapToGrid w:val="0"/>
        </w:rPr>
      </w:pPr>
    </w:p>
    <w:p w:rsidR="000828A6" w:rsidRDefault="000828A6" w:rsidP="000828A6">
      <w:pPr>
        <w:ind w:left="1134"/>
        <w:rPr>
          <w:i/>
          <w:snapToGrid w:val="0"/>
        </w:rPr>
      </w:pPr>
      <w:r>
        <w:rPr>
          <w:i/>
          <w:snapToGrid w:val="0"/>
        </w:rPr>
        <w:tab/>
      </w:r>
      <w:r w:rsidRPr="00D2709A">
        <w:rPr>
          <w:i/>
          <w:snapToGrid w:val="0"/>
        </w:rPr>
        <w:t>International Organization for Standardization</w:t>
      </w:r>
      <w:r>
        <w:rPr>
          <w:i/>
          <w:snapToGrid w:val="0"/>
        </w:rPr>
        <w:t xml:space="preserve"> </w:t>
      </w:r>
      <w:r w:rsidRPr="007B306D">
        <w:rPr>
          <w:i/>
          <w:snapToGrid w:val="0"/>
        </w:rPr>
        <w:t>(BMT/19/1</w:t>
      </w:r>
      <w:r>
        <w:rPr>
          <w:i/>
          <w:snapToGrid w:val="0"/>
        </w:rPr>
        <w:t>4</w:t>
      </w:r>
      <w:r w:rsidRPr="007B306D">
        <w:rPr>
          <w:i/>
          <w:snapToGrid w:val="0"/>
        </w:rPr>
        <w:t>)</w:t>
      </w:r>
    </w:p>
    <w:p w:rsidR="000828A6" w:rsidRPr="007B306D" w:rsidRDefault="000828A6" w:rsidP="000828A6">
      <w:pPr>
        <w:ind w:left="567"/>
        <w:rPr>
          <w:i/>
          <w:snapToGrid w:val="0"/>
        </w:rPr>
      </w:pPr>
    </w:p>
    <w:p w:rsidR="000828A6" w:rsidRPr="007B306D" w:rsidRDefault="000828A6" w:rsidP="000828A6">
      <w:pPr>
        <w:ind w:left="567"/>
        <w:rPr>
          <w:i/>
          <w:snapToGrid w:val="0"/>
        </w:rPr>
      </w:pPr>
      <w:r w:rsidRPr="007B306D">
        <w:rPr>
          <w:i/>
          <w:snapToGrid w:val="0"/>
        </w:rPr>
        <w:t>Organization of work of the TWC and the BMT (document BMT/19/7)</w:t>
      </w:r>
    </w:p>
    <w:p w:rsidR="000828A6" w:rsidRDefault="000828A6" w:rsidP="000828A6"/>
    <w:p w:rsidR="000828A6" w:rsidRPr="00E8527D" w:rsidRDefault="000828A6" w:rsidP="000828A6"/>
    <w:p w:rsidR="000828A6" w:rsidRPr="00E8527D" w:rsidRDefault="000828A6" w:rsidP="000828A6">
      <w:pPr>
        <w:keepNext/>
        <w:spacing w:after="240"/>
        <w:outlineLvl w:val="1"/>
        <w:rPr>
          <w:u w:val="single"/>
        </w:rPr>
      </w:pPr>
      <w:bookmarkStart w:id="16" w:name="_Toc53728411"/>
      <w:r w:rsidRPr="00E8527D">
        <w:rPr>
          <w:u w:val="single"/>
        </w:rPr>
        <w:t>Date and place of next session</w:t>
      </w:r>
      <w:bookmarkEnd w:id="16"/>
    </w:p>
    <w:p w:rsidR="000828A6" w:rsidRPr="00E8527D" w:rsidRDefault="000828A6" w:rsidP="000828A6">
      <w:r w:rsidRPr="00E8527D">
        <w:fldChar w:fldCharType="begin"/>
      </w:r>
      <w:r w:rsidRPr="00E8527D">
        <w:instrText xml:space="preserve"> AUTONUM  </w:instrText>
      </w:r>
      <w:r w:rsidRPr="00E8527D">
        <w:fldChar w:fldCharType="end"/>
      </w:r>
      <w:r w:rsidRPr="00E8527D">
        <w:tab/>
      </w:r>
      <w:r w:rsidRPr="0084037F">
        <w:rPr>
          <w:snapToGrid w:val="0"/>
        </w:rPr>
        <w:t xml:space="preserve">At the invitation of the United States of America, the </w:t>
      </w:r>
      <w:r>
        <w:rPr>
          <w:snapToGrid w:val="0"/>
        </w:rPr>
        <w:t>BMT</w:t>
      </w:r>
      <w:r w:rsidRPr="0084037F">
        <w:rPr>
          <w:snapToGrid w:val="0"/>
        </w:rPr>
        <w:t xml:space="preserve"> agreed to hold its </w:t>
      </w:r>
      <w:r>
        <w:rPr>
          <w:snapToGrid w:val="0"/>
        </w:rPr>
        <w:t>twentieth</w:t>
      </w:r>
      <w:r w:rsidRPr="0084037F">
        <w:rPr>
          <w:snapToGrid w:val="0"/>
        </w:rPr>
        <w:t xml:space="preserve"> session in Alexandria, Virginia, jointly with the </w:t>
      </w:r>
      <w:r>
        <w:rPr>
          <w:snapToGrid w:val="0"/>
        </w:rPr>
        <w:t>TWC</w:t>
      </w:r>
      <w:r w:rsidRPr="0084037F">
        <w:rPr>
          <w:snapToGrid w:val="0"/>
        </w:rPr>
        <w:t>, during the week of September 20, 2021</w:t>
      </w:r>
      <w:r w:rsidRPr="0006356C">
        <w:rPr>
          <w:lang w:eastAsia="ja-JP"/>
        </w:rPr>
        <w:t xml:space="preserve"> (see document </w:t>
      </w:r>
      <w:r>
        <w:rPr>
          <w:lang w:eastAsia="ja-JP"/>
        </w:rPr>
        <w:t>BMT</w:t>
      </w:r>
      <w:r w:rsidRPr="0006356C">
        <w:rPr>
          <w:lang w:eastAsia="ja-JP"/>
        </w:rPr>
        <w:t>/</w:t>
      </w:r>
      <w:r>
        <w:rPr>
          <w:lang w:eastAsia="ja-JP"/>
        </w:rPr>
        <w:t>19</w:t>
      </w:r>
      <w:r w:rsidRPr="0006356C">
        <w:rPr>
          <w:lang w:eastAsia="ja-JP"/>
        </w:rPr>
        <w:t>/</w:t>
      </w:r>
      <w:r>
        <w:rPr>
          <w:lang w:eastAsia="ja-JP"/>
        </w:rPr>
        <w:t>15</w:t>
      </w:r>
      <w:r w:rsidRPr="0006356C">
        <w:rPr>
          <w:lang w:eastAsia="ja-JP"/>
        </w:rPr>
        <w:t xml:space="preserve"> “</w:t>
      </w:r>
      <w:r>
        <w:rPr>
          <w:lang w:eastAsia="ja-JP"/>
        </w:rPr>
        <w:t>Report</w:t>
      </w:r>
      <w:r w:rsidRPr="0006356C">
        <w:rPr>
          <w:lang w:eastAsia="ja-JP"/>
        </w:rPr>
        <w:t xml:space="preserve">”, paragraph </w:t>
      </w:r>
      <w:r>
        <w:rPr>
          <w:lang w:eastAsia="ja-JP"/>
        </w:rPr>
        <w:t>36</w:t>
      </w:r>
      <w:r w:rsidRPr="0006356C">
        <w:rPr>
          <w:lang w:eastAsia="ja-JP"/>
        </w:rPr>
        <w:t>)</w:t>
      </w:r>
      <w:r w:rsidRPr="00E8527D">
        <w:t>.</w:t>
      </w:r>
    </w:p>
    <w:p w:rsidR="000828A6" w:rsidRDefault="000828A6" w:rsidP="000828A6"/>
    <w:p w:rsidR="000828A6" w:rsidRPr="00E8527D" w:rsidRDefault="000828A6" w:rsidP="000828A6"/>
    <w:p w:rsidR="000828A6" w:rsidRPr="00E8527D" w:rsidRDefault="000828A6" w:rsidP="000828A6">
      <w:pPr>
        <w:keepNext/>
        <w:spacing w:after="240"/>
        <w:outlineLvl w:val="1"/>
        <w:rPr>
          <w:u w:val="single"/>
        </w:rPr>
      </w:pPr>
      <w:bookmarkStart w:id="17" w:name="_Toc53728412"/>
      <w:r w:rsidRPr="00E8527D">
        <w:rPr>
          <w:u w:val="single"/>
        </w:rPr>
        <w:t>Future program</w:t>
      </w:r>
      <w:bookmarkEnd w:id="17"/>
    </w:p>
    <w:p w:rsidR="000828A6" w:rsidRPr="00E8527D" w:rsidRDefault="000828A6" w:rsidP="000828A6">
      <w:pPr>
        <w:keepNext/>
        <w:rPr>
          <w:rFonts w:cs="Arial"/>
        </w:rPr>
      </w:pPr>
      <w:r w:rsidRPr="00E8527D">
        <w:rPr>
          <w:rFonts w:cs="Arial"/>
          <w:iCs/>
          <w:snapToGrid w:val="0"/>
        </w:rPr>
        <w:fldChar w:fldCharType="begin"/>
      </w:r>
      <w:r w:rsidRPr="00E8527D">
        <w:rPr>
          <w:rFonts w:cs="Arial"/>
          <w:iCs/>
          <w:snapToGrid w:val="0"/>
        </w:rPr>
        <w:instrText xml:space="preserve"> AUTONUM  </w:instrText>
      </w:r>
      <w:r w:rsidRPr="00E8527D">
        <w:rPr>
          <w:rFonts w:cs="Arial"/>
          <w:iCs/>
          <w:snapToGrid w:val="0"/>
        </w:rPr>
        <w:fldChar w:fldCharType="end"/>
      </w:r>
      <w:r w:rsidRPr="00E8527D">
        <w:rPr>
          <w:rFonts w:cs="Arial"/>
          <w:iCs/>
          <w:snapToGrid w:val="0"/>
        </w:rPr>
        <w:tab/>
      </w:r>
      <w:r w:rsidRPr="00E8527D">
        <w:rPr>
          <w:rFonts w:cs="Arial"/>
        </w:rPr>
        <w:t xml:space="preserve">During its </w:t>
      </w:r>
      <w:r>
        <w:rPr>
          <w:rFonts w:cs="Arial"/>
        </w:rPr>
        <w:t>twentieth</w:t>
      </w:r>
      <w:r w:rsidRPr="00E8527D">
        <w:rPr>
          <w:rFonts w:cs="Arial"/>
        </w:rPr>
        <w:t xml:space="preserve"> session, the BMT planned to discuss the following items</w:t>
      </w:r>
      <w:r w:rsidRPr="0006356C">
        <w:rPr>
          <w:lang w:eastAsia="ja-JP"/>
        </w:rPr>
        <w:t xml:space="preserve"> </w:t>
      </w:r>
      <w:r w:rsidR="00F44847">
        <w:rPr>
          <w:lang w:eastAsia="ja-JP"/>
        </w:rPr>
        <w:t xml:space="preserve">in </w:t>
      </w:r>
      <w:r w:rsidRPr="0084037F">
        <w:rPr>
          <w:snapToGrid w:val="0"/>
        </w:rPr>
        <w:t>2021</w:t>
      </w:r>
      <w:r w:rsidRPr="0006356C">
        <w:rPr>
          <w:lang w:eastAsia="ja-JP"/>
        </w:rPr>
        <w:t xml:space="preserve"> (see document </w:t>
      </w:r>
      <w:r>
        <w:rPr>
          <w:lang w:eastAsia="ja-JP"/>
        </w:rPr>
        <w:t>BMT</w:t>
      </w:r>
      <w:r w:rsidRPr="0006356C">
        <w:rPr>
          <w:lang w:eastAsia="ja-JP"/>
        </w:rPr>
        <w:t>/</w:t>
      </w:r>
      <w:r>
        <w:rPr>
          <w:lang w:eastAsia="ja-JP"/>
        </w:rPr>
        <w:t>19</w:t>
      </w:r>
      <w:r w:rsidRPr="0006356C">
        <w:rPr>
          <w:lang w:eastAsia="ja-JP"/>
        </w:rPr>
        <w:t>/</w:t>
      </w:r>
      <w:r>
        <w:rPr>
          <w:lang w:eastAsia="ja-JP"/>
        </w:rPr>
        <w:t>15</w:t>
      </w:r>
      <w:r w:rsidRPr="0006356C">
        <w:rPr>
          <w:lang w:eastAsia="ja-JP"/>
        </w:rPr>
        <w:t xml:space="preserve"> “</w:t>
      </w:r>
      <w:r>
        <w:rPr>
          <w:lang w:eastAsia="ja-JP"/>
        </w:rPr>
        <w:t>Report</w:t>
      </w:r>
      <w:r w:rsidRPr="0006356C">
        <w:rPr>
          <w:lang w:eastAsia="ja-JP"/>
        </w:rPr>
        <w:t xml:space="preserve">”, paragraph </w:t>
      </w:r>
      <w:r>
        <w:rPr>
          <w:lang w:eastAsia="ja-JP"/>
        </w:rPr>
        <w:t>37</w:t>
      </w:r>
      <w:r w:rsidRPr="0006356C">
        <w:rPr>
          <w:lang w:eastAsia="ja-JP"/>
        </w:rPr>
        <w:t>)</w:t>
      </w:r>
      <w:r w:rsidRPr="00E8527D">
        <w:rPr>
          <w:rFonts w:cs="Arial"/>
        </w:rPr>
        <w:t>:</w:t>
      </w:r>
    </w:p>
    <w:p w:rsidR="000828A6" w:rsidRPr="00861DBA" w:rsidRDefault="000828A6" w:rsidP="000828A6">
      <w:pPr>
        <w:keepNext/>
        <w:rPr>
          <w:rFonts w:cs="Arial"/>
          <w:sz w:val="18"/>
        </w:rPr>
      </w:pPr>
    </w:p>
    <w:p w:rsidR="000828A6" w:rsidRDefault="000828A6" w:rsidP="000828A6">
      <w:pPr>
        <w:spacing w:after="120"/>
        <w:ind w:left="567"/>
        <w:rPr>
          <w:rFonts w:cs="Arial"/>
        </w:rPr>
      </w:pPr>
      <w:r>
        <w:rPr>
          <w:rFonts w:cs="Arial"/>
        </w:rPr>
        <w:t>1.</w:t>
      </w:r>
      <w:r>
        <w:rPr>
          <w:rFonts w:cs="Arial"/>
        </w:rPr>
        <w:tab/>
        <w:t>Opening of the session</w:t>
      </w:r>
    </w:p>
    <w:p w:rsidR="000828A6" w:rsidRDefault="000828A6" w:rsidP="000828A6">
      <w:pPr>
        <w:spacing w:after="120"/>
        <w:ind w:left="567"/>
        <w:rPr>
          <w:rFonts w:cs="Arial"/>
        </w:rPr>
      </w:pPr>
      <w:r>
        <w:rPr>
          <w:rFonts w:cs="Arial"/>
        </w:rPr>
        <w:t>2.</w:t>
      </w:r>
      <w:r>
        <w:rPr>
          <w:rFonts w:cs="Arial"/>
        </w:rPr>
        <w:tab/>
        <w:t>Adoption of the agenda</w:t>
      </w:r>
    </w:p>
    <w:p w:rsidR="000828A6" w:rsidRDefault="000828A6" w:rsidP="000828A6">
      <w:pPr>
        <w:spacing w:after="120"/>
        <w:ind w:left="1134" w:hanging="567"/>
        <w:rPr>
          <w:rFonts w:cs="Arial"/>
        </w:rPr>
      </w:pPr>
      <w:r>
        <w:rPr>
          <w:rFonts w:cs="Arial"/>
        </w:rPr>
        <w:t>3.</w:t>
      </w:r>
      <w:r>
        <w:rPr>
          <w:rFonts w:cs="Arial"/>
        </w:rPr>
        <w:tab/>
        <w:t xml:space="preserve">Reports on developments in UPOV concerning biochemical and molecular techniques (document to </w:t>
      </w:r>
      <w:proofErr w:type="gramStart"/>
      <w:r>
        <w:rPr>
          <w:rFonts w:cs="Arial"/>
        </w:rPr>
        <w:t>be prepared</w:t>
      </w:r>
      <w:proofErr w:type="gramEnd"/>
      <w:r>
        <w:rPr>
          <w:rFonts w:cs="Arial"/>
        </w:rPr>
        <w:t xml:space="preserve"> by the Office of the Union)</w:t>
      </w:r>
    </w:p>
    <w:p w:rsidR="000828A6" w:rsidRDefault="000828A6" w:rsidP="000828A6">
      <w:pPr>
        <w:spacing w:after="120"/>
        <w:ind w:left="1134" w:hanging="567"/>
        <w:rPr>
          <w:rFonts w:cs="Arial"/>
        </w:rPr>
      </w:pPr>
      <w:r>
        <w:rPr>
          <w:rFonts w:cs="Arial"/>
        </w:rPr>
        <w:t>4.</w:t>
      </w:r>
      <w:r>
        <w:rPr>
          <w:rFonts w:cs="Arial"/>
        </w:rPr>
        <w:tab/>
        <w:t>Short presentations on new developments in biochemical and molecular techniques by DUS experts, biochemical and molecular specialists, plant breeders and relevant international organizations (reports by participants)</w:t>
      </w:r>
    </w:p>
    <w:p w:rsidR="000828A6" w:rsidRDefault="000828A6" w:rsidP="000828A6">
      <w:pPr>
        <w:spacing w:after="120"/>
        <w:ind w:left="567"/>
        <w:rPr>
          <w:rFonts w:cs="Arial"/>
        </w:rPr>
      </w:pPr>
      <w:r>
        <w:rPr>
          <w:rFonts w:cs="Arial"/>
        </w:rPr>
        <w:t>5.</w:t>
      </w:r>
      <w:r>
        <w:rPr>
          <w:rFonts w:cs="Arial"/>
        </w:rPr>
        <w:tab/>
        <w:t>Report of work on molecular techniques in relation to DUS examination (papers invited)</w:t>
      </w:r>
    </w:p>
    <w:p w:rsidR="000828A6" w:rsidRDefault="000828A6" w:rsidP="000828A6">
      <w:pPr>
        <w:spacing w:after="120"/>
        <w:ind w:left="1134" w:hanging="567"/>
        <w:rPr>
          <w:rFonts w:cs="Arial"/>
        </w:rPr>
      </w:pPr>
      <w:r>
        <w:rPr>
          <w:rFonts w:cs="Arial"/>
        </w:rPr>
        <w:t>6.</w:t>
      </w:r>
      <w:r>
        <w:rPr>
          <w:rFonts w:cs="Arial"/>
        </w:rPr>
        <w:tab/>
        <w:t xml:space="preserve">Variety description databases including databases containing molecular data (papers invited) </w:t>
      </w:r>
    </w:p>
    <w:p w:rsidR="000828A6" w:rsidRDefault="000828A6" w:rsidP="000828A6">
      <w:pPr>
        <w:spacing w:after="120"/>
        <w:ind w:left="1134" w:hanging="567"/>
        <w:rPr>
          <w:rFonts w:cs="Arial"/>
        </w:rPr>
      </w:pPr>
      <w:r>
        <w:rPr>
          <w:rFonts w:cs="Arial"/>
        </w:rPr>
        <w:t>7.</w:t>
      </w:r>
      <w:r>
        <w:rPr>
          <w:rFonts w:cs="Arial"/>
        </w:rPr>
        <w:tab/>
        <w:t>Methods for analysis of molecular data, management of databases and exchange of data and material (papers invited)</w:t>
      </w:r>
    </w:p>
    <w:p w:rsidR="000828A6" w:rsidRDefault="000828A6" w:rsidP="000828A6">
      <w:pPr>
        <w:spacing w:after="120"/>
        <w:ind w:left="1134" w:hanging="567"/>
        <w:rPr>
          <w:rFonts w:cs="Arial"/>
        </w:rPr>
      </w:pPr>
      <w:r>
        <w:rPr>
          <w:rFonts w:cs="Arial"/>
        </w:rPr>
        <w:t>8.</w:t>
      </w:r>
      <w:r>
        <w:rPr>
          <w:rFonts w:cs="Arial"/>
        </w:rPr>
        <w:tab/>
        <w:t>The use of molecular techniques in examining essential derivation</w:t>
      </w:r>
      <w:bookmarkStart w:id="18" w:name="_Ref498061157"/>
      <w:r w:rsidR="00887219" w:rsidRPr="00887219">
        <w:rPr>
          <w:rFonts w:cs="Arial"/>
          <w:vertAlign w:val="superscript"/>
        </w:rPr>
        <w:t>1</w:t>
      </w:r>
      <w:r w:rsidRPr="00887219">
        <w:rPr>
          <w:rFonts w:cs="Arial"/>
          <w:color w:val="FFFFFF" w:themeColor="background1"/>
          <w:sz w:val="2"/>
          <w:vertAlign w:val="superscript"/>
        </w:rPr>
        <w:footnoteReference w:id="7"/>
      </w:r>
      <w:bookmarkEnd w:id="18"/>
      <w:r w:rsidR="00887219">
        <w:rPr>
          <w:rFonts w:cs="Arial"/>
        </w:rPr>
        <w:t xml:space="preserve"> </w:t>
      </w:r>
      <w:r>
        <w:rPr>
          <w:rFonts w:cs="Arial"/>
        </w:rPr>
        <w:t>(papers invited)</w:t>
      </w:r>
    </w:p>
    <w:p w:rsidR="000828A6" w:rsidRDefault="000828A6" w:rsidP="000828A6">
      <w:pPr>
        <w:spacing w:after="120"/>
        <w:ind w:left="567"/>
        <w:rPr>
          <w:rFonts w:cs="Arial"/>
        </w:rPr>
      </w:pPr>
      <w:r>
        <w:rPr>
          <w:rFonts w:cs="Arial"/>
        </w:rPr>
        <w:t>9.</w:t>
      </w:r>
      <w:r>
        <w:rPr>
          <w:rFonts w:cs="Arial"/>
        </w:rPr>
        <w:tab/>
        <w:t>The use of molecular techniques in variety identification</w:t>
      </w:r>
      <w:r w:rsidR="00887219">
        <w:rPr>
          <w:rFonts w:cs="Arial"/>
          <w:vertAlign w:val="superscript"/>
        </w:rPr>
        <w:t>1</w:t>
      </w:r>
      <w:r>
        <w:rPr>
          <w:rFonts w:cs="Arial"/>
        </w:rPr>
        <w:t xml:space="preserve"> (papers invited)</w:t>
      </w:r>
    </w:p>
    <w:p w:rsidR="000828A6" w:rsidRDefault="000828A6" w:rsidP="000828A6">
      <w:pPr>
        <w:spacing w:after="120"/>
        <w:ind w:left="1134" w:hanging="567"/>
        <w:rPr>
          <w:rFonts w:cs="Arial"/>
        </w:rPr>
      </w:pPr>
      <w:r>
        <w:rPr>
          <w:rFonts w:cs="Arial"/>
        </w:rPr>
        <w:lastRenderedPageBreak/>
        <w:t>10.</w:t>
      </w:r>
      <w:r>
        <w:rPr>
          <w:rFonts w:cs="Arial"/>
        </w:rPr>
        <w:tab/>
        <w:t xml:space="preserve">Cooperation between international organizations (document to </w:t>
      </w:r>
      <w:proofErr w:type="gramStart"/>
      <w:r>
        <w:rPr>
          <w:rFonts w:cs="Arial"/>
        </w:rPr>
        <w:t>be prepared</w:t>
      </w:r>
      <w:proofErr w:type="gramEnd"/>
      <w:r>
        <w:rPr>
          <w:rFonts w:cs="Arial"/>
        </w:rPr>
        <w:t xml:space="preserve"> by the Office of the Union)</w:t>
      </w:r>
    </w:p>
    <w:p w:rsidR="000828A6" w:rsidRDefault="000828A6" w:rsidP="000828A6">
      <w:pPr>
        <w:spacing w:after="120"/>
        <w:ind w:left="1134" w:hanging="567"/>
        <w:rPr>
          <w:rFonts w:cs="Arial"/>
        </w:rPr>
      </w:pPr>
      <w:r>
        <w:rPr>
          <w:rFonts w:cs="Arial"/>
        </w:rPr>
        <w:t>11.</w:t>
      </w:r>
      <w:r>
        <w:rPr>
          <w:rFonts w:cs="Arial"/>
        </w:rPr>
        <w:tab/>
      </w:r>
      <w:r w:rsidRPr="00406E0E">
        <w:rPr>
          <w:rFonts w:cs="Arial"/>
        </w:rPr>
        <w:t>Confidentiality, ownership and access to molecular data</w:t>
      </w:r>
      <w:r>
        <w:rPr>
          <w:rFonts w:cs="Arial"/>
        </w:rPr>
        <w:t>, including model agreement template</w:t>
      </w:r>
      <w:r w:rsidR="00887219">
        <w:rPr>
          <w:rFonts w:cs="Arial"/>
          <w:vertAlign w:val="superscript"/>
        </w:rPr>
        <w:t>1</w:t>
      </w:r>
      <w:r w:rsidR="00F44847">
        <w:rPr>
          <w:rFonts w:cs="Arial"/>
        </w:rPr>
        <w:t xml:space="preserve"> </w:t>
      </w:r>
      <w:r w:rsidRPr="00406E0E">
        <w:rPr>
          <w:rFonts w:cs="Arial"/>
        </w:rPr>
        <w:t>(papers invited)</w:t>
      </w:r>
    </w:p>
    <w:p w:rsidR="000828A6" w:rsidRDefault="000828A6" w:rsidP="000828A6">
      <w:pPr>
        <w:spacing w:after="120"/>
        <w:ind w:left="1134" w:hanging="567"/>
        <w:rPr>
          <w:rFonts w:cs="Arial"/>
        </w:rPr>
      </w:pPr>
      <w:r>
        <w:rPr>
          <w:rFonts w:cs="Arial"/>
        </w:rPr>
        <w:t>12.</w:t>
      </w:r>
      <w:r>
        <w:rPr>
          <w:rFonts w:cs="Arial"/>
        </w:rPr>
        <w:tab/>
        <w:t xml:space="preserve">Session to facilitate cooperation </w:t>
      </w:r>
    </w:p>
    <w:p w:rsidR="000828A6" w:rsidRDefault="000828A6" w:rsidP="000828A6">
      <w:pPr>
        <w:spacing w:after="120"/>
        <w:ind w:left="567"/>
        <w:rPr>
          <w:rFonts w:cs="Arial"/>
        </w:rPr>
      </w:pPr>
      <w:r>
        <w:rPr>
          <w:rFonts w:cs="Arial"/>
        </w:rPr>
        <w:t>13.</w:t>
      </w:r>
      <w:r>
        <w:rPr>
          <w:rFonts w:cs="Arial"/>
        </w:rPr>
        <w:tab/>
        <w:t>Date and place of next session</w:t>
      </w:r>
    </w:p>
    <w:p w:rsidR="000828A6" w:rsidRDefault="000828A6" w:rsidP="000828A6">
      <w:pPr>
        <w:spacing w:after="120"/>
        <w:ind w:left="567"/>
        <w:rPr>
          <w:rFonts w:cs="Arial"/>
        </w:rPr>
      </w:pPr>
      <w:r>
        <w:rPr>
          <w:rFonts w:cs="Arial"/>
        </w:rPr>
        <w:t>14.</w:t>
      </w:r>
      <w:r>
        <w:rPr>
          <w:rFonts w:cs="Arial"/>
        </w:rPr>
        <w:tab/>
        <w:t>Future program</w:t>
      </w:r>
    </w:p>
    <w:p w:rsidR="000828A6" w:rsidRDefault="000828A6" w:rsidP="000828A6">
      <w:pPr>
        <w:spacing w:after="120"/>
        <w:ind w:left="567"/>
        <w:rPr>
          <w:rFonts w:cs="Arial"/>
        </w:rPr>
      </w:pPr>
      <w:r>
        <w:rPr>
          <w:rFonts w:cs="Arial"/>
        </w:rPr>
        <w:t>15.</w:t>
      </w:r>
      <w:r>
        <w:rPr>
          <w:rFonts w:cs="Arial"/>
        </w:rPr>
        <w:tab/>
        <w:t>Report of the session (if time permits)</w:t>
      </w:r>
    </w:p>
    <w:p w:rsidR="000828A6" w:rsidRDefault="000828A6" w:rsidP="000828A6">
      <w:pPr>
        <w:ind w:left="567"/>
        <w:rPr>
          <w:rFonts w:cs="Arial"/>
        </w:rPr>
      </w:pPr>
      <w:r>
        <w:rPr>
          <w:rFonts w:cs="Arial"/>
        </w:rPr>
        <w:t>16.</w:t>
      </w:r>
      <w:r>
        <w:rPr>
          <w:rFonts w:cs="Arial"/>
        </w:rPr>
        <w:tab/>
        <w:t>Closing of the session</w:t>
      </w:r>
    </w:p>
    <w:p w:rsidR="000828A6" w:rsidRDefault="000828A6" w:rsidP="00050E16"/>
    <w:p w:rsidR="000828A6" w:rsidRDefault="000828A6" w:rsidP="00050E16"/>
    <w:p w:rsidR="000828A6" w:rsidRPr="00C651CE" w:rsidRDefault="000828A6"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1C6" w:rsidRDefault="00CB61C6" w:rsidP="006655D3">
      <w:r>
        <w:separator/>
      </w:r>
    </w:p>
    <w:p w:rsidR="00CB61C6" w:rsidRDefault="00CB61C6" w:rsidP="006655D3"/>
    <w:p w:rsidR="00CB61C6" w:rsidRDefault="00CB61C6" w:rsidP="006655D3"/>
  </w:endnote>
  <w:endnote w:type="continuationSeparator" w:id="0">
    <w:p w:rsidR="00CB61C6" w:rsidRDefault="00CB61C6" w:rsidP="006655D3">
      <w:r>
        <w:separator/>
      </w:r>
    </w:p>
    <w:p w:rsidR="00CB61C6" w:rsidRPr="00294751" w:rsidRDefault="00CB61C6">
      <w:pPr>
        <w:pStyle w:val="Footer"/>
        <w:spacing w:after="60"/>
        <w:rPr>
          <w:sz w:val="18"/>
          <w:lang w:val="fr-FR"/>
        </w:rPr>
      </w:pPr>
      <w:r w:rsidRPr="00294751">
        <w:rPr>
          <w:sz w:val="18"/>
          <w:lang w:val="fr-FR"/>
        </w:rPr>
        <w:t>[Suite de la note de la page précédente]</w:t>
      </w:r>
    </w:p>
    <w:p w:rsidR="00CB61C6" w:rsidRPr="00294751" w:rsidRDefault="00CB61C6" w:rsidP="006655D3">
      <w:pPr>
        <w:rPr>
          <w:lang w:val="fr-FR"/>
        </w:rPr>
      </w:pPr>
    </w:p>
    <w:p w:rsidR="00CB61C6" w:rsidRPr="00294751" w:rsidRDefault="00CB61C6" w:rsidP="006655D3">
      <w:pPr>
        <w:rPr>
          <w:lang w:val="fr-FR"/>
        </w:rPr>
      </w:pPr>
    </w:p>
  </w:endnote>
  <w:endnote w:type="continuationNotice" w:id="1">
    <w:p w:rsidR="00CB61C6" w:rsidRPr="00294751" w:rsidRDefault="00CB61C6" w:rsidP="006655D3">
      <w:pPr>
        <w:rPr>
          <w:lang w:val="fr-FR"/>
        </w:rPr>
      </w:pPr>
      <w:r w:rsidRPr="00294751">
        <w:rPr>
          <w:lang w:val="fr-FR"/>
        </w:rPr>
        <w:t>[Suite de la note page suivante]</w:t>
      </w:r>
    </w:p>
    <w:p w:rsidR="00CB61C6" w:rsidRPr="00294751" w:rsidRDefault="00CB61C6" w:rsidP="006655D3">
      <w:pPr>
        <w:rPr>
          <w:lang w:val="fr-FR"/>
        </w:rPr>
      </w:pPr>
    </w:p>
    <w:p w:rsidR="00CB61C6" w:rsidRPr="00294751" w:rsidRDefault="00CB61C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1C6" w:rsidRDefault="00CB61C6" w:rsidP="006655D3">
      <w:r>
        <w:separator/>
      </w:r>
    </w:p>
  </w:footnote>
  <w:footnote w:type="continuationSeparator" w:id="0">
    <w:p w:rsidR="00CB61C6" w:rsidRDefault="00CB61C6" w:rsidP="006655D3">
      <w:r>
        <w:separator/>
      </w:r>
    </w:p>
  </w:footnote>
  <w:footnote w:type="continuationNotice" w:id="1">
    <w:p w:rsidR="00CB61C6" w:rsidRPr="00AB530F" w:rsidRDefault="00CB61C6" w:rsidP="00AB530F">
      <w:pPr>
        <w:pStyle w:val="Footer"/>
      </w:pPr>
    </w:p>
  </w:footnote>
  <w:footnote w:id="2">
    <w:p w:rsidR="00A66AE5" w:rsidRDefault="00A66AE5" w:rsidP="00A66AE5">
      <w:pPr>
        <w:pStyle w:val="FootnoteText"/>
      </w:pPr>
      <w:r>
        <w:rPr>
          <w:rStyle w:val="FootnoteReference"/>
        </w:rPr>
        <w:footnoteRef/>
      </w:r>
      <w:r>
        <w:t xml:space="preserve"> </w:t>
      </w:r>
      <w:proofErr w:type="gramStart"/>
      <w:r>
        <w:t>at</w:t>
      </w:r>
      <w:proofErr w:type="gramEnd"/>
      <w:r>
        <w:t xml:space="preserve"> its fifty-fourth session, held from May 11 to 15, 2020.</w:t>
      </w:r>
    </w:p>
  </w:footnote>
  <w:footnote w:id="3">
    <w:p w:rsidR="00A66AE5" w:rsidRDefault="00A66AE5" w:rsidP="00A66AE5">
      <w:pPr>
        <w:pStyle w:val="FootnoteText"/>
      </w:pPr>
      <w:r>
        <w:rPr>
          <w:rStyle w:val="FootnoteReference"/>
        </w:rPr>
        <w:footnoteRef/>
      </w:r>
      <w:r>
        <w:t xml:space="preserve"> </w:t>
      </w:r>
      <w:proofErr w:type="gramStart"/>
      <w:r>
        <w:t>at</w:t>
      </w:r>
      <w:proofErr w:type="gramEnd"/>
      <w:r>
        <w:t xml:space="preserve"> its fifty-second session, held from June 8 to 12, 2020.</w:t>
      </w:r>
    </w:p>
  </w:footnote>
  <w:footnote w:id="4">
    <w:p w:rsidR="00A66AE5" w:rsidRDefault="00A66AE5" w:rsidP="00A66AE5">
      <w:pPr>
        <w:pStyle w:val="FootnoteText"/>
      </w:pPr>
      <w:r>
        <w:rPr>
          <w:rStyle w:val="FootnoteReference"/>
        </w:rPr>
        <w:footnoteRef/>
      </w:r>
      <w:r>
        <w:t xml:space="preserve"> </w:t>
      </w:r>
      <w:proofErr w:type="gramStart"/>
      <w:r>
        <w:t>at</w:t>
      </w:r>
      <w:proofErr w:type="gramEnd"/>
      <w:r>
        <w:t xml:space="preserve"> its forty-ninth session, held from June 22 to 26, 2020.</w:t>
      </w:r>
    </w:p>
  </w:footnote>
  <w:footnote w:id="5">
    <w:p w:rsidR="00A66AE5" w:rsidRDefault="00A66AE5" w:rsidP="00A66AE5">
      <w:pPr>
        <w:pStyle w:val="FootnoteText"/>
      </w:pPr>
      <w:r>
        <w:rPr>
          <w:rStyle w:val="FootnoteReference"/>
        </w:rPr>
        <w:footnoteRef/>
      </w:r>
      <w:r>
        <w:t xml:space="preserve"> </w:t>
      </w:r>
      <w:proofErr w:type="gramStart"/>
      <w:r>
        <w:t>at</w:t>
      </w:r>
      <w:proofErr w:type="gramEnd"/>
      <w:r>
        <w:t xml:space="preserve"> its fifty-first session, held from July 6 to 10, 2020.</w:t>
      </w:r>
    </w:p>
  </w:footnote>
  <w:footnote w:id="6">
    <w:p w:rsidR="00A66AE5" w:rsidRPr="000329F8" w:rsidRDefault="00A66AE5" w:rsidP="00A66AE5">
      <w:pPr>
        <w:pStyle w:val="FootnoteText"/>
      </w:pPr>
      <w:r>
        <w:rPr>
          <w:rStyle w:val="FootnoteReference"/>
        </w:rPr>
        <w:footnoteRef/>
      </w:r>
      <w:r>
        <w:t xml:space="preserve"> </w:t>
      </w:r>
      <w:proofErr w:type="gramStart"/>
      <w:r>
        <w:t>at</w:t>
      </w:r>
      <w:proofErr w:type="gramEnd"/>
      <w:r>
        <w:t xml:space="preserve"> its thirty-eighth session, held from September 21 to 23, 2020.</w:t>
      </w:r>
    </w:p>
  </w:footnote>
  <w:footnote w:id="7">
    <w:p w:rsidR="000828A6" w:rsidRDefault="00887219" w:rsidP="000828A6">
      <w:pPr>
        <w:pStyle w:val="FootnoteText"/>
      </w:pPr>
      <w:r w:rsidRPr="00887219">
        <w:rPr>
          <w:vertAlign w:val="superscript"/>
        </w:rPr>
        <w:t>1</w:t>
      </w:r>
      <w:r w:rsidR="000828A6" w:rsidRPr="00887219">
        <w:rPr>
          <w:rStyle w:val="FootnoteReference"/>
          <w:color w:val="FFFFFF" w:themeColor="background1"/>
          <w:sz w:val="2"/>
        </w:rPr>
        <w:footnoteRef/>
      </w:r>
      <w:r w:rsidR="000828A6" w:rsidRPr="00887219">
        <w:rPr>
          <w:color w:val="FFFFFF" w:themeColor="background1"/>
        </w:rPr>
        <w:t xml:space="preserve"> </w:t>
      </w:r>
      <w:r w:rsidR="000828A6">
        <w:t>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A7706A" w:rsidP="00EB048E">
    <w:pPr>
      <w:pStyle w:val="Header"/>
      <w:rPr>
        <w:rStyle w:val="PageNumber"/>
        <w:lang w:val="en-US"/>
      </w:rPr>
    </w:pPr>
    <w:r>
      <w:rPr>
        <w:rStyle w:val="PageNumber"/>
        <w:lang w:val="en-US"/>
      </w:rPr>
      <w:t>TC/56/INF/6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6198">
      <w:rPr>
        <w:rStyle w:val="PageNumber"/>
        <w:noProof/>
        <w:lang w:val="en-US"/>
      </w:rPr>
      <w:t>4</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4894"/>
    <w:rsid w:val="00036028"/>
    <w:rsid w:val="00036D11"/>
    <w:rsid w:val="000375CA"/>
    <w:rsid w:val="00044642"/>
    <w:rsid w:val="000446B9"/>
    <w:rsid w:val="00047E21"/>
    <w:rsid w:val="00050E16"/>
    <w:rsid w:val="00060221"/>
    <w:rsid w:val="000828A6"/>
    <w:rsid w:val="00085505"/>
    <w:rsid w:val="00087006"/>
    <w:rsid w:val="000B29B6"/>
    <w:rsid w:val="000C4E25"/>
    <w:rsid w:val="000C7021"/>
    <w:rsid w:val="000D6BBC"/>
    <w:rsid w:val="000D7780"/>
    <w:rsid w:val="000E636A"/>
    <w:rsid w:val="000F2F11"/>
    <w:rsid w:val="00105929"/>
    <w:rsid w:val="00110C36"/>
    <w:rsid w:val="001131D5"/>
    <w:rsid w:val="0013222A"/>
    <w:rsid w:val="00141DB8"/>
    <w:rsid w:val="00172084"/>
    <w:rsid w:val="0017474A"/>
    <w:rsid w:val="001758C6"/>
    <w:rsid w:val="00182B99"/>
    <w:rsid w:val="001833F7"/>
    <w:rsid w:val="001B62CB"/>
    <w:rsid w:val="001D1213"/>
    <w:rsid w:val="001F5259"/>
    <w:rsid w:val="0020054C"/>
    <w:rsid w:val="0021332C"/>
    <w:rsid w:val="00213982"/>
    <w:rsid w:val="002310E5"/>
    <w:rsid w:val="0024416D"/>
    <w:rsid w:val="00252944"/>
    <w:rsid w:val="00271911"/>
    <w:rsid w:val="002800A0"/>
    <w:rsid w:val="002801B3"/>
    <w:rsid w:val="00281060"/>
    <w:rsid w:val="002940E8"/>
    <w:rsid w:val="00294751"/>
    <w:rsid w:val="002A6E50"/>
    <w:rsid w:val="002B2810"/>
    <w:rsid w:val="002B4298"/>
    <w:rsid w:val="002C256A"/>
    <w:rsid w:val="002E754C"/>
    <w:rsid w:val="00304827"/>
    <w:rsid w:val="00305A7F"/>
    <w:rsid w:val="00310B95"/>
    <w:rsid w:val="003152FE"/>
    <w:rsid w:val="00327436"/>
    <w:rsid w:val="00340D10"/>
    <w:rsid w:val="00344BD6"/>
    <w:rsid w:val="0035528D"/>
    <w:rsid w:val="00357E26"/>
    <w:rsid w:val="00361821"/>
    <w:rsid w:val="00361E9E"/>
    <w:rsid w:val="003701A6"/>
    <w:rsid w:val="003C7FBE"/>
    <w:rsid w:val="003D227C"/>
    <w:rsid w:val="003D2B4D"/>
    <w:rsid w:val="003F37A5"/>
    <w:rsid w:val="00434EDA"/>
    <w:rsid w:val="00444A88"/>
    <w:rsid w:val="00474DA4"/>
    <w:rsid w:val="00476B4D"/>
    <w:rsid w:val="004805FA"/>
    <w:rsid w:val="004935D2"/>
    <w:rsid w:val="004A2014"/>
    <w:rsid w:val="004B1215"/>
    <w:rsid w:val="004D047D"/>
    <w:rsid w:val="004D7344"/>
    <w:rsid w:val="004F1E9E"/>
    <w:rsid w:val="004F305A"/>
    <w:rsid w:val="00512164"/>
    <w:rsid w:val="00513C24"/>
    <w:rsid w:val="00515F7C"/>
    <w:rsid w:val="00520297"/>
    <w:rsid w:val="005269A6"/>
    <w:rsid w:val="005338F9"/>
    <w:rsid w:val="00535784"/>
    <w:rsid w:val="0054281C"/>
    <w:rsid w:val="00544581"/>
    <w:rsid w:val="0055268D"/>
    <w:rsid w:val="00576BE4"/>
    <w:rsid w:val="005817D9"/>
    <w:rsid w:val="005A400A"/>
    <w:rsid w:val="005D1380"/>
    <w:rsid w:val="005F7B92"/>
    <w:rsid w:val="00612379"/>
    <w:rsid w:val="006153B6"/>
    <w:rsid w:val="0061555F"/>
    <w:rsid w:val="00636CA6"/>
    <w:rsid w:val="00641200"/>
    <w:rsid w:val="00645CA8"/>
    <w:rsid w:val="006655D3"/>
    <w:rsid w:val="00667404"/>
    <w:rsid w:val="00687EB4"/>
    <w:rsid w:val="00690323"/>
    <w:rsid w:val="00695C56"/>
    <w:rsid w:val="006A1B9B"/>
    <w:rsid w:val="006A5CDE"/>
    <w:rsid w:val="006A644A"/>
    <w:rsid w:val="006B17D2"/>
    <w:rsid w:val="006B1DCA"/>
    <w:rsid w:val="006C224E"/>
    <w:rsid w:val="006C5657"/>
    <w:rsid w:val="006D1444"/>
    <w:rsid w:val="006D7435"/>
    <w:rsid w:val="006D780A"/>
    <w:rsid w:val="0071271E"/>
    <w:rsid w:val="00723D5D"/>
    <w:rsid w:val="00732DEC"/>
    <w:rsid w:val="00735BD5"/>
    <w:rsid w:val="00751613"/>
    <w:rsid w:val="007556F6"/>
    <w:rsid w:val="00760EEF"/>
    <w:rsid w:val="007645F2"/>
    <w:rsid w:val="00777EE5"/>
    <w:rsid w:val="00784836"/>
    <w:rsid w:val="0079023E"/>
    <w:rsid w:val="007A1CCA"/>
    <w:rsid w:val="007A2854"/>
    <w:rsid w:val="007B306D"/>
    <w:rsid w:val="007C1D92"/>
    <w:rsid w:val="007C4CB9"/>
    <w:rsid w:val="007D0B9D"/>
    <w:rsid w:val="007D19B0"/>
    <w:rsid w:val="007F498F"/>
    <w:rsid w:val="0080679D"/>
    <w:rsid w:val="008108B0"/>
    <w:rsid w:val="00810DF1"/>
    <w:rsid w:val="00811B20"/>
    <w:rsid w:val="008211B5"/>
    <w:rsid w:val="00822657"/>
    <w:rsid w:val="0082296E"/>
    <w:rsid w:val="00824099"/>
    <w:rsid w:val="008326A0"/>
    <w:rsid w:val="00846D7C"/>
    <w:rsid w:val="008619BE"/>
    <w:rsid w:val="00867AC1"/>
    <w:rsid w:val="00880EE5"/>
    <w:rsid w:val="00882C6F"/>
    <w:rsid w:val="00887219"/>
    <w:rsid w:val="00890DF8"/>
    <w:rsid w:val="008A743F"/>
    <w:rsid w:val="008B6E60"/>
    <w:rsid w:val="008C0970"/>
    <w:rsid w:val="008D01EE"/>
    <w:rsid w:val="008D0BC5"/>
    <w:rsid w:val="008D2CF7"/>
    <w:rsid w:val="008D7E86"/>
    <w:rsid w:val="00900C26"/>
    <w:rsid w:val="0090197F"/>
    <w:rsid w:val="00906DDC"/>
    <w:rsid w:val="0091004D"/>
    <w:rsid w:val="0091714B"/>
    <w:rsid w:val="00934E09"/>
    <w:rsid w:val="00935115"/>
    <w:rsid w:val="00936253"/>
    <w:rsid w:val="009369B8"/>
    <w:rsid w:val="00940D46"/>
    <w:rsid w:val="00950B39"/>
    <w:rsid w:val="00952DD4"/>
    <w:rsid w:val="00965AE7"/>
    <w:rsid w:val="00970B42"/>
    <w:rsid w:val="00970FED"/>
    <w:rsid w:val="00992D82"/>
    <w:rsid w:val="00997029"/>
    <w:rsid w:val="009A7339"/>
    <w:rsid w:val="009B440E"/>
    <w:rsid w:val="009B6069"/>
    <w:rsid w:val="009D690D"/>
    <w:rsid w:val="009E65B6"/>
    <w:rsid w:val="00A24C10"/>
    <w:rsid w:val="00A308C3"/>
    <w:rsid w:val="00A37C2B"/>
    <w:rsid w:val="00A42AC3"/>
    <w:rsid w:val="00A430CF"/>
    <w:rsid w:val="00A54309"/>
    <w:rsid w:val="00A66AE5"/>
    <w:rsid w:val="00A7706A"/>
    <w:rsid w:val="00A8305C"/>
    <w:rsid w:val="00AA18B2"/>
    <w:rsid w:val="00AB2B93"/>
    <w:rsid w:val="00AB530F"/>
    <w:rsid w:val="00AB7E5B"/>
    <w:rsid w:val="00AC2883"/>
    <w:rsid w:val="00AD4C95"/>
    <w:rsid w:val="00AE0EF1"/>
    <w:rsid w:val="00AE2937"/>
    <w:rsid w:val="00AF3D4C"/>
    <w:rsid w:val="00B07301"/>
    <w:rsid w:val="00B104FC"/>
    <w:rsid w:val="00B11F3E"/>
    <w:rsid w:val="00B224DE"/>
    <w:rsid w:val="00B26198"/>
    <w:rsid w:val="00B31E8A"/>
    <w:rsid w:val="00B324D4"/>
    <w:rsid w:val="00B43D38"/>
    <w:rsid w:val="00B46575"/>
    <w:rsid w:val="00B61777"/>
    <w:rsid w:val="00B828C9"/>
    <w:rsid w:val="00B84BBD"/>
    <w:rsid w:val="00B97F2C"/>
    <w:rsid w:val="00BA43FB"/>
    <w:rsid w:val="00BC127D"/>
    <w:rsid w:val="00BC1FE6"/>
    <w:rsid w:val="00BE6608"/>
    <w:rsid w:val="00C061B6"/>
    <w:rsid w:val="00C239B5"/>
    <w:rsid w:val="00C2446C"/>
    <w:rsid w:val="00C36AE5"/>
    <w:rsid w:val="00C41F17"/>
    <w:rsid w:val="00C527FA"/>
    <w:rsid w:val="00C5280D"/>
    <w:rsid w:val="00C53EB3"/>
    <w:rsid w:val="00C5791C"/>
    <w:rsid w:val="00C62BAE"/>
    <w:rsid w:val="00C66290"/>
    <w:rsid w:val="00C72B7A"/>
    <w:rsid w:val="00C973F2"/>
    <w:rsid w:val="00CA304C"/>
    <w:rsid w:val="00CA774A"/>
    <w:rsid w:val="00CB61C6"/>
    <w:rsid w:val="00CB655B"/>
    <w:rsid w:val="00CC11B0"/>
    <w:rsid w:val="00CC2841"/>
    <w:rsid w:val="00CC2A9D"/>
    <w:rsid w:val="00CD7DF8"/>
    <w:rsid w:val="00CF1330"/>
    <w:rsid w:val="00CF7E36"/>
    <w:rsid w:val="00D118AF"/>
    <w:rsid w:val="00D2709A"/>
    <w:rsid w:val="00D3708D"/>
    <w:rsid w:val="00D40426"/>
    <w:rsid w:val="00D538E2"/>
    <w:rsid w:val="00D57C96"/>
    <w:rsid w:val="00D57D18"/>
    <w:rsid w:val="00D70BFB"/>
    <w:rsid w:val="00D769AD"/>
    <w:rsid w:val="00D91203"/>
    <w:rsid w:val="00D95174"/>
    <w:rsid w:val="00DA4973"/>
    <w:rsid w:val="00DA6F36"/>
    <w:rsid w:val="00DB596E"/>
    <w:rsid w:val="00DB7773"/>
    <w:rsid w:val="00DC00EA"/>
    <w:rsid w:val="00DC3802"/>
    <w:rsid w:val="00DD7591"/>
    <w:rsid w:val="00DF6083"/>
    <w:rsid w:val="00E07D87"/>
    <w:rsid w:val="00E22C64"/>
    <w:rsid w:val="00E32F7E"/>
    <w:rsid w:val="00E3473F"/>
    <w:rsid w:val="00E5267B"/>
    <w:rsid w:val="00E63C0E"/>
    <w:rsid w:val="00E72D49"/>
    <w:rsid w:val="00E75233"/>
    <w:rsid w:val="00E7593C"/>
    <w:rsid w:val="00E7678A"/>
    <w:rsid w:val="00E92AA7"/>
    <w:rsid w:val="00E935F1"/>
    <w:rsid w:val="00E94A81"/>
    <w:rsid w:val="00EA1FFB"/>
    <w:rsid w:val="00EB048E"/>
    <w:rsid w:val="00EB4E9C"/>
    <w:rsid w:val="00EE34DF"/>
    <w:rsid w:val="00EF2F89"/>
    <w:rsid w:val="00F03E98"/>
    <w:rsid w:val="00F101A0"/>
    <w:rsid w:val="00F1237A"/>
    <w:rsid w:val="00F12B50"/>
    <w:rsid w:val="00F2023D"/>
    <w:rsid w:val="00F22CBD"/>
    <w:rsid w:val="00F265D2"/>
    <w:rsid w:val="00F272F1"/>
    <w:rsid w:val="00F30951"/>
    <w:rsid w:val="00F345F0"/>
    <w:rsid w:val="00F44847"/>
    <w:rsid w:val="00F45372"/>
    <w:rsid w:val="00F560F7"/>
    <w:rsid w:val="00F6334D"/>
    <w:rsid w:val="00F9295F"/>
    <w:rsid w:val="00F94ED8"/>
    <w:rsid w:val="00FA49AB"/>
    <w:rsid w:val="00FE31AE"/>
    <w:rsid w:val="00FE39C7"/>
    <w:rsid w:val="00FE6E55"/>
    <w:rsid w:val="00FF4D07"/>
    <w:rsid w:val="00FF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FE8E1A"/>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690323"/>
    <w:pPr>
      <w:tabs>
        <w:tab w:val="right" w:leader="dot" w:pos="9639"/>
      </w:tabs>
      <w:ind w:left="568" w:right="851" w:hanging="284"/>
      <w:contextualSpacing/>
      <w:jc w:val="left"/>
    </w:pPr>
    <w:rPr>
      <w:sz w:val="18"/>
    </w:rPr>
  </w:style>
  <w:style w:type="paragraph" w:styleId="TOC3">
    <w:name w:val="toc 3"/>
    <w:next w:val="Normal"/>
    <w:autoRedefine/>
    <w:uiPriority w:val="39"/>
    <w:rsid w:val="00690323"/>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690323"/>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6C5657"/>
    <w:rPr>
      <w:rFonts w:ascii="Arial" w:hAnsi="Arial"/>
      <w:caps/>
    </w:rPr>
  </w:style>
  <w:style w:type="character" w:customStyle="1" w:styleId="FootnoteTextChar">
    <w:name w:val="Footnote Text Char"/>
    <w:basedOn w:val="DefaultParagraphFont"/>
    <w:link w:val="FootnoteText"/>
    <w:rsid w:val="007B306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TC_56_EN.dotx</Template>
  <TotalTime>3</TotalTime>
  <Pages>4</Pages>
  <Words>1155</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TC/56/INF/6</vt:lpstr>
    </vt:vector>
  </TitlesOfParts>
  <Company>UPOV</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TC/56/INF/6</dc:title>
  <dc:creator>MAY Jessica</dc:creator>
  <cp:lastModifiedBy>Romy Oertel</cp:lastModifiedBy>
  <cp:revision>6</cp:revision>
  <cp:lastPrinted>2020-10-16T06:13:00Z</cp:lastPrinted>
  <dcterms:created xsi:type="dcterms:W3CDTF">2020-10-15T12:41:00Z</dcterms:created>
  <dcterms:modified xsi:type="dcterms:W3CDTF">2020-10-16T06:14:00Z</dcterms:modified>
</cp:coreProperties>
</file>