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eastAsia="ja-JP"/>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E01423" w:rsidRDefault="00EB4E9C" w:rsidP="00AC2883">
            <w:pPr>
              <w:pStyle w:val="Sessiontc"/>
              <w:spacing w:line="240" w:lineRule="auto"/>
            </w:pPr>
            <w:r w:rsidRPr="00E01423">
              <w:t>Technical Committee</w:t>
            </w:r>
          </w:p>
          <w:p w:rsidR="00EB4E9C" w:rsidRPr="00E01423" w:rsidRDefault="00EB4E9C" w:rsidP="008B6E60">
            <w:pPr>
              <w:pStyle w:val="Sessiontcplacedate"/>
              <w:rPr>
                <w:sz w:val="22"/>
              </w:rPr>
            </w:pPr>
            <w:r w:rsidRPr="00E01423">
              <w:t>Fifty-</w:t>
            </w:r>
            <w:r w:rsidR="008B6E60" w:rsidRPr="00E01423">
              <w:t>Fourth</w:t>
            </w:r>
            <w:r w:rsidRPr="00E01423">
              <w:t xml:space="preserve"> Session</w:t>
            </w:r>
            <w:r w:rsidRPr="00E01423">
              <w:br/>
              <w:t xml:space="preserve">Geneva, </w:t>
            </w:r>
            <w:r w:rsidR="008B6E60" w:rsidRPr="00E01423">
              <w:t>October 29 and 30, 2018</w:t>
            </w:r>
          </w:p>
        </w:tc>
        <w:tc>
          <w:tcPr>
            <w:tcW w:w="3127" w:type="dxa"/>
          </w:tcPr>
          <w:p w:rsidR="00EB4E9C" w:rsidRPr="00E01423" w:rsidRDefault="008B6E60" w:rsidP="003C7FBE">
            <w:pPr>
              <w:pStyle w:val="Doccode"/>
            </w:pPr>
            <w:r w:rsidRPr="00E01423">
              <w:t>TC/54</w:t>
            </w:r>
            <w:r w:rsidR="00EB4E9C" w:rsidRPr="00E01423">
              <w:t>/</w:t>
            </w:r>
            <w:r w:rsidR="00843D12" w:rsidRPr="00E01423">
              <w:t>14</w:t>
            </w:r>
          </w:p>
          <w:p w:rsidR="00EB4E9C" w:rsidRPr="00E01423" w:rsidRDefault="00EB4E9C" w:rsidP="003C7FBE">
            <w:pPr>
              <w:pStyle w:val="Docoriginal"/>
            </w:pPr>
            <w:r w:rsidRPr="00E01423">
              <w:t>Original:</w:t>
            </w:r>
            <w:r w:rsidRPr="00E01423">
              <w:rPr>
                <w:b w:val="0"/>
                <w:spacing w:val="0"/>
              </w:rPr>
              <w:t xml:space="preserve">  English</w:t>
            </w:r>
          </w:p>
          <w:p w:rsidR="00EB4E9C" w:rsidRPr="007C1D92" w:rsidRDefault="00EB4E9C" w:rsidP="00E01423">
            <w:pPr>
              <w:pStyle w:val="Docoriginal"/>
            </w:pPr>
            <w:r w:rsidRPr="00E01423">
              <w:t>Date:</w:t>
            </w:r>
            <w:r w:rsidR="008B6E60" w:rsidRPr="00E01423">
              <w:rPr>
                <w:b w:val="0"/>
                <w:spacing w:val="0"/>
              </w:rPr>
              <w:t xml:space="preserve">  </w:t>
            </w:r>
            <w:r w:rsidR="00843D12" w:rsidRPr="00E01423">
              <w:rPr>
                <w:b w:val="0"/>
                <w:spacing w:val="0"/>
              </w:rPr>
              <w:t xml:space="preserve">September </w:t>
            </w:r>
            <w:r w:rsidR="00323F3F" w:rsidRPr="00E01423">
              <w:rPr>
                <w:b w:val="0"/>
                <w:spacing w:val="0"/>
              </w:rPr>
              <w:t>2</w:t>
            </w:r>
            <w:r w:rsidR="00E01423" w:rsidRPr="00E01423">
              <w:rPr>
                <w:b w:val="0"/>
                <w:spacing w:val="0"/>
              </w:rPr>
              <w:t>4</w:t>
            </w:r>
            <w:r w:rsidR="008B6E60" w:rsidRPr="00E01423">
              <w:rPr>
                <w:b w:val="0"/>
                <w:spacing w:val="0"/>
              </w:rPr>
              <w:t>, 2018</w:t>
            </w:r>
          </w:p>
        </w:tc>
      </w:tr>
    </w:tbl>
    <w:p w:rsidR="00857EC8" w:rsidRPr="00857EC8" w:rsidRDefault="00857EC8" w:rsidP="00857EC8">
      <w:pPr>
        <w:spacing w:before="600" w:after="240"/>
        <w:jc w:val="left"/>
        <w:rPr>
          <w:b/>
          <w:caps/>
        </w:rPr>
      </w:pPr>
      <w:bookmarkStart w:id="0" w:name="TitleOfDoc"/>
      <w:bookmarkEnd w:id="0"/>
      <w:r w:rsidRPr="00857EC8">
        <w:rPr>
          <w:b/>
          <w:caps/>
        </w:rPr>
        <w:t xml:space="preserve">Duration of DUS tests </w:t>
      </w:r>
    </w:p>
    <w:p w:rsidR="00857EC8" w:rsidRPr="00857EC8" w:rsidRDefault="00857EC8" w:rsidP="00857EC8">
      <w:pPr>
        <w:spacing w:after="240"/>
        <w:jc w:val="left"/>
        <w:rPr>
          <w:i/>
          <w:iCs/>
        </w:rPr>
      </w:pPr>
      <w:r w:rsidRPr="00857EC8">
        <w:rPr>
          <w:i/>
          <w:iCs/>
        </w:rPr>
        <w:t>Document prepared by the Office of the Union</w:t>
      </w:r>
    </w:p>
    <w:p w:rsidR="00857EC8" w:rsidRPr="00857EC8" w:rsidRDefault="00857EC8" w:rsidP="00857EC8">
      <w:pPr>
        <w:spacing w:after="600"/>
        <w:jc w:val="left"/>
        <w:rPr>
          <w:i/>
          <w:iCs/>
          <w:color w:val="A6A6A6" w:themeColor="background1" w:themeShade="A6"/>
        </w:rPr>
      </w:pPr>
      <w:r w:rsidRPr="00857EC8">
        <w:rPr>
          <w:i/>
          <w:iCs/>
          <w:color w:val="A6A6A6" w:themeColor="background1" w:themeShade="A6"/>
        </w:rPr>
        <w:t>Disclaimer:  this document does not represent UPOV policies or guidance</w:t>
      </w:r>
    </w:p>
    <w:p w:rsidR="00857EC8" w:rsidRPr="00857EC8" w:rsidRDefault="00857EC8" w:rsidP="00857EC8">
      <w:pPr>
        <w:keepNext/>
        <w:outlineLvl w:val="0"/>
        <w:rPr>
          <w:caps/>
        </w:rPr>
      </w:pPr>
      <w:bookmarkStart w:id="1" w:name="_Toc484625146"/>
      <w:bookmarkStart w:id="2" w:name="_Toc525564224"/>
      <w:r w:rsidRPr="00857EC8">
        <w:rPr>
          <w:caps/>
        </w:rPr>
        <w:t>EXECUTIVE SUMMARY</w:t>
      </w:r>
      <w:bookmarkEnd w:id="1"/>
      <w:bookmarkEnd w:id="2"/>
    </w:p>
    <w:p w:rsidR="00857EC8" w:rsidRPr="00857EC8" w:rsidRDefault="00857EC8" w:rsidP="00857EC8">
      <w:pPr>
        <w:autoSpaceDE w:val="0"/>
        <w:autoSpaceDN w:val="0"/>
        <w:adjustRightInd w:val="0"/>
        <w:rPr>
          <w:szCs w:val="24"/>
        </w:rPr>
      </w:pPr>
    </w:p>
    <w:p w:rsidR="00857EC8" w:rsidRPr="00857EC8" w:rsidRDefault="00857EC8" w:rsidP="00857EC8">
      <w:pPr>
        <w:autoSpaceDE w:val="0"/>
        <w:autoSpaceDN w:val="0"/>
        <w:adjustRightInd w:val="0"/>
        <w:rPr>
          <w:rFonts w:eastAsia="MS Mincho"/>
          <w:color w:val="000000"/>
          <w:szCs w:val="24"/>
          <w:lang w:eastAsia="ja-JP"/>
        </w:rPr>
      </w:pPr>
      <w:r w:rsidRPr="00857EC8">
        <w:rPr>
          <w:szCs w:val="24"/>
        </w:rPr>
        <w:fldChar w:fldCharType="begin"/>
      </w:r>
      <w:r w:rsidRPr="00857EC8">
        <w:rPr>
          <w:szCs w:val="24"/>
        </w:rPr>
        <w:instrText xml:space="preserve"> AUTONUM  </w:instrText>
      </w:r>
      <w:r w:rsidRPr="00857EC8">
        <w:rPr>
          <w:szCs w:val="24"/>
        </w:rPr>
        <w:fldChar w:fldCharType="end"/>
      </w:r>
      <w:r w:rsidRPr="00857EC8">
        <w:rPr>
          <w:szCs w:val="24"/>
        </w:rPr>
        <w:tab/>
      </w:r>
      <w:r w:rsidRPr="00857EC8">
        <w:rPr>
          <w:rFonts w:cs="Arial"/>
          <w:color w:val="212121"/>
          <w:shd w:val="clear" w:color="auto" w:fill="FFFFFF"/>
        </w:rPr>
        <w:t>The purpose of this document is to report on developments concerning a proposal to amend the guidance in document TGP/7 on duration of DUS testing</w:t>
      </w:r>
      <w:r w:rsidRPr="00857EC8">
        <w:t>.</w:t>
      </w:r>
    </w:p>
    <w:p w:rsidR="00857EC8" w:rsidRPr="00857EC8" w:rsidRDefault="00857EC8" w:rsidP="00857EC8">
      <w:pPr>
        <w:tabs>
          <w:tab w:val="left" w:pos="567"/>
          <w:tab w:val="left" w:pos="1134"/>
        </w:tabs>
      </w:pPr>
    </w:p>
    <w:p w:rsidR="00857EC8" w:rsidRPr="00857EC8" w:rsidRDefault="00857EC8" w:rsidP="00857EC8">
      <w:pPr>
        <w:tabs>
          <w:tab w:val="left" w:pos="567"/>
          <w:tab w:val="left" w:pos="1134"/>
          <w:tab w:val="left" w:pos="5387"/>
        </w:tabs>
      </w:pPr>
      <w:r w:rsidRPr="00857EC8">
        <w:fldChar w:fldCharType="begin"/>
      </w:r>
      <w:r w:rsidRPr="00857EC8">
        <w:instrText xml:space="preserve"> AUTONUM  </w:instrText>
      </w:r>
      <w:r w:rsidRPr="00857EC8">
        <w:fldChar w:fldCharType="end"/>
      </w:r>
      <w:r w:rsidRPr="00857EC8">
        <w:tab/>
        <w:t xml:space="preserve">The </w:t>
      </w:r>
      <w:r w:rsidR="00AD1A1C">
        <w:t xml:space="preserve">TC </w:t>
      </w:r>
      <w:proofErr w:type="gramStart"/>
      <w:r w:rsidR="00AD1A1C">
        <w:t>is</w:t>
      </w:r>
      <w:r w:rsidRPr="00857EC8">
        <w:t xml:space="preserve"> invited</w:t>
      </w:r>
      <w:proofErr w:type="gramEnd"/>
      <w:r w:rsidRPr="00857EC8">
        <w:t xml:space="preserve"> to </w:t>
      </w:r>
      <w:r w:rsidR="00CA0CF9">
        <w:t>consider:</w:t>
      </w:r>
    </w:p>
    <w:p w:rsidR="00857EC8" w:rsidRPr="00857EC8" w:rsidRDefault="00857EC8" w:rsidP="00857EC8">
      <w:pPr>
        <w:tabs>
          <w:tab w:val="left" w:pos="567"/>
          <w:tab w:val="left" w:pos="1134"/>
          <w:tab w:val="left" w:pos="5387"/>
        </w:tabs>
      </w:pPr>
      <w:bookmarkStart w:id="3" w:name="_GoBack"/>
      <w:bookmarkEnd w:id="3"/>
    </w:p>
    <w:p w:rsidR="00857EC8" w:rsidRPr="00857EC8" w:rsidRDefault="00857EC8" w:rsidP="00857EC8">
      <w:pPr>
        <w:tabs>
          <w:tab w:val="left" w:pos="567"/>
          <w:tab w:val="left" w:pos="1134"/>
          <w:tab w:val="left" w:pos="5387"/>
        </w:tabs>
      </w:pPr>
      <w:r w:rsidRPr="00857EC8">
        <w:tab/>
        <w:t>(a)</w:t>
      </w:r>
      <w:r w:rsidRPr="00857EC8">
        <w:tab/>
      </w:r>
      <w:proofErr w:type="gramStart"/>
      <w:r w:rsidRPr="00857EC8">
        <w:t>the</w:t>
      </w:r>
      <w:proofErr w:type="gramEnd"/>
      <w:r w:rsidRPr="00857EC8">
        <w:t xml:space="preserve"> proposal to amend guidance in document TGP/7 GN 8 to clarify that “the testing of a variety may be concluded when the competent authority can determine with certainty the outcome of the test”; and</w:t>
      </w:r>
    </w:p>
    <w:p w:rsidR="00857EC8" w:rsidRPr="00857EC8" w:rsidRDefault="00857EC8" w:rsidP="00857EC8">
      <w:pPr>
        <w:tabs>
          <w:tab w:val="left" w:pos="567"/>
          <w:tab w:val="left" w:pos="1134"/>
          <w:tab w:val="left" w:pos="5387"/>
        </w:tabs>
      </w:pPr>
    </w:p>
    <w:p w:rsidR="00857EC8" w:rsidRPr="00857EC8" w:rsidRDefault="00857EC8" w:rsidP="00857EC8">
      <w:pPr>
        <w:tabs>
          <w:tab w:val="left" w:pos="567"/>
          <w:tab w:val="left" w:pos="1134"/>
          <w:tab w:val="left" w:pos="5387"/>
        </w:tabs>
      </w:pPr>
      <w:r w:rsidRPr="00857EC8">
        <w:tab/>
        <w:t>(b)</w:t>
      </w:r>
      <w:r w:rsidRPr="00857EC8">
        <w:tab/>
      </w:r>
      <w:proofErr w:type="gramStart"/>
      <w:r w:rsidR="00CA0CF9">
        <w:t>whether</w:t>
      </w:r>
      <w:proofErr w:type="gramEnd"/>
      <w:r w:rsidRPr="00857EC8">
        <w:t xml:space="preserve"> the proposed text should be featured as standard or additional wording in Test Guidelines in order to be seen by readers of Test Guidelines.</w:t>
      </w:r>
    </w:p>
    <w:p w:rsidR="00857EC8" w:rsidRPr="00857EC8" w:rsidRDefault="00857EC8" w:rsidP="00857EC8">
      <w:pPr>
        <w:tabs>
          <w:tab w:val="left" w:pos="567"/>
          <w:tab w:val="left" w:pos="1134"/>
          <w:tab w:val="left" w:pos="5387"/>
        </w:tabs>
      </w:pPr>
    </w:p>
    <w:p w:rsidR="00857EC8" w:rsidRDefault="00857EC8" w:rsidP="00857EC8">
      <w:r w:rsidRPr="00857EC8">
        <w:fldChar w:fldCharType="begin"/>
      </w:r>
      <w:r w:rsidRPr="00857EC8">
        <w:instrText xml:space="preserve"> AUTONUM  </w:instrText>
      </w:r>
      <w:r w:rsidRPr="00857EC8">
        <w:fldChar w:fldCharType="end"/>
      </w:r>
      <w:r w:rsidRPr="00857EC8">
        <w:tab/>
        <w:t>The structure of this document is as follows:</w:t>
      </w:r>
    </w:p>
    <w:p w:rsidR="00323F3F" w:rsidRPr="00857EC8" w:rsidRDefault="00323F3F" w:rsidP="00857EC8"/>
    <w:p w:rsidR="00E01423" w:rsidRPr="00E01423" w:rsidRDefault="00857EC8" w:rsidP="00E01423">
      <w:pPr>
        <w:pStyle w:val="TOC1"/>
        <w:rPr>
          <w:rFonts w:asciiTheme="minorHAnsi" w:eastAsiaTheme="minorEastAsia" w:hAnsiTheme="minorHAnsi" w:cstheme="minorBidi"/>
          <w:noProof/>
          <w:sz w:val="18"/>
          <w:szCs w:val="18"/>
        </w:rPr>
      </w:pPr>
      <w:r w:rsidRPr="00E01423">
        <w:rPr>
          <w:rFonts w:cs="Arial"/>
          <w:bCs/>
          <w:noProof/>
          <w:sz w:val="18"/>
          <w:szCs w:val="18"/>
        </w:rPr>
        <w:fldChar w:fldCharType="begin"/>
      </w:r>
      <w:r w:rsidRPr="00E01423">
        <w:rPr>
          <w:rFonts w:cs="Arial"/>
          <w:bCs/>
          <w:noProof/>
          <w:sz w:val="18"/>
          <w:szCs w:val="18"/>
        </w:rPr>
        <w:instrText xml:space="preserve"> TOC \o "1-3" \h \z \u </w:instrText>
      </w:r>
      <w:r w:rsidRPr="00E01423">
        <w:rPr>
          <w:rFonts w:cs="Arial"/>
          <w:bCs/>
          <w:noProof/>
          <w:sz w:val="18"/>
          <w:szCs w:val="18"/>
        </w:rPr>
        <w:fldChar w:fldCharType="separate"/>
      </w:r>
      <w:hyperlink w:anchor="_Toc525564224" w:history="1">
        <w:r w:rsidR="00E01423" w:rsidRPr="00E01423">
          <w:rPr>
            <w:rStyle w:val="Hyperlink"/>
            <w:noProof/>
            <w:sz w:val="18"/>
            <w:szCs w:val="18"/>
          </w:rPr>
          <w:t>EXECUTIVE SUMMARY</w:t>
        </w:r>
        <w:r w:rsidR="00E01423" w:rsidRPr="00E01423">
          <w:rPr>
            <w:noProof/>
            <w:webHidden/>
            <w:sz w:val="18"/>
            <w:szCs w:val="18"/>
          </w:rPr>
          <w:tab/>
        </w:r>
        <w:r w:rsidR="00E01423" w:rsidRPr="00E01423">
          <w:rPr>
            <w:noProof/>
            <w:webHidden/>
            <w:sz w:val="18"/>
            <w:szCs w:val="18"/>
          </w:rPr>
          <w:fldChar w:fldCharType="begin"/>
        </w:r>
        <w:r w:rsidR="00E01423" w:rsidRPr="00E01423">
          <w:rPr>
            <w:noProof/>
            <w:webHidden/>
            <w:sz w:val="18"/>
            <w:szCs w:val="18"/>
          </w:rPr>
          <w:instrText xml:space="preserve"> PAGEREF _Toc525564224 \h </w:instrText>
        </w:r>
        <w:r w:rsidR="00E01423" w:rsidRPr="00E01423">
          <w:rPr>
            <w:noProof/>
            <w:webHidden/>
            <w:sz w:val="18"/>
            <w:szCs w:val="18"/>
          </w:rPr>
        </w:r>
        <w:r w:rsidR="00E01423" w:rsidRPr="00E01423">
          <w:rPr>
            <w:noProof/>
            <w:webHidden/>
            <w:sz w:val="18"/>
            <w:szCs w:val="18"/>
          </w:rPr>
          <w:fldChar w:fldCharType="separate"/>
        </w:r>
        <w:r w:rsidR="00E01423" w:rsidRPr="00E01423">
          <w:rPr>
            <w:noProof/>
            <w:webHidden/>
            <w:sz w:val="18"/>
            <w:szCs w:val="18"/>
          </w:rPr>
          <w:t>1</w:t>
        </w:r>
        <w:r w:rsidR="00E01423" w:rsidRPr="00E01423">
          <w:rPr>
            <w:noProof/>
            <w:webHidden/>
            <w:sz w:val="18"/>
            <w:szCs w:val="18"/>
          </w:rPr>
          <w:fldChar w:fldCharType="end"/>
        </w:r>
      </w:hyperlink>
    </w:p>
    <w:p w:rsidR="00E01423" w:rsidRPr="00E01423" w:rsidRDefault="001F15B3" w:rsidP="00E01423">
      <w:pPr>
        <w:pStyle w:val="TOC1"/>
        <w:rPr>
          <w:rFonts w:asciiTheme="minorHAnsi" w:eastAsiaTheme="minorEastAsia" w:hAnsiTheme="minorHAnsi" w:cstheme="minorBidi"/>
          <w:noProof/>
          <w:sz w:val="18"/>
          <w:szCs w:val="18"/>
        </w:rPr>
      </w:pPr>
      <w:hyperlink w:anchor="_Toc525564225" w:history="1">
        <w:r w:rsidR="00E01423" w:rsidRPr="00E01423">
          <w:rPr>
            <w:rStyle w:val="Hyperlink"/>
            <w:rFonts w:eastAsia="MS Mincho"/>
            <w:noProof/>
            <w:sz w:val="18"/>
            <w:szCs w:val="18"/>
            <w:lang w:eastAsia="ja-JP"/>
          </w:rPr>
          <w:t>BACKGROUND</w:t>
        </w:r>
        <w:r w:rsidR="00E01423" w:rsidRPr="00E01423">
          <w:rPr>
            <w:noProof/>
            <w:webHidden/>
            <w:sz w:val="18"/>
            <w:szCs w:val="18"/>
          </w:rPr>
          <w:tab/>
        </w:r>
        <w:r w:rsidR="00E01423" w:rsidRPr="00E01423">
          <w:rPr>
            <w:noProof/>
            <w:webHidden/>
            <w:sz w:val="18"/>
            <w:szCs w:val="18"/>
          </w:rPr>
          <w:fldChar w:fldCharType="begin"/>
        </w:r>
        <w:r w:rsidR="00E01423" w:rsidRPr="00E01423">
          <w:rPr>
            <w:noProof/>
            <w:webHidden/>
            <w:sz w:val="18"/>
            <w:szCs w:val="18"/>
          </w:rPr>
          <w:instrText xml:space="preserve"> PAGEREF _Toc525564225 \h </w:instrText>
        </w:r>
        <w:r w:rsidR="00E01423" w:rsidRPr="00E01423">
          <w:rPr>
            <w:noProof/>
            <w:webHidden/>
            <w:sz w:val="18"/>
            <w:szCs w:val="18"/>
          </w:rPr>
        </w:r>
        <w:r w:rsidR="00E01423" w:rsidRPr="00E01423">
          <w:rPr>
            <w:noProof/>
            <w:webHidden/>
            <w:sz w:val="18"/>
            <w:szCs w:val="18"/>
          </w:rPr>
          <w:fldChar w:fldCharType="separate"/>
        </w:r>
        <w:r w:rsidR="00E01423" w:rsidRPr="00E01423">
          <w:rPr>
            <w:noProof/>
            <w:webHidden/>
            <w:sz w:val="18"/>
            <w:szCs w:val="18"/>
          </w:rPr>
          <w:t>1</w:t>
        </w:r>
        <w:r w:rsidR="00E01423" w:rsidRPr="00E01423">
          <w:rPr>
            <w:noProof/>
            <w:webHidden/>
            <w:sz w:val="18"/>
            <w:szCs w:val="18"/>
          </w:rPr>
          <w:fldChar w:fldCharType="end"/>
        </w:r>
      </w:hyperlink>
    </w:p>
    <w:p w:rsidR="00E01423" w:rsidRPr="00E01423" w:rsidRDefault="001F15B3" w:rsidP="00E01423">
      <w:pPr>
        <w:pStyle w:val="TOC1"/>
        <w:rPr>
          <w:rFonts w:asciiTheme="minorHAnsi" w:eastAsiaTheme="minorEastAsia" w:hAnsiTheme="minorHAnsi" w:cstheme="minorBidi"/>
          <w:noProof/>
          <w:sz w:val="18"/>
          <w:szCs w:val="18"/>
        </w:rPr>
      </w:pPr>
      <w:hyperlink w:anchor="_Toc525564226" w:history="1">
        <w:r w:rsidR="00E01423" w:rsidRPr="00E01423">
          <w:rPr>
            <w:rStyle w:val="Hyperlink"/>
            <w:noProof/>
            <w:sz w:val="18"/>
            <w:szCs w:val="18"/>
          </w:rPr>
          <w:t>DEVELOPMENTS IN 2017</w:t>
        </w:r>
        <w:r w:rsidR="00E01423" w:rsidRPr="00E01423">
          <w:rPr>
            <w:noProof/>
            <w:webHidden/>
            <w:sz w:val="18"/>
            <w:szCs w:val="18"/>
          </w:rPr>
          <w:tab/>
        </w:r>
        <w:r w:rsidR="00E01423" w:rsidRPr="00E01423">
          <w:rPr>
            <w:noProof/>
            <w:webHidden/>
            <w:sz w:val="18"/>
            <w:szCs w:val="18"/>
          </w:rPr>
          <w:fldChar w:fldCharType="begin"/>
        </w:r>
        <w:r w:rsidR="00E01423" w:rsidRPr="00E01423">
          <w:rPr>
            <w:noProof/>
            <w:webHidden/>
            <w:sz w:val="18"/>
            <w:szCs w:val="18"/>
          </w:rPr>
          <w:instrText xml:space="preserve"> PAGEREF _Toc525564226 \h </w:instrText>
        </w:r>
        <w:r w:rsidR="00E01423" w:rsidRPr="00E01423">
          <w:rPr>
            <w:noProof/>
            <w:webHidden/>
            <w:sz w:val="18"/>
            <w:szCs w:val="18"/>
          </w:rPr>
        </w:r>
        <w:r w:rsidR="00E01423" w:rsidRPr="00E01423">
          <w:rPr>
            <w:noProof/>
            <w:webHidden/>
            <w:sz w:val="18"/>
            <w:szCs w:val="18"/>
          </w:rPr>
          <w:fldChar w:fldCharType="separate"/>
        </w:r>
        <w:r w:rsidR="00E01423" w:rsidRPr="00E01423">
          <w:rPr>
            <w:noProof/>
            <w:webHidden/>
            <w:sz w:val="18"/>
            <w:szCs w:val="18"/>
          </w:rPr>
          <w:t>2</w:t>
        </w:r>
        <w:r w:rsidR="00E01423" w:rsidRPr="00E01423">
          <w:rPr>
            <w:noProof/>
            <w:webHidden/>
            <w:sz w:val="18"/>
            <w:szCs w:val="18"/>
          </w:rPr>
          <w:fldChar w:fldCharType="end"/>
        </w:r>
      </w:hyperlink>
    </w:p>
    <w:p w:rsidR="00E01423" w:rsidRPr="00E01423" w:rsidRDefault="001F15B3" w:rsidP="00E01423">
      <w:pPr>
        <w:pStyle w:val="TOC2"/>
        <w:rPr>
          <w:rFonts w:asciiTheme="minorHAnsi" w:eastAsiaTheme="minorEastAsia" w:hAnsiTheme="minorHAnsi" w:cstheme="minorBidi"/>
        </w:rPr>
      </w:pPr>
      <w:hyperlink w:anchor="_Toc525564227" w:history="1">
        <w:r w:rsidR="00E01423" w:rsidRPr="00E01423">
          <w:rPr>
            <w:rStyle w:val="Hyperlink"/>
          </w:rPr>
          <w:t>Technical Committee</w:t>
        </w:r>
        <w:r w:rsidR="00E01423" w:rsidRPr="00E01423">
          <w:rPr>
            <w:webHidden/>
          </w:rPr>
          <w:tab/>
        </w:r>
        <w:r w:rsidR="00E01423" w:rsidRPr="00E01423">
          <w:rPr>
            <w:webHidden/>
          </w:rPr>
          <w:fldChar w:fldCharType="begin"/>
        </w:r>
        <w:r w:rsidR="00E01423" w:rsidRPr="00E01423">
          <w:rPr>
            <w:webHidden/>
          </w:rPr>
          <w:instrText xml:space="preserve"> PAGEREF _Toc525564227 \h </w:instrText>
        </w:r>
        <w:r w:rsidR="00E01423" w:rsidRPr="00E01423">
          <w:rPr>
            <w:webHidden/>
          </w:rPr>
        </w:r>
        <w:r w:rsidR="00E01423" w:rsidRPr="00E01423">
          <w:rPr>
            <w:webHidden/>
          </w:rPr>
          <w:fldChar w:fldCharType="separate"/>
        </w:r>
        <w:r w:rsidR="00E01423" w:rsidRPr="00E01423">
          <w:rPr>
            <w:webHidden/>
          </w:rPr>
          <w:t>2</w:t>
        </w:r>
        <w:r w:rsidR="00E01423" w:rsidRPr="00E01423">
          <w:rPr>
            <w:webHidden/>
          </w:rPr>
          <w:fldChar w:fldCharType="end"/>
        </w:r>
      </w:hyperlink>
    </w:p>
    <w:p w:rsidR="00E01423" w:rsidRPr="00E01423" w:rsidRDefault="001F15B3" w:rsidP="00E01423">
      <w:pPr>
        <w:pStyle w:val="TOC2"/>
        <w:rPr>
          <w:rFonts w:asciiTheme="minorHAnsi" w:eastAsiaTheme="minorEastAsia" w:hAnsiTheme="minorHAnsi" w:cstheme="minorBidi"/>
          <w:smallCaps/>
        </w:rPr>
      </w:pPr>
      <w:hyperlink w:anchor="_Toc525564228" w:history="1">
        <w:r w:rsidR="00E01423" w:rsidRPr="00E01423">
          <w:rPr>
            <w:rStyle w:val="Hyperlink"/>
          </w:rPr>
          <w:t>Comments by the Technical Working Parties</w:t>
        </w:r>
        <w:r w:rsidR="00E01423" w:rsidRPr="00E01423">
          <w:rPr>
            <w:webHidden/>
          </w:rPr>
          <w:tab/>
        </w:r>
        <w:r w:rsidR="00E01423" w:rsidRPr="00E01423">
          <w:rPr>
            <w:webHidden/>
          </w:rPr>
          <w:fldChar w:fldCharType="begin"/>
        </w:r>
        <w:r w:rsidR="00E01423" w:rsidRPr="00E01423">
          <w:rPr>
            <w:webHidden/>
          </w:rPr>
          <w:instrText xml:space="preserve"> PAGEREF _Toc525564228 \h </w:instrText>
        </w:r>
        <w:r w:rsidR="00E01423" w:rsidRPr="00E01423">
          <w:rPr>
            <w:webHidden/>
          </w:rPr>
        </w:r>
        <w:r w:rsidR="00E01423" w:rsidRPr="00E01423">
          <w:rPr>
            <w:webHidden/>
          </w:rPr>
          <w:fldChar w:fldCharType="separate"/>
        </w:r>
        <w:r w:rsidR="00E01423" w:rsidRPr="00E01423">
          <w:rPr>
            <w:webHidden/>
          </w:rPr>
          <w:t>2</w:t>
        </w:r>
        <w:r w:rsidR="00E01423" w:rsidRPr="00E01423">
          <w:rPr>
            <w:webHidden/>
          </w:rPr>
          <w:fldChar w:fldCharType="end"/>
        </w:r>
      </w:hyperlink>
    </w:p>
    <w:p w:rsidR="00E01423" w:rsidRPr="00E01423" w:rsidRDefault="001F15B3" w:rsidP="00E01423">
      <w:pPr>
        <w:pStyle w:val="TOC1"/>
        <w:rPr>
          <w:rFonts w:asciiTheme="minorHAnsi" w:eastAsiaTheme="minorEastAsia" w:hAnsiTheme="minorHAnsi" w:cstheme="minorBidi"/>
          <w:noProof/>
          <w:sz w:val="18"/>
          <w:szCs w:val="18"/>
        </w:rPr>
      </w:pPr>
      <w:hyperlink w:anchor="_Toc525564229" w:history="1">
        <w:r w:rsidR="00E01423" w:rsidRPr="00E01423">
          <w:rPr>
            <w:rStyle w:val="Hyperlink"/>
            <w:noProof/>
            <w:sz w:val="18"/>
            <w:szCs w:val="18"/>
          </w:rPr>
          <w:t>DEVELOPMENTS IN 2018</w:t>
        </w:r>
        <w:r w:rsidR="00E01423" w:rsidRPr="00E01423">
          <w:rPr>
            <w:noProof/>
            <w:webHidden/>
            <w:sz w:val="18"/>
            <w:szCs w:val="18"/>
          </w:rPr>
          <w:tab/>
        </w:r>
        <w:r w:rsidR="00E01423" w:rsidRPr="00E01423">
          <w:rPr>
            <w:noProof/>
            <w:webHidden/>
            <w:sz w:val="18"/>
            <w:szCs w:val="18"/>
          </w:rPr>
          <w:fldChar w:fldCharType="begin"/>
        </w:r>
        <w:r w:rsidR="00E01423" w:rsidRPr="00E01423">
          <w:rPr>
            <w:noProof/>
            <w:webHidden/>
            <w:sz w:val="18"/>
            <w:szCs w:val="18"/>
          </w:rPr>
          <w:instrText xml:space="preserve"> PAGEREF _Toc525564229 \h </w:instrText>
        </w:r>
        <w:r w:rsidR="00E01423" w:rsidRPr="00E01423">
          <w:rPr>
            <w:noProof/>
            <w:webHidden/>
            <w:sz w:val="18"/>
            <w:szCs w:val="18"/>
          </w:rPr>
        </w:r>
        <w:r w:rsidR="00E01423" w:rsidRPr="00E01423">
          <w:rPr>
            <w:noProof/>
            <w:webHidden/>
            <w:sz w:val="18"/>
            <w:szCs w:val="18"/>
          </w:rPr>
          <w:fldChar w:fldCharType="separate"/>
        </w:r>
        <w:r w:rsidR="00E01423" w:rsidRPr="00E01423">
          <w:rPr>
            <w:noProof/>
            <w:webHidden/>
            <w:sz w:val="18"/>
            <w:szCs w:val="18"/>
          </w:rPr>
          <w:t>4</w:t>
        </w:r>
        <w:r w:rsidR="00E01423" w:rsidRPr="00E01423">
          <w:rPr>
            <w:noProof/>
            <w:webHidden/>
            <w:sz w:val="18"/>
            <w:szCs w:val="18"/>
          </w:rPr>
          <w:fldChar w:fldCharType="end"/>
        </w:r>
      </w:hyperlink>
    </w:p>
    <w:p w:rsidR="00E01423" w:rsidRPr="00E01423" w:rsidRDefault="001F15B3" w:rsidP="00E01423">
      <w:pPr>
        <w:pStyle w:val="TOC2"/>
        <w:rPr>
          <w:rFonts w:asciiTheme="minorHAnsi" w:eastAsiaTheme="minorEastAsia" w:hAnsiTheme="minorHAnsi" w:cstheme="minorBidi"/>
          <w:smallCaps/>
        </w:rPr>
      </w:pPr>
      <w:hyperlink w:anchor="_Toc525564230" w:history="1">
        <w:r w:rsidR="00E01423" w:rsidRPr="00E01423">
          <w:rPr>
            <w:rStyle w:val="Hyperlink"/>
          </w:rPr>
          <w:t>Enlarged Editorial Committee</w:t>
        </w:r>
        <w:r w:rsidR="00E01423" w:rsidRPr="00E01423">
          <w:rPr>
            <w:webHidden/>
          </w:rPr>
          <w:tab/>
        </w:r>
        <w:r w:rsidR="00E01423" w:rsidRPr="00E01423">
          <w:rPr>
            <w:webHidden/>
          </w:rPr>
          <w:fldChar w:fldCharType="begin"/>
        </w:r>
        <w:r w:rsidR="00E01423" w:rsidRPr="00E01423">
          <w:rPr>
            <w:webHidden/>
          </w:rPr>
          <w:instrText xml:space="preserve"> PAGEREF _Toc525564230 \h </w:instrText>
        </w:r>
        <w:r w:rsidR="00E01423" w:rsidRPr="00E01423">
          <w:rPr>
            <w:webHidden/>
          </w:rPr>
        </w:r>
        <w:r w:rsidR="00E01423" w:rsidRPr="00E01423">
          <w:rPr>
            <w:webHidden/>
          </w:rPr>
          <w:fldChar w:fldCharType="separate"/>
        </w:r>
        <w:r w:rsidR="00E01423" w:rsidRPr="00E01423">
          <w:rPr>
            <w:webHidden/>
          </w:rPr>
          <w:t>4</w:t>
        </w:r>
        <w:r w:rsidR="00E01423" w:rsidRPr="00E01423">
          <w:rPr>
            <w:webHidden/>
          </w:rPr>
          <w:fldChar w:fldCharType="end"/>
        </w:r>
      </w:hyperlink>
    </w:p>
    <w:p w:rsidR="00E01423" w:rsidRPr="00E01423" w:rsidRDefault="001F15B3" w:rsidP="00E01423">
      <w:pPr>
        <w:pStyle w:val="TOC2"/>
        <w:rPr>
          <w:rFonts w:asciiTheme="minorHAnsi" w:eastAsiaTheme="minorEastAsia" w:hAnsiTheme="minorHAnsi" w:cstheme="minorBidi"/>
          <w:smallCaps/>
        </w:rPr>
      </w:pPr>
      <w:hyperlink w:anchor="_Toc525564231" w:history="1">
        <w:r w:rsidR="00E01423" w:rsidRPr="00E01423">
          <w:rPr>
            <w:rStyle w:val="Hyperlink"/>
          </w:rPr>
          <w:t>Comments by the Technical Working Parties</w:t>
        </w:r>
        <w:r w:rsidR="00E01423" w:rsidRPr="00E01423">
          <w:rPr>
            <w:webHidden/>
          </w:rPr>
          <w:tab/>
        </w:r>
        <w:r w:rsidR="00E01423" w:rsidRPr="00E01423">
          <w:rPr>
            <w:webHidden/>
          </w:rPr>
          <w:fldChar w:fldCharType="begin"/>
        </w:r>
        <w:r w:rsidR="00E01423" w:rsidRPr="00E01423">
          <w:rPr>
            <w:webHidden/>
          </w:rPr>
          <w:instrText xml:space="preserve"> PAGEREF _Toc525564231 \h </w:instrText>
        </w:r>
        <w:r w:rsidR="00E01423" w:rsidRPr="00E01423">
          <w:rPr>
            <w:webHidden/>
          </w:rPr>
        </w:r>
        <w:r w:rsidR="00E01423" w:rsidRPr="00E01423">
          <w:rPr>
            <w:webHidden/>
          </w:rPr>
          <w:fldChar w:fldCharType="separate"/>
        </w:r>
        <w:r w:rsidR="00E01423" w:rsidRPr="00E01423">
          <w:rPr>
            <w:webHidden/>
          </w:rPr>
          <w:t>4</w:t>
        </w:r>
        <w:r w:rsidR="00E01423" w:rsidRPr="00E01423">
          <w:rPr>
            <w:webHidden/>
          </w:rPr>
          <w:fldChar w:fldCharType="end"/>
        </w:r>
      </w:hyperlink>
    </w:p>
    <w:p w:rsidR="00857EC8" w:rsidRPr="00857EC8" w:rsidRDefault="00857EC8" w:rsidP="00857EC8">
      <w:pPr>
        <w:ind w:left="1134" w:hanging="1134"/>
        <w:jc w:val="left"/>
        <w:rPr>
          <w:sz w:val="18"/>
        </w:rPr>
      </w:pPr>
      <w:r w:rsidRPr="00E01423">
        <w:rPr>
          <w:sz w:val="18"/>
          <w:szCs w:val="18"/>
        </w:rPr>
        <w:fldChar w:fldCharType="end"/>
      </w:r>
      <w:r w:rsidRPr="00857EC8">
        <w:rPr>
          <w:sz w:val="18"/>
        </w:rPr>
        <w:t>ANNEX</w:t>
      </w:r>
      <w:r w:rsidRPr="00857EC8">
        <w:rPr>
          <w:sz w:val="18"/>
        </w:rPr>
        <w:tab/>
        <w:t>EXTRACT FROM DOCUMENT TGP/7 “DEVELOPMENT OF TEST GUIDELINES” (ASW 2, ASW 3, GN 8)</w:t>
      </w:r>
    </w:p>
    <w:p w:rsidR="00857EC8" w:rsidRPr="00857EC8" w:rsidRDefault="00857EC8" w:rsidP="00857EC8">
      <w:bookmarkStart w:id="4" w:name="_Toc484625147"/>
    </w:p>
    <w:p w:rsidR="00857EC8" w:rsidRPr="00857EC8" w:rsidRDefault="00857EC8" w:rsidP="00857EC8">
      <w:r w:rsidRPr="00857EC8">
        <w:fldChar w:fldCharType="begin"/>
      </w:r>
      <w:r w:rsidRPr="00857EC8">
        <w:instrText xml:space="preserve"> AUTONUM  </w:instrText>
      </w:r>
      <w:r w:rsidRPr="00857EC8">
        <w:fldChar w:fldCharType="end"/>
      </w:r>
      <w:r w:rsidRPr="00857EC8">
        <w:tab/>
        <w:t xml:space="preserve">The following abbreviations </w:t>
      </w:r>
      <w:proofErr w:type="gramStart"/>
      <w:r w:rsidRPr="00857EC8">
        <w:t>are used</w:t>
      </w:r>
      <w:proofErr w:type="gramEnd"/>
      <w:r w:rsidRPr="00857EC8">
        <w:t xml:space="preserve"> in this document:</w:t>
      </w:r>
    </w:p>
    <w:p w:rsidR="00857EC8" w:rsidRPr="00857EC8" w:rsidRDefault="00857EC8" w:rsidP="00857EC8"/>
    <w:p w:rsidR="00857EC8" w:rsidRPr="00857EC8" w:rsidRDefault="00857EC8" w:rsidP="00857EC8">
      <w:r w:rsidRPr="00857EC8">
        <w:t xml:space="preserve">TC:  </w:t>
      </w:r>
      <w:r w:rsidRPr="00857EC8">
        <w:tab/>
      </w:r>
      <w:r w:rsidRPr="00857EC8">
        <w:tab/>
        <w:t>Technical Committee</w:t>
      </w:r>
    </w:p>
    <w:p w:rsidR="00857EC8" w:rsidRPr="00857EC8" w:rsidRDefault="00857EC8" w:rsidP="00857EC8">
      <w:r w:rsidRPr="00857EC8">
        <w:t xml:space="preserve">TC-EDC:  </w:t>
      </w:r>
      <w:r w:rsidRPr="00857EC8">
        <w:tab/>
        <w:t>Enlarged Editorial Committee</w:t>
      </w:r>
    </w:p>
    <w:p w:rsidR="00857EC8" w:rsidRPr="00857EC8" w:rsidRDefault="00857EC8" w:rsidP="00857EC8">
      <w:r w:rsidRPr="00857EC8">
        <w:t xml:space="preserve">TWA:  </w:t>
      </w:r>
      <w:r w:rsidRPr="00857EC8">
        <w:tab/>
        <w:t>Technical Working Party for Agricultural Crops</w:t>
      </w:r>
    </w:p>
    <w:p w:rsidR="00857EC8" w:rsidRPr="00857EC8" w:rsidRDefault="00857EC8" w:rsidP="00857EC8">
      <w:r w:rsidRPr="00857EC8">
        <w:t xml:space="preserve">TWC:  </w:t>
      </w:r>
      <w:r w:rsidRPr="00857EC8">
        <w:tab/>
        <w:t>Technical Working Party on Automation and Computer Programs</w:t>
      </w:r>
    </w:p>
    <w:p w:rsidR="00857EC8" w:rsidRPr="00857EC8" w:rsidRDefault="00857EC8" w:rsidP="00857EC8">
      <w:r w:rsidRPr="00857EC8">
        <w:t xml:space="preserve">TWF:  </w:t>
      </w:r>
      <w:r w:rsidRPr="00857EC8">
        <w:tab/>
        <w:t xml:space="preserve">Technical Working Party for Fruit Crops </w:t>
      </w:r>
    </w:p>
    <w:p w:rsidR="00857EC8" w:rsidRPr="00857EC8" w:rsidRDefault="00857EC8" w:rsidP="00857EC8">
      <w:r w:rsidRPr="00857EC8">
        <w:t xml:space="preserve">TWO:  </w:t>
      </w:r>
      <w:r w:rsidRPr="00857EC8">
        <w:tab/>
        <w:t xml:space="preserve">Technical Working Party for Ornamental Plants and Forest Trees </w:t>
      </w:r>
    </w:p>
    <w:p w:rsidR="00857EC8" w:rsidRPr="00857EC8" w:rsidRDefault="00857EC8" w:rsidP="00857EC8">
      <w:r w:rsidRPr="00857EC8">
        <w:t xml:space="preserve">TWV:  </w:t>
      </w:r>
      <w:r w:rsidRPr="00857EC8">
        <w:tab/>
        <w:t>Technical Working Party for Vegetables</w:t>
      </w:r>
    </w:p>
    <w:p w:rsidR="00857EC8" w:rsidRPr="00857EC8" w:rsidRDefault="00857EC8" w:rsidP="00857EC8">
      <w:r w:rsidRPr="00857EC8">
        <w:t>TWPs:</w:t>
      </w:r>
      <w:r w:rsidRPr="00857EC8">
        <w:tab/>
        <w:t>Technical Working Parties</w:t>
      </w:r>
    </w:p>
    <w:p w:rsidR="00857EC8" w:rsidRPr="00857EC8" w:rsidRDefault="00857EC8" w:rsidP="00857EC8">
      <w:pPr>
        <w:keepNext/>
        <w:outlineLvl w:val="0"/>
        <w:rPr>
          <w:rFonts w:eastAsia="MS Mincho"/>
          <w:caps/>
          <w:lang w:eastAsia="ja-JP"/>
        </w:rPr>
      </w:pPr>
    </w:p>
    <w:p w:rsidR="00857EC8" w:rsidRPr="00857EC8" w:rsidRDefault="00857EC8" w:rsidP="00857EC8">
      <w:pPr>
        <w:rPr>
          <w:rFonts w:eastAsia="MS Mincho"/>
          <w:lang w:eastAsia="ja-JP"/>
        </w:rPr>
      </w:pPr>
    </w:p>
    <w:p w:rsidR="00857EC8" w:rsidRPr="00857EC8" w:rsidRDefault="00857EC8" w:rsidP="00857EC8">
      <w:pPr>
        <w:keepNext/>
        <w:outlineLvl w:val="0"/>
        <w:rPr>
          <w:rFonts w:eastAsia="MS Mincho"/>
          <w:caps/>
          <w:lang w:eastAsia="ja-JP"/>
        </w:rPr>
      </w:pPr>
      <w:bookmarkStart w:id="5" w:name="_Toc525564225"/>
      <w:r w:rsidRPr="00857EC8">
        <w:rPr>
          <w:rFonts w:eastAsia="MS Mincho"/>
          <w:caps/>
          <w:lang w:eastAsia="ja-JP"/>
        </w:rPr>
        <w:t>BACKGROUND</w:t>
      </w:r>
      <w:bookmarkEnd w:id="4"/>
      <w:bookmarkEnd w:id="5"/>
    </w:p>
    <w:p w:rsidR="00857EC8" w:rsidRPr="00857EC8" w:rsidRDefault="00857EC8" w:rsidP="00857EC8"/>
    <w:p w:rsidR="00857EC8" w:rsidRPr="00857EC8" w:rsidRDefault="00857EC8" w:rsidP="00857EC8">
      <w:pPr>
        <w:rPr>
          <w:u w:val="single"/>
        </w:rPr>
      </w:pPr>
      <w:bookmarkStart w:id="6" w:name="_Toc503371686"/>
      <w:r w:rsidRPr="00857EC8">
        <w:rPr>
          <w:u w:val="single"/>
        </w:rPr>
        <w:t>Program for development of TGP documents</w:t>
      </w:r>
      <w:bookmarkEnd w:id="6"/>
    </w:p>
    <w:p w:rsidR="00857EC8" w:rsidRPr="00857EC8" w:rsidRDefault="00857EC8" w:rsidP="00857EC8">
      <w:pPr>
        <w:rPr>
          <w:iCs/>
        </w:rPr>
      </w:pPr>
    </w:p>
    <w:p w:rsidR="00857EC8" w:rsidRDefault="00857EC8" w:rsidP="00857EC8">
      <w:r w:rsidRPr="00857EC8">
        <w:fldChar w:fldCharType="begin"/>
      </w:r>
      <w:r w:rsidRPr="00857EC8">
        <w:instrText xml:space="preserve"> AUTONUM  </w:instrText>
      </w:r>
      <w:r w:rsidRPr="00857EC8">
        <w:fldChar w:fldCharType="end"/>
      </w:r>
      <w:r w:rsidRPr="00857EC8">
        <w:tab/>
        <w:t xml:space="preserve">The Council, at its thirty-fourth extraordinary session, held in Geneva on April 6, 2017, decided to organize a single set of sessions from 2018, in the period of October/November (see document </w:t>
      </w:r>
      <w:proofErr w:type="gramStart"/>
      <w:r w:rsidRPr="00857EC8">
        <w:t>C(</w:t>
      </w:r>
      <w:proofErr w:type="spellStart"/>
      <w:proofErr w:type="gramEnd"/>
      <w:r w:rsidRPr="00857EC8">
        <w:t>Extr</w:t>
      </w:r>
      <w:proofErr w:type="spellEnd"/>
      <w:r w:rsidRPr="00857EC8">
        <w:t xml:space="preserve">.)/34/6 “Report on the decisions”, paragraphs 12 to 14).  From 2018, the meetings of the TC would take place on </w:t>
      </w:r>
      <w:r w:rsidRPr="00857EC8">
        <w:lastRenderedPageBreak/>
        <w:t>October/November instead of March/April. The TC-EDC would meet twice a year</w:t>
      </w:r>
      <w:proofErr w:type="gramStart"/>
      <w:r w:rsidRPr="00857EC8">
        <w:t>;</w:t>
      </w:r>
      <w:proofErr w:type="gramEnd"/>
      <w:r w:rsidRPr="00857EC8">
        <w:t xml:space="preserve"> once in the period of March/April and once in conjunction with the TC sessions later in the year.</w:t>
      </w:r>
    </w:p>
    <w:p w:rsidR="00772F6D" w:rsidRPr="00857EC8" w:rsidRDefault="00772F6D" w:rsidP="00857EC8"/>
    <w:p w:rsidR="00857EC8" w:rsidRPr="00857EC8" w:rsidRDefault="00857EC8" w:rsidP="00857EC8">
      <w:pPr>
        <w:rPr>
          <w:iCs/>
        </w:rPr>
      </w:pPr>
      <w:r w:rsidRPr="00857EC8">
        <w:fldChar w:fldCharType="begin"/>
      </w:r>
      <w:r w:rsidRPr="00857EC8">
        <w:instrText xml:space="preserve"> AUTONUM  </w:instrText>
      </w:r>
      <w:r w:rsidRPr="00857EC8">
        <w:fldChar w:fldCharType="end"/>
      </w:r>
      <w:r w:rsidRPr="00857EC8">
        <w:tab/>
      </w:r>
      <w:proofErr w:type="gramStart"/>
      <w:r w:rsidR="00C06909">
        <w:t>T</w:t>
      </w:r>
      <w:r w:rsidRPr="00857EC8">
        <w:t>he Council decided to adopt the proposals of the TC, at its fifty</w:t>
      </w:r>
      <w:r w:rsidRPr="00857EC8">
        <w:noBreakHyphen/>
        <w:t>third session, to use contingency measures in the transitional period until the fifty-fourth session of the TC, to be held in October 2018; f</w:t>
      </w:r>
      <w:r w:rsidRPr="00857EC8">
        <w:rPr>
          <w:iCs/>
        </w:rPr>
        <w:t>or TGP documents, the TC-EDC would consolidate comments made by the TWPs at their sessions in 2017 and, in the absence of consensus between the TWPs, to formulate proposals for further consideration by the TWPs at their sessions in 2018.</w:t>
      </w:r>
      <w:proofErr w:type="gramEnd"/>
      <w:r w:rsidRPr="00857EC8">
        <w:rPr>
          <w:iCs/>
        </w:rPr>
        <w:t xml:space="preserve">  </w:t>
      </w:r>
    </w:p>
    <w:p w:rsidR="002A1EA0" w:rsidRDefault="002A1EA0" w:rsidP="002A1EA0"/>
    <w:p w:rsidR="00772F6D" w:rsidRPr="00857EC8" w:rsidRDefault="00772F6D" w:rsidP="002A1EA0"/>
    <w:p w:rsidR="002A1EA0" w:rsidRPr="00857EC8" w:rsidRDefault="002A1EA0" w:rsidP="002A1EA0">
      <w:pPr>
        <w:keepNext/>
        <w:outlineLvl w:val="0"/>
        <w:rPr>
          <w:caps/>
        </w:rPr>
      </w:pPr>
      <w:bookmarkStart w:id="7" w:name="_Toc484625149"/>
      <w:bookmarkStart w:id="8" w:name="_Toc525564226"/>
      <w:r w:rsidRPr="00857EC8">
        <w:rPr>
          <w:caps/>
        </w:rPr>
        <w:t>DEVELOPMENTS IN 2017</w:t>
      </w:r>
      <w:bookmarkEnd w:id="7"/>
      <w:bookmarkEnd w:id="8"/>
    </w:p>
    <w:p w:rsidR="002A1EA0" w:rsidRPr="00857EC8" w:rsidRDefault="002A1EA0" w:rsidP="002A1EA0">
      <w:pPr>
        <w:jc w:val="left"/>
      </w:pPr>
    </w:p>
    <w:p w:rsidR="00857EC8" w:rsidRPr="00857EC8" w:rsidRDefault="002A1EA0" w:rsidP="00857EC8">
      <w:pPr>
        <w:keepNext/>
        <w:outlineLvl w:val="1"/>
        <w:rPr>
          <w:iCs/>
          <w:u w:val="single"/>
        </w:rPr>
      </w:pPr>
      <w:bookmarkStart w:id="9" w:name="_Toc525564227"/>
      <w:r>
        <w:rPr>
          <w:rFonts w:eastAsia="MS Mincho"/>
          <w:u w:val="single"/>
          <w:lang w:eastAsia="ja-JP"/>
        </w:rPr>
        <w:t>Technical Committee</w:t>
      </w:r>
      <w:bookmarkEnd w:id="9"/>
    </w:p>
    <w:p w:rsidR="00857EC8" w:rsidRPr="00857EC8" w:rsidRDefault="00857EC8" w:rsidP="00857EC8"/>
    <w:p w:rsidR="002A1EA0" w:rsidRPr="00D51062" w:rsidRDefault="002A1EA0" w:rsidP="002A1EA0">
      <w:r w:rsidRPr="00D51062">
        <w:fldChar w:fldCharType="begin"/>
      </w:r>
      <w:r w:rsidRPr="00D51062">
        <w:instrText xml:space="preserve"> AUTONUM  </w:instrText>
      </w:r>
      <w:r w:rsidRPr="00D51062">
        <w:fldChar w:fldCharType="end"/>
      </w:r>
      <w:r w:rsidRPr="00D51062">
        <w:tab/>
        <w:t>The TC</w:t>
      </w:r>
      <w:r>
        <w:t>, at its fifty-third session, held in Geneva from April 3 to 6, 2017,</w:t>
      </w:r>
      <w:r w:rsidRPr="00D51062">
        <w:t xml:space="preserve"> considered document TC/53/5</w:t>
      </w:r>
      <w:r>
        <w:t xml:space="preserve"> “TGP Documents” (see document TC/53/31 “Report” paragraphs 126 to 128)</w:t>
      </w:r>
      <w:r w:rsidRPr="00D51062">
        <w:t>.</w:t>
      </w:r>
    </w:p>
    <w:p w:rsidR="002A1EA0" w:rsidRPr="00D51062" w:rsidRDefault="002A1EA0" w:rsidP="002A1EA0"/>
    <w:p w:rsidR="002A1EA0" w:rsidRPr="00D51062" w:rsidRDefault="002A1EA0" w:rsidP="002A1EA0">
      <w:r w:rsidRPr="00D51062">
        <w:fldChar w:fldCharType="begin"/>
      </w:r>
      <w:r w:rsidRPr="00D51062">
        <w:instrText xml:space="preserve"> AUTONUM  </w:instrText>
      </w:r>
      <w:r w:rsidRPr="00D51062">
        <w:fldChar w:fldCharType="end"/>
      </w:r>
      <w:r w:rsidRPr="00D51062">
        <w:tab/>
        <w:t>The TC considered the proposal by the TWF to revise document TGP/7 “Development of Test Guidelines” to introduce new standard wording on the Test Guidelines template and amend Additional Standard Wording 2 to clarify the duration of DUS examination, as follows:</w:t>
      </w:r>
    </w:p>
    <w:p w:rsidR="002A1EA0" w:rsidRPr="00D51062" w:rsidRDefault="002A1EA0" w:rsidP="002A1EA0"/>
    <w:p w:rsidR="002A1EA0" w:rsidRPr="00D51062" w:rsidRDefault="002A1EA0" w:rsidP="002A1EA0">
      <w:pPr>
        <w:numPr>
          <w:ilvl w:val="0"/>
          <w:numId w:val="1"/>
        </w:numPr>
        <w:autoSpaceDE w:val="0"/>
        <w:autoSpaceDN w:val="0"/>
        <w:adjustRightInd w:val="0"/>
        <w:spacing w:after="120"/>
        <w:jc w:val="left"/>
        <w:rPr>
          <w:rFonts w:eastAsia="Cambria" w:cs="Arial"/>
          <w:b/>
          <w:i/>
          <w:sz w:val="18"/>
          <w:szCs w:val="18"/>
        </w:rPr>
      </w:pPr>
      <w:r w:rsidRPr="00D51062">
        <w:rPr>
          <w:rFonts w:eastAsia="Cambria" w:cs="Arial"/>
          <w:b/>
          <w:i/>
          <w:sz w:val="18"/>
          <w:szCs w:val="18"/>
        </w:rPr>
        <w:t>Addition of a standard sentence at the point 3 of the UPOV TG Template so that it reads:</w:t>
      </w:r>
    </w:p>
    <w:p w:rsidR="002A1EA0" w:rsidRPr="00D51062" w:rsidRDefault="002A1EA0" w:rsidP="002A1EA0">
      <w:pPr>
        <w:autoSpaceDE w:val="0"/>
        <w:autoSpaceDN w:val="0"/>
        <w:adjustRightInd w:val="0"/>
        <w:ind w:right="567" w:firstLine="360"/>
        <w:jc w:val="left"/>
        <w:rPr>
          <w:rFonts w:eastAsia="Cambria" w:cs="Arial"/>
          <w:sz w:val="18"/>
          <w:szCs w:val="18"/>
        </w:rPr>
      </w:pPr>
      <w:r w:rsidRPr="00D51062">
        <w:rPr>
          <w:rFonts w:eastAsia="Cambria" w:cs="Arial"/>
          <w:sz w:val="18"/>
          <w:szCs w:val="18"/>
        </w:rPr>
        <w:t>“3. Method of Examination</w:t>
      </w:r>
    </w:p>
    <w:p w:rsidR="002A1EA0" w:rsidRPr="00D51062" w:rsidRDefault="002A1EA0" w:rsidP="002A1EA0">
      <w:pPr>
        <w:autoSpaceDE w:val="0"/>
        <w:autoSpaceDN w:val="0"/>
        <w:adjustRightInd w:val="0"/>
        <w:ind w:right="567" w:firstLine="360"/>
        <w:jc w:val="left"/>
        <w:rPr>
          <w:rFonts w:eastAsia="Cambria" w:cs="Arial"/>
          <w:sz w:val="18"/>
          <w:szCs w:val="18"/>
        </w:rPr>
      </w:pPr>
    </w:p>
    <w:p w:rsidR="002A1EA0" w:rsidRPr="00D51062" w:rsidRDefault="002A1EA0" w:rsidP="002A1EA0">
      <w:pPr>
        <w:autoSpaceDE w:val="0"/>
        <w:autoSpaceDN w:val="0"/>
        <w:adjustRightInd w:val="0"/>
        <w:ind w:left="567" w:right="567"/>
        <w:jc w:val="left"/>
        <w:rPr>
          <w:rFonts w:eastAsia="Cambria" w:cs="Arial"/>
          <w:i/>
          <w:iCs/>
          <w:sz w:val="18"/>
          <w:szCs w:val="18"/>
        </w:rPr>
      </w:pPr>
      <w:r w:rsidRPr="00D51062">
        <w:rPr>
          <w:rFonts w:eastAsia="Cambria" w:cs="Arial"/>
          <w:i/>
          <w:iCs/>
          <w:sz w:val="18"/>
          <w:szCs w:val="18"/>
        </w:rPr>
        <w:t>“3.1 Number of Growing Cycles</w:t>
      </w:r>
    </w:p>
    <w:p w:rsidR="002A1EA0" w:rsidRPr="00D51062" w:rsidRDefault="002A1EA0" w:rsidP="002A1EA0">
      <w:pPr>
        <w:autoSpaceDE w:val="0"/>
        <w:autoSpaceDN w:val="0"/>
        <w:adjustRightInd w:val="0"/>
        <w:ind w:left="567" w:right="567"/>
        <w:jc w:val="left"/>
        <w:rPr>
          <w:rFonts w:eastAsia="Cambria" w:cs="Arial"/>
          <w:i/>
          <w:iCs/>
          <w:sz w:val="18"/>
          <w:szCs w:val="18"/>
        </w:rPr>
      </w:pPr>
    </w:p>
    <w:p w:rsidR="002A1EA0" w:rsidRPr="00D51062" w:rsidRDefault="002A1EA0" w:rsidP="002A1EA0">
      <w:pPr>
        <w:autoSpaceDE w:val="0"/>
        <w:autoSpaceDN w:val="0"/>
        <w:adjustRightInd w:val="0"/>
        <w:ind w:left="567" w:right="567" w:firstLine="567"/>
        <w:jc w:val="left"/>
        <w:rPr>
          <w:rFonts w:eastAsia="Cambria" w:cs="Arial"/>
          <w:sz w:val="18"/>
          <w:szCs w:val="18"/>
        </w:rPr>
      </w:pPr>
      <w:r w:rsidRPr="00D51062">
        <w:rPr>
          <w:rFonts w:eastAsia="Cambria" w:cs="Arial"/>
          <w:sz w:val="18"/>
          <w:szCs w:val="18"/>
        </w:rPr>
        <w:t>“The minimum duration of tests should normally be:</w:t>
      </w:r>
    </w:p>
    <w:p w:rsidR="002A1EA0" w:rsidRPr="00D51062" w:rsidRDefault="002A1EA0" w:rsidP="002A1EA0">
      <w:pPr>
        <w:autoSpaceDE w:val="0"/>
        <w:autoSpaceDN w:val="0"/>
        <w:adjustRightInd w:val="0"/>
        <w:ind w:left="567" w:right="567" w:firstLine="567"/>
        <w:jc w:val="left"/>
        <w:rPr>
          <w:rFonts w:eastAsia="Cambria" w:cs="Arial"/>
          <w:sz w:val="18"/>
          <w:szCs w:val="18"/>
        </w:rPr>
      </w:pPr>
    </w:p>
    <w:p w:rsidR="002A1EA0" w:rsidRPr="00D51062" w:rsidRDefault="002A1EA0" w:rsidP="002A1EA0">
      <w:pPr>
        <w:autoSpaceDE w:val="0"/>
        <w:autoSpaceDN w:val="0"/>
        <w:adjustRightInd w:val="0"/>
        <w:ind w:left="567" w:right="567" w:firstLine="567"/>
        <w:jc w:val="left"/>
        <w:rPr>
          <w:rFonts w:eastAsia="Cambria" w:cs="Arial"/>
          <w:sz w:val="18"/>
          <w:szCs w:val="18"/>
        </w:rPr>
      </w:pPr>
      <w:r w:rsidRPr="00D51062">
        <w:rPr>
          <w:rFonts w:eastAsia="Cambria" w:cs="Arial"/>
          <w:sz w:val="18"/>
          <w:szCs w:val="18"/>
        </w:rPr>
        <w:t>“</w:t>
      </w:r>
      <w:proofErr w:type="gramStart"/>
      <w:r w:rsidRPr="00D51062">
        <w:rPr>
          <w:rFonts w:eastAsia="Cambria" w:cs="Arial"/>
          <w:sz w:val="18"/>
          <w:szCs w:val="18"/>
        </w:rPr>
        <w:t xml:space="preserve">{ </w:t>
      </w:r>
      <w:r w:rsidRPr="00D51062">
        <w:rPr>
          <w:rFonts w:eastAsia="Cambria" w:cs="Arial"/>
          <w:b/>
          <w:bCs/>
          <w:sz w:val="18"/>
          <w:szCs w:val="18"/>
        </w:rPr>
        <w:t>ASW</w:t>
      </w:r>
      <w:proofErr w:type="gramEnd"/>
      <w:r w:rsidRPr="00D51062">
        <w:rPr>
          <w:rFonts w:eastAsia="Cambria" w:cs="Arial"/>
          <w:b/>
          <w:bCs/>
          <w:sz w:val="18"/>
          <w:szCs w:val="18"/>
        </w:rPr>
        <w:t xml:space="preserve"> 2 </w:t>
      </w:r>
      <w:r w:rsidRPr="00D51062">
        <w:rPr>
          <w:rFonts w:eastAsia="Cambria" w:cs="Arial"/>
          <w:sz w:val="18"/>
          <w:szCs w:val="18"/>
        </w:rPr>
        <w:t>(Chapter 3.1(.1)) – number of growing cycles }</w:t>
      </w:r>
    </w:p>
    <w:p w:rsidR="002A1EA0" w:rsidRPr="004679A0" w:rsidRDefault="002A1EA0" w:rsidP="002A1EA0">
      <w:pPr>
        <w:autoSpaceDE w:val="0"/>
        <w:autoSpaceDN w:val="0"/>
        <w:adjustRightInd w:val="0"/>
        <w:ind w:left="567" w:right="567" w:firstLine="567"/>
        <w:jc w:val="left"/>
        <w:rPr>
          <w:rFonts w:eastAsia="Cambria" w:cs="Arial"/>
          <w:sz w:val="18"/>
          <w:szCs w:val="18"/>
        </w:rPr>
      </w:pPr>
      <w:r w:rsidRPr="00D51062">
        <w:rPr>
          <w:rFonts w:eastAsia="Cambria" w:cs="Arial"/>
          <w:sz w:val="18"/>
          <w:szCs w:val="18"/>
        </w:rPr>
        <w:t>“</w:t>
      </w:r>
      <w:proofErr w:type="gramStart"/>
      <w:r w:rsidRPr="00D51062">
        <w:rPr>
          <w:rFonts w:eastAsia="Cambria" w:cs="Arial"/>
          <w:sz w:val="18"/>
          <w:szCs w:val="18"/>
        </w:rPr>
        <w:t>{ GN</w:t>
      </w:r>
      <w:proofErr w:type="gramEnd"/>
      <w:r w:rsidRPr="00D51062">
        <w:rPr>
          <w:rFonts w:eastAsia="Cambria" w:cs="Arial"/>
          <w:sz w:val="18"/>
          <w:szCs w:val="18"/>
        </w:rPr>
        <w:t xml:space="preserve"> 8 (Chapter 3.1.2) – explanation of the growing cycle }</w:t>
      </w:r>
    </w:p>
    <w:p w:rsidR="002A1EA0" w:rsidRPr="004679A0" w:rsidRDefault="002A1EA0" w:rsidP="002A1EA0">
      <w:pPr>
        <w:autoSpaceDE w:val="0"/>
        <w:autoSpaceDN w:val="0"/>
        <w:adjustRightInd w:val="0"/>
        <w:ind w:left="567" w:right="567" w:firstLine="567"/>
        <w:rPr>
          <w:rFonts w:eastAsia="Cambria" w:cs="Arial"/>
          <w:sz w:val="18"/>
          <w:szCs w:val="18"/>
        </w:rPr>
      </w:pPr>
      <w:r w:rsidRPr="004679A0">
        <w:rPr>
          <w:rFonts w:eastAsia="Cambria" w:cs="Arial"/>
          <w:sz w:val="18"/>
          <w:szCs w:val="18"/>
        </w:rPr>
        <w:t>“</w:t>
      </w:r>
      <w:proofErr w:type="gramStart"/>
      <w:r w:rsidRPr="004679A0">
        <w:rPr>
          <w:rFonts w:eastAsia="Cambria" w:cs="Arial"/>
          <w:sz w:val="18"/>
          <w:szCs w:val="18"/>
        </w:rPr>
        <w:t xml:space="preserve">{ </w:t>
      </w:r>
      <w:r w:rsidRPr="004679A0">
        <w:rPr>
          <w:rFonts w:eastAsia="Cambria" w:cs="Arial"/>
          <w:b/>
          <w:bCs/>
          <w:sz w:val="18"/>
          <w:szCs w:val="18"/>
        </w:rPr>
        <w:t>ASW</w:t>
      </w:r>
      <w:proofErr w:type="gramEnd"/>
      <w:r w:rsidRPr="004679A0">
        <w:rPr>
          <w:rFonts w:eastAsia="Cambria" w:cs="Arial"/>
          <w:b/>
          <w:bCs/>
          <w:sz w:val="18"/>
          <w:szCs w:val="18"/>
        </w:rPr>
        <w:t xml:space="preserve"> 3 </w:t>
      </w:r>
      <w:r w:rsidRPr="004679A0">
        <w:rPr>
          <w:rFonts w:eastAsia="Cambria" w:cs="Arial"/>
          <w:sz w:val="18"/>
          <w:szCs w:val="18"/>
        </w:rPr>
        <w:t>(Chapter 3.1.2) – explanation of the growing cycle }</w:t>
      </w:r>
    </w:p>
    <w:p w:rsidR="002A1EA0" w:rsidRPr="004679A0" w:rsidRDefault="002A1EA0" w:rsidP="002A1EA0">
      <w:pPr>
        <w:autoSpaceDE w:val="0"/>
        <w:autoSpaceDN w:val="0"/>
        <w:adjustRightInd w:val="0"/>
        <w:ind w:left="567" w:right="567" w:firstLine="567"/>
        <w:rPr>
          <w:rFonts w:eastAsia="Cambria" w:cs="Arial"/>
          <w:color w:val="000000"/>
          <w:sz w:val="18"/>
          <w:szCs w:val="18"/>
        </w:rPr>
      </w:pPr>
    </w:p>
    <w:p w:rsidR="002A1EA0" w:rsidRPr="004679A0" w:rsidRDefault="002A1EA0" w:rsidP="002A1EA0">
      <w:pPr>
        <w:shd w:val="clear" w:color="auto" w:fill="FFFFFF" w:themeFill="background1"/>
        <w:autoSpaceDE w:val="0"/>
        <w:autoSpaceDN w:val="0"/>
        <w:adjustRightInd w:val="0"/>
        <w:ind w:left="567" w:right="567" w:firstLine="567"/>
        <w:rPr>
          <w:rFonts w:eastAsia="Cambria" w:cs="Arial"/>
          <w:sz w:val="18"/>
          <w:szCs w:val="18"/>
          <w:u w:val="single"/>
          <w:lang w:eastAsia="fr-FR"/>
        </w:rPr>
      </w:pPr>
      <w:r w:rsidRPr="004679A0">
        <w:rPr>
          <w:rFonts w:eastAsia="Cambria" w:cs="Arial"/>
          <w:sz w:val="18"/>
          <w:szCs w:val="18"/>
          <w:highlight w:val="lightGray"/>
          <w:u w:val="single"/>
          <w:lang w:eastAsia="fr-FR"/>
        </w:rPr>
        <w:t xml:space="preserve">As soon as it </w:t>
      </w:r>
      <w:proofErr w:type="gramStart"/>
      <w:r w:rsidRPr="004679A0">
        <w:rPr>
          <w:rFonts w:eastAsia="Cambria" w:cs="Arial"/>
          <w:sz w:val="18"/>
          <w:szCs w:val="18"/>
          <w:highlight w:val="lightGray"/>
          <w:u w:val="single"/>
          <w:lang w:eastAsia="fr-FR"/>
        </w:rPr>
        <w:t>can be established</w:t>
      </w:r>
      <w:proofErr w:type="gramEnd"/>
      <w:r w:rsidRPr="004679A0">
        <w:rPr>
          <w:rFonts w:eastAsia="Cambria" w:cs="Arial"/>
          <w:sz w:val="18"/>
          <w:szCs w:val="18"/>
          <w:highlight w:val="lightGray"/>
          <w:u w:val="single"/>
          <w:lang w:eastAsia="fr-FR"/>
        </w:rPr>
        <w:t xml:space="preserve"> with certainty that the outcome of the DUS test will be negative, it can be stopped independently from the number of growing cycles carried out so far.</w:t>
      </w:r>
    </w:p>
    <w:p w:rsidR="002A1EA0" w:rsidRPr="004679A0" w:rsidRDefault="002A1EA0" w:rsidP="002A1EA0">
      <w:pPr>
        <w:autoSpaceDE w:val="0"/>
        <w:autoSpaceDN w:val="0"/>
        <w:adjustRightInd w:val="0"/>
        <w:ind w:right="567"/>
        <w:rPr>
          <w:rFonts w:eastAsia="Cambria" w:cs="Arial"/>
          <w:sz w:val="18"/>
          <w:szCs w:val="18"/>
        </w:rPr>
      </w:pPr>
    </w:p>
    <w:p w:rsidR="002A1EA0" w:rsidRPr="00A46122" w:rsidRDefault="002A1EA0" w:rsidP="002A1EA0">
      <w:pPr>
        <w:keepNext/>
        <w:numPr>
          <w:ilvl w:val="0"/>
          <w:numId w:val="1"/>
        </w:numPr>
        <w:autoSpaceDE w:val="0"/>
        <w:autoSpaceDN w:val="0"/>
        <w:adjustRightInd w:val="0"/>
        <w:spacing w:after="120"/>
        <w:ind w:right="567"/>
        <w:jc w:val="left"/>
        <w:rPr>
          <w:rFonts w:eastAsia="Cambria" w:cs="Arial"/>
          <w:sz w:val="18"/>
          <w:szCs w:val="18"/>
        </w:rPr>
      </w:pPr>
      <w:r w:rsidRPr="00A46122">
        <w:rPr>
          <w:rFonts w:eastAsia="Cambria" w:cs="Arial"/>
          <w:b/>
          <w:i/>
          <w:sz w:val="18"/>
          <w:szCs w:val="18"/>
        </w:rPr>
        <w:t>Additional option(s) to be included in the ASW 2</w:t>
      </w:r>
    </w:p>
    <w:p w:rsidR="002A1EA0" w:rsidRPr="00A46122" w:rsidRDefault="002A1EA0" w:rsidP="002A1EA0">
      <w:pPr>
        <w:autoSpaceDE w:val="0"/>
        <w:autoSpaceDN w:val="0"/>
        <w:adjustRightInd w:val="0"/>
        <w:ind w:left="567" w:right="567"/>
        <w:jc w:val="left"/>
        <w:rPr>
          <w:rFonts w:eastAsia="Cambria" w:cs="Arial"/>
          <w:sz w:val="18"/>
          <w:szCs w:val="18"/>
        </w:rPr>
      </w:pPr>
      <w:r w:rsidRPr="00A46122">
        <w:rPr>
          <w:rFonts w:eastAsia="Cambria" w:cs="Arial"/>
          <w:sz w:val="18"/>
          <w:szCs w:val="18"/>
        </w:rPr>
        <w:t>ASW 2 (TG Template: Chapter 3.1) – Number of growing cycles</w:t>
      </w:r>
    </w:p>
    <w:p w:rsidR="002A1EA0" w:rsidRPr="00A46122" w:rsidRDefault="002A1EA0" w:rsidP="002A1EA0">
      <w:pPr>
        <w:autoSpaceDE w:val="0"/>
        <w:autoSpaceDN w:val="0"/>
        <w:adjustRightInd w:val="0"/>
        <w:ind w:left="567" w:right="567"/>
        <w:jc w:val="left"/>
        <w:rPr>
          <w:rFonts w:eastAsia="Cambria" w:cs="Arial"/>
          <w:sz w:val="18"/>
          <w:szCs w:val="18"/>
        </w:rPr>
      </w:pPr>
    </w:p>
    <w:p w:rsidR="002A1EA0" w:rsidRPr="00A46122" w:rsidRDefault="002A1EA0" w:rsidP="002A1EA0">
      <w:pPr>
        <w:pStyle w:val="ListParagraph"/>
        <w:numPr>
          <w:ilvl w:val="0"/>
          <w:numId w:val="2"/>
        </w:numPr>
        <w:autoSpaceDE w:val="0"/>
        <w:autoSpaceDN w:val="0"/>
        <w:adjustRightInd w:val="0"/>
        <w:spacing w:after="0" w:line="240" w:lineRule="auto"/>
        <w:ind w:right="567"/>
        <w:rPr>
          <w:rFonts w:ascii="Arial" w:eastAsia="Cambria" w:hAnsi="Arial" w:cs="Arial"/>
          <w:i/>
          <w:iCs/>
          <w:sz w:val="18"/>
          <w:szCs w:val="18"/>
        </w:rPr>
      </w:pPr>
      <w:r w:rsidRPr="00A46122">
        <w:rPr>
          <w:rFonts w:ascii="Arial" w:eastAsia="Cambria" w:hAnsi="Arial" w:cs="Arial"/>
          <w:i/>
          <w:iCs/>
          <w:sz w:val="18"/>
          <w:szCs w:val="18"/>
        </w:rPr>
        <w:t>Single growing cycle</w:t>
      </w:r>
    </w:p>
    <w:p w:rsidR="002A1EA0" w:rsidRPr="00A46122" w:rsidRDefault="002A1EA0" w:rsidP="002A1EA0">
      <w:pPr>
        <w:pStyle w:val="ListParagraph"/>
        <w:ind w:left="927"/>
        <w:rPr>
          <w:rFonts w:ascii="Arial" w:hAnsi="Arial" w:cs="Arial"/>
          <w:sz w:val="18"/>
          <w:szCs w:val="18"/>
        </w:rPr>
      </w:pPr>
    </w:p>
    <w:p w:rsidR="002A1EA0" w:rsidRPr="00A46122" w:rsidRDefault="002A1EA0" w:rsidP="002A1EA0">
      <w:pPr>
        <w:pStyle w:val="ListParagraph"/>
        <w:numPr>
          <w:ilvl w:val="0"/>
          <w:numId w:val="2"/>
        </w:numPr>
        <w:autoSpaceDE w:val="0"/>
        <w:autoSpaceDN w:val="0"/>
        <w:adjustRightInd w:val="0"/>
        <w:spacing w:after="0"/>
        <w:ind w:left="924" w:right="567" w:hanging="357"/>
        <w:rPr>
          <w:rFonts w:ascii="Arial" w:eastAsia="Cambria" w:hAnsi="Arial" w:cs="Arial"/>
          <w:sz w:val="18"/>
          <w:szCs w:val="18"/>
        </w:rPr>
      </w:pPr>
      <w:r w:rsidRPr="00A46122">
        <w:rPr>
          <w:rFonts w:ascii="Arial" w:eastAsia="Cambria" w:hAnsi="Arial" w:cs="Arial"/>
          <w:sz w:val="18"/>
          <w:szCs w:val="18"/>
        </w:rPr>
        <w:t xml:space="preserve"> “The </w:t>
      </w:r>
      <w:r w:rsidRPr="00A46122">
        <w:rPr>
          <w:rFonts w:ascii="Arial" w:eastAsia="Cambria" w:hAnsi="Arial" w:cs="Arial"/>
          <w:strike/>
          <w:sz w:val="18"/>
          <w:szCs w:val="18"/>
          <w:highlight w:val="lightGray"/>
        </w:rPr>
        <w:t>minimum</w:t>
      </w:r>
      <w:r w:rsidRPr="00A46122">
        <w:rPr>
          <w:rFonts w:ascii="Arial" w:eastAsia="Cambria" w:hAnsi="Arial" w:cs="Arial"/>
          <w:sz w:val="18"/>
          <w:szCs w:val="18"/>
        </w:rPr>
        <w:t xml:space="preserve"> duration of tests should </w:t>
      </w:r>
      <w:r w:rsidRPr="00A46122">
        <w:rPr>
          <w:rFonts w:ascii="Arial" w:eastAsia="Cambria" w:hAnsi="Arial" w:cs="Arial"/>
          <w:strike/>
          <w:sz w:val="18"/>
          <w:szCs w:val="18"/>
          <w:highlight w:val="lightGray"/>
        </w:rPr>
        <w:t>normally</w:t>
      </w:r>
      <w:r w:rsidRPr="00A46122">
        <w:rPr>
          <w:rFonts w:ascii="Arial" w:eastAsia="Cambria" w:hAnsi="Arial" w:cs="Arial"/>
          <w:sz w:val="18"/>
          <w:szCs w:val="18"/>
        </w:rPr>
        <w:t xml:space="preserve"> </w:t>
      </w:r>
      <w:r w:rsidRPr="00A46122">
        <w:rPr>
          <w:rFonts w:ascii="Arial" w:eastAsia="Cambria" w:hAnsi="Arial" w:cs="Arial"/>
          <w:sz w:val="18"/>
          <w:szCs w:val="18"/>
          <w:highlight w:val="lightGray"/>
          <w:u w:val="single"/>
        </w:rPr>
        <w:t>typically</w:t>
      </w:r>
      <w:r w:rsidRPr="00A46122">
        <w:rPr>
          <w:rFonts w:ascii="Arial" w:eastAsia="Cambria" w:hAnsi="Arial" w:cs="Arial"/>
          <w:sz w:val="18"/>
          <w:szCs w:val="18"/>
        </w:rPr>
        <w:t xml:space="preserve"> be a single growing cycle.</w:t>
      </w:r>
      <w:r w:rsidRPr="00A46122">
        <w:rPr>
          <w:rFonts w:ascii="Arial" w:eastAsia="Cambria" w:hAnsi="Arial" w:cs="Arial"/>
          <w:sz w:val="18"/>
          <w:szCs w:val="18"/>
          <w:lang w:eastAsia="fr-FR"/>
        </w:rPr>
        <w:t xml:space="preserve"> </w:t>
      </w:r>
      <w:r w:rsidRPr="00A46122">
        <w:rPr>
          <w:rFonts w:ascii="Arial" w:eastAsia="Cambria" w:hAnsi="Arial" w:cs="Arial"/>
          <w:sz w:val="18"/>
          <w:szCs w:val="18"/>
          <w:highlight w:val="lightGray"/>
          <w:u w:val="single"/>
          <w:lang w:eastAsia="fr-FR"/>
        </w:rPr>
        <w:t>At the end of the growing cycle the competent authority will determine whether or not a following growing cycle is required</w:t>
      </w:r>
      <w:r w:rsidRPr="00A46122">
        <w:rPr>
          <w:rFonts w:ascii="Arial" w:eastAsia="Cambria" w:hAnsi="Arial" w:cs="Arial"/>
          <w:sz w:val="18"/>
          <w:szCs w:val="18"/>
          <w:lang w:eastAsia="fr-FR"/>
        </w:rPr>
        <w:t>.”</w:t>
      </w:r>
    </w:p>
    <w:p w:rsidR="002A1EA0" w:rsidRPr="00A46122" w:rsidRDefault="002A1EA0" w:rsidP="002A1EA0">
      <w:pPr>
        <w:autoSpaceDE w:val="0"/>
        <w:autoSpaceDN w:val="0"/>
        <w:adjustRightInd w:val="0"/>
        <w:ind w:left="567" w:right="567"/>
        <w:jc w:val="left"/>
        <w:rPr>
          <w:rFonts w:eastAsia="Cambria" w:cs="Arial"/>
          <w:sz w:val="18"/>
          <w:szCs w:val="18"/>
        </w:rPr>
      </w:pPr>
    </w:p>
    <w:p w:rsidR="002A1EA0" w:rsidRPr="00A46122" w:rsidRDefault="002A1EA0" w:rsidP="002A1EA0">
      <w:pPr>
        <w:pStyle w:val="ListParagraph"/>
        <w:numPr>
          <w:ilvl w:val="0"/>
          <w:numId w:val="2"/>
        </w:numPr>
        <w:autoSpaceDE w:val="0"/>
        <w:autoSpaceDN w:val="0"/>
        <w:adjustRightInd w:val="0"/>
        <w:spacing w:after="0" w:line="240" w:lineRule="auto"/>
        <w:ind w:right="567"/>
        <w:rPr>
          <w:rFonts w:ascii="Arial" w:eastAsia="Cambria" w:hAnsi="Arial" w:cs="Arial"/>
          <w:i/>
          <w:iCs/>
          <w:sz w:val="18"/>
          <w:szCs w:val="18"/>
        </w:rPr>
      </w:pPr>
      <w:r w:rsidRPr="00A46122">
        <w:rPr>
          <w:rFonts w:ascii="Arial" w:eastAsia="Cambria" w:hAnsi="Arial" w:cs="Arial"/>
          <w:i/>
          <w:iCs/>
          <w:sz w:val="18"/>
          <w:szCs w:val="18"/>
        </w:rPr>
        <w:t>Two independent growing cycles</w:t>
      </w:r>
    </w:p>
    <w:p w:rsidR="002A1EA0" w:rsidRPr="00A46122" w:rsidRDefault="002A1EA0" w:rsidP="002A1EA0">
      <w:pPr>
        <w:pStyle w:val="ListParagraph"/>
        <w:autoSpaceDE w:val="0"/>
        <w:autoSpaceDN w:val="0"/>
        <w:adjustRightInd w:val="0"/>
        <w:spacing w:after="0"/>
        <w:ind w:left="924" w:right="567"/>
        <w:rPr>
          <w:rFonts w:ascii="Arial" w:eastAsia="Cambria" w:hAnsi="Arial" w:cs="Arial"/>
          <w:i/>
          <w:iCs/>
          <w:sz w:val="18"/>
          <w:szCs w:val="18"/>
        </w:rPr>
      </w:pPr>
    </w:p>
    <w:p w:rsidR="002A1EA0" w:rsidRPr="00A46122" w:rsidRDefault="002A1EA0" w:rsidP="002A1EA0">
      <w:pPr>
        <w:autoSpaceDE w:val="0"/>
        <w:autoSpaceDN w:val="0"/>
        <w:adjustRightInd w:val="0"/>
        <w:ind w:left="567" w:right="567"/>
        <w:rPr>
          <w:rFonts w:eastAsia="Cambria" w:cs="Arial"/>
          <w:sz w:val="18"/>
          <w:szCs w:val="18"/>
        </w:rPr>
      </w:pPr>
      <w:r w:rsidRPr="00A46122">
        <w:rPr>
          <w:rFonts w:eastAsia="Cambria" w:cs="Arial"/>
          <w:sz w:val="18"/>
          <w:szCs w:val="18"/>
        </w:rPr>
        <w:t xml:space="preserve">“The </w:t>
      </w:r>
      <w:r w:rsidRPr="00A46122">
        <w:rPr>
          <w:rFonts w:eastAsia="Cambria" w:cs="Arial"/>
          <w:strike/>
          <w:sz w:val="18"/>
          <w:szCs w:val="18"/>
          <w:highlight w:val="lightGray"/>
        </w:rPr>
        <w:t>minimum</w:t>
      </w:r>
      <w:r w:rsidRPr="00A46122">
        <w:rPr>
          <w:rFonts w:eastAsia="Cambria" w:cs="Arial"/>
          <w:sz w:val="18"/>
          <w:szCs w:val="18"/>
        </w:rPr>
        <w:t xml:space="preserve"> duration of tests should </w:t>
      </w:r>
      <w:r w:rsidRPr="00A46122">
        <w:rPr>
          <w:rFonts w:eastAsia="Cambria" w:cs="Arial"/>
          <w:strike/>
          <w:sz w:val="18"/>
          <w:szCs w:val="18"/>
          <w:highlight w:val="lightGray"/>
        </w:rPr>
        <w:t>normally</w:t>
      </w:r>
      <w:r w:rsidRPr="00A46122">
        <w:rPr>
          <w:rFonts w:eastAsia="Cambria" w:cs="Arial"/>
          <w:sz w:val="18"/>
          <w:szCs w:val="18"/>
        </w:rPr>
        <w:t xml:space="preserve"> </w:t>
      </w:r>
      <w:r w:rsidRPr="00A46122">
        <w:rPr>
          <w:rFonts w:eastAsia="Cambria" w:cs="Arial"/>
          <w:sz w:val="18"/>
          <w:szCs w:val="18"/>
          <w:highlight w:val="lightGray"/>
          <w:u w:val="single"/>
        </w:rPr>
        <w:t>typically</w:t>
      </w:r>
      <w:r w:rsidRPr="00A46122">
        <w:rPr>
          <w:rFonts w:eastAsia="Cambria" w:cs="Arial"/>
          <w:sz w:val="18"/>
          <w:szCs w:val="18"/>
        </w:rPr>
        <w:t xml:space="preserve"> be two independent growing cycles. </w:t>
      </w:r>
      <w:r w:rsidRPr="00A46122">
        <w:rPr>
          <w:rFonts w:eastAsia="Cambria" w:cs="Arial"/>
          <w:sz w:val="18"/>
          <w:szCs w:val="18"/>
          <w:highlight w:val="lightGray"/>
          <w:u w:val="single"/>
        </w:rPr>
        <w:t>Nevertheless, a</w:t>
      </w:r>
      <w:r w:rsidRPr="00A46122">
        <w:rPr>
          <w:rFonts w:eastAsia="Cambria" w:cs="Arial"/>
          <w:sz w:val="18"/>
          <w:szCs w:val="18"/>
          <w:highlight w:val="lightGray"/>
          <w:u w:val="single"/>
          <w:lang w:eastAsia="fr-FR"/>
        </w:rPr>
        <w:t xml:space="preserve">t the end of each growing cycle the competent authority will determine </w:t>
      </w:r>
      <w:proofErr w:type="gramStart"/>
      <w:r w:rsidRPr="00A46122">
        <w:rPr>
          <w:rFonts w:eastAsia="Cambria" w:cs="Arial"/>
          <w:sz w:val="18"/>
          <w:szCs w:val="18"/>
          <w:highlight w:val="lightGray"/>
          <w:u w:val="single"/>
          <w:lang w:eastAsia="fr-FR"/>
        </w:rPr>
        <w:t>whether or not</w:t>
      </w:r>
      <w:proofErr w:type="gramEnd"/>
      <w:r w:rsidRPr="00A46122">
        <w:rPr>
          <w:rFonts w:eastAsia="Cambria" w:cs="Arial"/>
          <w:sz w:val="18"/>
          <w:szCs w:val="18"/>
          <w:highlight w:val="lightGray"/>
          <w:u w:val="single"/>
          <w:lang w:eastAsia="fr-FR"/>
        </w:rPr>
        <w:t xml:space="preserve"> a following growing cycle is required</w:t>
      </w:r>
      <w:r w:rsidRPr="00A46122">
        <w:rPr>
          <w:rFonts w:eastAsia="Cambria" w:cs="Arial"/>
          <w:sz w:val="18"/>
          <w:szCs w:val="18"/>
          <w:u w:val="single"/>
          <w:lang w:eastAsia="fr-FR"/>
        </w:rPr>
        <w:t>.</w:t>
      </w:r>
    </w:p>
    <w:p w:rsidR="002A1EA0" w:rsidRDefault="002A1EA0" w:rsidP="002A1EA0"/>
    <w:p w:rsidR="002A1EA0" w:rsidRDefault="002A1EA0" w:rsidP="002A1EA0">
      <w:r>
        <w:fldChar w:fldCharType="begin"/>
      </w:r>
      <w:r>
        <w:instrText xml:space="preserve"> AUTONUM  </w:instrText>
      </w:r>
      <w:r>
        <w:fldChar w:fldCharType="end"/>
      </w:r>
      <w:r>
        <w:tab/>
        <w:t xml:space="preserve">The TC agreed that it was important to clarify that it was possible to terminate a DUS examination as soon as rejection was inevitable, rather than continuing the examination until the end of the normal period.  It agreed that the standard wording in the Test Guidelines was not entirely clear in that respect and </w:t>
      </w:r>
      <w:proofErr w:type="gramStart"/>
      <w:r>
        <w:t>should be improved</w:t>
      </w:r>
      <w:proofErr w:type="gramEnd"/>
      <w:r>
        <w:t xml:space="preserve">.  However, it agreed that the proposed wording </w:t>
      </w:r>
      <w:proofErr w:type="gramStart"/>
      <w:r>
        <w:t>could be interpreted</w:t>
      </w:r>
      <w:proofErr w:type="gramEnd"/>
      <w:r>
        <w:t xml:space="preserve"> as encouraging additional growing cycles beyond the normal period and requested the TWPs to develop an improved version of the text at their sessions in 2017.</w:t>
      </w:r>
    </w:p>
    <w:p w:rsidR="00857EC8" w:rsidRDefault="00857EC8" w:rsidP="00857EC8"/>
    <w:p w:rsidR="00857EC8" w:rsidRPr="00857EC8" w:rsidRDefault="002A1EA0" w:rsidP="00857EC8">
      <w:pPr>
        <w:keepNext/>
        <w:outlineLvl w:val="1"/>
        <w:rPr>
          <w:u w:val="single"/>
        </w:rPr>
      </w:pPr>
      <w:bookmarkStart w:id="10" w:name="_Toc525564228"/>
      <w:r>
        <w:rPr>
          <w:u w:val="single"/>
        </w:rPr>
        <w:t xml:space="preserve">Comments by the </w:t>
      </w:r>
      <w:r w:rsidR="00857EC8" w:rsidRPr="00857EC8">
        <w:rPr>
          <w:u w:val="single"/>
        </w:rPr>
        <w:t>Technical Working Parties</w:t>
      </w:r>
      <w:bookmarkEnd w:id="10"/>
    </w:p>
    <w:p w:rsidR="00857EC8" w:rsidRPr="00857EC8" w:rsidRDefault="00857EC8" w:rsidP="00857EC8">
      <w:pPr>
        <w:jc w:val="left"/>
      </w:pPr>
    </w:p>
    <w:p w:rsidR="00857EC8" w:rsidRPr="00857EC8" w:rsidRDefault="00857EC8" w:rsidP="00857EC8">
      <w:pPr>
        <w:keepNext/>
        <w:rPr>
          <w:rFonts w:cs="Arial"/>
          <w:snapToGrid w:val="0"/>
        </w:rPr>
      </w:pPr>
      <w:r w:rsidRPr="00857EC8">
        <w:rPr>
          <w:snapToGrid w:val="0"/>
        </w:rPr>
        <w:fldChar w:fldCharType="begin"/>
      </w:r>
      <w:r w:rsidRPr="00857EC8">
        <w:rPr>
          <w:snapToGrid w:val="0"/>
        </w:rPr>
        <w:instrText xml:space="preserve"> AUTONUM  </w:instrText>
      </w:r>
      <w:r w:rsidRPr="00857EC8">
        <w:rPr>
          <w:snapToGrid w:val="0"/>
        </w:rPr>
        <w:fldChar w:fldCharType="end"/>
      </w:r>
      <w:r w:rsidRPr="00857EC8">
        <w:rPr>
          <w:snapToGrid w:val="0"/>
        </w:rPr>
        <w:tab/>
      </w:r>
      <w:proofErr w:type="gramStart"/>
      <w:r w:rsidRPr="00857EC8">
        <w:rPr>
          <w:snapToGrid w:val="0"/>
        </w:rPr>
        <w:t>The TWA, TWV,</w:t>
      </w:r>
      <w:r w:rsidRPr="00857EC8">
        <w:rPr>
          <w:snapToGrid w:val="0"/>
          <w:lang w:eastAsia="zh-CN"/>
        </w:rPr>
        <w:t xml:space="preserve"> </w:t>
      </w:r>
      <w:r w:rsidRPr="00857EC8">
        <w:rPr>
          <w:snapToGrid w:val="0"/>
        </w:rPr>
        <w:t xml:space="preserve">TWO, </w:t>
      </w:r>
      <w:r w:rsidRPr="00857EC8">
        <w:rPr>
          <w:snapToGrid w:val="0"/>
          <w:lang w:eastAsia="zh-CN"/>
        </w:rPr>
        <w:t>TWF and TWC, at their sessions in 2017,</w:t>
      </w:r>
      <w:r w:rsidRPr="00857EC8">
        <w:rPr>
          <w:snapToGrid w:val="0"/>
        </w:rPr>
        <w:t xml:space="preserve"> considered </w:t>
      </w:r>
      <w:r w:rsidRPr="00857EC8">
        <w:t>document TWP/1/</w:t>
      </w:r>
      <w:r w:rsidRPr="00857EC8">
        <w:rPr>
          <w:rFonts w:cs="Arial"/>
        </w:rPr>
        <w:t xml:space="preserve">11 “Duration of DUS tests” and </w:t>
      </w:r>
      <w:r w:rsidRPr="00857EC8">
        <w:rPr>
          <w:rFonts w:cs="Arial"/>
          <w:snapToGrid w:val="0"/>
        </w:rPr>
        <w:t>the proposed revision of document TGP/7 as follows</w:t>
      </w:r>
      <w:r w:rsidRPr="00857EC8">
        <w:rPr>
          <w:rFonts w:cs="Arial"/>
        </w:rPr>
        <w:t xml:space="preserve"> (see documents TWA/46/10 “Report”, paragraphs 20 and 23; TWV/51/16, paragraphs 26 to 30; TWO/50/14 “Report”, paragraphs 22 to 28; TWF/48/13 “Report”, paragraphs 26 to 36; and TWC/35/21 “Report”, paragraphs 36 to 39):</w:t>
      </w:r>
      <w:proofErr w:type="gramEnd"/>
    </w:p>
    <w:p w:rsidR="00857EC8" w:rsidRPr="00857EC8" w:rsidRDefault="00857EC8" w:rsidP="00857EC8">
      <w:pPr>
        <w:rPr>
          <w:rFonts w:cs="Arial"/>
          <w:snapToGrid w:val="0"/>
        </w:rPr>
      </w:pPr>
    </w:p>
    <w:p w:rsidR="00857EC8" w:rsidRPr="00857EC8" w:rsidRDefault="00857EC8" w:rsidP="00772F6D">
      <w:pPr>
        <w:keepNext/>
      </w:pPr>
      <w:bookmarkStart w:id="11" w:name="_Toc485133361"/>
      <w:r w:rsidRPr="00857EC8">
        <w:lastRenderedPageBreak/>
        <w:t>ASW 2(a):</w:t>
      </w:r>
      <w:bookmarkEnd w:id="11"/>
    </w:p>
    <w:p w:rsidR="00857EC8" w:rsidRPr="00857EC8" w:rsidRDefault="00857EC8" w:rsidP="00772F6D">
      <w:pPr>
        <w:keepNext/>
        <w:jc w:val="left"/>
      </w:pPr>
    </w:p>
    <w:p w:rsidR="00857EC8" w:rsidRPr="00857EC8" w:rsidRDefault="00857EC8" w:rsidP="00857EC8">
      <w:pPr>
        <w:ind w:left="567"/>
        <w:jc w:val="left"/>
      </w:pPr>
      <w:r w:rsidRPr="00857EC8">
        <w:t>“3.</w:t>
      </w:r>
      <w:r w:rsidRPr="00857EC8">
        <w:tab/>
        <w:t>Method of Examination</w:t>
      </w:r>
    </w:p>
    <w:p w:rsidR="00857EC8" w:rsidRPr="00857EC8" w:rsidRDefault="00857EC8" w:rsidP="00857EC8">
      <w:pPr>
        <w:ind w:left="567"/>
        <w:jc w:val="left"/>
      </w:pPr>
    </w:p>
    <w:p w:rsidR="00857EC8" w:rsidRPr="00857EC8" w:rsidRDefault="00857EC8" w:rsidP="00857EC8">
      <w:pPr>
        <w:ind w:left="567"/>
        <w:jc w:val="left"/>
      </w:pPr>
      <w:r w:rsidRPr="00857EC8">
        <w:t>“3.1</w:t>
      </w:r>
      <w:r w:rsidRPr="00857EC8">
        <w:tab/>
        <w:t>Number of Growing Cycles</w:t>
      </w:r>
    </w:p>
    <w:p w:rsidR="00857EC8" w:rsidRPr="00857EC8" w:rsidRDefault="00857EC8" w:rsidP="00857EC8">
      <w:pPr>
        <w:ind w:left="567"/>
      </w:pPr>
    </w:p>
    <w:p w:rsidR="00857EC8" w:rsidRPr="00857EC8" w:rsidRDefault="00857EC8" w:rsidP="00857EC8">
      <w:pPr>
        <w:autoSpaceDE w:val="0"/>
        <w:autoSpaceDN w:val="0"/>
        <w:adjustRightInd w:val="0"/>
        <w:ind w:left="567" w:right="567"/>
        <w:rPr>
          <w:rFonts w:eastAsia="Cambria" w:cs="Arial"/>
          <w:lang w:eastAsia="fr-FR"/>
        </w:rPr>
      </w:pPr>
      <w:r w:rsidRPr="00857EC8">
        <w:rPr>
          <w:rFonts w:eastAsia="Cambria" w:cs="Arial"/>
        </w:rPr>
        <w:t xml:space="preserve">“The </w:t>
      </w:r>
      <w:r w:rsidRPr="00857EC8">
        <w:rPr>
          <w:rFonts w:eastAsia="Cambria" w:cs="Arial"/>
          <w:strike/>
          <w:highlight w:val="lightGray"/>
        </w:rPr>
        <w:t>minimum</w:t>
      </w:r>
      <w:r w:rsidRPr="00857EC8">
        <w:rPr>
          <w:rFonts w:eastAsia="Cambria" w:cs="Arial"/>
        </w:rPr>
        <w:t xml:space="preserve"> duration of tests should [</w:t>
      </w:r>
      <w:r w:rsidRPr="00857EC8">
        <w:rPr>
          <w:rFonts w:eastAsia="Cambria" w:cs="Arial"/>
          <w:highlight w:val="lightGray"/>
        </w:rPr>
        <w:t>normally</w:t>
      </w:r>
      <w:r w:rsidRPr="00857EC8">
        <w:rPr>
          <w:rFonts w:eastAsia="Cambria" w:cs="Arial"/>
        </w:rPr>
        <w:t>]</w:t>
      </w:r>
      <w:proofErr w:type="gramStart"/>
      <w:r w:rsidRPr="00857EC8">
        <w:rPr>
          <w:rFonts w:eastAsia="Cambria" w:cs="Arial"/>
        </w:rPr>
        <w:t>/[</w:t>
      </w:r>
      <w:proofErr w:type="gramEnd"/>
      <w:r w:rsidRPr="00857EC8">
        <w:rPr>
          <w:rFonts w:eastAsia="Cambria" w:cs="Arial"/>
          <w:highlight w:val="lightGray"/>
          <w:u w:val="single"/>
        </w:rPr>
        <w:t>typically</w:t>
      </w:r>
      <w:r w:rsidRPr="00857EC8">
        <w:rPr>
          <w:rFonts w:eastAsia="Cambria" w:cs="Arial"/>
          <w:u w:val="single"/>
        </w:rPr>
        <w:t>]</w:t>
      </w:r>
      <w:r w:rsidRPr="00857EC8">
        <w:rPr>
          <w:rFonts w:eastAsia="Cambria" w:cs="Arial"/>
        </w:rPr>
        <w:t xml:space="preserve"> be a single growing cycle.</w:t>
      </w:r>
      <w:r w:rsidRPr="00857EC8">
        <w:rPr>
          <w:rFonts w:eastAsia="Cambria" w:cs="Arial"/>
          <w:lang w:eastAsia="fr-FR"/>
        </w:rPr>
        <w:t xml:space="preserve"> </w:t>
      </w:r>
    </w:p>
    <w:p w:rsidR="00857EC8" w:rsidRPr="00857EC8" w:rsidRDefault="00857EC8" w:rsidP="00857EC8">
      <w:pPr>
        <w:rPr>
          <w:rFonts w:eastAsia="Cambria"/>
        </w:rPr>
      </w:pPr>
    </w:p>
    <w:p w:rsidR="00857EC8" w:rsidRPr="00857EC8" w:rsidRDefault="00857EC8" w:rsidP="00857EC8">
      <w:pPr>
        <w:autoSpaceDE w:val="0"/>
        <w:autoSpaceDN w:val="0"/>
        <w:adjustRightInd w:val="0"/>
        <w:ind w:left="567" w:right="567"/>
        <w:rPr>
          <w:u w:val="single"/>
        </w:rPr>
      </w:pPr>
      <w:r w:rsidRPr="00857EC8">
        <w:rPr>
          <w:highlight w:val="lightGray"/>
          <w:u w:val="single"/>
        </w:rPr>
        <w:t>“However, the testing of a variety may be terminated earlier if a negative conclusion on distinctness, uniformity or stability has already been reached.”</w:t>
      </w:r>
    </w:p>
    <w:p w:rsidR="00857EC8" w:rsidRPr="00857EC8" w:rsidRDefault="00857EC8" w:rsidP="00857EC8">
      <w:pPr>
        <w:shd w:val="clear" w:color="auto" w:fill="FFFFFF" w:themeFill="background1"/>
        <w:autoSpaceDE w:val="0"/>
        <w:autoSpaceDN w:val="0"/>
        <w:adjustRightInd w:val="0"/>
        <w:ind w:left="567" w:right="567"/>
        <w:rPr>
          <w:rFonts w:eastAsia="Cambria" w:cs="Arial"/>
          <w:szCs w:val="18"/>
          <w:u w:val="single"/>
          <w:lang w:eastAsia="fr-FR"/>
        </w:rPr>
      </w:pPr>
    </w:p>
    <w:p w:rsidR="00857EC8" w:rsidRPr="00857EC8" w:rsidRDefault="00857EC8" w:rsidP="00857EC8">
      <w:pPr>
        <w:shd w:val="clear" w:color="auto" w:fill="FFFFFF" w:themeFill="background1"/>
        <w:autoSpaceDE w:val="0"/>
        <w:autoSpaceDN w:val="0"/>
        <w:adjustRightInd w:val="0"/>
        <w:ind w:left="567" w:right="567"/>
        <w:rPr>
          <w:rFonts w:eastAsia="Cambria" w:cs="Arial"/>
          <w:szCs w:val="18"/>
          <w:u w:val="single"/>
          <w:lang w:eastAsia="fr-FR"/>
        </w:rPr>
      </w:pPr>
      <w:r w:rsidRPr="00857EC8">
        <w:rPr>
          <w:rFonts w:eastAsia="Cambria" w:cs="Arial"/>
          <w:szCs w:val="18"/>
          <w:highlight w:val="lightGray"/>
          <w:u w:val="single"/>
          <w:lang w:eastAsia="fr-FR"/>
        </w:rPr>
        <w:t xml:space="preserve">“Alternatively, the testing of a variety may be continued if a conclusion on distinctness, uniformity or stability has not been reached after the </w:t>
      </w:r>
      <w:r w:rsidRPr="00857EC8">
        <w:rPr>
          <w:rFonts w:eastAsia="Cambria" w:cs="Arial"/>
          <w:highlight w:val="lightGray"/>
          <w:u w:val="single"/>
        </w:rPr>
        <w:t>[normal]</w:t>
      </w:r>
      <w:proofErr w:type="gramStart"/>
      <w:r w:rsidRPr="00857EC8">
        <w:rPr>
          <w:rFonts w:eastAsia="Cambria" w:cs="Arial"/>
          <w:highlight w:val="lightGray"/>
          <w:u w:val="single"/>
        </w:rPr>
        <w:t>/[</w:t>
      </w:r>
      <w:proofErr w:type="gramEnd"/>
      <w:r w:rsidRPr="00857EC8">
        <w:rPr>
          <w:rFonts w:eastAsia="Cambria" w:cs="Arial"/>
          <w:highlight w:val="lightGray"/>
          <w:u w:val="single"/>
        </w:rPr>
        <w:t>typical] duration of tests.</w:t>
      </w:r>
    </w:p>
    <w:p w:rsidR="00857EC8" w:rsidRPr="00857EC8" w:rsidRDefault="00857EC8" w:rsidP="00857EC8">
      <w:pPr>
        <w:keepNext/>
        <w:outlineLvl w:val="1"/>
        <w:rPr>
          <w:u w:val="single"/>
        </w:rPr>
      </w:pPr>
    </w:p>
    <w:p w:rsidR="00857EC8" w:rsidRPr="00857EC8" w:rsidRDefault="00857EC8" w:rsidP="00857EC8">
      <w:bookmarkStart w:id="12" w:name="_Toc485133362"/>
      <w:r w:rsidRPr="00857EC8">
        <w:t>ASW 2(b):</w:t>
      </w:r>
      <w:bookmarkEnd w:id="12"/>
    </w:p>
    <w:p w:rsidR="00857EC8" w:rsidRPr="00857EC8" w:rsidRDefault="00857EC8" w:rsidP="00857EC8">
      <w:pPr>
        <w:jc w:val="left"/>
      </w:pPr>
    </w:p>
    <w:p w:rsidR="00857EC8" w:rsidRPr="00857EC8" w:rsidRDefault="00857EC8" w:rsidP="00857EC8">
      <w:pPr>
        <w:ind w:left="567"/>
        <w:jc w:val="left"/>
      </w:pPr>
      <w:r w:rsidRPr="00857EC8">
        <w:t>“3.</w:t>
      </w:r>
      <w:r w:rsidRPr="00857EC8">
        <w:tab/>
        <w:t>Method of Examination</w:t>
      </w:r>
    </w:p>
    <w:p w:rsidR="00857EC8" w:rsidRPr="00857EC8" w:rsidRDefault="00857EC8" w:rsidP="00857EC8">
      <w:pPr>
        <w:ind w:left="567"/>
        <w:jc w:val="left"/>
      </w:pPr>
    </w:p>
    <w:p w:rsidR="00857EC8" w:rsidRPr="00857EC8" w:rsidRDefault="00857EC8" w:rsidP="00857EC8">
      <w:pPr>
        <w:ind w:left="567"/>
        <w:jc w:val="left"/>
      </w:pPr>
      <w:r w:rsidRPr="00857EC8">
        <w:t>“3.1</w:t>
      </w:r>
      <w:r w:rsidRPr="00857EC8">
        <w:tab/>
        <w:t>Number of Growing Cycles</w:t>
      </w:r>
    </w:p>
    <w:p w:rsidR="00857EC8" w:rsidRPr="00857EC8" w:rsidRDefault="00857EC8" w:rsidP="00857EC8">
      <w:pPr>
        <w:ind w:left="567"/>
        <w:jc w:val="left"/>
      </w:pPr>
    </w:p>
    <w:p w:rsidR="00857EC8" w:rsidRPr="00857EC8" w:rsidRDefault="00857EC8" w:rsidP="00857EC8">
      <w:pPr>
        <w:autoSpaceDE w:val="0"/>
        <w:autoSpaceDN w:val="0"/>
        <w:adjustRightInd w:val="0"/>
        <w:ind w:left="567" w:right="567"/>
        <w:rPr>
          <w:rFonts w:eastAsia="Cambria" w:cs="Arial"/>
        </w:rPr>
      </w:pPr>
      <w:r w:rsidRPr="00857EC8">
        <w:rPr>
          <w:rFonts w:eastAsia="Cambria" w:cs="Arial"/>
        </w:rPr>
        <w:t xml:space="preserve">“The </w:t>
      </w:r>
      <w:r w:rsidRPr="00857EC8">
        <w:rPr>
          <w:rFonts w:eastAsia="Cambria" w:cs="Arial"/>
          <w:strike/>
          <w:highlight w:val="lightGray"/>
        </w:rPr>
        <w:t>minimum</w:t>
      </w:r>
      <w:r w:rsidRPr="00857EC8">
        <w:rPr>
          <w:rFonts w:eastAsia="Cambria" w:cs="Arial"/>
        </w:rPr>
        <w:t xml:space="preserve"> duration of tests should [</w:t>
      </w:r>
      <w:r w:rsidRPr="00857EC8">
        <w:rPr>
          <w:rFonts w:eastAsia="Cambria" w:cs="Arial"/>
          <w:highlight w:val="lightGray"/>
        </w:rPr>
        <w:t>normally</w:t>
      </w:r>
      <w:r w:rsidRPr="00857EC8">
        <w:rPr>
          <w:rFonts w:eastAsia="Cambria" w:cs="Arial"/>
        </w:rPr>
        <w:t>]</w:t>
      </w:r>
      <w:proofErr w:type="gramStart"/>
      <w:r w:rsidRPr="00857EC8">
        <w:rPr>
          <w:rFonts w:eastAsia="Cambria" w:cs="Arial"/>
        </w:rPr>
        <w:t>/[</w:t>
      </w:r>
      <w:proofErr w:type="gramEnd"/>
      <w:r w:rsidRPr="00857EC8">
        <w:rPr>
          <w:rFonts w:eastAsia="Cambria" w:cs="Arial"/>
          <w:highlight w:val="lightGray"/>
          <w:u w:val="single"/>
        </w:rPr>
        <w:t>typically</w:t>
      </w:r>
      <w:r w:rsidRPr="00857EC8">
        <w:rPr>
          <w:rFonts w:eastAsia="Cambria" w:cs="Arial"/>
          <w:u w:val="single"/>
        </w:rPr>
        <w:t xml:space="preserve">] </w:t>
      </w:r>
      <w:r w:rsidRPr="00857EC8">
        <w:rPr>
          <w:rFonts w:eastAsia="Cambria" w:cs="Arial"/>
        </w:rPr>
        <w:t xml:space="preserve">be two independent growing cycles. </w:t>
      </w:r>
    </w:p>
    <w:p w:rsidR="00857EC8" w:rsidRPr="00857EC8" w:rsidRDefault="00857EC8" w:rsidP="00857EC8">
      <w:pPr>
        <w:rPr>
          <w:rFonts w:eastAsia="Cambria"/>
        </w:rPr>
      </w:pPr>
    </w:p>
    <w:p w:rsidR="00857EC8" w:rsidRPr="00857EC8" w:rsidRDefault="00857EC8" w:rsidP="00857EC8">
      <w:pPr>
        <w:autoSpaceDE w:val="0"/>
        <w:autoSpaceDN w:val="0"/>
        <w:adjustRightInd w:val="0"/>
        <w:ind w:left="567" w:right="567"/>
        <w:rPr>
          <w:u w:val="single"/>
        </w:rPr>
      </w:pPr>
      <w:r w:rsidRPr="00857EC8">
        <w:rPr>
          <w:highlight w:val="lightGray"/>
          <w:u w:val="single"/>
        </w:rPr>
        <w:t>“However, the testing of a variety may be terminated earlier if a negative conclusion on distinctness, uniformity or stability has already been reached.”</w:t>
      </w:r>
    </w:p>
    <w:p w:rsidR="00857EC8" w:rsidRPr="00857EC8" w:rsidRDefault="00857EC8" w:rsidP="00857EC8">
      <w:pPr>
        <w:shd w:val="clear" w:color="auto" w:fill="FFFFFF" w:themeFill="background1"/>
        <w:autoSpaceDE w:val="0"/>
        <w:autoSpaceDN w:val="0"/>
        <w:adjustRightInd w:val="0"/>
        <w:ind w:left="567" w:right="567"/>
        <w:rPr>
          <w:rFonts w:eastAsia="Cambria" w:cs="Arial"/>
          <w:szCs w:val="18"/>
          <w:u w:val="single"/>
          <w:lang w:eastAsia="fr-FR"/>
        </w:rPr>
      </w:pPr>
    </w:p>
    <w:p w:rsidR="00857EC8" w:rsidRPr="00857EC8" w:rsidRDefault="00857EC8" w:rsidP="00857EC8">
      <w:pPr>
        <w:shd w:val="clear" w:color="auto" w:fill="FFFFFF" w:themeFill="background1"/>
        <w:autoSpaceDE w:val="0"/>
        <w:autoSpaceDN w:val="0"/>
        <w:adjustRightInd w:val="0"/>
        <w:ind w:left="567" w:right="567"/>
        <w:rPr>
          <w:rFonts w:eastAsia="Cambria" w:cs="Arial"/>
          <w:szCs w:val="18"/>
          <w:u w:val="single"/>
          <w:lang w:eastAsia="fr-FR"/>
        </w:rPr>
      </w:pPr>
      <w:r w:rsidRPr="00857EC8">
        <w:rPr>
          <w:rFonts w:eastAsia="Cambria" w:cs="Arial"/>
          <w:szCs w:val="18"/>
          <w:highlight w:val="lightGray"/>
          <w:u w:val="single"/>
          <w:lang w:eastAsia="fr-FR"/>
        </w:rPr>
        <w:t xml:space="preserve">“Alternatively, the testing of a variety may be continued if a conclusion on distinctness, uniformity or stability has not been reached after the </w:t>
      </w:r>
      <w:r w:rsidRPr="00857EC8">
        <w:rPr>
          <w:rFonts w:eastAsia="Cambria" w:cs="Arial"/>
          <w:highlight w:val="lightGray"/>
          <w:u w:val="single"/>
        </w:rPr>
        <w:t>[normal]</w:t>
      </w:r>
      <w:proofErr w:type="gramStart"/>
      <w:r w:rsidRPr="00857EC8">
        <w:rPr>
          <w:rFonts w:eastAsia="Cambria" w:cs="Arial"/>
          <w:highlight w:val="lightGray"/>
          <w:u w:val="single"/>
        </w:rPr>
        <w:t>/[</w:t>
      </w:r>
      <w:proofErr w:type="gramEnd"/>
      <w:r w:rsidRPr="00857EC8">
        <w:rPr>
          <w:rFonts w:eastAsia="Cambria" w:cs="Arial"/>
          <w:highlight w:val="lightGray"/>
          <w:u w:val="single"/>
        </w:rPr>
        <w:t>typical] duration of tests.</w:t>
      </w:r>
    </w:p>
    <w:p w:rsidR="00857EC8" w:rsidRPr="00857EC8" w:rsidRDefault="00857EC8" w:rsidP="00857EC8">
      <w:pPr>
        <w:rPr>
          <w:rFonts w:eastAsia="Cambria"/>
          <w:lang w:eastAsia="fr-FR"/>
        </w:rPr>
      </w:pPr>
    </w:p>
    <w:p w:rsidR="00857EC8" w:rsidRPr="00857EC8" w:rsidRDefault="00857EC8" w:rsidP="00857EC8">
      <w:pPr>
        <w:rPr>
          <w:rFonts w:eastAsia="Cambria" w:cs="Arial"/>
        </w:rPr>
      </w:pPr>
      <w:r w:rsidRPr="00857EC8">
        <w:rPr>
          <w:rFonts w:cs="Arial"/>
          <w:snapToGrid w:val="0"/>
        </w:rPr>
        <w:fldChar w:fldCharType="begin"/>
      </w:r>
      <w:r w:rsidRPr="00857EC8">
        <w:rPr>
          <w:rFonts w:cs="Arial"/>
          <w:snapToGrid w:val="0"/>
        </w:rPr>
        <w:instrText xml:space="preserve"> AUTONUM  </w:instrText>
      </w:r>
      <w:r w:rsidRPr="00857EC8">
        <w:rPr>
          <w:rFonts w:cs="Arial"/>
          <w:snapToGrid w:val="0"/>
        </w:rPr>
        <w:fldChar w:fldCharType="end"/>
      </w:r>
      <w:r w:rsidRPr="00857EC8">
        <w:rPr>
          <w:rFonts w:cs="Arial"/>
          <w:snapToGrid w:val="0"/>
        </w:rPr>
        <w:tab/>
        <w:t>The TWPs, at their sessions in 2017, agreed</w:t>
      </w:r>
      <w:r w:rsidRPr="00857EC8">
        <w:rPr>
          <w:rFonts w:cs="Arial"/>
          <w:snapToGrid w:val="0"/>
          <w:lang w:eastAsia="zh-CN"/>
        </w:rPr>
        <w:t xml:space="preserve"> </w:t>
      </w:r>
      <w:r w:rsidRPr="00857EC8">
        <w:rPr>
          <w:rFonts w:cs="Arial"/>
          <w:snapToGrid w:val="0"/>
        </w:rPr>
        <w:t xml:space="preserve">that the term “normally” was preferred and </w:t>
      </w:r>
      <w:proofErr w:type="gramStart"/>
      <w:r w:rsidRPr="00857EC8">
        <w:rPr>
          <w:rFonts w:cs="Arial"/>
          <w:snapToGrid w:val="0"/>
        </w:rPr>
        <w:t>should be used</w:t>
      </w:r>
      <w:proofErr w:type="gramEnd"/>
      <w:r w:rsidRPr="00857EC8">
        <w:rPr>
          <w:rFonts w:cs="Arial"/>
          <w:snapToGrid w:val="0"/>
        </w:rPr>
        <w:t xml:space="preserve"> throughout the guidance in ASW 2. </w:t>
      </w:r>
    </w:p>
    <w:p w:rsidR="00857EC8" w:rsidRPr="00857EC8" w:rsidRDefault="00857EC8" w:rsidP="00857EC8">
      <w:pPr>
        <w:rPr>
          <w:rFonts w:cs="Arial"/>
          <w:snapToGrid w:val="0"/>
        </w:rPr>
      </w:pPr>
    </w:p>
    <w:p w:rsidR="00857EC8" w:rsidRPr="00857EC8" w:rsidRDefault="00857EC8" w:rsidP="00857EC8">
      <w:pPr>
        <w:rPr>
          <w:spacing w:val="-2"/>
        </w:rPr>
      </w:pPr>
      <w:r w:rsidRPr="00857EC8">
        <w:rPr>
          <w:rFonts w:cs="Arial"/>
          <w:snapToGrid w:val="0"/>
          <w:spacing w:val="-2"/>
        </w:rPr>
        <w:fldChar w:fldCharType="begin"/>
      </w:r>
      <w:r w:rsidRPr="00857EC8">
        <w:rPr>
          <w:rFonts w:cs="Arial"/>
          <w:snapToGrid w:val="0"/>
          <w:spacing w:val="-2"/>
        </w:rPr>
        <w:instrText xml:space="preserve"> AUTONUM  </w:instrText>
      </w:r>
      <w:r w:rsidRPr="00857EC8">
        <w:rPr>
          <w:rFonts w:cs="Arial"/>
          <w:snapToGrid w:val="0"/>
          <w:spacing w:val="-2"/>
        </w:rPr>
        <w:fldChar w:fldCharType="end"/>
      </w:r>
      <w:r w:rsidRPr="00857EC8">
        <w:rPr>
          <w:rFonts w:cs="Arial"/>
          <w:snapToGrid w:val="0"/>
          <w:spacing w:val="-2"/>
        </w:rPr>
        <w:tab/>
        <w:t>The TWA</w:t>
      </w:r>
      <w:r w:rsidRPr="00857EC8">
        <w:rPr>
          <w:rFonts w:cs="Arial"/>
          <w:snapToGrid w:val="0"/>
          <w:spacing w:val="-2"/>
          <w:lang w:eastAsia="zh-CN"/>
        </w:rPr>
        <w:t>,</w:t>
      </w:r>
      <w:r w:rsidRPr="00857EC8">
        <w:rPr>
          <w:rFonts w:cs="Arial"/>
          <w:snapToGrid w:val="0"/>
          <w:spacing w:val="-2"/>
        </w:rPr>
        <w:t xml:space="preserve"> TWV</w:t>
      </w:r>
      <w:r w:rsidRPr="00857EC8">
        <w:rPr>
          <w:spacing w:val="-2"/>
        </w:rPr>
        <w:t xml:space="preserve"> </w:t>
      </w:r>
      <w:r w:rsidRPr="00857EC8">
        <w:rPr>
          <w:spacing w:val="-2"/>
          <w:lang w:eastAsia="zh-CN"/>
        </w:rPr>
        <w:t xml:space="preserve">and TWO agreed </w:t>
      </w:r>
      <w:r w:rsidRPr="00857EC8">
        <w:rPr>
          <w:spacing w:val="-2"/>
        </w:rPr>
        <w:t xml:space="preserve">that the current standard wording in Test Guidelines allowed the examination of a candidate variety to </w:t>
      </w:r>
      <w:proofErr w:type="gramStart"/>
      <w:r w:rsidRPr="00857EC8">
        <w:rPr>
          <w:spacing w:val="-2"/>
        </w:rPr>
        <w:t>be terminated</w:t>
      </w:r>
      <w:proofErr w:type="gramEnd"/>
      <w:r w:rsidRPr="00857EC8">
        <w:rPr>
          <w:spacing w:val="-2"/>
        </w:rPr>
        <w:t xml:space="preserve"> earlier in case the differences observed between varieties were so clear that more than one growing cycle was not necessary.  </w:t>
      </w:r>
    </w:p>
    <w:p w:rsidR="00857EC8" w:rsidRPr="00857EC8" w:rsidRDefault="00857EC8" w:rsidP="00857EC8">
      <w:pPr>
        <w:rPr>
          <w:rFonts w:eastAsia="Cambria"/>
          <w:lang w:eastAsia="fr-FR"/>
        </w:rPr>
      </w:pPr>
    </w:p>
    <w:p w:rsidR="00857EC8" w:rsidRPr="00857EC8" w:rsidRDefault="00857EC8" w:rsidP="00857EC8">
      <w:pPr>
        <w:rPr>
          <w:rFonts w:cs="Arial"/>
          <w:snapToGrid w:val="0"/>
          <w:spacing w:val="-2"/>
        </w:rPr>
      </w:pPr>
      <w:r w:rsidRPr="00857EC8">
        <w:rPr>
          <w:rFonts w:cs="Arial"/>
          <w:snapToGrid w:val="0"/>
          <w:spacing w:val="-2"/>
        </w:rPr>
        <w:fldChar w:fldCharType="begin"/>
      </w:r>
      <w:r w:rsidRPr="00857EC8">
        <w:rPr>
          <w:rFonts w:cs="Arial"/>
          <w:snapToGrid w:val="0"/>
          <w:spacing w:val="-2"/>
        </w:rPr>
        <w:instrText xml:space="preserve"> AUTONUM  </w:instrText>
      </w:r>
      <w:r w:rsidRPr="00857EC8">
        <w:rPr>
          <w:rFonts w:cs="Arial"/>
          <w:snapToGrid w:val="0"/>
          <w:spacing w:val="-2"/>
        </w:rPr>
        <w:fldChar w:fldCharType="end"/>
      </w:r>
      <w:r w:rsidRPr="00857EC8">
        <w:rPr>
          <w:rFonts w:cs="Arial"/>
          <w:snapToGrid w:val="0"/>
          <w:spacing w:val="-2"/>
        </w:rPr>
        <w:tab/>
        <w:t>The TWV</w:t>
      </w:r>
      <w:r w:rsidRPr="00857EC8">
        <w:rPr>
          <w:rFonts w:cs="Arial"/>
          <w:snapToGrid w:val="0"/>
          <w:spacing w:val="-2"/>
          <w:lang w:eastAsia="zh-CN"/>
        </w:rPr>
        <w:t xml:space="preserve"> and the TWF</w:t>
      </w:r>
      <w:r w:rsidRPr="00857EC8">
        <w:rPr>
          <w:rFonts w:cs="Arial"/>
          <w:snapToGrid w:val="0"/>
          <w:spacing w:val="-2"/>
        </w:rPr>
        <w:t xml:space="preserve"> agreed that the reference to a negative conclusion </w:t>
      </w:r>
      <w:proofErr w:type="gramStart"/>
      <w:r w:rsidRPr="00857EC8">
        <w:rPr>
          <w:rFonts w:cs="Arial"/>
          <w:snapToGrid w:val="0"/>
          <w:spacing w:val="-2"/>
        </w:rPr>
        <w:t>should be deleted</w:t>
      </w:r>
      <w:proofErr w:type="gramEnd"/>
      <w:r w:rsidRPr="00857EC8">
        <w:rPr>
          <w:rFonts w:cs="Arial"/>
          <w:snapToGrid w:val="0"/>
          <w:spacing w:val="-2"/>
        </w:rPr>
        <w:t xml:space="preserve"> as it remains exceptional cases, and that in most of the cases the testing of a variety may be terminated with a positive conclusion on DUS.  </w:t>
      </w:r>
    </w:p>
    <w:p w:rsidR="00857EC8" w:rsidRPr="00857EC8" w:rsidRDefault="00857EC8" w:rsidP="00857EC8"/>
    <w:p w:rsidR="00857EC8" w:rsidRPr="00857EC8" w:rsidRDefault="00857EC8" w:rsidP="00857EC8">
      <w:r w:rsidRPr="00857EC8">
        <w:rPr>
          <w:rFonts w:cs="Arial"/>
          <w:snapToGrid w:val="0"/>
        </w:rPr>
        <w:fldChar w:fldCharType="begin"/>
      </w:r>
      <w:r w:rsidRPr="00857EC8">
        <w:rPr>
          <w:rFonts w:cs="Arial"/>
          <w:snapToGrid w:val="0"/>
        </w:rPr>
        <w:instrText xml:space="preserve"> AUTONUM  </w:instrText>
      </w:r>
      <w:r w:rsidRPr="00857EC8">
        <w:rPr>
          <w:rFonts w:cs="Arial"/>
          <w:snapToGrid w:val="0"/>
        </w:rPr>
        <w:fldChar w:fldCharType="end"/>
      </w:r>
      <w:r w:rsidRPr="00857EC8">
        <w:rPr>
          <w:rFonts w:cs="Arial"/>
          <w:snapToGrid w:val="0"/>
        </w:rPr>
        <w:tab/>
      </w:r>
      <w:r w:rsidRPr="00857EC8">
        <w:t>The TWA and TWV agreed that it should be possible to terminate earlier the examination of a candidate variety (e.g. during the establishment period of the trial).</w:t>
      </w:r>
    </w:p>
    <w:p w:rsidR="00857EC8" w:rsidRPr="00857EC8" w:rsidRDefault="00857EC8" w:rsidP="00857EC8"/>
    <w:p w:rsidR="00857EC8" w:rsidRPr="00857EC8" w:rsidRDefault="00857EC8" w:rsidP="00857EC8">
      <w:r w:rsidRPr="00857EC8">
        <w:fldChar w:fldCharType="begin"/>
      </w:r>
      <w:r w:rsidRPr="00857EC8">
        <w:instrText xml:space="preserve"> AUTONUM  </w:instrText>
      </w:r>
      <w:r w:rsidRPr="00857EC8">
        <w:fldChar w:fldCharType="end"/>
      </w:r>
      <w:r w:rsidRPr="00857EC8">
        <w:tab/>
        <w:t xml:space="preserve">The TWO </w:t>
      </w:r>
      <w:r w:rsidRPr="00857EC8">
        <w:rPr>
          <w:lang w:eastAsia="zh-CN"/>
        </w:rPr>
        <w:t xml:space="preserve">and TWF </w:t>
      </w:r>
      <w:r w:rsidRPr="00857EC8">
        <w:t>agreed that it should also be possible to terminate the examination of a candidate variety before the normal duration for reasons other than having achieved a conclusion on DUS examination, such as when there were problems with the plant material submitted.</w:t>
      </w:r>
    </w:p>
    <w:p w:rsidR="00857EC8" w:rsidRPr="00857EC8" w:rsidRDefault="00857EC8" w:rsidP="00857EC8">
      <w:pPr>
        <w:jc w:val="left"/>
      </w:pPr>
    </w:p>
    <w:p w:rsidR="00857EC8" w:rsidRPr="00857EC8" w:rsidRDefault="00857EC8" w:rsidP="00857EC8">
      <w:pPr>
        <w:jc w:val="left"/>
      </w:pPr>
      <w:r w:rsidRPr="00857EC8">
        <w:fldChar w:fldCharType="begin"/>
      </w:r>
      <w:r w:rsidRPr="00857EC8">
        <w:instrText xml:space="preserve"> AUTONUM  </w:instrText>
      </w:r>
      <w:r w:rsidRPr="00857EC8">
        <w:fldChar w:fldCharType="end"/>
      </w:r>
      <w:r w:rsidRPr="00857EC8">
        <w:tab/>
        <w:t>The TWC noted the different views expressed by the TWA, TWV, TWO and TWF in relation to the text in Additional Standard Wording (ASW) 2 and Guidance Note (GN) 8 and agreed that it should be possible for the authority to terminate examination when the outcome of the test was determined.</w:t>
      </w:r>
    </w:p>
    <w:p w:rsidR="00857EC8" w:rsidRPr="00857EC8" w:rsidRDefault="00857EC8" w:rsidP="00857EC8"/>
    <w:p w:rsidR="00857EC8" w:rsidRPr="00857EC8" w:rsidRDefault="00857EC8" w:rsidP="00857EC8">
      <w:pPr>
        <w:autoSpaceDE w:val="0"/>
        <w:autoSpaceDN w:val="0"/>
        <w:adjustRightInd w:val="0"/>
        <w:spacing w:after="240"/>
        <w:rPr>
          <w:rFonts w:cs="Arial"/>
          <w:snapToGrid w:val="0"/>
        </w:rPr>
      </w:pPr>
      <w:r w:rsidRPr="00857EC8">
        <w:rPr>
          <w:rFonts w:cs="Arial"/>
          <w:snapToGrid w:val="0"/>
        </w:rPr>
        <w:fldChar w:fldCharType="begin"/>
      </w:r>
      <w:r w:rsidRPr="00857EC8">
        <w:rPr>
          <w:rFonts w:cs="Arial"/>
          <w:snapToGrid w:val="0"/>
        </w:rPr>
        <w:instrText xml:space="preserve"> AUTONUM  </w:instrText>
      </w:r>
      <w:r w:rsidRPr="00857EC8">
        <w:rPr>
          <w:rFonts w:cs="Arial"/>
          <w:snapToGrid w:val="0"/>
        </w:rPr>
        <w:fldChar w:fldCharType="end"/>
      </w:r>
      <w:r w:rsidRPr="00857EC8">
        <w:rPr>
          <w:rFonts w:cs="Arial"/>
          <w:snapToGrid w:val="0"/>
        </w:rPr>
        <w:tab/>
        <w:t xml:space="preserve">The TWO agreed that the term “growing cycle” was not precise for explaining the duration of DUS examination as it referred primarily to the life cycle of a crop.  The TWO agreed to consider the possibility of replacing the term “growing cycle” by “testing cycle” in ASW 2(a) and (b) to clarify that the duration of DUS examination was related to the period of testing of a variety, regardless of the number of life cycles the crop would have completed during DUS examination. </w:t>
      </w:r>
    </w:p>
    <w:p w:rsidR="00857EC8" w:rsidRPr="00857EC8" w:rsidRDefault="00857EC8" w:rsidP="00857EC8">
      <w:pPr>
        <w:autoSpaceDE w:val="0"/>
        <w:autoSpaceDN w:val="0"/>
        <w:adjustRightInd w:val="0"/>
        <w:spacing w:after="240"/>
        <w:rPr>
          <w:rFonts w:cs="Arial"/>
          <w:snapToGrid w:val="0"/>
        </w:rPr>
      </w:pPr>
      <w:r w:rsidRPr="00857EC8">
        <w:rPr>
          <w:rFonts w:cs="Arial"/>
          <w:snapToGrid w:val="0"/>
        </w:rPr>
        <w:fldChar w:fldCharType="begin"/>
      </w:r>
      <w:r w:rsidRPr="00857EC8">
        <w:rPr>
          <w:rFonts w:cs="Arial"/>
          <w:snapToGrid w:val="0"/>
        </w:rPr>
        <w:instrText xml:space="preserve"> AUTONUM  </w:instrText>
      </w:r>
      <w:r w:rsidRPr="00857EC8">
        <w:rPr>
          <w:rFonts w:cs="Arial"/>
          <w:snapToGrid w:val="0"/>
        </w:rPr>
        <w:fldChar w:fldCharType="end"/>
      </w:r>
      <w:r w:rsidRPr="00857EC8">
        <w:rPr>
          <w:rFonts w:cs="Arial"/>
          <w:snapToGrid w:val="0"/>
        </w:rPr>
        <w:tab/>
        <w:t>The TWF agreed that in the case of fruit the growing cycle did not necessarily correspond to the life cycle of the crop and acknowledged that there was a difference between the establishment period and the evaluation period.</w:t>
      </w:r>
    </w:p>
    <w:p w:rsidR="00857EC8" w:rsidRPr="00857EC8" w:rsidRDefault="00857EC8" w:rsidP="00857EC8">
      <w:r w:rsidRPr="00857EC8">
        <w:rPr>
          <w:rFonts w:cs="Arial"/>
          <w:snapToGrid w:val="0"/>
        </w:rPr>
        <w:fldChar w:fldCharType="begin"/>
      </w:r>
      <w:r w:rsidRPr="00857EC8">
        <w:rPr>
          <w:rFonts w:cs="Arial"/>
          <w:snapToGrid w:val="0"/>
        </w:rPr>
        <w:instrText xml:space="preserve"> AUTONUM  </w:instrText>
      </w:r>
      <w:r w:rsidRPr="00857EC8">
        <w:rPr>
          <w:rFonts w:cs="Arial"/>
          <w:snapToGrid w:val="0"/>
        </w:rPr>
        <w:fldChar w:fldCharType="end"/>
      </w:r>
      <w:r w:rsidRPr="00857EC8">
        <w:rPr>
          <w:rFonts w:cs="Arial"/>
          <w:snapToGrid w:val="0"/>
        </w:rPr>
        <w:tab/>
        <w:t>The TWO welcomed the offer by an expert from the European Union to</w:t>
      </w:r>
      <w:r w:rsidRPr="00857EC8">
        <w:t xml:space="preserve"> propose definitions for growing cycle and testing cycle for ornamental plants to </w:t>
      </w:r>
      <w:proofErr w:type="gramStart"/>
      <w:r w:rsidRPr="00857EC8">
        <w:t>be presented</w:t>
      </w:r>
      <w:proofErr w:type="gramEnd"/>
      <w:r w:rsidRPr="00857EC8">
        <w:t xml:space="preserve"> at its next session.</w:t>
      </w:r>
    </w:p>
    <w:p w:rsidR="00857EC8" w:rsidRDefault="00857EC8" w:rsidP="00857EC8">
      <w:r w:rsidRPr="00857EC8">
        <w:lastRenderedPageBreak/>
        <w:fldChar w:fldCharType="begin"/>
      </w:r>
      <w:r w:rsidRPr="00857EC8">
        <w:instrText xml:space="preserve"> AUTONUM  </w:instrText>
      </w:r>
      <w:r w:rsidRPr="00857EC8">
        <w:fldChar w:fldCharType="end"/>
      </w:r>
      <w:r w:rsidRPr="00857EC8">
        <w:tab/>
        <w:t>T</w:t>
      </w:r>
      <w:r w:rsidRPr="00857EC8">
        <w:rPr>
          <w:lang w:eastAsia="zh-CN"/>
        </w:rPr>
        <w:t xml:space="preserve">he TWA, TWV and TWF </w:t>
      </w:r>
      <w:r w:rsidRPr="00857EC8">
        <w:t xml:space="preserve">agreed to propose that particular situations should be addressed as Guidance Note in document TGP/7 instead of amending the standard wording, clarifying that it is the decision of the Authorities to decide </w:t>
      </w:r>
      <w:proofErr w:type="gramStart"/>
      <w:r w:rsidRPr="00857EC8">
        <w:t>whether or not</w:t>
      </w:r>
      <w:proofErr w:type="gramEnd"/>
      <w:r w:rsidRPr="00857EC8">
        <w:t xml:space="preserve"> to terminate the examination earlier.</w:t>
      </w:r>
    </w:p>
    <w:p w:rsidR="00772F6D" w:rsidRPr="00857EC8" w:rsidRDefault="00772F6D" w:rsidP="00857EC8"/>
    <w:p w:rsidR="00857EC8" w:rsidRPr="00857EC8" w:rsidRDefault="00857EC8" w:rsidP="00857EC8">
      <w:pPr>
        <w:rPr>
          <w:rFonts w:cs="Arial"/>
          <w:snapToGrid w:val="0"/>
        </w:rPr>
      </w:pPr>
      <w:r w:rsidRPr="00857EC8">
        <w:rPr>
          <w:rFonts w:cs="Arial"/>
          <w:snapToGrid w:val="0"/>
        </w:rPr>
        <w:fldChar w:fldCharType="begin"/>
      </w:r>
      <w:r w:rsidRPr="00857EC8">
        <w:rPr>
          <w:rFonts w:cs="Arial"/>
          <w:snapToGrid w:val="0"/>
        </w:rPr>
        <w:instrText xml:space="preserve"> AUTONUM  </w:instrText>
      </w:r>
      <w:r w:rsidRPr="00857EC8">
        <w:rPr>
          <w:rFonts w:cs="Arial"/>
          <w:snapToGrid w:val="0"/>
        </w:rPr>
        <w:fldChar w:fldCharType="end"/>
      </w:r>
      <w:r w:rsidRPr="00857EC8">
        <w:rPr>
          <w:rFonts w:cs="Arial"/>
          <w:snapToGrid w:val="0"/>
        </w:rPr>
        <w:tab/>
        <w:t xml:space="preserve">The TWF agreed to suggest to the TC to keep ASW2 as it is, but to propose to amend the GN 8 as follows </w:t>
      </w:r>
      <w:r w:rsidRPr="00857EC8">
        <w:t xml:space="preserve">(proposed insertion of text indicated by </w:t>
      </w:r>
      <w:r w:rsidRPr="00857EC8">
        <w:rPr>
          <w:highlight w:val="lightGray"/>
          <w:u w:val="single"/>
        </w:rPr>
        <w:t>highlighting and underlining</w:t>
      </w:r>
      <w:r w:rsidRPr="00857EC8">
        <w:rPr>
          <w:u w:val="single"/>
        </w:rPr>
        <w:t>)</w:t>
      </w:r>
      <w:r w:rsidRPr="00857EC8">
        <w:rPr>
          <w:rFonts w:cs="Arial"/>
          <w:snapToGrid w:val="0"/>
        </w:rPr>
        <w:t>:</w:t>
      </w:r>
    </w:p>
    <w:p w:rsidR="00857EC8" w:rsidRPr="00857EC8" w:rsidRDefault="00857EC8" w:rsidP="00857EC8">
      <w:pPr>
        <w:rPr>
          <w:rFonts w:cs="Arial"/>
          <w:snapToGrid w:val="0"/>
        </w:rPr>
      </w:pPr>
    </w:p>
    <w:p w:rsidR="00857EC8" w:rsidRPr="00857EC8" w:rsidRDefault="00857EC8" w:rsidP="00857EC8">
      <w:pPr>
        <w:ind w:left="567" w:right="567"/>
        <w:rPr>
          <w:u w:val="single"/>
        </w:rPr>
      </w:pPr>
      <w:r w:rsidRPr="00857EC8">
        <w:rPr>
          <w:u w:val="single"/>
        </w:rPr>
        <w:t>GN 8 (TG Template: Chapter 3.1.2) – Explanation of the growing cycle</w:t>
      </w:r>
    </w:p>
    <w:p w:rsidR="00857EC8" w:rsidRPr="00857EC8" w:rsidRDefault="00857EC8" w:rsidP="00857EC8">
      <w:pPr>
        <w:ind w:left="567" w:right="567"/>
        <w:rPr>
          <w:u w:val="single"/>
        </w:rPr>
      </w:pPr>
    </w:p>
    <w:p w:rsidR="00857EC8" w:rsidRPr="00857EC8" w:rsidRDefault="00857EC8" w:rsidP="00857EC8">
      <w:pPr>
        <w:ind w:left="567" w:right="567"/>
      </w:pPr>
      <w:r w:rsidRPr="00857EC8">
        <w:t xml:space="preserve">Chapter 3.1 </w:t>
      </w:r>
      <w:proofErr w:type="gramStart"/>
      <w:r w:rsidRPr="00857EC8">
        <w:t>makes reference</w:t>
      </w:r>
      <w:proofErr w:type="gramEnd"/>
      <w:r w:rsidRPr="00857EC8">
        <w:t xml:space="preserve"> to the number of growing cycles. In some </w:t>
      </w:r>
      <w:proofErr w:type="gramStart"/>
      <w:r w:rsidRPr="00857EC8">
        <w:t>cases</w:t>
      </w:r>
      <w:proofErr w:type="gramEnd"/>
      <w:r w:rsidRPr="00857EC8">
        <w:t xml:space="preserve"> it may be necessary to clarify what is meant by a growing cycle. Additional standard wording </w:t>
      </w:r>
      <w:proofErr w:type="gramStart"/>
      <w:r w:rsidRPr="00857EC8">
        <w:t>has been developed</w:t>
      </w:r>
      <w:proofErr w:type="gramEnd"/>
      <w:r w:rsidRPr="00857EC8">
        <w:t xml:space="preserve"> for some situations (see ASW 3).</w:t>
      </w:r>
    </w:p>
    <w:p w:rsidR="00857EC8" w:rsidRPr="00857EC8" w:rsidRDefault="00857EC8" w:rsidP="00857EC8">
      <w:pPr>
        <w:ind w:left="567" w:right="567"/>
        <w:rPr>
          <w:highlight w:val="yellow"/>
        </w:rPr>
      </w:pPr>
    </w:p>
    <w:p w:rsidR="00857EC8" w:rsidRPr="00857EC8" w:rsidRDefault="00857EC8" w:rsidP="00857EC8">
      <w:pPr>
        <w:ind w:left="567" w:right="567"/>
        <w:rPr>
          <w:u w:val="single"/>
        </w:rPr>
      </w:pPr>
      <w:r w:rsidRPr="00857EC8">
        <w:rPr>
          <w:highlight w:val="lightGray"/>
          <w:u w:val="single"/>
        </w:rPr>
        <w:t>“The testing of a variety may be concluded earlier or later at the moment when the competent authority can determine with certainty the outcome of the test.”</w:t>
      </w:r>
    </w:p>
    <w:p w:rsidR="00857EC8" w:rsidRDefault="00857EC8" w:rsidP="00857EC8">
      <w:pPr>
        <w:jc w:val="left"/>
      </w:pPr>
    </w:p>
    <w:p w:rsidR="00772F6D" w:rsidRPr="00857EC8" w:rsidRDefault="00772F6D" w:rsidP="00857EC8">
      <w:pPr>
        <w:jc w:val="left"/>
      </w:pPr>
    </w:p>
    <w:p w:rsidR="006E27FE" w:rsidRPr="00857EC8" w:rsidRDefault="006E27FE" w:rsidP="006E27FE">
      <w:pPr>
        <w:keepNext/>
        <w:outlineLvl w:val="0"/>
        <w:rPr>
          <w:caps/>
        </w:rPr>
      </w:pPr>
      <w:bookmarkStart w:id="13" w:name="_Toc525564229"/>
      <w:r>
        <w:rPr>
          <w:caps/>
        </w:rPr>
        <w:t>DEVELOPMENTS IN 2018</w:t>
      </w:r>
      <w:bookmarkEnd w:id="13"/>
    </w:p>
    <w:p w:rsidR="00857EC8" w:rsidRPr="00857EC8" w:rsidRDefault="00857EC8" w:rsidP="00857EC8">
      <w:pPr>
        <w:jc w:val="left"/>
      </w:pPr>
    </w:p>
    <w:p w:rsidR="00857EC8" w:rsidRPr="00857EC8" w:rsidRDefault="00857EC8" w:rsidP="00857EC8">
      <w:pPr>
        <w:keepNext/>
        <w:outlineLvl w:val="1"/>
        <w:rPr>
          <w:u w:val="single"/>
        </w:rPr>
      </w:pPr>
      <w:bookmarkStart w:id="14" w:name="_Toc525564230"/>
      <w:r w:rsidRPr="00857EC8">
        <w:rPr>
          <w:u w:val="single"/>
        </w:rPr>
        <w:t>Enlarged Editorial Committee</w:t>
      </w:r>
      <w:bookmarkEnd w:id="14"/>
    </w:p>
    <w:p w:rsidR="00857EC8" w:rsidRPr="00857EC8" w:rsidRDefault="00857EC8" w:rsidP="00857EC8">
      <w:pPr>
        <w:jc w:val="left"/>
        <w:rPr>
          <w:bCs/>
        </w:rPr>
      </w:pPr>
    </w:p>
    <w:p w:rsidR="00857EC8" w:rsidRPr="00857EC8" w:rsidRDefault="00857EC8" w:rsidP="00857EC8">
      <w:pPr>
        <w:rPr>
          <w:bCs/>
        </w:rPr>
      </w:pPr>
      <w:r w:rsidRPr="00857EC8">
        <w:rPr>
          <w:bCs/>
        </w:rPr>
        <w:fldChar w:fldCharType="begin"/>
      </w:r>
      <w:r w:rsidRPr="00857EC8">
        <w:rPr>
          <w:bCs/>
        </w:rPr>
        <w:instrText xml:space="preserve"> AUTONUM  </w:instrText>
      </w:r>
      <w:r w:rsidRPr="00857EC8">
        <w:fldChar w:fldCharType="end"/>
      </w:r>
      <w:r w:rsidRPr="00857EC8">
        <w:rPr>
          <w:bCs/>
        </w:rPr>
        <w:tab/>
        <w:t xml:space="preserve">The TC-EDC, at its meeting held in Geneva, on March 26 and 27, </w:t>
      </w:r>
      <w:proofErr w:type="gramStart"/>
      <w:r w:rsidRPr="00857EC8">
        <w:rPr>
          <w:bCs/>
        </w:rPr>
        <w:t>2018,</w:t>
      </w:r>
      <w:proofErr w:type="gramEnd"/>
      <w:r w:rsidRPr="00857EC8">
        <w:rPr>
          <w:bCs/>
        </w:rPr>
        <w:t xml:space="preserve"> considered document TC</w:t>
      </w:r>
      <w:r w:rsidRPr="00857EC8">
        <w:rPr>
          <w:bCs/>
        </w:rPr>
        <w:noBreakHyphen/>
        <w:t>EDC/Mar18/12 “Duration of DUS tests” (see document TC</w:t>
      </w:r>
      <w:r w:rsidRPr="00857EC8">
        <w:rPr>
          <w:bCs/>
        </w:rPr>
        <w:noBreakHyphen/>
        <w:t xml:space="preserve">EDC/Mar18/11 “Report”, paragraphs 14 to 16). </w:t>
      </w:r>
    </w:p>
    <w:p w:rsidR="00857EC8" w:rsidRPr="00857EC8" w:rsidRDefault="00857EC8" w:rsidP="00857EC8">
      <w:pPr>
        <w:rPr>
          <w:bCs/>
        </w:rPr>
      </w:pPr>
    </w:p>
    <w:p w:rsidR="00857EC8" w:rsidRPr="00857EC8" w:rsidRDefault="00857EC8" w:rsidP="00857EC8">
      <w:pPr>
        <w:rPr>
          <w:bCs/>
        </w:rPr>
      </w:pPr>
      <w:r w:rsidRPr="00857EC8">
        <w:rPr>
          <w:bCs/>
        </w:rPr>
        <w:fldChar w:fldCharType="begin"/>
      </w:r>
      <w:r w:rsidRPr="00857EC8">
        <w:rPr>
          <w:bCs/>
        </w:rPr>
        <w:instrText xml:space="preserve"> AUTONUM  </w:instrText>
      </w:r>
      <w:r w:rsidRPr="00857EC8">
        <w:fldChar w:fldCharType="end"/>
      </w:r>
      <w:r w:rsidRPr="00857EC8">
        <w:rPr>
          <w:bCs/>
        </w:rPr>
        <w:tab/>
        <w:t xml:space="preserve">The TC-EDC considered the proposal to amend document TGP/7 to clarify that it was the decision of the authorities </w:t>
      </w:r>
      <w:proofErr w:type="gramStart"/>
      <w:r w:rsidRPr="00857EC8">
        <w:rPr>
          <w:bCs/>
        </w:rPr>
        <w:t>whether or not</w:t>
      </w:r>
      <w:proofErr w:type="gramEnd"/>
      <w:r w:rsidRPr="00857EC8">
        <w:rPr>
          <w:bCs/>
        </w:rPr>
        <w:t xml:space="preserve"> to terminate DUS examination before the normal period.  The TC-EDC noted that the proposed text for a guidance note (GN8) </w:t>
      </w:r>
      <w:proofErr w:type="gramStart"/>
      <w:r w:rsidRPr="00857EC8">
        <w:rPr>
          <w:bCs/>
        </w:rPr>
        <w:t>should be featured</w:t>
      </w:r>
      <w:proofErr w:type="gramEnd"/>
      <w:r w:rsidRPr="00857EC8">
        <w:rPr>
          <w:bCs/>
        </w:rPr>
        <w:t xml:space="preserve"> as standard or additional wording in Test</w:t>
      </w:r>
      <w:r w:rsidR="006E27FE">
        <w:rPr>
          <w:bCs/>
        </w:rPr>
        <w:t> </w:t>
      </w:r>
      <w:r w:rsidRPr="00857EC8">
        <w:rPr>
          <w:bCs/>
        </w:rPr>
        <w:t xml:space="preserve">Guidelines in order to be seen by readers of Test Guidelines.  </w:t>
      </w:r>
    </w:p>
    <w:p w:rsidR="00857EC8" w:rsidRPr="00857EC8" w:rsidRDefault="00857EC8" w:rsidP="00857EC8">
      <w:pPr>
        <w:rPr>
          <w:bCs/>
        </w:rPr>
      </w:pPr>
    </w:p>
    <w:p w:rsidR="00857EC8" w:rsidRPr="00857EC8" w:rsidRDefault="00857EC8" w:rsidP="00857EC8">
      <w:pPr>
        <w:rPr>
          <w:bCs/>
        </w:rPr>
      </w:pPr>
      <w:r w:rsidRPr="00857EC8">
        <w:rPr>
          <w:bCs/>
        </w:rPr>
        <w:fldChar w:fldCharType="begin"/>
      </w:r>
      <w:r w:rsidRPr="00857EC8">
        <w:rPr>
          <w:bCs/>
        </w:rPr>
        <w:instrText xml:space="preserve"> AUTONUM  </w:instrText>
      </w:r>
      <w:r w:rsidRPr="00857EC8">
        <w:fldChar w:fldCharType="end"/>
      </w:r>
      <w:r w:rsidRPr="00857EC8">
        <w:rPr>
          <w:bCs/>
        </w:rPr>
        <w:tab/>
        <w:t>The TC-EDC noted the possible effect of the number of growing cycles on the quality of variety descriptions and agreed to invite the TWPs, at their sessions in 2018, to consider the following proposal by the TWF</w:t>
      </w:r>
      <w:r w:rsidRPr="00857EC8">
        <w:rPr>
          <w:rFonts w:cs="Arial"/>
          <w:snapToGrid w:val="0"/>
        </w:rPr>
        <w:t xml:space="preserve"> </w:t>
      </w:r>
      <w:r w:rsidRPr="00857EC8">
        <w:t xml:space="preserve">(proposed insertion of text indicated by </w:t>
      </w:r>
      <w:r w:rsidRPr="00857EC8">
        <w:rPr>
          <w:highlight w:val="lightGray"/>
          <w:u w:val="single"/>
        </w:rPr>
        <w:t>highlighting and underlining</w:t>
      </w:r>
      <w:r w:rsidRPr="00857EC8">
        <w:rPr>
          <w:u w:val="single"/>
        </w:rPr>
        <w:t>)</w:t>
      </w:r>
      <w:r w:rsidRPr="00857EC8">
        <w:rPr>
          <w:rFonts w:cs="Arial"/>
          <w:snapToGrid w:val="0"/>
        </w:rPr>
        <w:t>:</w:t>
      </w:r>
    </w:p>
    <w:p w:rsidR="00857EC8" w:rsidRPr="00857EC8" w:rsidRDefault="00857EC8" w:rsidP="00857EC8">
      <w:pPr>
        <w:rPr>
          <w:rFonts w:cs="Arial"/>
          <w:snapToGrid w:val="0"/>
        </w:rPr>
      </w:pPr>
    </w:p>
    <w:p w:rsidR="00857EC8" w:rsidRPr="00857EC8" w:rsidRDefault="00857EC8" w:rsidP="00857EC8">
      <w:pPr>
        <w:ind w:left="567" w:right="567"/>
        <w:rPr>
          <w:sz w:val="18"/>
          <w:u w:val="single"/>
        </w:rPr>
      </w:pPr>
      <w:r w:rsidRPr="00857EC8">
        <w:rPr>
          <w:sz w:val="18"/>
          <w:u w:val="single"/>
        </w:rPr>
        <w:t>“GN 8 (TG Template: Chapter 3.1.2) – Explanation of the growing cycle</w:t>
      </w:r>
    </w:p>
    <w:p w:rsidR="00857EC8" w:rsidRPr="00857EC8" w:rsidRDefault="00857EC8" w:rsidP="00857EC8">
      <w:pPr>
        <w:ind w:left="567" w:right="567"/>
        <w:rPr>
          <w:sz w:val="18"/>
          <w:u w:val="single"/>
        </w:rPr>
      </w:pPr>
    </w:p>
    <w:p w:rsidR="00857EC8" w:rsidRPr="00857EC8" w:rsidRDefault="00857EC8" w:rsidP="00857EC8">
      <w:pPr>
        <w:ind w:left="567" w:right="567"/>
        <w:rPr>
          <w:sz w:val="18"/>
        </w:rPr>
      </w:pPr>
      <w:r w:rsidRPr="00857EC8">
        <w:rPr>
          <w:sz w:val="18"/>
        </w:rPr>
        <w:t xml:space="preserve">“Chapter 3.1 makes reference to the number of growing cycles. In some </w:t>
      </w:r>
      <w:proofErr w:type="gramStart"/>
      <w:r w:rsidRPr="00857EC8">
        <w:rPr>
          <w:sz w:val="18"/>
        </w:rPr>
        <w:t>cases</w:t>
      </w:r>
      <w:proofErr w:type="gramEnd"/>
      <w:r w:rsidRPr="00857EC8">
        <w:rPr>
          <w:sz w:val="18"/>
        </w:rPr>
        <w:t xml:space="preserve"> it may be necessary to clarify what is meant by a growing cycle. Additional standard wording </w:t>
      </w:r>
      <w:proofErr w:type="gramStart"/>
      <w:r w:rsidRPr="00857EC8">
        <w:rPr>
          <w:sz w:val="18"/>
        </w:rPr>
        <w:t>has been developed</w:t>
      </w:r>
      <w:proofErr w:type="gramEnd"/>
      <w:r w:rsidRPr="00857EC8">
        <w:rPr>
          <w:sz w:val="18"/>
        </w:rPr>
        <w:t xml:space="preserve"> for some situations (see ASW 3).</w:t>
      </w:r>
    </w:p>
    <w:p w:rsidR="00857EC8" w:rsidRPr="00857EC8" w:rsidRDefault="00857EC8" w:rsidP="00857EC8">
      <w:pPr>
        <w:ind w:left="567" w:right="567"/>
        <w:rPr>
          <w:sz w:val="18"/>
          <w:highlight w:val="yellow"/>
        </w:rPr>
      </w:pPr>
    </w:p>
    <w:p w:rsidR="00857EC8" w:rsidRPr="00857EC8" w:rsidRDefault="00857EC8" w:rsidP="00857EC8">
      <w:pPr>
        <w:ind w:left="567" w:right="567"/>
        <w:rPr>
          <w:sz w:val="18"/>
          <w:u w:val="single"/>
        </w:rPr>
      </w:pPr>
      <w:r w:rsidRPr="00857EC8">
        <w:rPr>
          <w:sz w:val="18"/>
          <w:highlight w:val="lightGray"/>
          <w:u w:val="single"/>
        </w:rPr>
        <w:t>“The testing of a variety may be concluded earlier or later at the moment when the competent authority can determine with certainty the outcome of the test.”</w:t>
      </w:r>
    </w:p>
    <w:p w:rsidR="00857EC8" w:rsidRDefault="00857EC8" w:rsidP="00857EC8">
      <w:pPr>
        <w:autoSpaceDE w:val="0"/>
        <w:autoSpaceDN w:val="0"/>
        <w:adjustRightInd w:val="0"/>
      </w:pPr>
    </w:p>
    <w:p w:rsidR="006E27FE" w:rsidRDefault="002A1EA0" w:rsidP="002A1EA0">
      <w:pPr>
        <w:pStyle w:val="Heading2"/>
      </w:pPr>
      <w:bookmarkStart w:id="15" w:name="_Toc525564231"/>
      <w:r>
        <w:t>Comments by the Technical Working Parties</w:t>
      </w:r>
      <w:bookmarkEnd w:id="15"/>
    </w:p>
    <w:p w:rsidR="006E27FE" w:rsidRDefault="006E27FE" w:rsidP="00857EC8">
      <w:pPr>
        <w:autoSpaceDE w:val="0"/>
        <w:autoSpaceDN w:val="0"/>
        <w:adjustRightInd w:val="0"/>
      </w:pPr>
    </w:p>
    <w:p w:rsidR="002A1EA0" w:rsidRPr="00CF2F9C" w:rsidRDefault="002A1EA0" w:rsidP="002A1EA0">
      <w:pPr>
        <w:keepNext/>
      </w:pPr>
      <w:r w:rsidRPr="002E42C1">
        <w:fldChar w:fldCharType="begin"/>
      </w:r>
      <w:r w:rsidRPr="00CF2F9C">
        <w:instrText xml:space="preserve"> AUTONUM  </w:instrText>
      </w:r>
      <w:r w:rsidRPr="002E42C1">
        <w:fldChar w:fldCharType="end"/>
      </w:r>
      <w:r w:rsidRPr="00CF2F9C">
        <w:tab/>
        <w:t>The TWA</w:t>
      </w:r>
      <w:r w:rsidR="00C33C7B">
        <w:t>, TWC and TWV</w:t>
      </w:r>
      <w:r w:rsidRPr="00CF2F9C">
        <w:t xml:space="preserve"> considered document </w:t>
      </w:r>
      <w:hyperlink r:id="rId8" w:history="1">
        <w:r w:rsidRPr="00CF2F9C">
          <w:rPr>
            <w:rStyle w:val="Hyperlink"/>
          </w:rPr>
          <w:t>TWP/2/9</w:t>
        </w:r>
      </w:hyperlink>
      <w:r>
        <w:t xml:space="preserve"> “Duration of DUS tests” (see document</w:t>
      </w:r>
      <w:r w:rsidR="008F326C">
        <w:t>s </w:t>
      </w:r>
      <w:r>
        <w:t>TWA/47/7 “Report”, paragraphs 26 to 29</w:t>
      </w:r>
      <w:r w:rsidR="008F326C">
        <w:t>; TWC/36/15 “Report”, paragraphs 46 to 49; and TWV/52/20 “Report”, paragraphs 27 to 30</w:t>
      </w:r>
      <w:r>
        <w:t>).</w:t>
      </w:r>
    </w:p>
    <w:p w:rsidR="002A1EA0" w:rsidRPr="00CF2F9C" w:rsidRDefault="002A1EA0" w:rsidP="002A1EA0"/>
    <w:p w:rsidR="002A1EA0" w:rsidRPr="00CF2F9C" w:rsidRDefault="002A1EA0" w:rsidP="002A1EA0">
      <w:r w:rsidRPr="002E42C1">
        <w:fldChar w:fldCharType="begin"/>
      </w:r>
      <w:r w:rsidRPr="00CF2F9C">
        <w:instrText xml:space="preserve"> AUTONUM  </w:instrText>
      </w:r>
      <w:r w:rsidRPr="002E42C1">
        <w:fldChar w:fldCharType="end"/>
      </w:r>
      <w:r w:rsidRPr="00CF2F9C">
        <w:tab/>
        <w:t xml:space="preserve">The </w:t>
      </w:r>
      <w:r w:rsidR="008F326C" w:rsidRPr="00CF2F9C">
        <w:t>TWA</w:t>
      </w:r>
      <w:r w:rsidR="008F326C">
        <w:t>, TWC and TWV</w:t>
      </w:r>
      <w:r w:rsidR="008F326C" w:rsidRPr="00CF2F9C">
        <w:t xml:space="preserve"> </w:t>
      </w:r>
      <w:r w:rsidRPr="00CF2F9C">
        <w:t>considered the proposal to amend guidance in document TGP/7 GN 8 to clarify that “the testing of a variety may be concluded earlier or later at the moment when the competent authority can determine with certainty the outcome of the test”.</w:t>
      </w:r>
    </w:p>
    <w:p w:rsidR="002A1EA0" w:rsidRPr="00CF2F9C" w:rsidRDefault="002A1EA0" w:rsidP="002A1EA0"/>
    <w:p w:rsidR="002A1EA0" w:rsidRPr="00CF2F9C" w:rsidRDefault="002A1EA0" w:rsidP="002A1EA0">
      <w:r w:rsidRPr="002E42C1">
        <w:fldChar w:fldCharType="begin"/>
      </w:r>
      <w:r w:rsidRPr="00CF2F9C">
        <w:instrText xml:space="preserve"> AUTONUM  </w:instrText>
      </w:r>
      <w:r w:rsidRPr="002E42C1">
        <w:fldChar w:fldCharType="end"/>
      </w:r>
      <w:r w:rsidRPr="00CF2F9C">
        <w:tab/>
        <w:t xml:space="preserve">The </w:t>
      </w:r>
      <w:r w:rsidR="008F326C" w:rsidRPr="00CF2F9C">
        <w:t>TWA</w:t>
      </w:r>
      <w:r w:rsidR="008F326C">
        <w:t>, TWC and TWV</w:t>
      </w:r>
      <w:r w:rsidR="008F326C" w:rsidRPr="00CF2F9C">
        <w:t xml:space="preserve"> </w:t>
      </w:r>
      <w:r w:rsidRPr="00CF2F9C">
        <w:t xml:space="preserve">noted that the proposed text for a guidance note (GN8) </w:t>
      </w:r>
      <w:proofErr w:type="gramStart"/>
      <w:r w:rsidRPr="00CF2F9C">
        <w:t>should be featured</w:t>
      </w:r>
      <w:proofErr w:type="gramEnd"/>
      <w:r w:rsidRPr="00CF2F9C">
        <w:t xml:space="preserve"> as standard or additional wording in Test Guidelines in order to be seen by readers of Test Guidelines.</w:t>
      </w:r>
    </w:p>
    <w:p w:rsidR="002A1EA0" w:rsidRPr="00CF2F9C" w:rsidRDefault="002A1EA0" w:rsidP="002A1EA0"/>
    <w:p w:rsidR="002A1EA0" w:rsidRPr="00CF2F9C" w:rsidRDefault="002A1EA0" w:rsidP="002A1EA0">
      <w:r w:rsidRPr="002E42C1">
        <w:fldChar w:fldCharType="begin"/>
      </w:r>
      <w:r w:rsidRPr="00CF2F9C">
        <w:instrText xml:space="preserve"> AUTONUM  </w:instrText>
      </w:r>
      <w:r w:rsidRPr="002E42C1">
        <w:fldChar w:fldCharType="end"/>
      </w:r>
      <w:r w:rsidRPr="00CF2F9C">
        <w:tab/>
        <w:t xml:space="preserve">The </w:t>
      </w:r>
      <w:r w:rsidR="008F326C">
        <w:t xml:space="preserve">TWC and TWV agreed with the </w:t>
      </w:r>
      <w:r w:rsidRPr="00CF2F9C">
        <w:t>TWA that the proposed text for a guidance note (GN8) should read as follows:</w:t>
      </w:r>
    </w:p>
    <w:p w:rsidR="002A1EA0" w:rsidRPr="00CF2F9C" w:rsidRDefault="002A1EA0" w:rsidP="002A1EA0">
      <w:pPr>
        <w:ind w:left="567" w:right="567"/>
        <w:rPr>
          <w:highlight w:val="yellow"/>
        </w:rPr>
      </w:pPr>
    </w:p>
    <w:p w:rsidR="002A1EA0" w:rsidRPr="00CF2F9C" w:rsidRDefault="002A1EA0" w:rsidP="002A1EA0">
      <w:pPr>
        <w:ind w:left="567" w:right="567"/>
      </w:pPr>
      <w:r w:rsidRPr="00CF2F9C">
        <w:t xml:space="preserve">“The testing of a variety may be concluded </w:t>
      </w:r>
      <w:r w:rsidRPr="00CF2F9C">
        <w:rPr>
          <w:strike/>
          <w:highlight w:val="lightGray"/>
        </w:rPr>
        <w:t>earlier or later at the moment</w:t>
      </w:r>
      <w:r w:rsidRPr="00CF2F9C">
        <w:t xml:space="preserve"> when the competent authority can determine with certainty the outcome of the test.”</w:t>
      </w:r>
    </w:p>
    <w:p w:rsidR="006E27FE" w:rsidRPr="00857EC8" w:rsidRDefault="006E27FE" w:rsidP="00857EC8">
      <w:pPr>
        <w:autoSpaceDE w:val="0"/>
        <w:autoSpaceDN w:val="0"/>
        <w:adjustRightInd w:val="0"/>
      </w:pPr>
    </w:p>
    <w:p w:rsidR="00857EC8" w:rsidRPr="00857EC8" w:rsidRDefault="00857EC8" w:rsidP="00583EDD">
      <w:pPr>
        <w:keepNext/>
        <w:keepLines/>
        <w:tabs>
          <w:tab w:val="left" w:pos="5387"/>
        </w:tabs>
        <w:ind w:left="4820"/>
        <w:rPr>
          <w:i/>
        </w:rPr>
      </w:pPr>
      <w:r w:rsidRPr="00857EC8">
        <w:rPr>
          <w:i/>
        </w:rPr>
        <w:lastRenderedPageBreak/>
        <w:fldChar w:fldCharType="begin"/>
      </w:r>
      <w:r w:rsidRPr="00857EC8">
        <w:rPr>
          <w:i/>
        </w:rPr>
        <w:instrText xml:space="preserve"> AUTONUM  </w:instrText>
      </w:r>
      <w:r w:rsidRPr="00857EC8">
        <w:rPr>
          <w:i/>
        </w:rPr>
        <w:fldChar w:fldCharType="end"/>
      </w:r>
      <w:r w:rsidRPr="00857EC8">
        <w:rPr>
          <w:i/>
        </w:rPr>
        <w:tab/>
        <w:t xml:space="preserve">The </w:t>
      </w:r>
      <w:r w:rsidR="00431AEE">
        <w:rPr>
          <w:i/>
        </w:rPr>
        <w:t xml:space="preserve">TC </w:t>
      </w:r>
      <w:proofErr w:type="gramStart"/>
      <w:r w:rsidR="00431AEE">
        <w:rPr>
          <w:i/>
        </w:rPr>
        <w:t xml:space="preserve">is </w:t>
      </w:r>
      <w:r w:rsidRPr="00857EC8">
        <w:rPr>
          <w:i/>
        </w:rPr>
        <w:t>invited</w:t>
      </w:r>
      <w:proofErr w:type="gramEnd"/>
      <w:r w:rsidRPr="00857EC8">
        <w:rPr>
          <w:i/>
        </w:rPr>
        <w:t xml:space="preserve"> to</w:t>
      </w:r>
      <w:r w:rsidR="00583EDD">
        <w:rPr>
          <w:i/>
        </w:rPr>
        <w:t xml:space="preserve"> consider:</w:t>
      </w:r>
      <w:r w:rsidRPr="00857EC8">
        <w:rPr>
          <w:i/>
        </w:rPr>
        <w:t xml:space="preserve"> </w:t>
      </w:r>
    </w:p>
    <w:p w:rsidR="00857EC8" w:rsidRPr="00857EC8" w:rsidRDefault="00857EC8" w:rsidP="00583EDD">
      <w:pPr>
        <w:keepNext/>
        <w:keepLines/>
        <w:tabs>
          <w:tab w:val="left" w:pos="5387"/>
        </w:tabs>
        <w:ind w:left="4820"/>
        <w:rPr>
          <w:i/>
        </w:rPr>
      </w:pPr>
    </w:p>
    <w:p w:rsidR="00583EDD" w:rsidRPr="00583EDD" w:rsidRDefault="00583EDD" w:rsidP="00583EDD">
      <w:pPr>
        <w:keepNext/>
        <w:keepLines/>
        <w:tabs>
          <w:tab w:val="left" w:pos="5387"/>
          <w:tab w:val="left" w:pos="5954"/>
        </w:tabs>
        <w:ind w:left="4820"/>
        <w:rPr>
          <w:i/>
        </w:rPr>
      </w:pPr>
      <w:r w:rsidRPr="00583EDD">
        <w:rPr>
          <w:i/>
        </w:rPr>
        <w:tab/>
        <w:t>(a)</w:t>
      </w:r>
      <w:r w:rsidRPr="00583EDD">
        <w:rPr>
          <w:i/>
        </w:rPr>
        <w:tab/>
      </w:r>
      <w:proofErr w:type="gramStart"/>
      <w:r w:rsidRPr="00583EDD">
        <w:rPr>
          <w:i/>
        </w:rPr>
        <w:t>the</w:t>
      </w:r>
      <w:proofErr w:type="gramEnd"/>
      <w:r w:rsidRPr="00583EDD">
        <w:rPr>
          <w:i/>
        </w:rPr>
        <w:t xml:space="preserve"> proposal to amend guidance in document TGP/7 GN 8 to clarify that “the testing of a variety may be concluded when the competent authority can determine with certainty the outcome of the test”; and</w:t>
      </w:r>
    </w:p>
    <w:p w:rsidR="00583EDD" w:rsidRPr="00583EDD" w:rsidRDefault="00583EDD" w:rsidP="00583EDD">
      <w:pPr>
        <w:tabs>
          <w:tab w:val="left" w:pos="5387"/>
          <w:tab w:val="left" w:pos="5954"/>
        </w:tabs>
        <w:ind w:left="4820"/>
        <w:rPr>
          <w:i/>
        </w:rPr>
      </w:pPr>
    </w:p>
    <w:p w:rsidR="00583EDD" w:rsidRPr="00583EDD" w:rsidRDefault="00583EDD" w:rsidP="00583EDD">
      <w:pPr>
        <w:tabs>
          <w:tab w:val="left" w:pos="5387"/>
          <w:tab w:val="left" w:pos="5954"/>
        </w:tabs>
        <w:ind w:left="4820"/>
        <w:rPr>
          <w:i/>
        </w:rPr>
      </w:pPr>
      <w:r w:rsidRPr="00583EDD">
        <w:rPr>
          <w:i/>
        </w:rPr>
        <w:tab/>
        <w:t>(b)</w:t>
      </w:r>
      <w:r w:rsidRPr="00583EDD">
        <w:rPr>
          <w:i/>
        </w:rPr>
        <w:tab/>
      </w:r>
      <w:proofErr w:type="gramStart"/>
      <w:r w:rsidRPr="00583EDD">
        <w:rPr>
          <w:i/>
        </w:rPr>
        <w:t>whether</w:t>
      </w:r>
      <w:proofErr w:type="gramEnd"/>
      <w:r w:rsidRPr="00583EDD">
        <w:rPr>
          <w:i/>
        </w:rPr>
        <w:t xml:space="preserve"> the proposed text should be featured as standard or additional wording in Test</w:t>
      </w:r>
      <w:r>
        <w:rPr>
          <w:i/>
        </w:rPr>
        <w:t> </w:t>
      </w:r>
      <w:r w:rsidRPr="00583EDD">
        <w:rPr>
          <w:i/>
        </w:rPr>
        <w:t>Guidelines in order to be seen by readers of Test</w:t>
      </w:r>
      <w:r>
        <w:rPr>
          <w:i/>
        </w:rPr>
        <w:t> </w:t>
      </w:r>
      <w:r w:rsidRPr="00583EDD">
        <w:rPr>
          <w:i/>
        </w:rPr>
        <w:t>Guidelines.</w:t>
      </w:r>
    </w:p>
    <w:p w:rsidR="00857EC8" w:rsidRPr="00857EC8" w:rsidRDefault="00857EC8" w:rsidP="00857EC8"/>
    <w:p w:rsidR="00857EC8" w:rsidRPr="00857EC8" w:rsidRDefault="00857EC8" w:rsidP="00857EC8"/>
    <w:p w:rsidR="00857EC8" w:rsidRPr="00857EC8" w:rsidRDefault="00857EC8" w:rsidP="00857EC8"/>
    <w:p w:rsidR="00857EC8" w:rsidRPr="00857EC8" w:rsidRDefault="00857EC8" w:rsidP="00857EC8">
      <w:pPr>
        <w:jc w:val="right"/>
      </w:pPr>
      <w:r w:rsidRPr="00857EC8">
        <w:t>[Annex follows]</w:t>
      </w:r>
    </w:p>
    <w:p w:rsidR="00857EC8" w:rsidRPr="00857EC8" w:rsidRDefault="00857EC8" w:rsidP="00857EC8">
      <w:pPr>
        <w:sectPr w:rsidR="00857EC8" w:rsidRPr="00857EC8" w:rsidSect="00906DDC">
          <w:headerReference w:type="default" r:id="rId9"/>
          <w:pgSz w:w="11907" w:h="16840" w:code="9"/>
          <w:pgMar w:top="510" w:right="1134" w:bottom="1134" w:left="1134" w:header="510" w:footer="680" w:gutter="0"/>
          <w:cols w:space="720"/>
          <w:titlePg/>
        </w:sectPr>
      </w:pPr>
    </w:p>
    <w:p w:rsidR="00857EC8" w:rsidRPr="00857EC8" w:rsidRDefault="00857EC8" w:rsidP="00857EC8">
      <w:pPr>
        <w:jc w:val="center"/>
      </w:pPr>
      <w:r w:rsidRPr="00857EC8">
        <w:lastRenderedPageBreak/>
        <w:t>EXTRACT FROM DOCUMENT TGP/7 “DEVELOPMENT OF TEST GUIDELINES”</w:t>
      </w:r>
    </w:p>
    <w:p w:rsidR="00857EC8" w:rsidRPr="00857EC8" w:rsidRDefault="00857EC8" w:rsidP="00857EC8"/>
    <w:p w:rsidR="00857EC8" w:rsidRPr="00857EC8" w:rsidRDefault="00857EC8" w:rsidP="00857EC8">
      <w:pPr>
        <w:rPr>
          <w:u w:val="single"/>
        </w:rPr>
      </w:pPr>
      <w:bookmarkStart w:id="16" w:name="_Toc27819131"/>
      <w:bookmarkStart w:id="17" w:name="_Toc27819312"/>
      <w:bookmarkStart w:id="18" w:name="_Toc27819493"/>
      <w:bookmarkStart w:id="19" w:name="_Toc463342919"/>
      <w:r w:rsidRPr="00857EC8">
        <w:rPr>
          <w:u w:val="single"/>
        </w:rPr>
        <w:t xml:space="preserve">ASW </w:t>
      </w:r>
      <w:proofErr w:type="gramStart"/>
      <w:r w:rsidRPr="00857EC8">
        <w:rPr>
          <w:u w:val="single"/>
        </w:rPr>
        <w:t>2  (</w:t>
      </w:r>
      <w:proofErr w:type="gramEnd"/>
      <w:r w:rsidRPr="00857EC8">
        <w:rPr>
          <w:u w:val="single"/>
        </w:rPr>
        <w:t>TG Template:  Chapter 3.1) – Number of growing cycles</w:t>
      </w:r>
      <w:bookmarkEnd w:id="16"/>
      <w:bookmarkEnd w:id="17"/>
      <w:bookmarkEnd w:id="18"/>
      <w:bookmarkEnd w:id="19"/>
    </w:p>
    <w:p w:rsidR="00857EC8" w:rsidRPr="00857EC8" w:rsidRDefault="00857EC8" w:rsidP="00857EC8"/>
    <w:p w:rsidR="00857EC8" w:rsidRPr="00857EC8" w:rsidRDefault="00857EC8" w:rsidP="00857EC8">
      <w:bookmarkStart w:id="20" w:name="_Toc27819132"/>
      <w:bookmarkStart w:id="21" w:name="_Toc27819313"/>
      <w:bookmarkStart w:id="22" w:name="_Toc27819494"/>
      <w:bookmarkStart w:id="23" w:name="_Toc463342920"/>
      <w:r w:rsidRPr="00857EC8">
        <w:t>(a)</w:t>
      </w:r>
      <w:r w:rsidRPr="00857EC8">
        <w:tab/>
        <w:t>Single growing cycle</w:t>
      </w:r>
      <w:bookmarkEnd w:id="20"/>
      <w:bookmarkEnd w:id="21"/>
      <w:bookmarkEnd w:id="22"/>
      <w:bookmarkEnd w:id="23"/>
    </w:p>
    <w:p w:rsidR="00857EC8" w:rsidRPr="00857EC8" w:rsidRDefault="00857EC8" w:rsidP="00857EC8"/>
    <w:p w:rsidR="00857EC8" w:rsidRPr="00857EC8" w:rsidRDefault="00857EC8" w:rsidP="00857EC8">
      <w:r w:rsidRPr="00857EC8">
        <w:t>“The minimum duration of tests should normally be a single growing cycle.”</w:t>
      </w:r>
    </w:p>
    <w:p w:rsidR="00857EC8" w:rsidRPr="00857EC8" w:rsidRDefault="00857EC8" w:rsidP="00857EC8">
      <w:pPr>
        <w:rPr>
          <w:i/>
        </w:rPr>
      </w:pPr>
    </w:p>
    <w:p w:rsidR="00857EC8" w:rsidRPr="00857EC8" w:rsidRDefault="00857EC8" w:rsidP="00857EC8">
      <w:bookmarkStart w:id="24" w:name="_Toc27819133"/>
      <w:bookmarkStart w:id="25" w:name="_Toc27819314"/>
      <w:bookmarkStart w:id="26" w:name="_Toc27819495"/>
      <w:bookmarkStart w:id="27" w:name="_Toc463342921"/>
      <w:r w:rsidRPr="00857EC8">
        <w:t>(b)</w:t>
      </w:r>
      <w:r w:rsidRPr="00857EC8">
        <w:tab/>
        <w:t>Two independent growing cycles</w:t>
      </w:r>
      <w:bookmarkEnd w:id="24"/>
      <w:bookmarkEnd w:id="25"/>
      <w:bookmarkEnd w:id="26"/>
      <w:bookmarkEnd w:id="27"/>
    </w:p>
    <w:p w:rsidR="00857EC8" w:rsidRPr="00857EC8" w:rsidRDefault="00857EC8" w:rsidP="00857EC8"/>
    <w:p w:rsidR="00857EC8" w:rsidRPr="00857EC8" w:rsidRDefault="00857EC8" w:rsidP="00857EC8">
      <w:r w:rsidRPr="00857EC8">
        <w:t>“The minimum duration of tests should normally be two independent growing cycles.”</w:t>
      </w:r>
    </w:p>
    <w:p w:rsidR="00857EC8" w:rsidRPr="00857EC8" w:rsidRDefault="00857EC8" w:rsidP="00857EC8"/>
    <w:p w:rsidR="00857EC8" w:rsidRPr="00857EC8" w:rsidRDefault="00857EC8" w:rsidP="00857EC8"/>
    <w:p w:rsidR="00857EC8" w:rsidRPr="00857EC8" w:rsidRDefault="00857EC8" w:rsidP="00857EC8">
      <w:pPr>
        <w:rPr>
          <w:u w:val="single"/>
        </w:rPr>
      </w:pPr>
      <w:bookmarkStart w:id="28" w:name="_Toc463342922"/>
      <w:r w:rsidRPr="00857EC8">
        <w:rPr>
          <w:u w:val="single"/>
        </w:rPr>
        <w:t xml:space="preserve">ASW </w:t>
      </w:r>
      <w:proofErr w:type="gramStart"/>
      <w:r w:rsidRPr="00857EC8">
        <w:rPr>
          <w:u w:val="single"/>
        </w:rPr>
        <w:t>3  (</w:t>
      </w:r>
      <w:proofErr w:type="gramEnd"/>
      <w:r w:rsidRPr="00857EC8">
        <w:rPr>
          <w:u w:val="single"/>
        </w:rPr>
        <w:t>TG Template:  Chapter 3.1.2) – Explanation of the growing cycle</w:t>
      </w:r>
      <w:bookmarkEnd w:id="28"/>
      <w:r w:rsidRPr="00857EC8">
        <w:rPr>
          <w:u w:val="single"/>
        </w:rPr>
        <w:t xml:space="preserve"> </w:t>
      </w:r>
    </w:p>
    <w:p w:rsidR="00857EC8" w:rsidRPr="00857EC8" w:rsidRDefault="00857EC8" w:rsidP="00857EC8"/>
    <w:p w:rsidR="00857EC8" w:rsidRPr="00857EC8" w:rsidRDefault="00857EC8" w:rsidP="00857EC8">
      <w:bookmarkStart w:id="29" w:name="_Toc463342923"/>
      <w:r w:rsidRPr="00857EC8">
        <w:t>(a)</w:t>
      </w:r>
      <w:r w:rsidRPr="00857EC8">
        <w:tab/>
        <w:t>Fruit species with clearly defined dormant period</w:t>
      </w:r>
      <w:bookmarkEnd w:id="29"/>
    </w:p>
    <w:p w:rsidR="00857EC8" w:rsidRPr="00857EC8" w:rsidRDefault="00857EC8" w:rsidP="00857EC8"/>
    <w:p w:rsidR="00857EC8" w:rsidRPr="00857EC8" w:rsidRDefault="00857EC8" w:rsidP="00857EC8">
      <w:r w:rsidRPr="00857EC8">
        <w:t>“3.1.2</w:t>
      </w:r>
      <w:r w:rsidRPr="00857EC8">
        <w:tab/>
        <w:t>The growing cycle is considered to be the duration of a single growing season, beginning with bud burst (flowering and/or vegetative), flowering and fruit harvest and concluding when the following dormant period ends with the swelling of new season buds.”</w:t>
      </w:r>
    </w:p>
    <w:p w:rsidR="00857EC8" w:rsidRPr="00857EC8" w:rsidRDefault="00857EC8" w:rsidP="00857EC8"/>
    <w:p w:rsidR="00857EC8" w:rsidRPr="00857EC8" w:rsidRDefault="00857EC8" w:rsidP="00857EC8">
      <w:bookmarkStart w:id="30" w:name="_Toc463342924"/>
      <w:r w:rsidRPr="00857EC8">
        <w:t>(b)</w:t>
      </w:r>
      <w:r w:rsidRPr="00857EC8">
        <w:tab/>
        <w:t>Fruit species with no clearly defined dormant period</w:t>
      </w:r>
      <w:bookmarkEnd w:id="30"/>
      <w:r w:rsidRPr="00857EC8">
        <w:t xml:space="preserve"> </w:t>
      </w:r>
    </w:p>
    <w:p w:rsidR="00857EC8" w:rsidRPr="00857EC8" w:rsidRDefault="00857EC8" w:rsidP="00857EC8"/>
    <w:p w:rsidR="00857EC8" w:rsidRPr="00857EC8" w:rsidRDefault="00857EC8" w:rsidP="00857EC8">
      <w:pPr>
        <w:rPr>
          <w:i/>
        </w:rPr>
      </w:pPr>
      <w:r w:rsidRPr="00857EC8">
        <w:t>“3.1.2</w:t>
      </w:r>
      <w:r w:rsidRPr="00857EC8">
        <w:tab/>
        <w:t>The growing cycle is considered to be the period ranging from the beginning of active vegetative growth or flowering, continuing through active vegetative growth or flowering and fruit development and concluding with the harvesting of fruit.”</w:t>
      </w:r>
    </w:p>
    <w:p w:rsidR="00857EC8" w:rsidRPr="00857EC8" w:rsidRDefault="00857EC8" w:rsidP="00857EC8">
      <w:pPr>
        <w:rPr>
          <w:i/>
        </w:rPr>
      </w:pPr>
    </w:p>
    <w:p w:rsidR="00857EC8" w:rsidRPr="00857EC8" w:rsidRDefault="00857EC8" w:rsidP="00857EC8">
      <w:bookmarkStart w:id="31" w:name="_Toc463342925"/>
      <w:r w:rsidRPr="00857EC8">
        <w:rPr>
          <w:iCs/>
        </w:rPr>
        <w:t>(c)</w:t>
      </w:r>
      <w:r w:rsidRPr="00857EC8">
        <w:rPr>
          <w:iCs/>
        </w:rPr>
        <w:tab/>
      </w:r>
      <w:r w:rsidRPr="00857EC8">
        <w:t>Evergreen species with indeterminate growth</w:t>
      </w:r>
      <w:bookmarkEnd w:id="31"/>
    </w:p>
    <w:p w:rsidR="00857EC8" w:rsidRPr="00857EC8" w:rsidRDefault="00857EC8" w:rsidP="00857EC8"/>
    <w:p w:rsidR="00857EC8" w:rsidRPr="00857EC8" w:rsidRDefault="00857EC8" w:rsidP="00857EC8">
      <w:r w:rsidRPr="00857EC8">
        <w:t xml:space="preserve">The growing cycle is considered </w:t>
      </w:r>
      <w:proofErr w:type="gramStart"/>
      <w:r w:rsidRPr="00857EC8">
        <w:t>to be the</w:t>
      </w:r>
      <w:proofErr w:type="gramEnd"/>
      <w:r w:rsidRPr="00857EC8">
        <w:t xml:space="preserve"> period ranging from the beginning of development of an individual flower or inflorescence, through fruit development and concluding with the harvesting of fruit from the corresponding individual flower or inflorescence.</w:t>
      </w:r>
    </w:p>
    <w:p w:rsidR="00857EC8" w:rsidRPr="00857EC8" w:rsidRDefault="00857EC8" w:rsidP="00857EC8">
      <w:pPr>
        <w:rPr>
          <w:i/>
        </w:rPr>
      </w:pPr>
    </w:p>
    <w:p w:rsidR="00857EC8" w:rsidRPr="00857EC8" w:rsidRDefault="00857EC8" w:rsidP="00857EC8">
      <w:bookmarkStart w:id="32" w:name="_Toc463342926"/>
      <w:r w:rsidRPr="00857EC8">
        <w:t>(d)</w:t>
      </w:r>
      <w:r w:rsidRPr="00857EC8">
        <w:tab/>
        <w:t>Fruit species</w:t>
      </w:r>
      <w:bookmarkEnd w:id="32"/>
    </w:p>
    <w:p w:rsidR="00857EC8" w:rsidRPr="00857EC8" w:rsidRDefault="00857EC8" w:rsidP="00857EC8"/>
    <w:p w:rsidR="00857EC8" w:rsidRPr="00857EC8" w:rsidRDefault="00857EC8" w:rsidP="00857EC8">
      <w:r w:rsidRPr="00857EC8">
        <w:t xml:space="preserve">In the case of Test Guidelines covering fruit species, the following sentence </w:t>
      </w:r>
      <w:proofErr w:type="gramStart"/>
      <w:r w:rsidRPr="00857EC8">
        <w:t>may be added</w:t>
      </w:r>
      <w:proofErr w:type="gramEnd"/>
      <w:r w:rsidRPr="00857EC8">
        <w:t xml:space="preserve"> in Chapter 3.1:</w:t>
      </w:r>
    </w:p>
    <w:p w:rsidR="00857EC8" w:rsidRPr="00857EC8" w:rsidRDefault="00857EC8" w:rsidP="00857EC8"/>
    <w:p w:rsidR="00857EC8" w:rsidRPr="00857EC8" w:rsidRDefault="00857EC8" w:rsidP="00857EC8">
      <w:r w:rsidRPr="00857EC8">
        <w:t>“In particular, it is essential that the [trees] / [plants] produce a satisfactory crop of fruit in each of the two growing cycles.”</w:t>
      </w:r>
    </w:p>
    <w:p w:rsidR="00857EC8" w:rsidRPr="00857EC8" w:rsidRDefault="00857EC8" w:rsidP="00857EC8"/>
    <w:p w:rsidR="00857EC8" w:rsidRPr="00857EC8" w:rsidRDefault="00857EC8" w:rsidP="00857EC8">
      <w:bookmarkStart w:id="33" w:name="_Toc463342927"/>
      <w:r w:rsidRPr="00857EC8">
        <w:t>(e)</w:t>
      </w:r>
      <w:r w:rsidRPr="00857EC8">
        <w:tab/>
        <w:t>Two independent cycles in the form of two separate plantings</w:t>
      </w:r>
      <w:bookmarkEnd w:id="33"/>
    </w:p>
    <w:p w:rsidR="00857EC8" w:rsidRPr="00857EC8" w:rsidRDefault="00857EC8" w:rsidP="00857EC8"/>
    <w:p w:rsidR="00857EC8" w:rsidRPr="00857EC8" w:rsidRDefault="00857EC8" w:rsidP="00857EC8">
      <w:r w:rsidRPr="00857EC8">
        <w:t xml:space="preserve">Where appropriate, the following sentence </w:t>
      </w:r>
      <w:proofErr w:type="gramStart"/>
      <w:r w:rsidRPr="00857EC8">
        <w:t>may be added</w:t>
      </w:r>
      <w:proofErr w:type="gramEnd"/>
      <w:r w:rsidRPr="00857EC8">
        <w:t xml:space="preserve"> in Chapter 3.1:</w:t>
      </w:r>
    </w:p>
    <w:p w:rsidR="00857EC8" w:rsidRPr="00857EC8" w:rsidRDefault="00857EC8" w:rsidP="00857EC8"/>
    <w:p w:rsidR="00857EC8" w:rsidRPr="00857EC8" w:rsidRDefault="00857EC8" w:rsidP="00857EC8">
      <w:r w:rsidRPr="00857EC8">
        <w:t>“The two independent growing cycles should be in the form of two separate plantings.”</w:t>
      </w:r>
    </w:p>
    <w:p w:rsidR="00857EC8" w:rsidRPr="00857EC8" w:rsidRDefault="00857EC8" w:rsidP="00857EC8"/>
    <w:p w:rsidR="00857EC8" w:rsidRPr="00857EC8" w:rsidRDefault="00857EC8" w:rsidP="00857EC8">
      <w:bookmarkStart w:id="34" w:name="_Toc463342928"/>
      <w:r w:rsidRPr="00857EC8">
        <w:t>(f)</w:t>
      </w:r>
      <w:r w:rsidRPr="00857EC8">
        <w:tab/>
        <w:t>Two independent cycles from a single planting</w:t>
      </w:r>
      <w:bookmarkEnd w:id="34"/>
    </w:p>
    <w:p w:rsidR="00857EC8" w:rsidRPr="00857EC8" w:rsidRDefault="00857EC8" w:rsidP="00857EC8"/>
    <w:p w:rsidR="00857EC8" w:rsidRPr="00857EC8" w:rsidRDefault="00857EC8" w:rsidP="00857EC8">
      <w:r w:rsidRPr="00857EC8">
        <w:t xml:space="preserve">Where appropriate, the following sentence </w:t>
      </w:r>
      <w:proofErr w:type="gramStart"/>
      <w:r w:rsidRPr="00857EC8">
        <w:t>may be added</w:t>
      </w:r>
      <w:proofErr w:type="gramEnd"/>
      <w:r w:rsidRPr="00857EC8">
        <w:t xml:space="preserve"> in Chapter 3.1:</w:t>
      </w:r>
    </w:p>
    <w:p w:rsidR="00857EC8" w:rsidRPr="00857EC8" w:rsidRDefault="00857EC8" w:rsidP="00857EC8"/>
    <w:p w:rsidR="00857EC8" w:rsidRPr="00857EC8" w:rsidRDefault="00857EC8" w:rsidP="00857EC8">
      <w:r w:rsidRPr="00857EC8">
        <w:t>“The two independent growing cycles may be observed from a single planting, examined in two separate growing cycles.”</w:t>
      </w:r>
    </w:p>
    <w:p w:rsidR="00857EC8" w:rsidRPr="00857EC8" w:rsidRDefault="00857EC8" w:rsidP="00857EC8"/>
    <w:p w:rsidR="00857EC8" w:rsidRPr="00857EC8" w:rsidRDefault="00857EC8" w:rsidP="00857EC8"/>
    <w:p w:rsidR="00857EC8" w:rsidRPr="00857EC8" w:rsidRDefault="00857EC8" w:rsidP="00857EC8">
      <w:pPr>
        <w:rPr>
          <w:u w:val="single"/>
        </w:rPr>
      </w:pPr>
      <w:bookmarkStart w:id="35" w:name="_Toc463342976"/>
      <w:r w:rsidRPr="00857EC8">
        <w:rPr>
          <w:u w:val="single"/>
        </w:rPr>
        <w:t>GN 8</w:t>
      </w:r>
      <w:r w:rsidRPr="00857EC8">
        <w:rPr>
          <w:u w:val="single"/>
        </w:rPr>
        <w:tab/>
        <w:t>(TG Template:  Chapter 3.1.2) – Explanation of the growing cycle</w:t>
      </w:r>
      <w:bookmarkEnd w:id="35"/>
    </w:p>
    <w:p w:rsidR="00857EC8" w:rsidRPr="00857EC8" w:rsidRDefault="00857EC8" w:rsidP="00857EC8">
      <w:pPr>
        <w:rPr>
          <w:u w:val="single"/>
        </w:rPr>
      </w:pPr>
    </w:p>
    <w:p w:rsidR="00857EC8" w:rsidRPr="00857EC8" w:rsidRDefault="00857EC8" w:rsidP="00857EC8">
      <w:r w:rsidRPr="00857EC8">
        <w:t xml:space="preserve">“Chapter 3.1 makes reference to the number of growing cycles.  In some </w:t>
      </w:r>
      <w:proofErr w:type="gramStart"/>
      <w:r w:rsidRPr="00857EC8">
        <w:t>cases</w:t>
      </w:r>
      <w:proofErr w:type="gramEnd"/>
      <w:r w:rsidRPr="00857EC8">
        <w:t xml:space="preserve"> it may be necessary to clarify what is meant by a growing cycle.  Additional standard wording has been developed for some situations (see ASW 3).”</w:t>
      </w:r>
    </w:p>
    <w:p w:rsidR="00857EC8" w:rsidRPr="00857EC8" w:rsidRDefault="00857EC8" w:rsidP="00857EC8"/>
    <w:p w:rsidR="00857EC8" w:rsidRPr="00857EC8" w:rsidRDefault="00857EC8" w:rsidP="00857EC8"/>
    <w:p w:rsidR="00050E16" w:rsidRPr="00C5280D" w:rsidRDefault="00857EC8" w:rsidP="00EC34D6">
      <w:pPr>
        <w:jc w:val="right"/>
      </w:pPr>
      <w:r w:rsidRPr="00857EC8">
        <w:t xml:space="preserve"> [End of Annex and of document]</w:t>
      </w:r>
    </w:p>
    <w:sectPr w:rsidR="00050E16" w:rsidRPr="00C5280D" w:rsidSect="00906DDC">
      <w:headerReference w:type="default" r:id="rId10"/>
      <w:headerReference w:type="firs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FA1" w:rsidRDefault="002B4FA1" w:rsidP="006655D3">
      <w:r>
        <w:separator/>
      </w:r>
    </w:p>
    <w:p w:rsidR="002B4FA1" w:rsidRDefault="002B4FA1" w:rsidP="006655D3"/>
    <w:p w:rsidR="002B4FA1" w:rsidRDefault="002B4FA1" w:rsidP="006655D3"/>
  </w:endnote>
  <w:endnote w:type="continuationSeparator" w:id="0">
    <w:p w:rsidR="002B4FA1" w:rsidRDefault="002B4FA1" w:rsidP="006655D3">
      <w:r>
        <w:separator/>
      </w:r>
    </w:p>
    <w:p w:rsidR="002B4FA1" w:rsidRPr="00294751" w:rsidRDefault="002B4FA1">
      <w:pPr>
        <w:pStyle w:val="Footer"/>
        <w:spacing w:after="60"/>
        <w:rPr>
          <w:sz w:val="18"/>
          <w:lang w:val="fr-FR"/>
        </w:rPr>
      </w:pPr>
      <w:r w:rsidRPr="00294751">
        <w:rPr>
          <w:sz w:val="18"/>
          <w:lang w:val="fr-FR"/>
        </w:rPr>
        <w:t>[Suite de la note de la page précédente]</w:t>
      </w:r>
    </w:p>
    <w:p w:rsidR="002B4FA1" w:rsidRPr="00294751" w:rsidRDefault="002B4FA1" w:rsidP="006655D3">
      <w:pPr>
        <w:rPr>
          <w:lang w:val="fr-FR"/>
        </w:rPr>
      </w:pPr>
    </w:p>
    <w:p w:rsidR="002B4FA1" w:rsidRPr="00294751" w:rsidRDefault="002B4FA1" w:rsidP="006655D3">
      <w:pPr>
        <w:rPr>
          <w:lang w:val="fr-FR"/>
        </w:rPr>
      </w:pPr>
    </w:p>
  </w:endnote>
  <w:endnote w:type="continuationNotice" w:id="1">
    <w:p w:rsidR="002B4FA1" w:rsidRPr="00294751" w:rsidRDefault="002B4FA1" w:rsidP="006655D3">
      <w:pPr>
        <w:rPr>
          <w:lang w:val="fr-FR"/>
        </w:rPr>
      </w:pPr>
      <w:r w:rsidRPr="00294751">
        <w:rPr>
          <w:lang w:val="fr-FR"/>
        </w:rPr>
        <w:t>[Suite de la note page suivante]</w:t>
      </w:r>
    </w:p>
    <w:p w:rsidR="002B4FA1" w:rsidRPr="00294751" w:rsidRDefault="002B4FA1" w:rsidP="006655D3">
      <w:pPr>
        <w:rPr>
          <w:lang w:val="fr-FR"/>
        </w:rPr>
      </w:pPr>
    </w:p>
    <w:p w:rsidR="002B4FA1" w:rsidRPr="00294751" w:rsidRDefault="002B4FA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FA1" w:rsidRDefault="002B4FA1" w:rsidP="006655D3">
      <w:r>
        <w:separator/>
      </w:r>
    </w:p>
  </w:footnote>
  <w:footnote w:type="continuationSeparator" w:id="0">
    <w:p w:rsidR="002B4FA1" w:rsidRDefault="002B4FA1" w:rsidP="006655D3">
      <w:r>
        <w:separator/>
      </w:r>
    </w:p>
  </w:footnote>
  <w:footnote w:type="continuationNotice" w:id="1">
    <w:p w:rsidR="002B4FA1" w:rsidRPr="00AB530F" w:rsidRDefault="002B4FA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C8" w:rsidRDefault="00EC34D6" w:rsidP="00C11DD6">
    <w:pPr>
      <w:jc w:val="center"/>
    </w:pPr>
    <w:r>
      <w:t>TC</w:t>
    </w:r>
    <w:r w:rsidR="00857EC8">
      <w:t>/</w:t>
    </w:r>
    <w:r>
      <w:t>54</w:t>
    </w:r>
    <w:r w:rsidR="00857EC8">
      <w:t>/</w:t>
    </w:r>
    <w:r>
      <w:t>14</w:t>
    </w:r>
  </w:p>
  <w:p w:rsidR="00857EC8" w:rsidRPr="00C5280D" w:rsidRDefault="00857EC8" w:rsidP="00C11DD6">
    <w:pPr>
      <w:jc w:val="center"/>
    </w:pPr>
    <w:proofErr w:type="gramStart"/>
    <w:r w:rsidRPr="00C5280D">
      <w:t>page</w:t>
    </w:r>
    <w:proofErr w:type="gramEnd"/>
    <w:r w:rsidRPr="00C5280D">
      <w:t xml:space="preserve"> </w:t>
    </w:r>
    <w:r w:rsidRPr="00C5280D">
      <w:fldChar w:fldCharType="begin"/>
    </w:r>
    <w:r w:rsidRPr="00C5280D">
      <w:instrText xml:space="preserve"> PAGE </w:instrText>
    </w:r>
    <w:r w:rsidRPr="00C5280D">
      <w:fldChar w:fldCharType="separate"/>
    </w:r>
    <w:r w:rsidR="001F15B3">
      <w:rPr>
        <w:noProof/>
      </w:rPr>
      <w:t>4</w:t>
    </w:r>
    <w:r w:rsidRPr="00C5280D">
      <w:fldChar w:fldCharType="end"/>
    </w:r>
  </w:p>
  <w:p w:rsidR="00857EC8" w:rsidRPr="00C5280D" w:rsidRDefault="00857EC8"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8B6E60" w:rsidP="00EB048E">
    <w:pPr>
      <w:pStyle w:val="Header"/>
      <w:rPr>
        <w:rStyle w:val="PageNumber"/>
        <w:lang w:val="en-US"/>
      </w:rPr>
    </w:pPr>
    <w:r>
      <w:rPr>
        <w:rStyle w:val="PageNumber"/>
        <w:lang w:val="en-US"/>
      </w:rPr>
      <w:t>TC/54</w:t>
    </w:r>
    <w:r w:rsidR="00667404">
      <w:rPr>
        <w:rStyle w:val="PageNumber"/>
        <w:lang w:val="en-US"/>
      </w:rPr>
      <w:t>/</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C34D6">
      <w:rPr>
        <w:rStyle w:val="PageNumber"/>
        <w:noProof/>
        <w:lang w:val="en-US"/>
      </w:rPr>
      <w:t>6</w:t>
    </w:r>
    <w:r w:rsidRPr="00C5280D">
      <w:rPr>
        <w:rStyle w:val="PageNumber"/>
        <w:lang w:val="en-US"/>
      </w:rPr>
      <w:fldChar w:fldCharType="end"/>
    </w:r>
  </w:p>
  <w:p w:rsidR="00182B99" w:rsidRPr="00C5280D" w:rsidRDefault="00182B99" w:rsidP="006655D3"/>
  <w:p w:rsidR="00EF21FA" w:rsidRDefault="00EF21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D6" w:rsidRDefault="00EC34D6" w:rsidP="00EC34D6">
    <w:pPr>
      <w:jc w:val="center"/>
    </w:pPr>
    <w:r>
      <w:t>TC/54/14</w:t>
    </w:r>
  </w:p>
  <w:p w:rsidR="00EC34D6" w:rsidRDefault="00EC34D6">
    <w:pPr>
      <w:pStyle w:val="Header"/>
    </w:pPr>
  </w:p>
  <w:p w:rsidR="00EC34D6" w:rsidRDefault="00EC34D6">
    <w:pPr>
      <w:pStyle w:val="Header"/>
    </w:pPr>
    <w:r>
      <w:t>ANNEX</w:t>
    </w:r>
  </w:p>
  <w:p w:rsidR="00EC34D6" w:rsidRDefault="00EC3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E47C9"/>
    <w:multiLevelType w:val="hybridMultilevel"/>
    <w:tmpl w:val="233402B6"/>
    <w:lvl w:ilvl="0" w:tplc="371EFC48">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5F35BB"/>
    <w:multiLevelType w:val="hybridMultilevel"/>
    <w:tmpl w:val="1EE206A8"/>
    <w:lvl w:ilvl="0" w:tplc="725C9E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C8"/>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F15B3"/>
    <w:rsid w:val="0021332C"/>
    <w:rsid w:val="00213982"/>
    <w:rsid w:val="0024416D"/>
    <w:rsid w:val="00271911"/>
    <w:rsid w:val="002800A0"/>
    <w:rsid w:val="002801B3"/>
    <w:rsid w:val="00281060"/>
    <w:rsid w:val="002940E8"/>
    <w:rsid w:val="00294751"/>
    <w:rsid w:val="002A1EA0"/>
    <w:rsid w:val="002A6E50"/>
    <w:rsid w:val="002B4298"/>
    <w:rsid w:val="002B4FA1"/>
    <w:rsid w:val="002C256A"/>
    <w:rsid w:val="00304827"/>
    <w:rsid w:val="00305A7F"/>
    <w:rsid w:val="003152FE"/>
    <w:rsid w:val="00323F3F"/>
    <w:rsid w:val="00327436"/>
    <w:rsid w:val="00344BD6"/>
    <w:rsid w:val="0035528D"/>
    <w:rsid w:val="00361821"/>
    <w:rsid w:val="00361E9E"/>
    <w:rsid w:val="003C7FBE"/>
    <w:rsid w:val="003D227C"/>
    <w:rsid w:val="003D2B4D"/>
    <w:rsid w:val="00431AEE"/>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83EDD"/>
    <w:rsid w:val="005A400A"/>
    <w:rsid w:val="005B57FE"/>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6E27FE"/>
    <w:rsid w:val="0071271E"/>
    <w:rsid w:val="00714960"/>
    <w:rsid w:val="00724686"/>
    <w:rsid w:val="00732DEC"/>
    <w:rsid w:val="00735BD5"/>
    <w:rsid w:val="00751613"/>
    <w:rsid w:val="007556F6"/>
    <w:rsid w:val="00760EEF"/>
    <w:rsid w:val="00772F6D"/>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3D12"/>
    <w:rsid w:val="00846D7C"/>
    <w:rsid w:val="00857EC8"/>
    <w:rsid w:val="00867AC1"/>
    <w:rsid w:val="00890DF8"/>
    <w:rsid w:val="008A743F"/>
    <w:rsid w:val="008B6E60"/>
    <w:rsid w:val="008C029F"/>
    <w:rsid w:val="008C0970"/>
    <w:rsid w:val="008D0BC5"/>
    <w:rsid w:val="008D2CF7"/>
    <w:rsid w:val="008D7E86"/>
    <w:rsid w:val="008F326C"/>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B2B93"/>
    <w:rsid w:val="00AB530F"/>
    <w:rsid w:val="00AB7E5B"/>
    <w:rsid w:val="00AC2883"/>
    <w:rsid w:val="00AD1A1C"/>
    <w:rsid w:val="00AE0EF1"/>
    <w:rsid w:val="00AE2937"/>
    <w:rsid w:val="00B07301"/>
    <w:rsid w:val="00B11F3E"/>
    <w:rsid w:val="00B224DE"/>
    <w:rsid w:val="00B324D4"/>
    <w:rsid w:val="00B46575"/>
    <w:rsid w:val="00B61777"/>
    <w:rsid w:val="00B84BBD"/>
    <w:rsid w:val="00BA43FB"/>
    <w:rsid w:val="00BC127D"/>
    <w:rsid w:val="00BC1FE6"/>
    <w:rsid w:val="00C061B6"/>
    <w:rsid w:val="00C06909"/>
    <w:rsid w:val="00C2446C"/>
    <w:rsid w:val="00C33C7B"/>
    <w:rsid w:val="00C36AE5"/>
    <w:rsid w:val="00C41F17"/>
    <w:rsid w:val="00C527FA"/>
    <w:rsid w:val="00C5280D"/>
    <w:rsid w:val="00C53EB3"/>
    <w:rsid w:val="00C5791C"/>
    <w:rsid w:val="00C66290"/>
    <w:rsid w:val="00C72B7A"/>
    <w:rsid w:val="00C973F2"/>
    <w:rsid w:val="00CA0CF9"/>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1423"/>
    <w:rsid w:val="00E04A6F"/>
    <w:rsid w:val="00E07D87"/>
    <w:rsid w:val="00E32F7E"/>
    <w:rsid w:val="00E5267B"/>
    <w:rsid w:val="00E63C0E"/>
    <w:rsid w:val="00E72D49"/>
    <w:rsid w:val="00E7593C"/>
    <w:rsid w:val="00E7678A"/>
    <w:rsid w:val="00E935F1"/>
    <w:rsid w:val="00E94A81"/>
    <w:rsid w:val="00EA1FFB"/>
    <w:rsid w:val="00EB048E"/>
    <w:rsid w:val="00EB4E9C"/>
    <w:rsid w:val="00EC34D6"/>
    <w:rsid w:val="00EE34DF"/>
    <w:rsid w:val="00EF21FA"/>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40D6BAD-1A32-43CC-98A0-E4D898AC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E01423"/>
    <w:pPr>
      <w:tabs>
        <w:tab w:val="right" w:leader="dot" w:pos="9639"/>
      </w:tabs>
      <w:spacing w:before="120" w:after="120"/>
      <w:ind w:left="454" w:right="851" w:hanging="284"/>
      <w:contextualSpacing/>
    </w:pPr>
    <w:rPr>
      <w:rFonts w:ascii="Arial" w:eastAsia="MS Mincho" w:hAnsi="Arial"/>
      <w:noProof/>
      <w:sz w:val="18"/>
      <w:szCs w:val="18"/>
      <w:lang w:eastAsia="ja-JP"/>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E01423"/>
    <w:pPr>
      <w:tabs>
        <w:tab w:val="right" w:leader="dot" w:pos="9639"/>
      </w:tabs>
      <w:spacing w:after="120"/>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2A1EA0"/>
    <w:pPr>
      <w:spacing w:after="200" w:line="276" w:lineRule="auto"/>
      <w:ind w:left="720"/>
      <w:contextualSpacing/>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upov.int/meetings/en/doc_details.jsp?meeting_id=47206&amp;doc_id=4053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tino\Desktop\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TC_54_EN.dotx</Template>
  <TotalTime>22</TotalTime>
  <Pages>6</Pages>
  <Words>2402</Words>
  <Characters>12190</Characters>
  <Application>Microsoft Office Word</Application>
  <DocSecurity>0</DocSecurity>
  <Lines>324</Lines>
  <Paragraphs>128</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Leontino Taveira</dc:creator>
  <cp:lastModifiedBy>FALQUET Kasumi</cp:lastModifiedBy>
  <cp:revision>11</cp:revision>
  <cp:lastPrinted>2016-11-22T15:41:00Z</cp:lastPrinted>
  <dcterms:created xsi:type="dcterms:W3CDTF">2018-09-21T13:44:00Z</dcterms:created>
  <dcterms:modified xsi:type="dcterms:W3CDTF">2018-09-24T13:24:00Z</dcterms:modified>
</cp:coreProperties>
</file>