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Pr>
          <w:p w:rsidR="00EB4E9C" w:rsidRPr="003C7FBE" w:rsidRDefault="004F4D90" w:rsidP="003C7FBE">
            <w:pPr>
              <w:pStyle w:val="Doccode"/>
            </w:pPr>
            <w:r>
              <w:t>CAJ/78/INF/5</w:t>
            </w:r>
          </w:p>
          <w:p w:rsidR="00EB4E9C" w:rsidRPr="007F7E37" w:rsidRDefault="00EB4E9C" w:rsidP="003C7FBE">
            <w:pPr>
              <w:pStyle w:val="Docoriginal"/>
            </w:pPr>
            <w:r w:rsidRPr="00AC2883">
              <w:t>Original:</w:t>
            </w:r>
            <w:r w:rsidRPr="000E636A">
              <w:rPr>
                <w:b w:val="0"/>
                <w:spacing w:val="0"/>
              </w:rPr>
              <w:t xml:space="preserve">  </w:t>
            </w:r>
            <w:r w:rsidRPr="007F7E37">
              <w:rPr>
                <w:b w:val="0"/>
                <w:spacing w:val="0"/>
              </w:rPr>
              <w:t>English</w:t>
            </w:r>
          </w:p>
          <w:p w:rsidR="00EB4E9C" w:rsidRPr="007C1D92" w:rsidRDefault="00EB4E9C" w:rsidP="00266300">
            <w:pPr>
              <w:pStyle w:val="Docoriginal"/>
            </w:pPr>
            <w:r w:rsidRPr="007F7E37">
              <w:t>Date:</w:t>
            </w:r>
            <w:r w:rsidRPr="007F7E37">
              <w:rPr>
                <w:b w:val="0"/>
                <w:spacing w:val="0"/>
              </w:rPr>
              <w:t xml:space="preserve">  </w:t>
            </w:r>
            <w:r w:rsidR="00D14394" w:rsidRPr="007F7E37">
              <w:rPr>
                <w:b w:val="0"/>
                <w:spacing w:val="0"/>
              </w:rPr>
              <w:t>October 1</w:t>
            </w:r>
            <w:r w:rsidR="00266300" w:rsidRPr="007F7E37">
              <w:rPr>
                <w:b w:val="0"/>
                <w:spacing w:val="0"/>
              </w:rPr>
              <w:t>9</w:t>
            </w:r>
            <w:r w:rsidRPr="007F7E37">
              <w:rPr>
                <w:b w:val="0"/>
                <w:spacing w:val="0"/>
              </w:rPr>
              <w:t xml:space="preserve">, </w:t>
            </w:r>
            <w:r w:rsidR="00E559F0" w:rsidRPr="007F7E37">
              <w:rPr>
                <w:b w:val="0"/>
                <w:spacing w:val="0"/>
              </w:rPr>
              <w:t>202</w:t>
            </w:r>
            <w:r w:rsidR="00783788" w:rsidRPr="007F7E37">
              <w:rPr>
                <w:b w:val="0"/>
                <w:spacing w:val="0"/>
              </w:rPr>
              <w:t>1</w:t>
            </w:r>
          </w:p>
        </w:tc>
      </w:tr>
    </w:tbl>
    <w:p w:rsidR="000D7780" w:rsidRPr="006A644A" w:rsidRDefault="004F4D90" w:rsidP="006A644A">
      <w:pPr>
        <w:pStyle w:val="Titleofdoc0"/>
      </w:pPr>
      <w:bookmarkStart w:id="0" w:name="TitleOfDoc"/>
      <w:bookmarkEnd w:id="0"/>
      <w:r w:rsidRPr="004F4D90">
        <w:t>Molecular techniques</w:t>
      </w:r>
    </w:p>
    <w:p w:rsidR="006A644A" w:rsidRPr="006A644A" w:rsidRDefault="00AE0EF1" w:rsidP="006A644A">
      <w:pPr>
        <w:pStyle w:val="preparedby1"/>
        <w:jc w:val="left"/>
      </w:pPr>
      <w:bookmarkStart w:id="1" w:name="Prepared"/>
      <w:bookmarkEnd w:id="1"/>
      <w:r w:rsidRPr="000C4E25">
        <w:t xml:space="preserve">Document </w:t>
      </w:r>
      <w:r w:rsidR="0061555F" w:rsidRPr="000C4E25">
        <w:t>p</w:t>
      </w:r>
      <w:bookmarkStart w:id="2" w:name="_GoBack"/>
      <w:bookmarkEnd w:id="2"/>
      <w:r w:rsidR="0061555F" w:rsidRPr="000C4E25">
        <w:t>repared by the Office of the Union</w:t>
      </w:r>
    </w:p>
    <w:p w:rsidR="00050E16" w:rsidRPr="006A644A" w:rsidRDefault="00050E16" w:rsidP="006A644A">
      <w:pPr>
        <w:pStyle w:val="Disclaimer"/>
      </w:pPr>
      <w:r w:rsidRPr="006A644A">
        <w:t>Disclaimer:  this document does not represent UPOV policies or guidance</w:t>
      </w:r>
    </w:p>
    <w:p w:rsidR="00D14394" w:rsidRPr="001F7350" w:rsidRDefault="00D14394" w:rsidP="00D14394">
      <w:pPr>
        <w:keepNext/>
        <w:outlineLvl w:val="0"/>
        <w:rPr>
          <w:caps/>
          <w:spacing w:val="-4"/>
          <w:lang w:eastAsia="ja-JP"/>
        </w:rPr>
      </w:pPr>
      <w:bookmarkStart w:id="3" w:name="_Toc527366627"/>
      <w:bookmarkStart w:id="4" w:name="_Toc85560666"/>
      <w:r w:rsidRPr="001F7350">
        <w:rPr>
          <w:caps/>
          <w:spacing w:val="-4"/>
          <w:lang w:eastAsia="ja-JP"/>
        </w:rPr>
        <w:t>E</w:t>
      </w:r>
      <w:r w:rsidRPr="001F7350">
        <w:rPr>
          <w:rFonts w:hint="eastAsia"/>
          <w:caps/>
          <w:spacing w:val="-4"/>
          <w:lang w:eastAsia="ja-JP"/>
        </w:rPr>
        <w:t>xecutive summary</w:t>
      </w:r>
      <w:bookmarkEnd w:id="3"/>
      <w:bookmarkEnd w:id="4"/>
    </w:p>
    <w:p w:rsidR="00D14394" w:rsidRPr="001F7350" w:rsidRDefault="00D14394" w:rsidP="00D14394">
      <w:pPr>
        <w:rPr>
          <w:rFonts w:eastAsiaTheme="minorEastAsia"/>
          <w:lang w:eastAsia="ja-JP"/>
        </w:rPr>
      </w:pPr>
    </w:p>
    <w:p w:rsidR="00D14394" w:rsidRPr="001F7350" w:rsidRDefault="00D14394" w:rsidP="00D14394">
      <w:r w:rsidRPr="001F7350">
        <w:fldChar w:fldCharType="begin"/>
      </w:r>
      <w:r w:rsidRPr="001F7350">
        <w:instrText xml:space="preserve"> AUTONUM  </w:instrText>
      </w:r>
      <w:r w:rsidRPr="001F7350">
        <w:fldChar w:fldCharType="end"/>
      </w:r>
      <w:r w:rsidRPr="001F7350">
        <w:tab/>
        <w:t>The purpose of this document is to report developments concerning molecular techniques since the seventy</w:t>
      </w:r>
      <w:r w:rsidRPr="001F7350">
        <w:noBreakHyphen/>
      </w:r>
      <w:r w:rsidR="00632BB0">
        <w:t>seven</w:t>
      </w:r>
      <w:r>
        <w:t>th</w:t>
      </w:r>
      <w:r w:rsidRPr="001F7350">
        <w:t xml:space="preserve"> session of the </w:t>
      </w:r>
      <w:r w:rsidRPr="001F7350">
        <w:rPr>
          <w:bCs/>
        </w:rPr>
        <w:t>Administrative and Legal Committee</w:t>
      </w:r>
      <w:r w:rsidRPr="001F7350">
        <w:t xml:space="preserve"> (CAJ).</w:t>
      </w:r>
    </w:p>
    <w:p w:rsidR="00D14394" w:rsidRPr="001F7350" w:rsidRDefault="00D14394" w:rsidP="00D14394">
      <w:pPr>
        <w:rPr>
          <w:lang w:eastAsia="ja-JP"/>
        </w:rPr>
      </w:pPr>
    </w:p>
    <w:p w:rsidR="00D14394" w:rsidRPr="001F7350" w:rsidRDefault="00D14394" w:rsidP="00D14394">
      <w:pPr>
        <w:keepNext/>
        <w:keepLines/>
      </w:pPr>
      <w:r w:rsidRPr="001F7350">
        <w:fldChar w:fldCharType="begin"/>
      </w:r>
      <w:r w:rsidRPr="001F7350">
        <w:instrText xml:space="preserve"> AUTONUM  </w:instrText>
      </w:r>
      <w:r w:rsidRPr="001F7350">
        <w:fldChar w:fldCharType="end"/>
      </w:r>
      <w:r w:rsidRPr="001F7350">
        <w:tab/>
        <w:t xml:space="preserve">The following abbreviations </w:t>
      </w:r>
      <w:proofErr w:type="gramStart"/>
      <w:r w:rsidRPr="001F7350">
        <w:t>are used</w:t>
      </w:r>
      <w:proofErr w:type="gramEnd"/>
      <w:r w:rsidRPr="001F7350">
        <w:t xml:space="preserve"> in this document:</w:t>
      </w:r>
    </w:p>
    <w:p w:rsidR="00D14394" w:rsidRPr="0009538C" w:rsidRDefault="00D14394" w:rsidP="00D14394">
      <w:pPr>
        <w:keepNext/>
        <w:keepLines/>
        <w:rPr>
          <w:sz w:val="16"/>
        </w:rPr>
      </w:pPr>
    </w:p>
    <w:p w:rsidR="00D14394" w:rsidRPr="001F7350" w:rsidRDefault="00D14394" w:rsidP="00D14394">
      <w:pPr>
        <w:keepNext/>
        <w:keepLines/>
        <w:tabs>
          <w:tab w:val="left" w:pos="567"/>
        </w:tabs>
        <w:ind w:left="1701" w:hanging="1134"/>
        <w:rPr>
          <w:sz w:val="18"/>
        </w:rPr>
      </w:pPr>
      <w:r w:rsidRPr="001F7350">
        <w:rPr>
          <w:sz w:val="18"/>
        </w:rPr>
        <w:t>BMT:</w:t>
      </w:r>
      <w:r w:rsidRPr="001F7350">
        <w:rPr>
          <w:sz w:val="18"/>
        </w:rPr>
        <w:tab/>
        <w:t xml:space="preserve">Working Group on Biochemical and Molecular Techniques, and DNA-Profiling in Particular </w:t>
      </w:r>
    </w:p>
    <w:p w:rsidR="00D14394" w:rsidRPr="001F7350" w:rsidRDefault="00D14394" w:rsidP="00D14394">
      <w:pPr>
        <w:keepNext/>
        <w:keepLines/>
        <w:tabs>
          <w:tab w:val="left" w:pos="567"/>
        </w:tabs>
        <w:ind w:left="1701" w:hanging="1134"/>
        <w:rPr>
          <w:b/>
          <w:bCs/>
          <w:sz w:val="18"/>
        </w:rPr>
      </w:pPr>
      <w:r w:rsidRPr="001F7350">
        <w:rPr>
          <w:sz w:val="18"/>
        </w:rPr>
        <w:t>CAJ:</w:t>
      </w:r>
      <w:r w:rsidRPr="001F7350">
        <w:rPr>
          <w:sz w:val="18"/>
        </w:rPr>
        <w:tab/>
      </w:r>
      <w:r w:rsidRPr="001F7350">
        <w:rPr>
          <w:bCs/>
          <w:sz w:val="18"/>
        </w:rPr>
        <w:t>Administrative and Legal Committee</w:t>
      </w:r>
    </w:p>
    <w:p w:rsidR="00D14394" w:rsidRPr="001F7350" w:rsidRDefault="00D14394" w:rsidP="00D14394">
      <w:pPr>
        <w:keepNext/>
        <w:keepLines/>
        <w:tabs>
          <w:tab w:val="left" w:pos="567"/>
        </w:tabs>
        <w:ind w:left="1701" w:hanging="1134"/>
        <w:rPr>
          <w:sz w:val="18"/>
        </w:rPr>
      </w:pPr>
      <w:r w:rsidRPr="001F7350">
        <w:rPr>
          <w:sz w:val="18"/>
        </w:rPr>
        <w:t>TC:</w:t>
      </w:r>
      <w:r w:rsidRPr="001F7350">
        <w:rPr>
          <w:sz w:val="18"/>
        </w:rPr>
        <w:tab/>
        <w:t>Technical Committee</w:t>
      </w:r>
    </w:p>
    <w:p w:rsidR="00D14394" w:rsidRPr="001F7350" w:rsidRDefault="00D14394" w:rsidP="00D14394">
      <w:pPr>
        <w:ind w:left="1701" w:hanging="1134"/>
        <w:rPr>
          <w:rFonts w:eastAsia="PMingLiU" w:cs="Arial"/>
          <w:sz w:val="18"/>
          <w:szCs w:val="24"/>
        </w:rPr>
      </w:pPr>
      <w:r w:rsidRPr="001F7350">
        <w:rPr>
          <w:rFonts w:eastAsia="PMingLiU" w:cs="Arial"/>
          <w:sz w:val="18"/>
          <w:szCs w:val="24"/>
        </w:rPr>
        <w:t>TWA:</w:t>
      </w:r>
      <w:r w:rsidRPr="001F7350">
        <w:rPr>
          <w:rFonts w:eastAsia="PMingLiU" w:cs="Arial"/>
          <w:sz w:val="18"/>
          <w:szCs w:val="24"/>
        </w:rPr>
        <w:tab/>
        <w:t>Technical Working Party for Agricultural Crops</w:t>
      </w:r>
    </w:p>
    <w:p w:rsidR="00D14394" w:rsidRPr="001F7350" w:rsidRDefault="00D14394" w:rsidP="00D14394">
      <w:pPr>
        <w:ind w:left="1701" w:hanging="1134"/>
        <w:rPr>
          <w:rFonts w:eastAsia="PMingLiU" w:cs="Arial"/>
          <w:sz w:val="18"/>
          <w:szCs w:val="24"/>
        </w:rPr>
      </w:pPr>
      <w:r w:rsidRPr="001F7350">
        <w:rPr>
          <w:rFonts w:eastAsia="PMingLiU" w:cs="Arial"/>
          <w:sz w:val="18"/>
          <w:szCs w:val="24"/>
        </w:rPr>
        <w:t>TWC:</w:t>
      </w:r>
      <w:r w:rsidRPr="001F7350">
        <w:rPr>
          <w:rFonts w:eastAsia="PMingLiU" w:cs="Arial"/>
          <w:sz w:val="18"/>
          <w:szCs w:val="24"/>
        </w:rPr>
        <w:tab/>
        <w:t>Technical Working Party on Automation and Computer Programs</w:t>
      </w:r>
    </w:p>
    <w:p w:rsidR="00D14394" w:rsidRPr="001F7350" w:rsidRDefault="00D14394" w:rsidP="00D14394">
      <w:pPr>
        <w:ind w:left="1701" w:hanging="1134"/>
        <w:rPr>
          <w:rFonts w:eastAsia="PMingLiU" w:cs="Arial"/>
          <w:sz w:val="18"/>
          <w:szCs w:val="24"/>
        </w:rPr>
      </w:pPr>
      <w:r w:rsidRPr="001F7350">
        <w:rPr>
          <w:rFonts w:eastAsia="PMingLiU" w:cs="Arial"/>
          <w:sz w:val="18"/>
          <w:szCs w:val="24"/>
        </w:rPr>
        <w:t xml:space="preserve">TWF: </w:t>
      </w:r>
      <w:r w:rsidRPr="001F7350">
        <w:rPr>
          <w:rFonts w:eastAsia="PMingLiU" w:cs="Arial"/>
          <w:sz w:val="18"/>
          <w:szCs w:val="24"/>
        </w:rPr>
        <w:tab/>
        <w:t>Technical Working Party for Fruit Crops</w:t>
      </w:r>
    </w:p>
    <w:p w:rsidR="00D14394" w:rsidRPr="001F7350" w:rsidRDefault="00D14394" w:rsidP="00D14394">
      <w:pPr>
        <w:ind w:left="1701" w:hanging="1134"/>
        <w:rPr>
          <w:rFonts w:eastAsia="PMingLiU" w:cs="Arial"/>
          <w:sz w:val="18"/>
          <w:szCs w:val="24"/>
        </w:rPr>
      </w:pPr>
      <w:r w:rsidRPr="001F7350">
        <w:rPr>
          <w:rFonts w:eastAsia="PMingLiU" w:cs="Arial"/>
          <w:sz w:val="18"/>
          <w:szCs w:val="24"/>
        </w:rPr>
        <w:t>TWO:</w:t>
      </w:r>
      <w:r w:rsidRPr="001F7350">
        <w:rPr>
          <w:rFonts w:eastAsia="PMingLiU" w:cs="Arial"/>
          <w:sz w:val="18"/>
          <w:szCs w:val="24"/>
        </w:rPr>
        <w:tab/>
        <w:t>Technical Working Party for Ornamental Plants and Forest Trees</w:t>
      </w:r>
    </w:p>
    <w:p w:rsidR="00D14394" w:rsidRPr="001F7350" w:rsidRDefault="00D14394" w:rsidP="00D14394">
      <w:pPr>
        <w:keepNext/>
        <w:keepLines/>
        <w:ind w:left="1701" w:hanging="1134"/>
        <w:rPr>
          <w:rFonts w:eastAsia="PMingLiU" w:cs="Arial"/>
          <w:sz w:val="18"/>
          <w:szCs w:val="24"/>
        </w:rPr>
      </w:pPr>
      <w:r w:rsidRPr="001F7350">
        <w:rPr>
          <w:rFonts w:eastAsia="PMingLiU" w:cs="Arial"/>
          <w:sz w:val="18"/>
          <w:szCs w:val="24"/>
        </w:rPr>
        <w:t>TWPs:</w:t>
      </w:r>
      <w:r w:rsidRPr="001F7350">
        <w:rPr>
          <w:rFonts w:eastAsia="PMingLiU" w:cs="Arial"/>
          <w:sz w:val="18"/>
          <w:szCs w:val="24"/>
        </w:rPr>
        <w:tab/>
        <w:t>Technical Working Parties</w:t>
      </w:r>
    </w:p>
    <w:p w:rsidR="00D14394" w:rsidRPr="001F7350" w:rsidRDefault="00D14394" w:rsidP="00D14394">
      <w:pPr>
        <w:keepNext/>
        <w:keepLines/>
        <w:ind w:left="1701" w:hanging="1134"/>
        <w:rPr>
          <w:rFonts w:eastAsia="PMingLiU" w:cs="Arial"/>
          <w:sz w:val="18"/>
          <w:szCs w:val="24"/>
        </w:rPr>
      </w:pPr>
      <w:r w:rsidRPr="001F7350">
        <w:rPr>
          <w:rFonts w:eastAsia="PMingLiU" w:cs="Arial"/>
          <w:sz w:val="18"/>
          <w:szCs w:val="24"/>
        </w:rPr>
        <w:t>TWV:</w:t>
      </w:r>
      <w:r w:rsidRPr="001F7350">
        <w:rPr>
          <w:rFonts w:eastAsia="PMingLiU" w:cs="Arial"/>
          <w:sz w:val="18"/>
          <w:szCs w:val="24"/>
        </w:rPr>
        <w:tab/>
        <w:t>Technical Working Party for Vegetables</w:t>
      </w:r>
    </w:p>
    <w:p w:rsidR="00D14394" w:rsidRPr="001F7350" w:rsidRDefault="00D14394" w:rsidP="00D14394">
      <w:pPr>
        <w:keepNext/>
        <w:keepLines/>
        <w:ind w:left="1701" w:hanging="1134"/>
        <w:rPr>
          <w:rFonts w:eastAsia="PMingLiU" w:cs="Arial"/>
          <w:snapToGrid w:val="0"/>
          <w:sz w:val="18"/>
          <w:szCs w:val="24"/>
        </w:rPr>
      </w:pPr>
      <w:r w:rsidRPr="001F7350">
        <w:rPr>
          <w:rFonts w:eastAsia="PMingLiU" w:cs="Arial"/>
          <w:sz w:val="18"/>
          <w:szCs w:val="24"/>
        </w:rPr>
        <w:t>OECD:</w:t>
      </w:r>
      <w:r w:rsidRPr="001F7350">
        <w:rPr>
          <w:rFonts w:eastAsia="PMingLiU" w:cs="Arial"/>
          <w:sz w:val="18"/>
          <w:szCs w:val="24"/>
        </w:rPr>
        <w:tab/>
      </w:r>
      <w:r w:rsidRPr="001F7350">
        <w:rPr>
          <w:rFonts w:eastAsia="PMingLiU" w:cs="Arial"/>
          <w:snapToGrid w:val="0"/>
          <w:sz w:val="18"/>
          <w:szCs w:val="24"/>
        </w:rPr>
        <w:t>Organization for Economic Co-operation and Development</w:t>
      </w:r>
    </w:p>
    <w:p w:rsidR="00D14394" w:rsidRPr="001F7350" w:rsidRDefault="00D14394" w:rsidP="00D14394">
      <w:pPr>
        <w:ind w:left="1701" w:hanging="1134"/>
        <w:rPr>
          <w:rFonts w:cs="Arial"/>
          <w:snapToGrid w:val="0"/>
          <w:sz w:val="18"/>
          <w:szCs w:val="24"/>
          <w:lang w:eastAsia="ja-JP"/>
        </w:rPr>
      </w:pPr>
      <w:r w:rsidRPr="001F7350">
        <w:rPr>
          <w:rFonts w:eastAsia="PMingLiU" w:cs="Arial"/>
          <w:snapToGrid w:val="0"/>
          <w:sz w:val="18"/>
          <w:szCs w:val="24"/>
          <w:lang w:eastAsia="fr-FR"/>
        </w:rPr>
        <w:t xml:space="preserve">ISTA: </w:t>
      </w:r>
      <w:r w:rsidRPr="001F7350">
        <w:rPr>
          <w:rFonts w:eastAsia="PMingLiU" w:cs="Arial"/>
          <w:snapToGrid w:val="0"/>
          <w:sz w:val="18"/>
          <w:szCs w:val="24"/>
          <w:lang w:eastAsia="fr-FR"/>
        </w:rPr>
        <w:tab/>
        <w:t>International Seed Testing Association</w:t>
      </w:r>
    </w:p>
    <w:p w:rsidR="00D14394" w:rsidRPr="001F7350" w:rsidRDefault="00D14394" w:rsidP="00D14394">
      <w:pPr>
        <w:ind w:left="1701" w:hanging="1134"/>
        <w:rPr>
          <w:rFonts w:cs="Arial"/>
          <w:snapToGrid w:val="0"/>
          <w:sz w:val="18"/>
          <w:szCs w:val="24"/>
          <w:lang w:eastAsia="ja-JP"/>
        </w:rPr>
      </w:pPr>
    </w:p>
    <w:p w:rsidR="00D14394" w:rsidRDefault="00D14394" w:rsidP="00D14394">
      <w:pPr>
        <w:keepNext/>
      </w:pPr>
      <w:r w:rsidRPr="001F7350">
        <w:fldChar w:fldCharType="begin"/>
      </w:r>
      <w:r w:rsidRPr="001F7350">
        <w:instrText xml:space="preserve"> AUTONUM  </w:instrText>
      </w:r>
      <w:r w:rsidRPr="001F7350">
        <w:fldChar w:fldCharType="end"/>
      </w:r>
      <w:r w:rsidRPr="001F7350">
        <w:tab/>
        <w:t>The structure of this document is as follows:</w:t>
      </w:r>
    </w:p>
    <w:bookmarkStart w:id="5" w:name="_Toc460313637"/>
    <w:bookmarkStart w:id="6" w:name="_Toc410822402"/>
    <w:bookmarkStart w:id="7" w:name="_Toc410822806"/>
    <w:bookmarkStart w:id="8" w:name="_Toc410823313"/>
    <w:bookmarkStart w:id="9" w:name="_Toc410899581"/>
    <w:p w:rsidR="00D72475" w:rsidRDefault="00D14394">
      <w:pPr>
        <w:pStyle w:val="TOC1"/>
        <w:rPr>
          <w:rFonts w:asciiTheme="minorHAnsi" w:eastAsiaTheme="minorEastAsia" w:hAnsiTheme="minorHAnsi" w:cstheme="minorBidi"/>
          <w:caps w:val="0"/>
          <w:noProof/>
          <w:sz w:val="22"/>
          <w:szCs w:val="22"/>
        </w:rPr>
      </w:pPr>
      <w:r w:rsidRPr="001F7350">
        <w:rPr>
          <w:rFonts w:eastAsiaTheme="minorEastAsia" w:cs="Arial"/>
          <w:bCs/>
          <w:noProof/>
          <w:sz w:val="18"/>
          <w:lang w:eastAsia="ja-JP"/>
        </w:rPr>
        <w:fldChar w:fldCharType="begin"/>
      </w:r>
      <w:r w:rsidRPr="001F7350">
        <w:rPr>
          <w:rFonts w:eastAsiaTheme="minorEastAsia" w:cs="Arial"/>
          <w:bCs/>
          <w:noProof/>
          <w:sz w:val="18"/>
          <w:lang w:eastAsia="ja-JP"/>
        </w:rPr>
        <w:instrText xml:space="preserve"> TOC \o "1-2" \u </w:instrText>
      </w:r>
      <w:r w:rsidRPr="001F7350">
        <w:rPr>
          <w:rFonts w:eastAsiaTheme="minorEastAsia" w:cs="Arial"/>
          <w:bCs/>
          <w:noProof/>
          <w:sz w:val="18"/>
          <w:lang w:eastAsia="ja-JP"/>
        </w:rPr>
        <w:fldChar w:fldCharType="separate"/>
      </w:r>
      <w:r w:rsidR="00D72475" w:rsidRPr="00F50400">
        <w:rPr>
          <w:noProof/>
          <w:spacing w:val="-4"/>
          <w:lang w:eastAsia="ja-JP"/>
        </w:rPr>
        <w:t>Executive summary</w:t>
      </w:r>
      <w:r w:rsidR="00D72475">
        <w:rPr>
          <w:noProof/>
        </w:rPr>
        <w:tab/>
      </w:r>
      <w:r w:rsidR="00D72475">
        <w:rPr>
          <w:noProof/>
        </w:rPr>
        <w:fldChar w:fldCharType="begin"/>
      </w:r>
      <w:r w:rsidR="00D72475">
        <w:rPr>
          <w:noProof/>
        </w:rPr>
        <w:instrText xml:space="preserve"> PAGEREF _Toc85560666 \h </w:instrText>
      </w:r>
      <w:r w:rsidR="00D72475">
        <w:rPr>
          <w:noProof/>
        </w:rPr>
      </w:r>
      <w:r w:rsidR="00D72475">
        <w:rPr>
          <w:noProof/>
        </w:rPr>
        <w:fldChar w:fldCharType="separate"/>
      </w:r>
      <w:r w:rsidR="00D72475">
        <w:rPr>
          <w:noProof/>
        </w:rPr>
        <w:t>1</w:t>
      </w:r>
      <w:r w:rsidR="00D72475">
        <w:rPr>
          <w:noProof/>
        </w:rPr>
        <w:fldChar w:fldCharType="end"/>
      </w:r>
    </w:p>
    <w:p w:rsidR="00D72475" w:rsidRDefault="00D72475">
      <w:pPr>
        <w:pStyle w:val="TOC1"/>
        <w:rPr>
          <w:rFonts w:asciiTheme="minorHAnsi" w:eastAsiaTheme="minorEastAsia" w:hAnsiTheme="minorHAnsi" w:cstheme="minorBidi"/>
          <w:caps w:val="0"/>
          <w:noProof/>
          <w:sz w:val="22"/>
          <w:szCs w:val="22"/>
        </w:rPr>
      </w:pPr>
      <w:r w:rsidRPr="00F50400">
        <w:rPr>
          <w:noProof/>
          <w:spacing w:val="-4"/>
          <w:lang w:eastAsia="ja-JP"/>
        </w:rPr>
        <w:t>Background</w:t>
      </w:r>
      <w:r>
        <w:rPr>
          <w:noProof/>
        </w:rPr>
        <w:tab/>
      </w:r>
      <w:r>
        <w:rPr>
          <w:noProof/>
        </w:rPr>
        <w:fldChar w:fldCharType="begin"/>
      </w:r>
      <w:r>
        <w:rPr>
          <w:noProof/>
        </w:rPr>
        <w:instrText xml:space="preserve"> PAGEREF _Toc85560667 \h </w:instrText>
      </w:r>
      <w:r>
        <w:rPr>
          <w:noProof/>
        </w:rPr>
      </w:r>
      <w:r>
        <w:rPr>
          <w:noProof/>
        </w:rPr>
        <w:fldChar w:fldCharType="separate"/>
      </w:r>
      <w:r>
        <w:rPr>
          <w:noProof/>
        </w:rPr>
        <w:t>2</w:t>
      </w:r>
      <w:r>
        <w:rPr>
          <w:noProof/>
        </w:rPr>
        <w:fldChar w:fldCharType="end"/>
      </w:r>
    </w:p>
    <w:p w:rsidR="00D72475" w:rsidRDefault="00D72475">
      <w:pPr>
        <w:pStyle w:val="TOC1"/>
        <w:rPr>
          <w:rFonts w:asciiTheme="minorHAnsi" w:eastAsiaTheme="minorEastAsia" w:hAnsiTheme="minorHAnsi" w:cstheme="minorBidi"/>
          <w:caps w:val="0"/>
          <w:noProof/>
          <w:sz w:val="22"/>
          <w:szCs w:val="22"/>
        </w:rPr>
      </w:pPr>
      <w:r w:rsidRPr="00F50400">
        <w:rPr>
          <w:noProof/>
          <w:spacing w:val="-4"/>
          <w:lang w:eastAsia="ja-JP"/>
        </w:rPr>
        <w:t>Review of document UPOV/INF/17 “Guidelines for DNA-Profiling:  Molecular Marker Selection and Database Construction (‘BMT Guidelines’)”</w:t>
      </w:r>
      <w:r>
        <w:rPr>
          <w:noProof/>
        </w:rPr>
        <w:tab/>
      </w:r>
      <w:r>
        <w:rPr>
          <w:noProof/>
        </w:rPr>
        <w:fldChar w:fldCharType="begin"/>
      </w:r>
      <w:r>
        <w:rPr>
          <w:noProof/>
        </w:rPr>
        <w:instrText xml:space="preserve"> PAGEREF _Toc85560668 \h </w:instrText>
      </w:r>
      <w:r>
        <w:rPr>
          <w:noProof/>
        </w:rPr>
      </w:r>
      <w:r>
        <w:rPr>
          <w:noProof/>
        </w:rPr>
        <w:fldChar w:fldCharType="separate"/>
      </w:r>
      <w:r>
        <w:rPr>
          <w:noProof/>
        </w:rPr>
        <w:t>2</w:t>
      </w:r>
      <w:r>
        <w:rPr>
          <w:noProof/>
        </w:rPr>
        <w:fldChar w:fldCharType="end"/>
      </w:r>
    </w:p>
    <w:p w:rsidR="00D72475" w:rsidRDefault="00D72475">
      <w:pPr>
        <w:pStyle w:val="TOC1"/>
        <w:rPr>
          <w:rFonts w:asciiTheme="minorHAnsi" w:eastAsiaTheme="minorEastAsia" w:hAnsiTheme="minorHAnsi" w:cstheme="minorBidi"/>
          <w:caps w:val="0"/>
          <w:noProof/>
          <w:sz w:val="22"/>
          <w:szCs w:val="22"/>
        </w:rPr>
      </w:pPr>
      <w:r w:rsidRPr="00F50400">
        <w:rPr>
          <w:noProof/>
          <w:spacing w:val="-4"/>
          <w:lang w:eastAsia="ja-JP"/>
        </w:rPr>
        <w:t>Cooperation between international organizations</w:t>
      </w:r>
      <w:r>
        <w:rPr>
          <w:noProof/>
        </w:rPr>
        <w:tab/>
      </w:r>
      <w:r>
        <w:rPr>
          <w:noProof/>
        </w:rPr>
        <w:fldChar w:fldCharType="begin"/>
      </w:r>
      <w:r>
        <w:rPr>
          <w:noProof/>
        </w:rPr>
        <w:instrText xml:space="preserve"> PAGEREF _Toc85560669 \h </w:instrText>
      </w:r>
      <w:r>
        <w:rPr>
          <w:noProof/>
        </w:rPr>
      </w:r>
      <w:r>
        <w:rPr>
          <w:noProof/>
        </w:rPr>
        <w:fldChar w:fldCharType="separate"/>
      </w:r>
      <w:r>
        <w:rPr>
          <w:noProof/>
        </w:rPr>
        <w:t>2</w:t>
      </w:r>
      <w:r>
        <w:rPr>
          <w:noProof/>
        </w:rPr>
        <w:fldChar w:fldCharType="end"/>
      </w:r>
    </w:p>
    <w:p w:rsidR="00D72475" w:rsidRDefault="00D72475">
      <w:pPr>
        <w:pStyle w:val="TOC2"/>
        <w:rPr>
          <w:rFonts w:asciiTheme="minorHAnsi" w:eastAsiaTheme="minorEastAsia" w:hAnsiTheme="minorHAnsi" w:cstheme="minorBidi"/>
          <w:noProof/>
          <w:sz w:val="22"/>
          <w:szCs w:val="22"/>
        </w:rPr>
      </w:pPr>
      <w:r w:rsidRPr="00F50400">
        <w:rPr>
          <w:rFonts w:eastAsiaTheme="minorEastAsia"/>
          <w:noProof/>
        </w:rPr>
        <w:t>Joint document explaining the principal features of the systems of OECD, UPOV and ISTA</w:t>
      </w:r>
      <w:r>
        <w:rPr>
          <w:noProof/>
        </w:rPr>
        <w:tab/>
      </w:r>
      <w:r>
        <w:rPr>
          <w:noProof/>
        </w:rPr>
        <w:fldChar w:fldCharType="begin"/>
      </w:r>
      <w:r>
        <w:rPr>
          <w:noProof/>
        </w:rPr>
        <w:instrText xml:space="preserve"> PAGEREF _Toc85560670 \h </w:instrText>
      </w:r>
      <w:r>
        <w:rPr>
          <w:noProof/>
        </w:rPr>
      </w:r>
      <w:r>
        <w:rPr>
          <w:noProof/>
        </w:rPr>
        <w:fldChar w:fldCharType="separate"/>
      </w:r>
      <w:r>
        <w:rPr>
          <w:noProof/>
        </w:rPr>
        <w:t>2</w:t>
      </w:r>
      <w:r>
        <w:rPr>
          <w:noProof/>
        </w:rPr>
        <w:fldChar w:fldCharType="end"/>
      </w:r>
    </w:p>
    <w:p w:rsidR="00D72475" w:rsidRDefault="00D72475">
      <w:pPr>
        <w:pStyle w:val="TOC2"/>
        <w:rPr>
          <w:rFonts w:asciiTheme="minorHAnsi" w:eastAsiaTheme="minorEastAsia" w:hAnsiTheme="minorHAnsi" w:cstheme="minorBidi"/>
          <w:noProof/>
          <w:sz w:val="22"/>
          <w:szCs w:val="22"/>
        </w:rPr>
      </w:pPr>
      <w:r w:rsidRPr="00F50400">
        <w:rPr>
          <w:rFonts w:eastAsiaTheme="minorEastAsia"/>
          <w:noProof/>
        </w:rPr>
        <w:t>Inventory on the use of molecular marker techniques, by crop</w:t>
      </w:r>
      <w:r>
        <w:rPr>
          <w:noProof/>
        </w:rPr>
        <w:tab/>
      </w:r>
      <w:r>
        <w:rPr>
          <w:noProof/>
        </w:rPr>
        <w:fldChar w:fldCharType="begin"/>
      </w:r>
      <w:r>
        <w:rPr>
          <w:noProof/>
        </w:rPr>
        <w:instrText xml:space="preserve"> PAGEREF _Toc85560671 \h </w:instrText>
      </w:r>
      <w:r>
        <w:rPr>
          <w:noProof/>
        </w:rPr>
      </w:r>
      <w:r>
        <w:rPr>
          <w:noProof/>
        </w:rPr>
        <w:fldChar w:fldCharType="separate"/>
      </w:r>
      <w:r>
        <w:rPr>
          <w:noProof/>
        </w:rPr>
        <w:t>3</w:t>
      </w:r>
      <w:r>
        <w:rPr>
          <w:noProof/>
        </w:rPr>
        <w:fldChar w:fldCharType="end"/>
      </w:r>
    </w:p>
    <w:p w:rsidR="00D72475" w:rsidRDefault="00D72475">
      <w:pPr>
        <w:pStyle w:val="TOC2"/>
        <w:rPr>
          <w:rFonts w:asciiTheme="minorHAnsi" w:eastAsiaTheme="minorEastAsia" w:hAnsiTheme="minorHAnsi" w:cstheme="minorBidi"/>
          <w:noProof/>
          <w:sz w:val="22"/>
          <w:szCs w:val="22"/>
        </w:rPr>
      </w:pPr>
      <w:r w:rsidRPr="00F50400">
        <w:rPr>
          <w:rFonts w:eastAsiaTheme="minorEastAsia"/>
          <w:noProof/>
        </w:rPr>
        <w:t>Lists of possible joint initiatives with OECD and ISTA in relation to molecular techniques</w:t>
      </w:r>
      <w:r>
        <w:rPr>
          <w:noProof/>
        </w:rPr>
        <w:tab/>
      </w:r>
      <w:r>
        <w:rPr>
          <w:noProof/>
        </w:rPr>
        <w:fldChar w:fldCharType="begin"/>
      </w:r>
      <w:r>
        <w:rPr>
          <w:noProof/>
        </w:rPr>
        <w:instrText xml:space="preserve"> PAGEREF _Toc85560672 \h </w:instrText>
      </w:r>
      <w:r>
        <w:rPr>
          <w:noProof/>
        </w:rPr>
      </w:r>
      <w:r>
        <w:rPr>
          <w:noProof/>
        </w:rPr>
        <w:fldChar w:fldCharType="separate"/>
      </w:r>
      <w:r>
        <w:rPr>
          <w:noProof/>
        </w:rPr>
        <w:t>4</w:t>
      </w:r>
      <w:r>
        <w:rPr>
          <w:noProof/>
        </w:rPr>
        <w:fldChar w:fldCharType="end"/>
      </w:r>
    </w:p>
    <w:p w:rsidR="00D72475" w:rsidRDefault="00D72475">
      <w:pPr>
        <w:pStyle w:val="TOC1"/>
        <w:rPr>
          <w:rFonts w:asciiTheme="minorHAnsi" w:eastAsiaTheme="minorEastAsia" w:hAnsiTheme="minorHAnsi" w:cstheme="minorBidi"/>
          <w:caps w:val="0"/>
          <w:noProof/>
          <w:sz w:val="22"/>
          <w:szCs w:val="22"/>
        </w:rPr>
      </w:pPr>
      <w:r w:rsidRPr="00F50400">
        <w:rPr>
          <w:noProof/>
          <w:snapToGrid w:val="0"/>
        </w:rPr>
        <w:t>Session to facilitate cooperation in relation to the use of molecular techniques</w:t>
      </w:r>
      <w:r>
        <w:rPr>
          <w:noProof/>
        </w:rPr>
        <w:tab/>
      </w:r>
      <w:r>
        <w:rPr>
          <w:noProof/>
        </w:rPr>
        <w:fldChar w:fldCharType="begin"/>
      </w:r>
      <w:r>
        <w:rPr>
          <w:noProof/>
        </w:rPr>
        <w:instrText xml:space="preserve"> PAGEREF _Toc85560673 \h </w:instrText>
      </w:r>
      <w:r>
        <w:rPr>
          <w:noProof/>
        </w:rPr>
      </w:r>
      <w:r>
        <w:rPr>
          <w:noProof/>
        </w:rPr>
        <w:fldChar w:fldCharType="separate"/>
      </w:r>
      <w:r>
        <w:rPr>
          <w:noProof/>
        </w:rPr>
        <w:t>5</w:t>
      </w:r>
      <w:r>
        <w:rPr>
          <w:noProof/>
        </w:rPr>
        <w:fldChar w:fldCharType="end"/>
      </w:r>
    </w:p>
    <w:p w:rsidR="00D72475" w:rsidRDefault="00D72475">
      <w:pPr>
        <w:pStyle w:val="TOC2"/>
        <w:rPr>
          <w:rFonts w:asciiTheme="minorHAnsi" w:eastAsiaTheme="minorEastAsia" w:hAnsiTheme="minorHAnsi" w:cstheme="minorBidi"/>
          <w:noProof/>
          <w:sz w:val="22"/>
          <w:szCs w:val="22"/>
        </w:rPr>
      </w:pPr>
      <w:r>
        <w:rPr>
          <w:noProof/>
        </w:rPr>
        <w:t>Developments at the TWPs and BMT at their sessions in 2021</w:t>
      </w:r>
      <w:r>
        <w:rPr>
          <w:noProof/>
        </w:rPr>
        <w:tab/>
      </w:r>
      <w:r>
        <w:rPr>
          <w:noProof/>
        </w:rPr>
        <w:fldChar w:fldCharType="begin"/>
      </w:r>
      <w:r>
        <w:rPr>
          <w:noProof/>
        </w:rPr>
        <w:instrText xml:space="preserve"> PAGEREF _Toc85560674 \h </w:instrText>
      </w:r>
      <w:r>
        <w:rPr>
          <w:noProof/>
        </w:rPr>
      </w:r>
      <w:r>
        <w:rPr>
          <w:noProof/>
        </w:rPr>
        <w:fldChar w:fldCharType="separate"/>
      </w:r>
      <w:r>
        <w:rPr>
          <w:noProof/>
        </w:rPr>
        <w:t>5</w:t>
      </w:r>
      <w:r>
        <w:rPr>
          <w:noProof/>
        </w:rPr>
        <w:fldChar w:fldCharType="end"/>
      </w:r>
    </w:p>
    <w:p w:rsidR="00D72475" w:rsidRDefault="00D72475">
      <w:pPr>
        <w:pStyle w:val="TOC1"/>
        <w:rPr>
          <w:rFonts w:asciiTheme="minorHAnsi" w:eastAsiaTheme="minorEastAsia" w:hAnsiTheme="minorHAnsi" w:cstheme="minorBidi"/>
          <w:caps w:val="0"/>
          <w:noProof/>
          <w:sz w:val="22"/>
          <w:szCs w:val="22"/>
        </w:rPr>
      </w:pPr>
      <w:r>
        <w:rPr>
          <w:noProof/>
        </w:rPr>
        <w:t>Confidentiality &amp; Ownership of Molecular Information</w:t>
      </w:r>
      <w:r>
        <w:rPr>
          <w:noProof/>
        </w:rPr>
        <w:tab/>
      </w:r>
      <w:r>
        <w:rPr>
          <w:noProof/>
        </w:rPr>
        <w:fldChar w:fldCharType="begin"/>
      </w:r>
      <w:r>
        <w:rPr>
          <w:noProof/>
        </w:rPr>
        <w:instrText xml:space="preserve"> PAGEREF _Toc85560675 \h </w:instrText>
      </w:r>
      <w:r>
        <w:rPr>
          <w:noProof/>
        </w:rPr>
      </w:r>
      <w:r>
        <w:rPr>
          <w:noProof/>
        </w:rPr>
        <w:fldChar w:fldCharType="separate"/>
      </w:r>
      <w:r>
        <w:rPr>
          <w:noProof/>
        </w:rPr>
        <w:t>6</w:t>
      </w:r>
      <w:r>
        <w:rPr>
          <w:noProof/>
        </w:rPr>
        <w:fldChar w:fldCharType="end"/>
      </w:r>
    </w:p>
    <w:p w:rsidR="00D14394" w:rsidRPr="0009538C" w:rsidRDefault="00D14394" w:rsidP="0009538C">
      <w:pPr>
        <w:spacing w:before="120"/>
        <w:ind w:left="1123" w:hanging="1123"/>
        <w:rPr>
          <w:snapToGrid w:val="0"/>
          <w:szCs w:val="18"/>
          <w:lang w:eastAsia="ja-JP"/>
        </w:rPr>
      </w:pPr>
      <w:r w:rsidRPr="001F7350">
        <w:fldChar w:fldCharType="end"/>
      </w:r>
      <w:bookmarkEnd w:id="5"/>
      <w:r w:rsidRPr="0009538C">
        <w:rPr>
          <w:rFonts w:hint="eastAsia"/>
          <w:snapToGrid w:val="0"/>
          <w:szCs w:val="18"/>
          <w:lang w:eastAsia="ja-JP"/>
        </w:rPr>
        <w:t>ANNEX</w:t>
      </w:r>
      <w:r w:rsidRPr="0009538C">
        <w:rPr>
          <w:snapToGrid w:val="0"/>
          <w:szCs w:val="18"/>
          <w:lang w:eastAsia="ja-JP"/>
        </w:rPr>
        <w:t xml:space="preserve"> I</w:t>
      </w:r>
      <w:r w:rsidRPr="0009538C">
        <w:rPr>
          <w:rFonts w:hint="eastAsia"/>
          <w:snapToGrid w:val="0"/>
          <w:szCs w:val="18"/>
          <w:lang w:eastAsia="ja-JP"/>
        </w:rPr>
        <w:tab/>
      </w:r>
      <w:r w:rsidR="00572304" w:rsidRPr="0009538C">
        <w:rPr>
          <w:snapToGrid w:val="0"/>
          <w:szCs w:val="18"/>
          <w:lang w:eastAsia="ja-JP"/>
        </w:rPr>
        <w:t>ELEMENTS FOR DRAFT JOINT DOCUMENT EXPLAINING THE PRINCIPAL FEATURES OF THE SYSTEMS OF THE OECD, UPOV AND ISTA</w:t>
      </w:r>
      <w:r w:rsidRPr="0009538C">
        <w:rPr>
          <w:snapToGrid w:val="0"/>
          <w:szCs w:val="18"/>
          <w:lang w:eastAsia="ja-JP"/>
        </w:rPr>
        <w:t>ONLY)</w:t>
      </w:r>
    </w:p>
    <w:p w:rsidR="00572304" w:rsidRPr="0009538C" w:rsidRDefault="00572304" w:rsidP="0009538C">
      <w:pPr>
        <w:spacing w:before="120"/>
        <w:ind w:left="1123" w:hanging="1123"/>
        <w:rPr>
          <w:snapToGrid w:val="0"/>
          <w:szCs w:val="18"/>
          <w:lang w:eastAsia="ja-JP"/>
        </w:rPr>
      </w:pPr>
      <w:r w:rsidRPr="0009538C">
        <w:rPr>
          <w:rFonts w:hint="eastAsia"/>
          <w:snapToGrid w:val="0"/>
          <w:szCs w:val="18"/>
          <w:lang w:eastAsia="ja-JP"/>
        </w:rPr>
        <w:t>ANNEX</w:t>
      </w:r>
      <w:r w:rsidRPr="0009538C">
        <w:rPr>
          <w:snapToGrid w:val="0"/>
          <w:szCs w:val="18"/>
          <w:lang w:eastAsia="ja-JP"/>
        </w:rPr>
        <w:t xml:space="preserve"> II</w:t>
      </w:r>
      <w:r w:rsidR="0009538C">
        <w:rPr>
          <w:rFonts w:hint="eastAsia"/>
          <w:snapToGrid w:val="0"/>
          <w:szCs w:val="18"/>
          <w:lang w:eastAsia="ja-JP"/>
        </w:rPr>
        <w:tab/>
      </w:r>
      <w:r w:rsidRPr="0009538C">
        <w:rPr>
          <w:snapToGrid w:val="0"/>
          <w:szCs w:val="18"/>
          <w:lang w:eastAsia="ja-JP"/>
        </w:rPr>
        <w:t>SURVEY ON THE USE OF MOLECULAR MARKER TECHNIQUES BY CROP</w:t>
      </w:r>
    </w:p>
    <w:p w:rsidR="00572304" w:rsidRPr="0009538C" w:rsidRDefault="00572304" w:rsidP="0009538C"/>
    <w:p w:rsidR="00D14394" w:rsidRPr="0009538C" w:rsidRDefault="00D14394" w:rsidP="0009538C"/>
    <w:p w:rsidR="00D14394" w:rsidRPr="0009538C" w:rsidRDefault="00D14394" w:rsidP="0009538C"/>
    <w:p w:rsidR="00D14394" w:rsidRPr="001F7350" w:rsidRDefault="00D14394" w:rsidP="00D14394">
      <w:pPr>
        <w:keepNext/>
        <w:outlineLvl w:val="0"/>
        <w:rPr>
          <w:caps/>
          <w:spacing w:val="-4"/>
          <w:lang w:eastAsia="ja-JP"/>
        </w:rPr>
      </w:pPr>
      <w:bookmarkStart w:id="10" w:name="_Toc527366628"/>
      <w:bookmarkStart w:id="11" w:name="_Toc85560667"/>
      <w:r w:rsidRPr="001F7350">
        <w:rPr>
          <w:caps/>
          <w:spacing w:val="-4"/>
          <w:lang w:eastAsia="ja-JP"/>
        </w:rPr>
        <w:lastRenderedPageBreak/>
        <w:t>Background</w:t>
      </w:r>
      <w:bookmarkEnd w:id="10"/>
      <w:bookmarkEnd w:id="11"/>
      <w:r w:rsidRPr="001F7350">
        <w:rPr>
          <w:caps/>
          <w:spacing w:val="-4"/>
          <w:lang w:eastAsia="ja-JP"/>
        </w:rPr>
        <w:t xml:space="preserve"> </w:t>
      </w:r>
    </w:p>
    <w:p w:rsidR="00D14394" w:rsidRPr="001F7350" w:rsidRDefault="00D14394" w:rsidP="00D14394">
      <w:pPr>
        <w:keepNext/>
        <w:rPr>
          <w:lang w:eastAsia="ja-JP"/>
        </w:rPr>
      </w:pPr>
    </w:p>
    <w:p w:rsidR="00D14394" w:rsidRDefault="00D14394" w:rsidP="008E521A">
      <w:pPr>
        <w:rPr>
          <w:rFonts w:cs="Arial"/>
        </w:rPr>
      </w:pPr>
      <w:r w:rsidRPr="001F7350">
        <w:rPr>
          <w:rFonts w:cs="Arial"/>
        </w:rPr>
        <w:fldChar w:fldCharType="begin"/>
      </w:r>
      <w:r w:rsidRPr="001F7350">
        <w:rPr>
          <w:rFonts w:cs="Arial"/>
        </w:rPr>
        <w:instrText xml:space="preserve"> AUTONUM  </w:instrText>
      </w:r>
      <w:r w:rsidRPr="001F7350">
        <w:rPr>
          <w:rFonts w:cs="Arial"/>
        </w:rPr>
        <w:fldChar w:fldCharType="end"/>
      </w:r>
      <w:r w:rsidRPr="001F7350">
        <w:rPr>
          <w:rFonts w:cs="Arial"/>
        </w:rPr>
        <w:tab/>
        <w:t>Developments on matters presented in this document at the TC, at its fifty</w:t>
      </w:r>
      <w:r>
        <w:noBreakHyphen/>
      </w:r>
      <w:r w:rsidR="00783788">
        <w:t>seven</w:t>
      </w:r>
      <w:r>
        <w:t>th</w:t>
      </w:r>
      <w:r w:rsidRPr="001F7350">
        <w:rPr>
          <w:rFonts w:cs="Arial"/>
        </w:rPr>
        <w:t xml:space="preserve"> session, </w:t>
      </w:r>
      <w:proofErr w:type="gramStart"/>
      <w:r w:rsidRPr="001F7350">
        <w:rPr>
          <w:rFonts w:cs="Arial"/>
        </w:rPr>
        <w:t>will be reported</w:t>
      </w:r>
      <w:proofErr w:type="gramEnd"/>
      <w:r w:rsidRPr="001F7350">
        <w:rPr>
          <w:rFonts w:cs="Arial"/>
        </w:rPr>
        <w:t xml:space="preserve"> to the CAJ in document </w:t>
      </w:r>
      <w:r w:rsidRPr="00197F61">
        <w:rPr>
          <w:rFonts w:cs="Arial"/>
        </w:rPr>
        <w:t>CAJ/7</w:t>
      </w:r>
      <w:r w:rsidR="00783788" w:rsidRPr="00197F61">
        <w:rPr>
          <w:rFonts w:cs="Arial"/>
        </w:rPr>
        <w:t>8</w:t>
      </w:r>
      <w:r w:rsidRPr="00197F61">
        <w:rPr>
          <w:rFonts w:cs="Arial"/>
        </w:rPr>
        <w:t>/2 “Report on developments in the Technical Committee</w:t>
      </w:r>
      <w:r w:rsidRPr="001F7350">
        <w:rPr>
          <w:rFonts w:cs="Arial"/>
        </w:rPr>
        <w:t xml:space="preserve">”. </w:t>
      </w:r>
    </w:p>
    <w:p w:rsidR="008E521A" w:rsidRDefault="008E521A" w:rsidP="008E521A">
      <w:pPr>
        <w:rPr>
          <w:rFonts w:cs="Arial"/>
        </w:rPr>
      </w:pPr>
    </w:p>
    <w:p w:rsidR="008E521A" w:rsidRDefault="008E521A" w:rsidP="008E521A">
      <w:pPr>
        <w:rPr>
          <w:rFonts w:cs="Arial"/>
        </w:rPr>
      </w:pPr>
    </w:p>
    <w:p w:rsidR="008E521A" w:rsidRDefault="008E521A" w:rsidP="008E521A">
      <w:pPr>
        <w:rPr>
          <w:rFonts w:cs="Arial"/>
        </w:rPr>
      </w:pPr>
    </w:p>
    <w:p w:rsidR="00D14394" w:rsidRPr="001F7350" w:rsidRDefault="00D14394" w:rsidP="00D14394">
      <w:pPr>
        <w:keepNext/>
        <w:outlineLvl w:val="0"/>
        <w:rPr>
          <w:caps/>
          <w:spacing w:val="-4"/>
          <w:lang w:eastAsia="ja-JP"/>
        </w:rPr>
      </w:pPr>
      <w:bookmarkStart w:id="12" w:name="_Toc527366638"/>
      <w:bookmarkStart w:id="13" w:name="_Toc85560668"/>
      <w:r w:rsidRPr="001F7350">
        <w:rPr>
          <w:caps/>
          <w:spacing w:val="-4"/>
          <w:lang w:eastAsia="ja-JP"/>
        </w:rPr>
        <w:t xml:space="preserve">Review of document </w:t>
      </w:r>
      <w:proofErr w:type="spellStart"/>
      <w:r w:rsidRPr="001F7350">
        <w:rPr>
          <w:caps/>
          <w:spacing w:val="-4"/>
          <w:lang w:eastAsia="ja-JP"/>
        </w:rPr>
        <w:t>UPOV</w:t>
      </w:r>
      <w:proofErr w:type="spellEnd"/>
      <w:r w:rsidRPr="001F7350">
        <w:rPr>
          <w:caps/>
          <w:spacing w:val="-4"/>
          <w:lang w:eastAsia="ja-JP"/>
        </w:rPr>
        <w:t>/INF/17 “Guidelines for DNA-Profiling:  Molecular Marker Selection and Database Construction (‘BMT Guidelines’)</w:t>
      </w:r>
      <w:bookmarkEnd w:id="12"/>
      <w:r w:rsidRPr="001F7350">
        <w:rPr>
          <w:caps/>
          <w:spacing w:val="-4"/>
          <w:lang w:eastAsia="ja-JP"/>
        </w:rPr>
        <w:t>”</w:t>
      </w:r>
      <w:bookmarkEnd w:id="13"/>
    </w:p>
    <w:p w:rsidR="00D14394" w:rsidRPr="001F7350" w:rsidRDefault="00D14394" w:rsidP="00D14394">
      <w:pPr>
        <w:keepNext/>
        <w:rPr>
          <w:lang w:eastAsia="ja-JP"/>
        </w:rPr>
      </w:pPr>
    </w:p>
    <w:p w:rsidR="00D14394" w:rsidRDefault="00D14394" w:rsidP="00D14394">
      <w:pPr>
        <w:keepNext/>
        <w:rPr>
          <w:rFonts w:eastAsiaTheme="minorEastAsia"/>
          <w:lang w:eastAsia="ja-JP"/>
        </w:rPr>
      </w:pPr>
      <w:r w:rsidRPr="001F7350">
        <w:fldChar w:fldCharType="begin"/>
      </w:r>
      <w:r w:rsidRPr="001F7350">
        <w:instrText xml:space="preserve"> AUTONUM  </w:instrText>
      </w:r>
      <w:r w:rsidRPr="001F7350">
        <w:fldChar w:fldCharType="end"/>
      </w:r>
      <w:r w:rsidRPr="001F7350">
        <w:tab/>
      </w:r>
      <w:r w:rsidRPr="001F7350">
        <w:rPr>
          <w:rFonts w:eastAsiaTheme="minorEastAsia"/>
          <w:lang w:eastAsia="ja-JP"/>
        </w:rPr>
        <w:t>The background</w:t>
      </w:r>
      <w:r w:rsidRPr="001F7350">
        <w:rPr>
          <w:rFonts w:eastAsiaTheme="minorEastAsia" w:hint="eastAsia"/>
          <w:lang w:eastAsia="ja-JP"/>
        </w:rPr>
        <w:t xml:space="preserve"> to this matter </w:t>
      </w:r>
      <w:proofErr w:type="gramStart"/>
      <w:r w:rsidRPr="001F7350">
        <w:rPr>
          <w:rFonts w:eastAsiaTheme="minorEastAsia" w:hint="eastAsia"/>
          <w:lang w:eastAsia="ja-JP"/>
        </w:rPr>
        <w:t>is provided</w:t>
      </w:r>
      <w:proofErr w:type="gramEnd"/>
      <w:r w:rsidRPr="001F7350">
        <w:rPr>
          <w:rFonts w:eastAsiaTheme="minorEastAsia" w:hint="eastAsia"/>
          <w:lang w:eastAsia="ja-JP"/>
        </w:rPr>
        <w:t xml:space="preserve"> in document </w:t>
      </w:r>
      <w:r w:rsidRPr="00623A02">
        <w:rPr>
          <w:rFonts w:eastAsiaTheme="minorEastAsia"/>
          <w:lang w:eastAsia="ja-JP"/>
        </w:rPr>
        <w:t>CAJ</w:t>
      </w:r>
      <w:r w:rsidRPr="00623A02">
        <w:rPr>
          <w:lang w:eastAsia="ja-JP"/>
        </w:rPr>
        <w:t>/75/11 “Molecular techniques”, paragraphs 31 to 34</w:t>
      </w:r>
      <w:r w:rsidRPr="00623A02">
        <w:rPr>
          <w:rFonts w:eastAsiaTheme="minorEastAsia"/>
          <w:lang w:eastAsia="ja-JP"/>
        </w:rPr>
        <w:t>.</w:t>
      </w:r>
    </w:p>
    <w:p w:rsidR="000744B3" w:rsidRDefault="000744B3" w:rsidP="00D14394">
      <w:pPr>
        <w:keepNext/>
        <w:rPr>
          <w:rFonts w:eastAsiaTheme="minorEastAsia"/>
          <w:lang w:eastAsia="ja-JP"/>
        </w:rPr>
      </w:pPr>
    </w:p>
    <w:p w:rsidR="000744B3" w:rsidRDefault="000744B3" w:rsidP="000744B3">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proofErr w:type="gramStart"/>
      <w:r>
        <w:rPr>
          <w:rFonts w:eastAsia="MS Mincho"/>
        </w:rPr>
        <w:t xml:space="preserve">Matters concerning the approval by the CAJ of </w:t>
      </w:r>
      <w:r w:rsidRPr="000454F9">
        <w:rPr>
          <w:rFonts w:eastAsia="MS Mincho"/>
        </w:rPr>
        <w:t>document </w:t>
      </w:r>
      <w:r w:rsidRPr="000744B3">
        <w:rPr>
          <w:rFonts w:eastAsia="MS Mincho"/>
        </w:rPr>
        <w:t>UPOV/INF/17/1 “Guidelines for DNA-Profiling: Molecular Marker Selection and Database Construction (“BMT Guidelines”)”</w:t>
      </w:r>
      <w:r>
        <w:rPr>
          <w:rFonts w:eastAsia="MS Mincho"/>
        </w:rPr>
        <w:t xml:space="preserve">, on the basis of the text in document UPOV/INF/17/1 Draft 6, are reported in document CAJ/78/3 Rev. “Development of guidance and information materials” </w:t>
      </w:r>
      <w:r>
        <w:t>(see paragraph 12 to 13</w:t>
      </w:r>
      <w:r w:rsidRPr="00E163F9">
        <w:t>)</w:t>
      </w:r>
      <w:r>
        <w:t xml:space="preserve"> </w:t>
      </w:r>
      <w:r>
        <w:rPr>
          <w:rFonts w:eastAsia="MS Mincho"/>
        </w:rPr>
        <w:t xml:space="preserve">and document </w:t>
      </w:r>
      <w:r>
        <w:t xml:space="preserve">CAJ/78/12 “Outcome of the consideration of documents by correspondence” (see paragraph </w:t>
      </w:r>
      <w:r w:rsidRPr="00E163F9">
        <w:t>1</w:t>
      </w:r>
      <w:r>
        <w:t>4 and 35</w:t>
      </w:r>
      <w:r w:rsidRPr="00E163F9">
        <w:t>)</w:t>
      </w:r>
      <w:r>
        <w:rPr>
          <w:rFonts w:eastAsia="MS Mincho"/>
        </w:rPr>
        <w:t>.</w:t>
      </w:r>
      <w:proofErr w:type="gramEnd"/>
    </w:p>
    <w:p w:rsidR="000744B3" w:rsidRDefault="000744B3" w:rsidP="000744B3">
      <w:pPr>
        <w:rPr>
          <w:rFonts w:eastAsia="MS Mincho"/>
        </w:rPr>
      </w:pPr>
    </w:p>
    <w:p w:rsidR="000744B3" w:rsidRPr="00CB674F" w:rsidRDefault="000744B3" w:rsidP="000744B3">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proofErr w:type="gramStart"/>
      <w:r w:rsidRPr="00CB674F">
        <w:rPr>
          <w:rFonts w:eastAsia="MS Mincho"/>
        </w:rPr>
        <w:t xml:space="preserve">The </w:t>
      </w:r>
      <w:r>
        <w:rPr>
          <w:rFonts w:eastAsia="MS Mincho"/>
        </w:rPr>
        <w:t xml:space="preserve">CAJ </w:t>
      </w:r>
      <w:r w:rsidRPr="00CB674F">
        <w:rPr>
          <w:rFonts w:eastAsia="MS Mincho"/>
        </w:rPr>
        <w:t xml:space="preserve">is invited to note the </w:t>
      </w:r>
      <w:r>
        <w:rPr>
          <w:rFonts w:eastAsia="MS Mincho"/>
        </w:rPr>
        <w:t xml:space="preserve">adoption by the </w:t>
      </w:r>
      <w:r w:rsidRPr="00CB674F">
        <w:rPr>
          <w:rFonts w:eastAsia="MS Mincho"/>
        </w:rPr>
        <w:t>Council</w:t>
      </w:r>
      <w:r>
        <w:rPr>
          <w:rFonts w:eastAsia="MS Mincho"/>
        </w:rPr>
        <w:t>,</w:t>
      </w:r>
      <w:r w:rsidRPr="00CB674F">
        <w:rPr>
          <w:rFonts w:eastAsia="MS Mincho"/>
        </w:rPr>
        <w:t xml:space="preserve"> by cor</w:t>
      </w:r>
      <w:r>
        <w:rPr>
          <w:rFonts w:eastAsia="MS Mincho"/>
        </w:rPr>
        <w:t>respondence on September 21, 202</w:t>
      </w:r>
      <w:r w:rsidRPr="00CB674F">
        <w:rPr>
          <w:rFonts w:eastAsia="MS Mincho"/>
        </w:rPr>
        <w:t>1,</w:t>
      </w:r>
      <w:r w:rsidRPr="00CB674F">
        <w:t xml:space="preserve"> </w:t>
      </w:r>
      <w:r>
        <w:t xml:space="preserve">of document </w:t>
      </w:r>
      <w:r w:rsidR="002D081D" w:rsidRPr="00640A12">
        <w:rPr>
          <w:rFonts w:eastAsia="SimSun" w:cs="Arial"/>
          <w:snapToGrid w:val="0"/>
          <w:lang w:eastAsia="ja-JP"/>
        </w:rPr>
        <w:t>UPOV/INF/17/1 “</w:t>
      </w:r>
      <w:r w:rsidR="002D081D" w:rsidRPr="00640A12">
        <w:rPr>
          <w:rFonts w:cs="Arial"/>
        </w:rPr>
        <w:t>Guidelines for DNA-Profiling: Molecular Marker Selection and Database Construction (“BMT Guidelines”)</w:t>
      </w:r>
      <w:r w:rsidR="002D081D" w:rsidRPr="00640A12">
        <w:rPr>
          <w:rFonts w:eastAsia="SimSun" w:cs="Arial"/>
          <w:snapToGrid w:val="0"/>
          <w:lang w:eastAsia="ja-JP"/>
        </w:rPr>
        <w:t>”</w:t>
      </w:r>
      <w:r>
        <w:rPr>
          <w:rFonts w:eastAsia="MS Mincho"/>
        </w:rPr>
        <w:t>, on the basis of the text in document UPOV/INF/</w:t>
      </w:r>
      <w:r w:rsidR="002D081D">
        <w:rPr>
          <w:rFonts w:eastAsia="MS Mincho"/>
        </w:rPr>
        <w:t>17</w:t>
      </w:r>
      <w:r>
        <w:rPr>
          <w:rFonts w:eastAsia="MS Mincho"/>
        </w:rPr>
        <w:t>/1 Draft </w:t>
      </w:r>
      <w:r w:rsidR="002D081D">
        <w:rPr>
          <w:rFonts w:eastAsia="MS Mincho"/>
        </w:rPr>
        <w:t>6</w:t>
      </w:r>
      <w:r>
        <w:rPr>
          <w:rFonts w:eastAsia="MS Mincho"/>
        </w:rPr>
        <w:t xml:space="preserve"> (see document C/55/12 “</w:t>
      </w:r>
      <w:r w:rsidRPr="00CB674F">
        <w:rPr>
          <w:rFonts w:eastAsia="MS Mincho"/>
        </w:rPr>
        <w:t>Outcome of the consideration of documents by correspondence</w:t>
      </w:r>
      <w:r>
        <w:rPr>
          <w:rFonts w:eastAsia="MS Mincho"/>
        </w:rPr>
        <w:t xml:space="preserve">”, paragraph </w:t>
      </w:r>
      <w:r w:rsidR="002D081D">
        <w:rPr>
          <w:rFonts w:eastAsia="MS Mincho"/>
        </w:rPr>
        <w:t xml:space="preserve">18 and </w:t>
      </w:r>
      <w:r>
        <w:rPr>
          <w:rFonts w:eastAsia="MS Mincho"/>
        </w:rPr>
        <w:t>32).</w:t>
      </w:r>
      <w:proofErr w:type="gramEnd"/>
    </w:p>
    <w:bookmarkEnd w:id="6"/>
    <w:bookmarkEnd w:id="7"/>
    <w:bookmarkEnd w:id="8"/>
    <w:bookmarkEnd w:id="9"/>
    <w:p w:rsidR="00D14394" w:rsidRPr="008E521A" w:rsidRDefault="00D14394" w:rsidP="008E521A"/>
    <w:p w:rsidR="00D5236F" w:rsidRPr="008E521A" w:rsidRDefault="00D5236F" w:rsidP="008E521A"/>
    <w:p w:rsidR="00D14394" w:rsidRPr="008E521A" w:rsidRDefault="00D14394" w:rsidP="008E521A"/>
    <w:p w:rsidR="00D14394" w:rsidRPr="001F7350" w:rsidRDefault="00D14394" w:rsidP="00D14394">
      <w:pPr>
        <w:keepNext/>
        <w:outlineLvl w:val="0"/>
        <w:rPr>
          <w:caps/>
          <w:spacing w:val="-4"/>
          <w:lang w:eastAsia="ja-JP"/>
        </w:rPr>
      </w:pPr>
      <w:bookmarkStart w:id="14" w:name="_Toc525647214"/>
      <w:bookmarkStart w:id="15" w:name="_Toc526175654"/>
      <w:bookmarkStart w:id="16" w:name="_Toc527366641"/>
      <w:bookmarkStart w:id="17" w:name="_Toc85560669"/>
      <w:r w:rsidRPr="001F7350">
        <w:rPr>
          <w:caps/>
          <w:spacing w:val="-4"/>
          <w:lang w:eastAsia="ja-JP"/>
        </w:rPr>
        <w:t>Cooperation between international organizations</w:t>
      </w:r>
      <w:bookmarkEnd w:id="14"/>
      <w:bookmarkEnd w:id="15"/>
      <w:bookmarkEnd w:id="16"/>
      <w:bookmarkEnd w:id="17"/>
    </w:p>
    <w:p w:rsidR="00D14394" w:rsidRPr="001F7350" w:rsidRDefault="00D14394" w:rsidP="00D14394">
      <w:pPr>
        <w:keepNext/>
        <w:rPr>
          <w:lang w:eastAsia="ja-JP"/>
        </w:rPr>
      </w:pPr>
    </w:p>
    <w:p w:rsidR="00D14394" w:rsidRPr="001F7350" w:rsidRDefault="00D14394" w:rsidP="00D14394">
      <w:pPr>
        <w:keepNext/>
        <w:rPr>
          <w:rFonts w:eastAsiaTheme="minorEastAsia"/>
          <w:lang w:eastAsia="ja-JP"/>
        </w:rPr>
      </w:pPr>
      <w:r w:rsidRPr="001F7350">
        <w:fldChar w:fldCharType="begin"/>
      </w:r>
      <w:r w:rsidRPr="001F7350">
        <w:instrText xml:space="preserve"> AUTONUM  </w:instrText>
      </w:r>
      <w:r w:rsidRPr="001F7350">
        <w:fldChar w:fldCharType="end"/>
      </w:r>
      <w:r w:rsidRPr="001F7350">
        <w:tab/>
      </w:r>
      <w:r w:rsidRPr="001F7350">
        <w:rPr>
          <w:rFonts w:eastAsiaTheme="minorEastAsia"/>
          <w:lang w:eastAsia="ja-JP"/>
        </w:rPr>
        <w:t>The background</w:t>
      </w:r>
      <w:r w:rsidRPr="001F7350">
        <w:rPr>
          <w:rFonts w:eastAsiaTheme="minorEastAsia" w:hint="eastAsia"/>
          <w:lang w:eastAsia="ja-JP"/>
        </w:rPr>
        <w:t xml:space="preserve"> to this matter </w:t>
      </w:r>
      <w:proofErr w:type="gramStart"/>
      <w:r w:rsidRPr="001F7350">
        <w:rPr>
          <w:rFonts w:eastAsiaTheme="minorEastAsia" w:hint="eastAsia"/>
          <w:lang w:eastAsia="ja-JP"/>
        </w:rPr>
        <w:t>is provided</w:t>
      </w:r>
      <w:proofErr w:type="gramEnd"/>
      <w:r w:rsidRPr="001F7350">
        <w:rPr>
          <w:rFonts w:eastAsiaTheme="minorEastAsia" w:hint="eastAsia"/>
          <w:lang w:eastAsia="ja-JP"/>
        </w:rPr>
        <w:t xml:space="preserve"> in document </w:t>
      </w:r>
      <w:r w:rsidRPr="00623A02">
        <w:rPr>
          <w:rFonts w:eastAsiaTheme="minorEastAsia"/>
          <w:lang w:eastAsia="ja-JP"/>
        </w:rPr>
        <w:t>CAJ</w:t>
      </w:r>
      <w:r w:rsidRPr="00623A02">
        <w:rPr>
          <w:lang w:eastAsia="ja-JP"/>
        </w:rPr>
        <w:t>/76/INF/3 “Molecular techniques”</w:t>
      </w:r>
      <w:r w:rsidRPr="00623A02">
        <w:rPr>
          <w:rFonts w:eastAsiaTheme="minorEastAsia"/>
          <w:lang w:eastAsia="ja-JP"/>
        </w:rPr>
        <w:t>.</w:t>
      </w:r>
    </w:p>
    <w:p w:rsidR="00D14394" w:rsidRDefault="00D14394" w:rsidP="00D14394">
      <w:pPr>
        <w:rPr>
          <w:rFonts w:eastAsiaTheme="minorEastAsia"/>
          <w:lang w:eastAsia="ja-JP"/>
        </w:rPr>
      </w:pPr>
    </w:p>
    <w:p w:rsidR="00D14394" w:rsidRPr="001F7350" w:rsidRDefault="00D14394" w:rsidP="00D14394">
      <w:r w:rsidRPr="001F7350">
        <w:fldChar w:fldCharType="begin"/>
      </w:r>
      <w:r w:rsidRPr="001F7350">
        <w:instrText xml:space="preserve"> AUTONUM  </w:instrText>
      </w:r>
      <w:r w:rsidRPr="001F7350">
        <w:fldChar w:fldCharType="end"/>
      </w:r>
      <w:r w:rsidRPr="001F7350">
        <w:tab/>
        <w:t xml:space="preserve">The CAJ, at its seventy-fifth session, noted that the TC </w:t>
      </w:r>
      <w:r w:rsidRPr="001F7350">
        <w:rPr>
          <w:bCs/>
        </w:rPr>
        <w:t>had agreed</w:t>
      </w:r>
      <w:r w:rsidRPr="001F7350">
        <w:t xml:space="preserve"> that UPOV and OECD make progress on matters previously agreed by the TC, as set out in document CAJ/75/13, Annex, paragraph 46</w:t>
      </w:r>
      <w:r w:rsidRPr="001F7350">
        <w:rPr>
          <w:vertAlign w:val="superscript"/>
        </w:rPr>
        <w:footnoteReference w:id="2"/>
      </w:r>
      <w:r w:rsidRPr="001F7350">
        <w:t>, namely:</w:t>
      </w:r>
    </w:p>
    <w:p w:rsidR="00D14394" w:rsidRDefault="00D14394" w:rsidP="00D14394">
      <w:pPr>
        <w:rPr>
          <w:rFonts w:eastAsiaTheme="minorEastAsia"/>
          <w:lang w:eastAsia="ja-JP"/>
        </w:rPr>
      </w:pPr>
    </w:p>
    <w:p w:rsidR="00D14394" w:rsidRDefault="00D14394" w:rsidP="00D14394">
      <w:pPr>
        <w:ind w:firstLine="567"/>
        <w:rPr>
          <w:rFonts w:eastAsiaTheme="minorEastAsia"/>
          <w:lang w:eastAsia="ja-JP"/>
        </w:rPr>
      </w:pPr>
      <w:r w:rsidRPr="00294CB7">
        <w:rPr>
          <w:rFonts w:eastAsiaTheme="minorEastAsia"/>
          <w:lang w:eastAsia="ja-JP"/>
        </w:rPr>
        <w:t>(a)</w:t>
      </w:r>
      <w:r>
        <w:rPr>
          <w:rFonts w:eastAsiaTheme="minorEastAsia"/>
          <w:lang w:eastAsia="ja-JP"/>
        </w:rPr>
        <w:tab/>
      </w:r>
      <w:r w:rsidRPr="00294CB7">
        <w:rPr>
          <w:rFonts w:eastAsiaTheme="minorEastAsia"/>
          <w:lang w:eastAsia="ja-JP"/>
        </w:rPr>
        <w:t xml:space="preserve"> </w:t>
      </w:r>
      <w:proofErr w:type="gramStart"/>
      <w:r w:rsidRPr="00294CB7">
        <w:rPr>
          <w:rFonts w:eastAsiaTheme="minorEastAsia"/>
          <w:lang w:eastAsia="ja-JP"/>
        </w:rPr>
        <w:t>to</w:t>
      </w:r>
      <w:proofErr w:type="gramEnd"/>
      <w:r w:rsidRPr="00294CB7">
        <w:rPr>
          <w:rFonts w:eastAsiaTheme="minorEastAsia"/>
          <w:lang w:eastAsia="ja-JP"/>
        </w:rPr>
        <w:t xml:space="preserve"> develop a joint document explaining the principal features of the systems of the OECD, UPOV and ISTA; </w:t>
      </w:r>
    </w:p>
    <w:p w:rsidR="00D14394" w:rsidRDefault="00D14394" w:rsidP="00D14394">
      <w:pPr>
        <w:ind w:firstLine="567"/>
        <w:rPr>
          <w:rFonts w:eastAsiaTheme="minorEastAsia"/>
          <w:lang w:eastAsia="ja-JP"/>
        </w:rPr>
      </w:pPr>
    </w:p>
    <w:p w:rsidR="00D14394" w:rsidRDefault="00D14394" w:rsidP="00D14394">
      <w:pPr>
        <w:ind w:firstLine="567"/>
        <w:rPr>
          <w:rFonts w:eastAsiaTheme="minorEastAsia"/>
          <w:lang w:eastAsia="ja-JP"/>
        </w:rPr>
      </w:pPr>
      <w:r w:rsidRPr="00294CB7">
        <w:rPr>
          <w:rFonts w:eastAsiaTheme="minorEastAsia"/>
          <w:lang w:eastAsia="ja-JP"/>
        </w:rPr>
        <w:t>(b)</w:t>
      </w:r>
      <w:r>
        <w:rPr>
          <w:rFonts w:eastAsiaTheme="minorEastAsia"/>
          <w:lang w:eastAsia="ja-JP"/>
        </w:rPr>
        <w:tab/>
      </w:r>
      <w:r w:rsidRPr="00294CB7">
        <w:rPr>
          <w:rFonts w:eastAsiaTheme="minorEastAsia"/>
          <w:lang w:eastAsia="ja-JP"/>
        </w:rPr>
        <w:t>to develop an inventory on the use of molecular marker techniques, by crop, with a view to developing a joint OECD/UPOV/ISTA document containing that information, in a similar format to UPOV document</w:t>
      </w:r>
      <w:r>
        <w:rPr>
          <w:rFonts w:eastAsiaTheme="minorEastAsia"/>
          <w:lang w:eastAsia="ja-JP"/>
        </w:rPr>
        <w:t> </w:t>
      </w:r>
      <w:r w:rsidRPr="00294CB7">
        <w:rPr>
          <w:rFonts w:eastAsiaTheme="minorEastAsia"/>
          <w:lang w:eastAsia="ja-JP"/>
        </w:rPr>
        <w:t xml:space="preserve">UPOV/INF/16 “Exchangeable Software”, subject to the approval of the Council and in coordination with OECD and ISTA; and </w:t>
      </w:r>
    </w:p>
    <w:p w:rsidR="00D14394" w:rsidRDefault="00D14394" w:rsidP="00D14394">
      <w:pPr>
        <w:ind w:firstLine="567"/>
        <w:rPr>
          <w:rFonts w:eastAsiaTheme="minorEastAsia"/>
          <w:lang w:eastAsia="ja-JP"/>
        </w:rPr>
      </w:pPr>
    </w:p>
    <w:p w:rsidR="00D14394" w:rsidRDefault="00D14394" w:rsidP="00D14394">
      <w:pPr>
        <w:ind w:firstLine="567"/>
        <w:rPr>
          <w:rFonts w:eastAsiaTheme="minorEastAsia"/>
          <w:lang w:eastAsia="ja-JP"/>
        </w:rPr>
      </w:pPr>
      <w:r w:rsidRPr="00294CB7">
        <w:rPr>
          <w:rFonts w:eastAsiaTheme="minorEastAsia"/>
          <w:lang w:eastAsia="ja-JP"/>
        </w:rPr>
        <w:t>(c)</w:t>
      </w:r>
      <w:r>
        <w:rPr>
          <w:rFonts w:eastAsiaTheme="minorEastAsia"/>
          <w:lang w:eastAsia="ja-JP"/>
        </w:rPr>
        <w:tab/>
      </w:r>
      <w:proofErr w:type="gramStart"/>
      <w:r w:rsidRPr="00294CB7">
        <w:rPr>
          <w:rFonts w:eastAsiaTheme="minorEastAsia"/>
          <w:lang w:eastAsia="ja-JP"/>
        </w:rPr>
        <w:t>the</w:t>
      </w:r>
      <w:proofErr w:type="gramEnd"/>
      <w:r w:rsidRPr="00294CB7">
        <w:rPr>
          <w:rFonts w:eastAsiaTheme="minorEastAsia"/>
          <w:lang w:eastAsia="ja-JP"/>
        </w:rPr>
        <w:t xml:space="preserve"> BMT to develop lists of possible joint initiatives with OECD and ISTA in relation to molecular techniques for consideration by the TC. </w:t>
      </w:r>
    </w:p>
    <w:p w:rsidR="00D14394" w:rsidRDefault="00D14394" w:rsidP="00D14394">
      <w:pPr>
        <w:rPr>
          <w:rFonts w:eastAsiaTheme="minorEastAsia"/>
          <w:lang w:eastAsia="ja-JP"/>
        </w:rPr>
      </w:pPr>
    </w:p>
    <w:p w:rsidR="00D14394" w:rsidRDefault="00D14394" w:rsidP="00D14394">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The TC, at its fifty-fourth session, agreed to invite ISTA to join the initiatives when in position to do so. </w:t>
      </w:r>
    </w:p>
    <w:p w:rsidR="00D14394" w:rsidRDefault="00D14394" w:rsidP="00D14394">
      <w:pPr>
        <w:rPr>
          <w:rFonts w:eastAsiaTheme="minorEastAsia"/>
          <w:lang w:eastAsia="ja-JP"/>
        </w:rPr>
      </w:pPr>
    </w:p>
    <w:p w:rsidR="00D14394" w:rsidRDefault="00D14394" w:rsidP="00D14394">
      <w:pPr>
        <w:rPr>
          <w:rFonts w:eastAsiaTheme="minorEastAsia"/>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Developments concerning the matters above </w:t>
      </w:r>
      <w:proofErr w:type="gramStart"/>
      <w:r w:rsidRPr="00294CB7">
        <w:rPr>
          <w:rFonts w:eastAsiaTheme="minorEastAsia"/>
          <w:lang w:eastAsia="ja-JP"/>
        </w:rPr>
        <w:t xml:space="preserve">are </w:t>
      </w:r>
      <w:r>
        <w:rPr>
          <w:rFonts w:eastAsiaTheme="minorEastAsia"/>
          <w:lang w:eastAsia="ja-JP"/>
        </w:rPr>
        <w:t>provided</w:t>
      </w:r>
      <w:proofErr w:type="gramEnd"/>
      <w:r>
        <w:rPr>
          <w:rFonts w:eastAsiaTheme="minorEastAsia"/>
          <w:lang w:eastAsia="ja-JP"/>
        </w:rPr>
        <w:t xml:space="preserve"> in the following paragraphs.</w:t>
      </w:r>
    </w:p>
    <w:p w:rsidR="00D14394" w:rsidRPr="008E521A" w:rsidRDefault="00D14394" w:rsidP="008E521A">
      <w:pPr>
        <w:rPr>
          <w:rFonts w:eastAsiaTheme="minorEastAsia"/>
        </w:rPr>
      </w:pPr>
    </w:p>
    <w:p w:rsidR="00733267" w:rsidRPr="008E521A" w:rsidRDefault="00733267" w:rsidP="008E521A">
      <w:pPr>
        <w:rPr>
          <w:rFonts w:eastAsiaTheme="minorEastAsia"/>
        </w:rPr>
      </w:pPr>
    </w:p>
    <w:p w:rsidR="00733267" w:rsidRPr="000729FE" w:rsidRDefault="00733267" w:rsidP="00733267">
      <w:pPr>
        <w:pStyle w:val="Heading2"/>
        <w:rPr>
          <w:rFonts w:eastAsiaTheme="minorEastAsia"/>
        </w:rPr>
      </w:pPr>
      <w:bookmarkStart w:id="18" w:name="_Toc53597265"/>
      <w:bookmarkStart w:id="19" w:name="_Toc85560670"/>
      <w:r w:rsidRPr="000729FE">
        <w:rPr>
          <w:rFonts w:eastAsiaTheme="minorEastAsia"/>
        </w:rPr>
        <w:t>Joint document explaining the principal features of the systems of OECD, UPOV and ISTA</w:t>
      </w:r>
      <w:bookmarkEnd w:id="18"/>
      <w:bookmarkEnd w:id="19"/>
    </w:p>
    <w:p w:rsidR="00733267" w:rsidRDefault="00733267" w:rsidP="00733267"/>
    <w:p w:rsidR="00733267" w:rsidRDefault="00733267" w:rsidP="00733267">
      <w:pPr>
        <w:pStyle w:val="Heading3"/>
      </w:pPr>
      <w:bookmarkStart w:id="20" w:name="_Toc53597266"/>
      <w:r>
        <w:t>Background</w:t>
      </w:r>
      <w:bookmarkEnd w:id="20"/>
    </w:p>
    <w:p w:rsidR="00733267" w:rsidRDefault="00733267" w:rsidP="00733267"/>
    <w:p w:rsidR="00733267" w:rsidRDefault="00733267" w:rsidP="00733267">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rsidRPr="004C3A40">
        <w:rPr>
          <w:rFonts w:eastAsiaTheme="minorEastAsia"/>
        </w:rPr>
        <w:tab/>
      </w:r>
      <w:proofErr w:type="gramStart"/>
      <w:r w:rsidRPr="004C3A40">
        <w:rPr>
          <w:rFonts w:eastAsiaTheme="minorEastAsia"/>
        </w:rPr>
        <w:t>The TC</w:t>
      </w:r>
      <w:r>
        <w:rPr>
          <w:rFonts w:eastAsiaTheme="minorEastAsia"/>
        </w:rPr>
        <w:t>, at its fifty-fifth session,</w:t>
      </w:r>
      <w:r w:rsidRPr="004C3A40">
        <w:rPr>
          <w:rFonts w:eastAsiaTheme="minorEastAsia"/>
        </w:rPr>
        <w:t xml:space="preserve">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1857B6">
        <w:rPr>
          <w:lang w:eastAsia="ja-JP"/>
        </w:rPr>
        <w:t xml:space="preserve"> (see document</w:t>
      </w:r>
      <w:r>
        <w:rPr>
          <w:lang w:eastAsia="ja-JP"/>
        </w:rPr>
        <w:t> </w:t>
      </w:r>
      <w:r w:rsidRPr="001857B6">
        <w:rPr>
          <w:lang w:eastAsia="ja-JP"/>
        </w:rPr>
        <w:t>TC/5</w:t>
      </w:r>
      <w:r>
        <w:rPr>
          <w:lang w:eastAsia="ja-JP"/>
        </w:rPr>
        <w:t>5</w:t>
      </w:r>
      <w:r w:rsidRPr="001857B6">
        <w:rPr>
          <w:lang w:eastAsia="ja-JP"/>
        </w:rPr>
        <w:t>/</w:t>
      </w:r>
      <w:r>
        <w:rPr>
          <w:lang w:eastAsia="ja-JP"/>
        </w:rPr>
        <w:t>25</w:t>
      </w:r>
      <w:r w:rsidRPr="001857B6">
        <w:rPr>
          <w:lang w:eastAsia="ja-JP"/>
        </w:rPr>
        <w:t xml:space="preserve"> “Report”, paragraph </w:t>
      </w:r>
      <w:r>
        <w:rPr>
          <w:lang w:eastAsia="ja-JP"/>
        </w:rPr>
        <w:t>182</w:t>
      </w:r>
      <w:r w:rsidRPr="001857B6">
        <w:rPr>
          <w:lang w:eastAsia="ja-JP"/>
        </w:rPr>
        <w:t>)</w:t>
      </w:r>
      <w:r w:rsidRPr="004C3A40">
        <w:rPr>
          <w:rFonts w:eastAsiaTheme="minorEastAsia"/>
        </w:rPr>
        <w:t>.</w:t>
      </w:r>
      <w:proofErr w:type="gramEnd"/>
      <w:r w:rsidRPr="004C3A40">
        <w:rPr>
          <w:rFonts w:eastAsiaTheme="minorEastAsia"/>
          <w:iCs/>
        </w:rPr>
        <w:t xml:space="preserve"> </w:t>
      </w:r>
    </w:p>
    <w:p w:rsidR="00733267" w:rsidRDefault="00733267" w:rsidP="00733267">
      <w:pPr>
        <w:rPr>
          <w:rFonts w:eastAsiaTheme="minorEastAsia"/>
        </w:rPr>
      </w:pPr>
    </w:p>
    <w:p w:rsidR="00733267" w:rsidRDefault="00733267" w:rsidP="00733267">
      <w:pPr>
        <w:pStyle w:val="Heading3"/>
        <w:rPr>
          <w:rFonts w:eastAsiaTheme="minorEastAsia"/>
        </w:rPr>
      </w:pPr>
      <w:bookmarkStart w:id="21" w:name="_Toc53597267"/>
      <w:r>
        <w:rPr>
          <w:rFonts w:eastAsiaTheme="minorEastAsia"/>
        </w:rPr>
        <w:lastRenderedPageBreak/>
        <w:t>Draft joint document</w:t>
      </w:r>
      <w:bookmarkEnd w:id="21"/>
    </w:p>
    <w:p w:rsidR="00733267" w:rsidRDefault="00733267" w:rsidP="00733267">
      <w:pPr>
        <w:keepNext/>
        <w:rPr>
          <w:rFonts w:eastAsiaTheme="minorEastAsia"/>
        </w:rPr>
      </w:pPr>
    </w:p>
    <w:p w:rsidR="00733267" w:rsidRDefault="00733267" w:rsidP="00733267">
      <w:pPr>
        <w:keepNext/>
        <w:rPr>
          <w:rFonts w:eastAsiaTheme="minorEastAsia"/>
        </w:rPr>
      </w:pPr>
      <w:r w:rsidRPr="00621264">
        <w:rPr>
          <w:rFonts w:eastAsiaTheme="minorEastAsia"/>
        </w:rPr>
        <w:fldChar w:fldCharType="begin"/>
      </w:r>
      <w:r w:rsidRPr="00621264">
        <w:rPr>
          <w:rFonts w:eastAsiaTheme="minorEastAsia"/>
        </w:rPr>
        <w:instrText xml:space="preserve"> AUTONUM  </w:instrText>
      </w:r>
      <w:r w:rsidRPr="00621264">
        <w:rPr>
          <w:rFonts w:eastAsiaTheme="minorEastAsia"/>
        </w:rPr>
        <w:fldChar w:fldCharType="end"/>
      </w:r>
      <w:r w:rsidRPr="00621264">
        <w:rPr>
          <w:rFonts w:eastAsiaTheme="minorEastAsia"/>
        </w:rPr>
        <w:tab/>
      </w:r>
      <w:r w:rsidR="0027540F" w:rsidRPr="00702225">
        <w:t>The TC, at its fifty-sixth session, noted developments on a joint document explaining the principal features of the systems of OECD, UPOV and ISTA with the aim of proposing a draft joint document for</w:t>
      </w:r>
      <w:r w:rsidR="0027540F" w:rsidRPr="005E137A">
        <w:t xml:space="preserve"> consideration by the TC at its fifty-seventh session </w:t>
      </w:r>
      <w:r w:rsidR="007E07ED" w:rsidRPr="005E137A">
        <w:t>(see document TC/56/23 “Report”, paragraphs 50 and 51).</w:t>
      </w:r>
    </w:p>
    <w:p w:rsidR="0027540F" w:rsidRDefault="0027540F" w:rsidP="00733267">
      <w:pPr>
        <w:rPr>
          <w:rFonts w:eastAsiaTheme="minorEastAsia"/>
        </w:rPr>
      </w:pPr>
    </w:p>
    <w:p w:rsidR="007E07ED" w:rsidRDefault="007E07ED" w:rsidP="007E07ED">
      <w:pPr>
        <w:rPr>
          <w:rFonts w:eastAsiaTheme="minorEastAsia"/>
        </w:rPr>
      </w:pPr>
      <w:r>
        <w:fldChar w:fldCharType="begin"/>
      </w:r>
      <w:r>
        <w:instrText xml:space="preserve"> AUTONUM  </w:instrText>
      </w:r>
      <w:r>
        <w:fldChar w:fldCharType="end"/>
      </w:r>
      <w:r>
        <w:tab/>
      </w:r>
      <w:r w:rsidRPr="005E137A">
        <w:t xml:space="preserve">The TC noted that the joint document would provide information on the status of </w:t>
      </w:r>
      <w:r w:rsidRPr="008E521A">
        <w:t xml:space="preserve">molecular techniques for the purposes of each organization.  </w:t>
      </w:r>
      <w:r w:rsidRPr="008E521A">
        <w:rPr>
          <w:rFonts w:eastAsiaTheme="minorEastAsia"/>
        </w:rPr>
        <w:t xml:space="preserve">The elements of a draft joint document </w:t>
      </w:r>
      <w:proofErr w:type="gramStart"/>
      <w:r w:rsidRPr="008E521A">
        <w:rPr>
          <w:rFonts w:eastAsiaTheme="minorEastAsia"/>
        </w:rPr>
        <w:t>are provided</w:t>
      </w:r>
      <w:proofErr w:type="gramEnd"/>
      <w:r w:rsidRPr="008E521A">
        <w:rPr>
          <w:rFonts w:eastAsiaTheme="minorEastAsia"/>
        </w:rPr>
        <w:t xml:space="preserve"> in Annex I to</w:t>
      </w:r>
      <w:r w:rsidRPr="005A7823">
        <w:rPr>
          <w:rFonts w:eastAsiaTheme="minorEastAsia"/>
        </w:rPr>
        <w:t xml:space="preserve"> this document</w:t>
      </w:r>
      <w:r>
        <w:rPr>
          <w:rFonts w:eastAsiaTheme="minorEastAsia"/>
        </w:rPr>
        <w:t>.</w:t>
      </w:r>
    </w:p>
    <w:p w:rsidR="007E07ED" w:rsidRDefault="007E07ED" w:rsidP="00733267">
      <w:pPr>
        <w:rPr>
          <w:rFonts w:eastAsiaTheme="minorEastAsia"/>
        </w:rPr>
      </w:pPr>
    </w:p>
    <w:p w:rsidR="0027540F" w:rsidRDefault="0027540F" w:rsidP="0027540F">
      <w:pPr>
        <w:keepNext/>
      </w:pPr>
      <w:r w:rsidRPr="00FA4478">
        <w:fldChar w:fldCharType="begin"/>
      </w:r>
      <w:r w:rsidRPr="00FA4478">
        <w:instrText xml:space="preserve"> AUTONUM  </w:instrText>
      </w:r>
      <w:r w:rsidRPr="00FA4478">
        <w:fldChar w:fldCharType="end"/>
      </w:r>
      <w:r>
        <w:tab/>
      </w:r>
      <w:proofErr w:type="gramStart"/>
      <w:r w:rsidR="00F251E0">
        <w:t>A</w:t>
      </w:r>
      <w:r w:rsidRPr="00FA4478">
        <w:t xml:space="preserve"> draft joint document explaining the principal features of the systems of OECD, UPOV and ISTA </w:t>
      </w:r>
      <w:r w:rsidR="00B31902">
        <w:t>will</w:t>
      </w:r>
      <w:r w:rsidR="00B31902" w:rsidRPr="00FA4478">
        <w:t xml:space="preserve"> </w:t>
      </w:r>
      <w:r w:rsidRPr="00FA4478">
        <w:t>be presented for consideration by the TC</w:t>
      </w:r>
      <w:r w:rsidR="007E07ED">
        <w:t>,</w:t>
      </w:r>
      <w:proofErr w:type="gramEnd"/>
      <w:r w:rsidRPr="00FA4478">
        <w:t xml:space="preserve"> at its fifty-seventh session</w:t>
      </w:r>
      <w:r w:rsidR="007E07ED">
        <w:t>, for approval</w:t>
      </w:r>
      <w:r w:rsidRPr="00FA4478">
        <w:t>.</w:t>
      </w:r>
      <w:r>
        <w:t xml:space="preserve">  S</w:t>
      </w:r>
      <w:r w:rsidRPr="00A17C89">
        <w:t xml:space="preserve">ubject to approval by the TC of the draft joint document, the TC </w:t>
      </w:r>
      <w:proofErr w:type="gramStart"/>
      <w:r w:rsidR="00B31902">
        <w:t>will</w:t>
      </w:r>
      <w:r w:rsidR="00B31902" w:rsidRPr="00A17C89">
        <w:t xml:space="preserve"> </w:t>
      </w:r>
      <w:r w:rsidRPr="00A17C89">
        <w:t>be invited</w:t>
      </w:r>
      <w:proofErr w:type="gramEnd"/>
      <w:r w:rsidRPr="00A17C89">
        <w:t xml:space="preserve"> to request the Office of the Union to inform OECD and ISTA accordingly.</w:t>
      </w:r>
    </w:p>
    <w:p w:rsidR="00D14394" w:rsidRPr="008E521A" w:rsidRDefault="00D14394" w:rsidP="008E521A">
      <w:pPr>
        <w:rPr>
          <w:rFonts w:eastAsiaTheme="minorEastAsia"/>
        </w:rPr>
      </w:pPr>
    </w:p>
    <w:p w:rsidR="007E07ED" w:rsidRPr="008E521A" w:rsidRDefault="007E07ED" w:rsidP="008E521A">
      <w:pPr>
        <w:rPr>
          <w:rFonts w:eastAsiaTheme="minorEastAsia"/>
        </w:rPr>
      </w:pPr>
    </w:p>
    <w:p w:rsidR="00D14394" w:rsidRPr="000729FE" w:rsidRDefault="00D14394" w:rsidP="00D14394">
      <w:pPr>
        <w:pStyle w:val="Heading2"/>
        <w:rPr>
          <w:rFonts w:eastAsiaTheme="minorEastAsia"/>
        </w:rPr>
      </w:pPr>
      <w:bookmarkStart w:id="22" w:name="_Toc15295343"/>
      <w:bookmarkStart w:id="23" w:name="_Toc22564623"/>
      <w:bookmarkStart w:id="24" w:name="_Toc27663377"/>
      <w:bookmarkStart w:id="25" w:name="_Toc53597262"/>
      <w:bookmarkStart w:id="26" w:name="_Toc85560671"/>
      <w:r w:rsidRPr="000729FE">
        <w:rPr>
          <w:rFonts w:eastAsiaTheme="minorEastAsia"/>
        </w:rPr>
        <w:t>Inventory on the use of molecular marker techniques, by crop</w:t>
      </w:r>
      <w:bookmarkEnd w:id="22"/>
      <w:bookmarkEnd w:id="23"/>
      <w:bookmarkEnd w:id="24"/>
      <w:bookmarkEnd w:id="25"/>
      <w:bookmarkEnd w:id="26"/>
    </w:p>
    <w:p w:rsidR="00D14394" w:rsidRDefault="00D14394" w:rsidP="00D14394">
      <w:pPr>
        <w:rPr>
          <w:rFonts w:eastAsiaTheme="minorEastAsia"/>
        </w:rPr>
      </w:pPr>
      <w:bookmarkStart w:id="27" w:name="_Toc15295342"/>
      <w:bookmarkStart w:id="28" w:name="_Toc22564625"/>
      <w:bookmarkStart w:id="29" w:name="_Toc27663379"/>
    </w:p>
    <w:p w:rsidR="00346604" w:rsidRPr="00346604" w:rsidRDefault="00346604" w:rsidP="00346604">
      <w:pPr>
        <w:pStyle w:val="Heading3"/>
      </w:pPr>
      <w:r w:rsidRPr="00346604">
        <w:t>Background</w:t>
      </w:r>
    </w:p>
    <w:p w:rsidR="00D14394" w:rsidRPr="009F5439" w:rsidRDefault="00D14394" w:rsidP="00D14394"/>
    <w:p w:rsidR="007E07ED" w:rsidRDefault="00D14394" w:rsidP="007E07ED">
      <w:pPr>
        <w:keepLines/>
      </w:pPr>
      <w:r w:rsidRPr="009F5439">
        <w:fldChar w:fldCharType="begin"/>
      </w:r>
      <w:r w:rsidRPr="009F5439">
        <w:instrText xml:space="preserve"> AUTONUM  </w:instrText>
      </w:r>
      <w:r w:rsidRPr="009F5439">
        <w:fldChar w:fldCharType="end"/>
      </w:r>
      <w:r w:rsidRPr="009F5439">
        <w:tab/>
        <w:t xml:space="preserve">The TC agreed that a circular </w:t>
      </w:r>
      <w:proofErr w:type="gramStart"/>
      <w:r w:rsidRPr="009F5439">
        <w:t>should be issued</w:t>
      </w:r>
      <w:proofErr w:type="gramEnd"/>
      <w:r w:rsidRPr="009F5439">
        <w:t xml:space="preserve"> to request members of the Union to complete a survey as a basis to develop an inventory on the use of molecular marker techniques, by crop, in coordination with the OECD.</w:t>
      </w:r>
      <w:r w:rsidR="00923D81">
        <w:t xml:space="preserve">  </w:t>
      </w:r>
    </w:p>
    <w:p w:rsidR="00346604" w:rsidRDefault="00346604" w:rsidP="007E07ED">
      <w:pPr>
        <w:keepLines/>
      </w:pPr>
    </w:p>
    <w:p w:rsidR="00346604" w:rsidRPr="00346604" w:rsidRDefault="00346604" w:rsidP="00346604">
      <w:pPr>
        <w:pStyle w:val="Heading3"/>
      </w:pPr>
      <w:r w:rsidRPr="00346604">
        <w:t>The survey results</w:t>
      </w:r>
    </w:p>
    <w:p w:rsidR="00346604" w:rsidRDefault="00346604" w:rsidP="00D14394"/>
    <w:p w:rsidR="00D14394" w:rsidRPr="009F5439" w:rsidRDefault="00F251E0" w:rsidP="00D14394">
      <w:r w:rsidRPr="009F5439">
        <w:fldChar w:fldCharType="begin"/>
      </w:r>
      <w:r w:rsidRPr="009F5439">
        <w:instrText xml:space="preserve"> AUTONUM  </w:instrText>
      </w:r>
      <w:r w:rsidRPr="009F5439">
        <w:fldChar w:fldCharType="end"/>
      </w:r>
      <w:r w:rsidRPr="009F5439">
        <w:tab/>
      </w:r>
      <w:r w:rsidR="00923D81" w:rsidRPr="00923D81">
        <w:t>The Office of the Union consulted the OECD Seed Schemes on the organization of the survey and possible next steps.</w:t>
      </w:r>
    </w:p>
    <w:p w:rsidR="00D14394" w:rsidRDefault="00D14394" w:rsidP="00D14394"/>
    <w:p w:rsidR="00923D81" w:rsidRDefault="00923D81" w:rsidP="00923D81">
      <w:r w:rsidRPr="00D22ECC">
        <w:fldChar w:fldCharType="begin"/>
      </w:r>
      <w:r w:rsidRPr="00D22ECC">
        <w:instrText xml:space="preserve"> AUTONUM  </w:instrText>
      </w:r>
      <w:r w:rsidRPr="00D22ECC">
        <w:fldChar w:fldCharType="end"/>
      </w:r>
      <w:r w:rsidRPr="00D22ECC">
        <w:tab/>
      </w:r>
      <w:r>
        <w:t xml:space="preserve">After consultation with the OECD, </w:t>
      </w:r>
      <w:r w:rsidRPr="00D22ECC">
        <w:t>the Office of the Union issued Circular E-20/189</w:t>
      </w:r>
      <w:r>
        <w:t xml:space="preserve"> o</w:t>
      </w:r>
      <w:r w:rsidRPr="00D22ECC">
        <w:t xml:space="preserve">n October 16, 2020, inviting members </w:t>
      </w:r>
      <w:r>
        <w:t xml:space="preserve">of the Union </w:t>
      </w:r>
      <w:r w:rsidRPr="00D22ECC">
        <w:t xml:space="preserve">to complete </w:t>
      </w:r>
      <w:r>
        <w:t>a</w:t>
      </w:r>
      <w:r w:rsidRPr="00D22ECC">
        <w:t xml:space="preserve"> survey on the use of molecular marker techniques, by December 15, 2020.  </w:t>
      </w:r>
    </w:p>
    <w:p w:rsidR="00923D81" w:rsidRDefault="00923D81" w:rsidP="00923D81"/>
    <w:p w:rsidR="00923D81" w:rsidRDefault="00923D81" w:rsidP="00923D81">
      <w:r>
        <w:fldChar w:fldCharType="begin"/>
      </w:r>
      <w:r>
        <w:instrText xml:space="preserve"> AUTONUM  </w:instrText>
      </w:r>
      <w:r>
        <w:fldChar w:fldCharType="end"/>
      </w:r>
      <w:r>
        <w:tab/>
        <w:t xml:space="preserve">In response to the Circular </w:t>
      </w:r>
      <w:r w:rsidRPr="00D22ECC">
        <w:t>E-20/189</w:t>
      </w:r>
      <w:r>
        <w:t xml:space="preserve">, the following 23 members of the Union provided information on </w:t>
      </w:r>
      <w:r w:rsidRPr="00D22ECC">
        <w:t>the use of molecular marker techniques</w:t>
      </w:r>
      <w:r>
        <w:t>:</w:t>
      </w:r>
    </w:p>
    <w:p w:rsidR="00923D81" w:rsidRDefault="00923D81" w:rsidP="00923D81"/>
    <w:tbl>
      <w:tblPr>
        <w:tblStyle w:val="TableGrid"/>
        <w:tblW w:w="0" w:type="auto"/>
        <w:tblLook w:val="04A0" w:firstRow="1" w:lastRow="0" w:firstColumn="1" w:lastColumn="0" w:noHBand="0" w:noVBand="1"/>
      </w:tblPr>
      <w:tblGrid>
        <w:gridCol w:w="4814"/>
        <w:gridCol w:w="4815"/>
      </w:tblGrid>
      <w:tr w:rsidR="00923D81" w:rsidRPr="008F0ED5" w:rsidTr="007C231A">
        <w:tc>
          <w:tcPr>
            <w:tcW w:w="4814" w:type="dxa"/>
          </w:tcPr>
          <w:p w:rsidR="00923D81" w:rsidRPr="008F0ED5" w:rsidRDefault="00923D81" w:rsidP="007C231A">
            <w:pPr>
              <w:rPr>
                <w:sz w:val="20"/>
                <w:lang w:val="en-US"/>
              </w:rPr>
            </w:pPr>
            <w:r w:rsidRPr="008F0ED5">
              <w:rPr>
                <w:sz w:val="20"/>
                <w:lang w:val="en-US"/>
              </w:rPr>
              <w:t>Australia</w:t>
            </w:r>
          </w:p>
        </w:tc>
        <w:tc>
          <w:tcPr>
            <w:tcW w:w="4815" w:type="dxa"/>
          </w:tcPr>
          <w:p w:rsidR="00923D81" w:rsidRPr="008F0ED5" w:rsidRDefault="00923D81" w:rsidP="007C231A">
            <w:pPr>
              <w:rPr>
                <w:sz w:val="20"/>
                <w:lang w:val="en-US"/>
              </w:rPr>
            </w:pPr>
            <w:r w:rsidRPr="008F0ED5">
              <w:rPr>
                <w:sz w:val="20"/>
                <w:lang w:val="en-US"/>
              </w:rPr>
              <w:t>Lithuania</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Belgium</w:t>
            </w:r>
          </w:p>
        </w:tc>
        <w:tc>
          <w:tcPr>
            <w:tcW w:w="4815" w:type="dxa"/>
          </w:tcPr>
          <w:p w:rsidR="00923D81" w:rsidRPr="008F0ED5" w:rsidRDefault="00923D81" w:rsidP="007C231A">
            <w:pPr>
              <w:rPr>
                <w:sz w:val="20"/>
                <w:lang w:val="en-US"/>
              </w:rPr>
            </w:pPr>
            <w:r w:rsidRPr="008F0ED5">
              <w:rPr>
                <w:sz w:val="20"/>
                <w:lang w:val="en-US"/>
              </w:rPr>
              <w:t>Mexico</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Brazil</w:t>
            </w:r>
          </w:p>
        </w:tc>
        <w:tc>
          <w:tcPr>
            <w:tcW w:w="4815" w:type="dxa"/>
          </w:tcPr>
          <w:p w:rsidR="00923D81" w:rsidRPr="008F0ED5" w:rsidRDefault="00923D81" w:rsidP="007C231A">
            <w:pPr>
              <w:rPr>
                <w:sz w:val="20"/>
                <w:lang w:val="en-US"/>
              </w:rPr>
            </w:pPr>
            <w:r w:rsidRPr="008F0ED5">
              <w:rPr>
                <w:sz w:val="20"/>
                <w:lang w:val="en-US"/>
              </w:rPr>
              <w:t>Netherlands</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China</w:t>
            </w:r>
          </w:p>
        </w:tc>
        <w:tc>
          <w:tcPr>
            <w:tcW w:w="4815" w:type="dxa"/>
          </w:tcPr>
          <w:p w:rsidR="00923D81" w:rsidRPr="008F0ED5" w:rsidRDefault="00923D81" w:rsidP="007C231A">
            <w:pPr>
              <w:rPr>
                <w:sz w:val="20"/>
                <w:lang w:val="en-US"/>
              </w:rPr>
            </w:pPr>
            <w:r w:rsidRPr="008F0ED5">
              <w:rPr>
                <w:sz w:val="20"/>
                <w:lang w:val="en-US"/>
              </w:rPr>
              <w:t>Norway</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Czech Republic</w:t>
            </w:r>
          </w:p>
        </w:tc>
        <w:tc>
          <w:tcPr>
            <w:tcW w:w="4815" w:type="dxa"/>
          </w:tcPr>
          <w:p w:rsidR="00923D81" w:rsidRPr="008F0ED5" w:rsidRDefault="00923D81" w:rsidP="007C231A">
            <w:pPr>
              <w:rPr>
                <w:sz w:val="20"/>
                <w:lang w:val="en-US"/>
              </w:rPr>
            </w:pPr>
            <w:r w:rsidRPr="008F0ED5">
              <w:rPr>
                <w:sz w:val="20"/>
                <w:lang w:val="en-US"/>
              </w:rPr>
              <w:t>Panama</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Estonia</w:t>
            </w:r>
          </w:p>
        </w:tc>
        <w:tc>
          <w:tcPr>
            <w:tcW w:w="4815" w:type="dxa"/>
          </w:tcPr>
          <w:p w:rsidR="00923D81" w:rsidRPr="008F0ED5" w:rsidRDefault="00923D81" w:rsidP="007C231A">
            <w:pPr>
              <w:rPr>
                <w:sz w:val="20"/>
                <w:lang w:val="en-US"/>
              </w:rPr>
            </w:pPr>
            <w:r w:rsidRPr="008F0ED5">
              <w:rPr>
                <w:sz w:val="20"/>
                <w:lang w:val="en-US"/>
              </w:rPr>
              <w:t>Romania</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European Union</w:t>
            </w:r>
          </w:p>
        </w:tc>
        <w:tc>
          <w:tcPr>
            <w:tcW w:w="4815" w:type="dxa"/>
          </w:tcPr>
          <w:p w:rsidR="00923D81" w:rsidRPr="008F0ED5" w:rsidRDefault="00923D81" w:rsidP="007C231A">
            <w:pPr>
              <w:rPr>
                <w:sz w:val="20"/>
                <w:lang w:val="en-US"/>
              </w:rPr>
            </w:pPr>
            <w:r w:rsidRPr="008F0ED5">
              <w:rPr>
                <w:sz w:val="20"/>
                <w:lang w:val="en-US"/>
              </w:rPr>
              <w:t>Spain</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France</w:t>
            </w:r>
          </w:p>
        </w:tc>
        <w:tc>
          <w:tcPr>
            <w:tcW w:w="4815" w:type="dxa"/>
          </w:tcPr>
          <w:p w:rsidR="00923D81" w:rsidRPr="008F0ED5" w:rsidRDefault="00923D81" w:rsidP="007C231A">
            <w:pPr>
              <w:rPr>
                <w:sz w:val="20"/>
                <w:lang w:val="en-US"/>
              </w:rPr>
            </w:pPr>
            <w:r w:rsidRPr="008F0ED5">
              <w:rPr>
                <w:sz w:val="20"/>
                <w:lang w:val="en-US"/>
              </w:rPr>
              <w:t>Slovakia</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Germany</w:t>
            </w:r>
          </w:p>
        </w:tc>
        <w:tc>
          <w:tcPr>
            <w:tcW w:w="4815" w:type="dxa"/>
          </w:tcPr>
          <w:p w:rsidR="00923D81" w:rsidRPr="008F0ED5" w:rsidRDefault="00923D81" w:rsidP="007C231A">
            <w:pPr>
              <w:rPr>
                <w:sz w:val="20"/>
                <w:lang w:val="en-US"/>
              </w:rPr>
            </w:pPr>
            <w:r w:rsidRPr="008F0ED5">
              <w:rPr>
                <w:sz w:val="20"/>
                <w:lang w:val="en-US"/>
              </w:rPr>
              <w:t>Ukraine</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Israel</w:t>
            </w:r>
          </w:p>
        </w:tc>
        <w:tc>
          <w:tcPr>
            <w:tcW w:w="4815" w:type="dxa"/>
          </w:tcPr>
          <w:p w:rsidR="00923D81" w:rsidRPr="008F0ED5" w:rsidRDefault="00923D81" w:rsidP="007C231A">
            <w:pPr>
              <w:rPr>
                <w:sz w:val="20"/>
                <w:lang w:val="en-US"/>
              </w:rPr>
            </w:pPr>
            <w:r w:rsidRPr="008F0ED5">
              <w:rPr>
                <w:sz w:val="20"/>
                <w:lang w:val="en-US"/>
              </w:rPr>
              <w:t>United Kingdom</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Japan</w:t>
            </w:r>
          </w:p>
        </w:tc>
        <w:tc>
          <w:tcPr>
            <w:tcW w:w="4815" w:type="dxa"/>
          </w:tcPr>
          <w:p w:rsidR="00923D81" w:rsidRPr="008F0ED5" w:rsidRDefault="00923D81" w:rsidP="007C231A">
            <w:pPr>
              <w:rPr>
                <w:sz w:val="20"/>
                <w:lang w:val="en-US"/>
              </w:rPr>
            </w:pPr>
            <w:r w:rsidRPr="008F0ED5">
              <w:rPr>
                <w:sz w:val="20"/>
                <w:lang w:val="en-US"/>
              </w:rPr>
              <w:t>United States of America</w:t>
            </w:r>
          </w:p>
        </w:tc>
      </w:tr>
      <w:tr w:rsidR="00923D81" w:rsidRPr="008F0ED5" w:rsidTr="007C231A">
        <w:tc>
          <w:tcPr>
            <w:tcW w:w="4814" w:type="dxa"/>
          </w:tcPr>
          <w:p w:rsidR="00923D81" w:rsidRPr="008F0ED5" w:rsidRDefault="00923D81" w:rsidP="007C231A">
            <w:pPr>
              <w:rPr>
                <w:sz w:val="20"/>
                <w:lang w:val="en-US"/>
              </w:rPr>
            </w:pPr>
            <w:r w:rsidRPr="008F0ED5">
              <w:rPr>
                <w:sz w:val="20"/>
                <w:lang w:val="en-US"/>
              </w:rPr>
              <w:t>Jordan</w:t>
            </w:r>
          </w:p>
        </w:tc>
        <w:tc>
          <w:tcPr>
            <w:tcW w:w="4815" w:type="dxa"/>
          </w:tcPr>
          <w:p w:rsidR="00923D81" w:rsidRPr="008F0ED5" w:rsidRDefault="00923D81" w:rsidP="007C231A">
            <w:pPr>
              <w:rPr>
                <w:sz w:val="20"/>
                <w:lang w:val="en-US"/>
              </w:rPr>
            </w:pPr>
          </w:p>
        </w:tc>
      </w:tr>
    </w:tbl>
    <w:p w:rsidR="00923D81" w:rsidRDefault="00923D81" w:rsidP="00923D81"/>
    <w:p w:rsidR="000A1F3B" w:rsidRPr="008E521A" w:rsidRDefault="00923D81" w:rsidP="000A1F3B">
      <w:r>
        <w:fldChar w:fldCharType="begin"/>
      </w:r>
      <w:r>
        <w:instrText xml:space="preserve"> AUTONUM  </w:instrText>
      </w:r>
      <w:r>
        <w:fldChar w:fldCharType="end"/>
      </w:r>
      <w:r>
        <w:tab/>
      </w:r>
      <w:r w:rsidRPr="00D22ECC">
        <w:t xml:space="preserve">The results of the survey </w:t>
      </w:r>
      <w:proofErr w:type="gramStart"/>
      <w:r>
        <w:t>are presented</w:t>
      </w:r>
      <w:proofErr w:type="gramEnd"/>
      <w:r>
        <w:t xml:space="preserve"> in </w:t>
      </w:r>
      <w:r w:rsidRPr="000A1F3B">
        <w:t>Annex I</w:t>
      </w:r>
      <w:r w:rsidR="00A74679">
        <w:t xml:space="preserve"> to </w:t>
      </w:r>
      <w:r w:rsidR="00A74679" w:rsidRPr="00CF5FC1">
        <w:t>document TC/57/8</w:t>
      </w:r>
      <w:r w:rsidR="000A1F3B" w:rsidRPr="008E521A">
        <w:t xml:space="preserve">, as reproduced in Annex </w:t>
      </w:r>
      <w:r w:rsidR="007E07ED" w:rsidRPr="008E521A">
        <w:t>I</w:t>
      </w:r>
      <w:r w:rsidR="000A1F3B" w:rsidRPr="008E521A">
        <w:t>I to this document</w:t>
      </w:r>
      <w:r w:rsidRPr="008E521A">
        <w:t xml:space="preserve">.  </w:t>
      </w:r>
    </w:p>
    <w:p w:rsidR="000A1F3B" w:rsidRPr="008E521A" w:rsidRDefault="000A1F3B" w:rsidP="000A1F3B"/>
    <w:p w:rsidR="00E81852" w:rsidRDefault="000A1F3B" w:rsidP="000A1F3B">
      <w:r w:rsidRPr="008E521A">
        <w:fldChar w:fldCharType="begin"/>
      </w:r>
      <w:r w:rsidRPr="008E521A">
        <w:instrText xml:space="preserve"> AUTONUM  </w:instrText>
      </w:r>
      <w:r w:rsidRPr="008E521A">
        <w:fldChar w:fldCharType="end"/>
      </w:r>
      <w:r w:rsidRPr="008E521A">
        <w:tab/>
      </w:r>
      <w:r w:rsidR="006A6A52" w:rsidRPr="008E521A">
        <w:t xml:space="preserve">The </w:t>
      </w:r>
      <w:r w:rsidRPr="008E521A">
        <w:t>TC</w:t>
      </w:r>
      <w:r w:rsidR="00E81852" w:rsidRPr="008E521A">
        <w:t xml:space="preserve">, at its fifty-seventh session, to </w:t>
      </w:r>
      <w:proofErr w:type="gramStart"/>
      <w:r w:rsidR="00E81852" w:rsidRPr="008E521A">
        <w:t>be held</w:t>
      </w:r>
      <w:proofErr w:type="gramEnd"/>
      <w:r w:rsidR="00E81852" w:rsidRPr="008E521A">
        <w:t xml:space="preserve"> in 2021,</w:t>
      </w:r>
      <w:r w:rsidRPr="008E521A">
        <w:t xml:space="preserve"> </w:t>
      </w:r>
      <w:r w:rsidR="00B31902" w:rsidRPr="008E521A">
        <w:t xml:space="preserve">will </w:t>
      </w:r>
      <w:r w:rsidRPr="008E521A">
        <w:t>be invited to request the Office of the Union to inform OECD of the result of the survey and report developments to the TC, at its fifty</w:t>
      </w:r>
      <w:r w:rsidRPr="00BC1923">
        <w:t>-eighth session.</w:t>
      </w:r>
      <w:r w:rsidR="00E81852" w:rsidRPr="00E81852">
        <w:t xml:space="preserve"> </w:t>
      </w:r>
    </w:p>
    <w:p w:rsidR="00E81852" w:rsidRDefault="00E81852" w:rsidP="000A1F3B"/>
    <w:p w:rsidR="000A1F3B" w:rsidRDefault="00E81852" w:rsidP="000A1F3B">
      <w:r>
        <w:fldChar w:fldCharType="begin"/>
      </w:r>
      <w:r>
        <w:instrText xml:space="preserve"> AUTONUM  </w:instrText>
      </w:r>
      <w:r>
        <w:fldChar w:fldCharType="end"/>
      </w:r>
      <w:r>
        <w:tab/>
        <w:t xml:space="preserve">The </w:t>
      </w:r>
      <w:r w:rsidRPr="00E81852">
        <w:t xml:space="preserve">TC </w:t>
      </w:r>
      <w:r w:rsidR="00B31902">
        <w:t>will be</w:t>
      </w:r>
      <w:r w:rsidR="00B31902" w:rsidRPr="00E81852">
        <w:t xml:space="preserve"> </w:t>
      </w:r>
      <w:r w:rsidRPr="00E81852">
        <w:t>invited to note the comments received in response to Circular E-21/122 of August 23, 2021, on document TC/57/8 “Molecular techniques” that have not resulted in a revision of the documents (</w:t>
      </w:r>
      <w:r w:rsidR="008E521A">
        <w:t>see </w:t>
      </w:r>
      <w:r w:rsidRPr="00E81852">
        <w:t>document TC/57/14</w:t>
      </w:r>
      <w:r>
        <w:t xml:space="preserve"> “O</w:t>
      </w:r>
      <w:r w:rsidRPr="00E81852">
        <w:t>utcome of the consideration of documents by correspondence</w:t>
      </w:r>
      <w:r>
        <w:t>”,</w:t>
      </w:r>
      <w:r w:rsidRPr="00E81852">
        <w:t xml:space="preserve"> paragraph 25).</w:t>
      </w:r>
    </w:p>
    <w:p w:rsidR="00733267" w:rsidRPr="00623A02" w:rsidRDefault="00733267" w:rsidP="00733267"/>
    <w:p w:rsidR="00733267" w:rsidRPr="007E07ED" w:rsidRDefault="00733267" w:rsidP="00733267">
      <w:pPr>
        <w:pStyle w:val="Heading2"/>
        <w:rPr>
          <w:rFonts w:eastAsiaTheme="minorEastAsia"/>
        </w:rPr>
      </w:pPr>
      <w:bookmarkStart w:id="30" w:name="_Toc15295345"/>
      <w:bookmarkStart w:id="31" w:name="_Toc22564624"/>
      <w:bookmarkStart w:id="32" w:name="_Toc27663378"/>
      <w:bookmarkStart w:id="33" w:name="_Toc53597263"/>
      <w:bookmarkStart w:id="34" w:name="_Toc85560672"/>
      <w:r w:rsidRPr="007E07ED">
        <w:rPr>
          <w:rFonts w:eastAsiaTheme="minorEastAsia"/>
        </w:rPr>
        <w:lastRenderedPageBreak/>
        <w:t>Lists of possible joint initiatives with OECD and ISTA in relation to molecular techniques</w:t>
      </w:r>
      <w:bookmarkEnd w:id="30"/>
      <w:bookmarkEnd w:id="31"/>
      <w:bookmarkEnd w:id="32"/>
      <w:bookmarkEnd w:id="33"/>
      <w:bookmarkEnd w:id="34"/>
    </w:p>
    <w:p w:rsidR="00733267" w:rsidRPr="007E07ED" w:rsidRDefault="00733267" w:rsidP="00733267">
      <w:pPr>
        <w:keepNext/>
      </w:pPr>
    </w:p>
    <w:p w:rsidR="00733267" w:rsidRPr="007E07ED" w:rsidRDefault="00733267" w:rsidP="00733267">
      <w:pPr>
        <w:pStyle w:val="Heading3"/>
      </w:pPr>
      <w:bookmarkStart w:id="35" w:name="_Toc53597264"/>
      <w:r w:rsidRPr="007E07ED">
        <w:t>Background</w:t>
      </w:r>
      <w:bookmarkEnd w:id="35"/>
    </w:p>
    <w:p w:rsidR="00733267" w:rsidRPr="007E07ED" w:rsidRDefault="00733267" w:rsidP="00733267">
      <w:pPr>
        <w:keepNext/>
      </w:pPr>
    </w:p>
    <w:p w:rsidR="00733267" w:rsidRPr="007E07ED" w:rsidRDefault="00733267" w:rsidP="00733267">
      <w:pPr>
        <w:keepNext/>
      </w:pPr>
      <w:r w:rsidRPr="007E07ED">
        <w:fldChar w:fldCharType="begin"/>
      </w:r>
      <w:r w:rsidRPr="007E07ED">
        <w:instrText xml:space="preserve"> AUTONUM  </w:instrText>
      </w:r>
      <w:r w:rsidRPr="007E07ED">
        <w:fldChar w:fldCharType="end"/>
      </w:r>
      <w:r w:rsidRPr="007E07ED">
        <w:tab/>
        <w:t xml:space="preserve">The BMT, </w:t>
      </w:r>
      <w:r w:rsidRPr="007E07ED">
        <w:rPr>
          <w:rFonts w:eastAsiaTheme="minorEastAsia"/>
        </w:rPr>
        <w:t>at its eighteenth session</w:t>
      </w:r>
      <w:r w:rsidRPr="007E07ED">
        <w:rPr>
          <w:rStyle w:val="FootnoteReference"/>
          <w:rFonts w:eastAsiaTheme="minorEastAsia"/>
        </w:rPr>
        <w:footnoteReference w:id="3"/>
      </w:r>
      <w:r w:rsidRPr="007E07ED">
        <w:rPr>
          <w:rFonts w:eastAsiaTheme="minorEastAsia"/>
        </w:rPr>
        <w:t xml:space="preserve">, </w:t>
      </w:r>
      <w:r w:rsidRPr="007E07ED">
        <w:rPr>
          <w:rFonts w:eastAsiaTheme="minorEastAsia"/>
          <w:lang w:eastAsia="ja-JP"/>
        </w:rPr>
        <w:t xml:space="preserve">considered document BMT/18/4 “Cooperation between International Organizations” and </w:t>
      </w:r>
      <w:r w:rsidRPr="007E07ED">
        <w:t>the request to develop lists of possible joint initiatives with OECD and ISTA, in relation to molecular techniques.  The BMT</w:t>
      </w:r>
      <w:r w:rsidRPr="007E07ED">
        <w:rPr>
          <w:rFonts w:eastAsiaTheme="minorEastAsia"/>
        </w:rPr>
        <w:t xml:space="preserve"> </w:t>
      </w:r>
      <w:r w:rsidRPr="007E07ED">
        <w:t>agreed to propose the repeating of joint workshops with ISTA and OECD in future. The BMT agreed to propose a joint initiative that each organization inform the others about use of molecular markers in their work</w:t>
      </w:r>
      <w:r w:rsidRPr="007E07ED">
        <w:rPr>
          <w:rFonts w:eastAsiaTheme="minorEastAsia"/>
          <w:iCs/>
          <w:lang w:eastAsia="ja-JP"/>
        </w:rPr>
        <w:t xml:space="preserve"> </w:t>
      </w:r>
      <w:r w:rsidRPr="007E07ED">
        <w:rPr>
          <w:rFonts w:eastAsiaTheme="minorEastAsia" w:hint="eastAsia"/>
          <w:lang w:eastAsia="ja-JP"/>
        </w:rPr>
        <w:t>(see document BMT/1</w:t>
      </w:r>
      <w:r w:rsidRPr="007E07ED">
        <w:rPr>
          <w:rFonts w:eastAsiaTheme="minorEastAsia"/>
          <w:lang w:eastAsia="ja-JP"/>
        </w:rPr>
        <w:t>8/21 “Report”</w:t>
      </w:r>
      <w:r w:rsidRPr="007E07ED">
        <w:rPr>
          <w:rFonts w:eastAsiaTheme="minorEastAsia" w:hint="eastAsia"/>
          <w:lang w:eastAsia="ja-JP"/>
        </w:rPr>
        <w:t>, paragraph</w:t>
      </w:r>
      <w:r w:rsidRPr="007E07ED">
        <w:rPr>
          <w:rFonts w:eastAsiaTheme="minorEastAsia"/>
          <w:lang w:eastAsia="ja-JP"/>
        </w:rPr>
        <w:t> 34</w:t>
      </w:r>
      <w:r w:rsidRPr="007E07ED">
        <w:rPr>
          <w:rFonts w:eastAsiaTheme="minorEastAsia" w:hint="eastAsia"/>
          <w:lang w:eastAsia="ja-JP"/>
        </w:rPr>
        <w:t>)</w:t>
      </w:r>
      <w:r w:rsidRPr="007E07ED">
        <w:t xml:space="preserve">. </w:t>
      </w:r>
    </w:p>
    <w:p w:rsidR="00733267" w:rsidRPr="007E07ED" w:rsidRDefault="00733267" w:rsidP="00733267">
      <w:pPr>
        <w:pStyle w:val="Heading3"/>
        <w:rPr>
          <w:rFonts w:eastAsiaTheme="minorEastAsia"/>
          <w:i w:val="0"/>
        </w:rPr>
      </w:pPr>
    </w:p>
    <w:p w:rsidR="00733267" w:rsidRPr="007E07ED" w:rsidRDefault="00733267" w:rsidP="00733267">
      <w:pPr>
        <w:keepNext/>
      </w:pPr>
      <w:r w:rsidRPr="007E07ED">
        <w:fldChar w:fldCharType="begin"/>
      </w:r>
      <w:r w:rsidRPr="007E07ED">
        <w:instrText xml:space="preserve"> AUTONUM  </w:instrText>
      </w:r>
      <w:r w:rsidRPr="007E07ED">
        <w:fldChar w:fldCharType="end"/>
      </w:r>
      <w:r w:rsidRPr="007E07ED">
        <w:tab/>
        <w:t>The TC</w:t>
      </w:r>
      <w:r w:rsidRPr="007E07ED">
        <w:rPr>
          <w:rFonts w:eastAsiaTheme="minorEastAsia"/>
        </w:rPr>
        <w:t>, at its fifty-fifth session</w:t>
      </w:r>
      <w:r w:rsidRPr="007E07ED">
        <w:rPr>
          <w:rStyle w:val="FootnoteReference"/>
          <w:rFonts w:eastAsiaTheme="minorEastAsia"/>
        </w:rPr>
        <w:footnoteReference w:id="4"/>
      </w:r>
      <w:r w:rsidRPr="007E07ED">
        <w:rPr>
          <w:rFonts w:eastAsiaTheme="minorEastAsia"/>
        </w:rPr>
        <w:t xml:space="preserve">, </w:t>
      </w:r>
      <w:r w:rsidRPr="007E07ED">
        <w:t>considered possible joint initiatives with OECD and ISTA in relation to molecular techniques and agreed with t</w:t>
      </w:r>
      <w:r w:rsidRPr="007E07ED">
        <w:rPr>
          <w:snapToGrid w:val="0"/>
        </w:rPr>
        <w:t xml:space="preserve">he proposal made by the </w:t>
      </w:r>
      <w:r w:rsidRPr="007E07ED">
        <w:t xml:space="preserve">BMT, at its eighteenth session, for joint workshops to </w:t>
      </w:r>
      <w:proofErr w:type="gramStart"/>
      <w:r w:rsidRPr="007E07ED">
        <w:t>be repeated</w:t>
      </w:r>
      <w:proofErr w:type="gramEnd"/>
      <w:r w:rsidRPr="007E07ED">
        <w:t xml:space="preserve"> in future</w:t>
      </w:r>
      <w:r w:rsidRPr="007E07ED">
        <w:rPr>
          <w:lang w:eastAsia="ja-JP"/>
        </w:rPr>
        <w:t xml:space="preserve"> (see document TC/55/25 “Report”, paragraphs 189 to 191)</w:t>
      </w:r>
      <w:r w:rsidRPr="007E07ED">
        <w:t xml:space="preserve">.  </w:t>
      </w:r>
    </w:p>
    <w:p w:rsidR="00733267" w:rsidRPr="007E07ED" w:rsidRDefault="00733267" w:rsidP="00733267">
      <w:pPr>
        <w:keepNext/>
      </w:pPr>
    </w:p>
    <w:p w:rsidR="00733267" w:rsidRPr="007E07ED" w:rsidRDefault="00733267" w:rsidP="00733267">
      <w:pPr>
        <w:keepNext/>
      </w:pPr>
      <w:r w:rsidRPr="007E07ED">
        <w:fldChar w:fldCharType="begin"/>
      </w:r>
      <w:r w:rsidRPr="007E07ED">
        <w:instrText xml:space="preserve"> AUTONUM  </w:instrText>
      </w:r>
      <w:r w:rsidRPr="007E07ED">
        <w:fldChar w:fldCharType="end"/>
      </w:r>
      <w:r w:rsidRPr="007E07ED">
        <w:tab/>
        <w:t>The TC agreed with the BMT to propose a joint initiative that each organization inform the others about use of molecular markers in their work</w:t>
      </w:r>
      <w:r w:rsidRPr="007E07ED">
        <w:rPr>
          <w:iCs/>
          <w:lang w:eastAsia="ja-JP"/>
        </w:rPr>
        <w:t>.</w:t>
      </w:r>
    </w:p>
    <w:p w:rsidR="00733267" w:rsidRPr="007E07ED" w:rsidRDefault="00733267" w:rsidP="00733267"/>
    <w:p w:rsidR="00733267" w:rsidRPr="007E07ED" w:rsidRDefault="00733267" w:rsidP="00733267">
      <w:r w:rsidRPr="007E07ED">
        <w:fldChar w:fldCharType="begin"/>
      </w:r>
      <w:r w:rsidRPr="007E07ED">
        <w:instrText xml:space="preserve"> AUTONUM  </w:instrText>
      </w:r>
      <w:r w:rsidRPr="007E07ED">
        <w:fldChar w:fldCharType="end"/>
      </w:r>
      <w:r w:rsidRPr="007E07ED">
        <w:tab/>
        <w:t xml:space="preserve">The TC noted there were no definitions on biochemical and molecular techniques in UPOV.  The TC agreed that information from the survey on the techniques could help to clarify techniques that were considered to be biochemical or molecular.  </w:t>
      </w:r>
    </w:p>
    <w:p w:rsidR="00733267" w:rsidRPr="007E07ED" w:rsidRDefault="00733267" w:rsidP="00733267"/>
    <w:p w:rsidR="00733267" w:rsidRPr="007E07ED" w:rsidRDefault="00733267" w:rsidP="00733267">
      <w:r w:rsidRPr="007E07ED">
        <w:fldChar w:fldCharType="begin"/>
      </w:r>
      <w:r w:rsidRPr="007E07ED">
        <w:instrText xml:space="preserve"> AUTONUM  </w:instrText>
      </w:r>
      <w:r w:rsidRPr="007E07ED">
        <w:fldChar w:fldCharType="end"/>
      </w:r>
      <w:r w:rsidRPr="007E07ED">
        <w:tab/>
        <w:t xml:space="preserve">The following joint UPOV/OECD/ISTA workshops on molecular techniques </w:t>
      </w:r>
      <w:proofErr w:type="gramStart"/>
      <w:r w:rsidRPr="007E07ED">
        <w:t>have been organized</w:t>
      </w:r>
      <w:proofErr w:type="gramEnd"/>
      <w:r w:rsidRPr="007E07ED">
        <w:t>:</w:t>
      </w:r>
    </w:p>
    <w:p w:rsidR="00733267" w:rsidRPr="007E07ED" w:rsidRDefault="00733267" w:rsidP="00733267"/>
    <w:p w:rsidR="00733267" w:rsidRPr="007E07ED" w:rsidRDefault="00733267" w:rsidP="00733267">
      <w:pPr>
        <w:tabs>
          <w:tab w:val="left" w:pos="1134"/>
        </w:tabs>
        <w:ind w:left="1134" w:hanging="567"/>
      </w:pPr>
      <w:r w:rsidRPr="007E07ED">
        <w:t>(a)</w:t>
      </w:r>
      <w:r w:rsidRPr="007E07ED">
        <w:tab/>
      </w:r>
      <w:proofErr w:type="gramStart"/>
      <w:r w:rsidRPr="007E07ED">
        <w:t>hosted</w:t>
      </w:r>
      <w:proofErr w:type="gramEnd"/>
      <w:r w:rsidRPr="007E07ED">
        <w:t xml:space="preserve"> by UPOV and held in Seoul, Republic of Korea, on November 12, 2014, in conjunction with fourteenth session of the BMT;</w:t>
      </w:r>
    </w:p>
    <w:p w:rsidR="00733267" w:rsidRPr="007E07ED" w:rsidRDefault="00733267" w:rsidP="00733267">
      <w:pPr>
        <w:tabs>
          <w:tab w:val="left" w:pos="1134"/>
        </w:tabs>
        <w:ind w:left="1134" w:hanging="567"/>
      </w:pPr>
      <w:r w:rsidRPr="007E07ED">
        <w:t>(b)</w:t>
      </w:r>
      <w:r w:rsidRPr="007E07ED">
        <w:tab/>
      </w:r>
      <w:proofErr w:type="gramStart"/>
      <w:r w:rsidRPr="007E07ED">
        <w:t>hosted</w:t>
      </w:r>
      <w:proofErr w:type="gramEnd"/>
      <w:r w:rsidRPr="007E07ED">
        <w:t xml:space="preserve"> by OECD and held in Paris, France, on June 8, 2016, prior to the Annual Meeting of the OECD Seed Schemes;</w:t>
      </w:r>
    </w:p>
    <w:p w:rsidR="00733267" w:rsidRPr="007E07ED" w:rsidRDefault="00733267" w:rsidP="00733267">
      <w:pPr>
        <w:tabs>
          <w:tab w:val="left" w:pos="1134"/>
        </w:tabs>
        <w:ind w:left="1134" w:hanging="567"/>
      </w:pPr>
      <w:r w:rsidRPr="007E07ED">
        <w:t>(c)</w:t>
      </w:r>
      <w:r w:rsidRPr="007E07ED">
        <w:tab/>
      </w:r>
      <w:proofErr w:type="gramStart"/>
      <w:r w:rsidRPr="007E07ED">
        <w:t>hosted</w:t>
      </w:r>
      <w:proofErr w:type="gramEnd"/>
      <w:r w:rsidRPr="007E07ED">
        <w:t xml:space="preserve"> by ISTA and held in Hyderabad, India, on June 29, 2019, in conjunction with the 2019 ISTA Congress.</w:t>
      </w:r>
    </w:p>
    <w:p w:rsidR="00346604" w:rsidRDefault="00346604" w:rsidP="00346604">
      <w:pPr>
        <w:pStyle w:val="Heading3"/>
        <w:rPr>
          <w:highlight w:val="cyan"/>
        </w:rPr>
      </w:pPr>
    </w:p>
    <w:p w:rsidR="00346604" w:rsidRPr="00FE7041" w:rsidRDefault="00346604" w:rsidP="00346604">
      <w:pPr>
        <w:pStyle w:val="Heading3"/>
        <w:rPr>
          <w:highlight w:val="cyan"/>
        </w:rPr>
      </w:pPr>
      <w:r>
        <w:t>Possible topics for a future joint UPOV/OECD/ISTA workshop</w:t>
      </w:r>
    </w:p>
    <w:p w:rsidR="00733267" w:rsidRPr="00FE7041" w:rsidRDefault="00733267" w:rsidP="00733267">
      <w:pPr>
        <w:rPr>
          <w:highlight w:val="cyan"/>
        </w:rPr>
      </w:pPr>
    </w:p>
    <w:p w:rsidR="00733267" w:rsidRDefault="00DD6975" w:rsidP="00733267">
      <w:r w:rsidRPr="00FA4478">
        <w:fldChar w:fldCharType="begin"/>
      </w:r>
      <w:r w:rsidRPr="00FA4478">
        <w:instrText xml:space="preserve"> AUTONUM  </w:instrText>
      </w:r>
      <w:r w:rsidRPr="00FA4478">
        <w:fldChar w:fldCharType="end"/>
      </w:r>
      <w:r w:rsidRPr="00FA4478">
        <w:tab/>
      </w:r>
      <w:r>
        <w:t>T</w:t>
      </w:r>
      <w:r w:rsidRPr="00FC712E">
        <w:t xml:space="preserve">he TC, at its fifty-sixth session, agreed that another joint OECD, UPOV, ISTA workshop on molecular techniques </w:t>
      </w:r>
      <w:proofErr w:type="gramStart"/>
      <w:r w:rsidRPr="00FC712E">
        <w:t>should be organized</w:t>
      </w:r>
      <w:proofErr w:type="gramEnd"/>
      <w:r w:rsidRPr="00FC712E">
        <w:t xml:space="preserve"> in the near future. </w:t>
      </w:r>
      <w:r>
        <w:t>T</w:t>
      </w:r>
      <w:r w:rsidR="00733267" w:rsidRPr="00FC712E">
        <w:t>he TC agreed that a joint OECD, UPOV, ISTA workshop on molecular techniques would be an opportunity to discuss the definitions used in molecular techniques with a view to their harmonization.</w:t>
      </w:r>
    </w:p>
    <w:p w:rsidR="00DE3A86" w:rsidRDefault="00DE3A86" w:rsidP="00733267"/>
    <w:p w:rsidR="00DE3A86" w:rsidRPr="00A17C89" w:rsidRDefault="00DE3A86" w:rsidP="00DE3A86">
      <w:r w:rsidRPr="00FC712E">
        <w:fldChar w:fldCharType="begin"/>
      </w:r>
      <w:r w:rsidRPr="00FC712E">
        <w:instrText xml:space="preserve"> AUTONUM  </w:instrText>
      </w:r>
      <w:r w:rsidRPr="00FC712E">
        <w:fldChar w:fldCharType="end"/>
      </w:r>
      <w:r w:rsidRPr="00FC712E">
        <w:tab/>
        <w:t>The BMT</w:t>
      </w:r>
      <w:r>
        <w:t>, at its twentieth session</w:t>
      </w:r>
      <w:r>
        <w:rPr>
          <w:rStyle w:val="FootnoteReference"/>
        </w:rPr>
        <w:footnoteReference w:id="5"/>
      </w:r>
      <w:r>
        <w:t xml:space="preserve">, </w:t>
      </w:r>
      <w:r w:rsidRPr="00FC712E">
        <w:t xml:space="preserve">noted that a poll </w:t>
      </w:r>
      <w:proofErr w:type="gramStart"/>
      <w:r w:rsidRPr="00FC712E">
        <w:t>had</w:t>
      </w:r>
      <w:r w:rsidRPr="001D3076">
        <w:t xml:space="preserve"> been conducted</w:t>
      </w:r>
      <w:proofErr w:type="gramEnd"/>
      <w:r w:rsidRPr="001D3076">
        <w:t xml:space="preserve"> during its twentieth session to assess the following</w:t>
      </w:r>
      <w:r w:rsidRPr="00A17C89">
        <w:t xml:space="preserve"> information from participants:</w:t>
      </w:r>
    </w:p>
    <w:p w:rsidR="00DE3A86" w:rsidRPr="00A17C89" w:rsidRDefault="00DE3A86" w:rsidP="00DE3A86"/>
    <w:p w:rsidR="00DE3A86" w:rsidRPr="00A17C89" w:rsidRDefault="00DE3A86" w:rsidP="00DE3A86">
      <w:pPr>
        <w:pStyle w:val="ListParagraph"/>
        <w:numPr>
          <w:ilvl w:val="0"/>
          <w:numId w:val="5"/>
        </w:numPr>
        <w:ind w:left="851" w:hanging="284"/>
      </w:pPr>
      <w:r w:rsidRPr="00A17C89">
        <w:t>What are the areas of common interest between UPOV, OECD and ISTA on the use of BMT?</w:t>
      </w:r>
    </w:p>
    <w:p w:rsidR="00DE3A86" w:rsidRPr="00A17C89" w:rsidRDefault="00DE3A86" w:rsidP="00DE3A86">
      <w:pPr>
        <w:pStyle w:val="ListParagraph"/>
        <w:numPr>
          <w:ilvl w:val="0"/>
          <w:numId w:val="5"/>
        </w:numPr>
        <w:ind w:left="851" w:hanging="284"/>
      </w:pPr>
      <w:r w:rsidRPr="00A17C89">
        <w:t>What would be suitable topics for a joint UPOV/OECD/ISTA workshop on BMT?</w:t>
      </w:r>
    </w:p>
    <w:p w:rsidR="00DE3A86" w:rsidRPr="00A17C89" w:rsidRDefault="00DE3A86" w:rsidP="00DE3A86"/>
    <w:p w:rsidR="00DE3A86" w:rsidRPr="00A17C89" w:rsidRDefault="00DE3A86" w:rsidP="00DE3A86">
      <w:r w:rsidRPr="00A17C89">
        <w:fldChar w:fldCharType="begin"/>
      </w:r>
      <w:r w:rsidRPr="00A17C89">
        <w:instrText xml:space="preserve"> AUTONUM  </w:instrText>
      </w:r>
      <w:r w:rsidRPr="00A17C89">
        <w:fldChar w:fldCharType="end"/>
      </w:r>
      <w:r w:rsidRPr="00A17C89">
        <w:tab/>
        <w:t>The BMT considered the responses to the poll</w:t>
      </w:r>
      <w:r w:rsidR="00B31902">
        <w:t xml:space="preserve"> </w:t>
      </w:r>
      <w:r w:rsidRPr="00A17C89">
        <w:t xml:space="preserve">and </w:t>
      </w:r>
      <w:r w:rsidRPr="00B0268A">
        <w:t>agreed</w:t>
      </w:r>
      <w:r w:rsidRPr="00A17C89">
        <w:t xml:space="preserve"> to propose the possible topics for a future joint UPOV/OECD/ISTA workshop</w:t>
      </w:r>
      <w:r>
        <w:t>.</w:t>
      </w:r>
    </w:p>
    <w:p w:rsidR="00733267" w:rsidRPr="00FC712E" w:rsidRDefault="00733267" w:rsidP="00733267"/>
    <w:p w:rsidR="00DD6975" w:rsidRDefault="00733267" w:rsidP="00DD6975">
      <w:r w:rsidRPr="00FC712E">
        <w:fldChar w:fldCharType="begin"/>
      </w:r>
      <w:r w:rsidRPr="00FC712E">
        <w:instrText xml:space="preserve"> AUTONUM  </w:instrText>
      </w:r>
      <w:r w:rsidRPr="00FC712E">
        <w:fldChar w:fldCharType="end"/>
      </w:r>
      <w:r w:rsidRPr="00FC712E">
        <w:tab/>
      </w:r>
      <w:r w:rsidR="009621CC">
        <w:t>B</w:t>
      </w:r>
      <w:r w:rsidR="00DD6975">
        <w:t>ased on the proposals by the BMT, at its twentieth session</w:t>
      </w:r>
      <w:r w:rsidR="00DD6975">
        <w:rPr>
          <w:rStyle w:val="FootnoteReference"/>
        </w:rPr>
        <w:footnoteReference w:id="6"/>
      </w:r>
      <w:r w:rsidR="00DD6975">
        <w:t>, the TC</w:t>
      </w:r>
      <w:r w:rsidR="007F7D6E">
        <w:t>,</w:t>
      </w:r>
      <w:r w:rsidR="00DD6975">
        <w:t xml:space="preserve"> </w:t>
      </w:r>
      <w:r w:rsidR="007F7D6E" w:rsidRPr="00FC712E">
        <w:t>at its fifty-</w:t>
      </w:r>
      <w:r w:rsidR="007F7D6E">
        <w:t>sevent</w:t>
      </w:r>
      <w:r w:rsidR="007F7D6E" w:rsidRPr="00FC712E">
        <w:t xml:space="preserve">h session, </w:t>
      </w:r>
      <w:proofErr w:type="gramStart"/>
      <w:r w:rsidR="00B31902">
        <w:t xml:space="preserve">will be </w:t>
      </w:r>
      <w:r w:rsidR="00DD6975">
        <w:t>invited</w:t>
      </w:r>
      <w:proofErr w:type="gramEnd"/>
      <w:r w:rsidR="00DD6975">
        <w:t xml:space="preserve"> to consider the following possible topics for a future joint UPOV/OECD/ISTA workshop:</w:t>
      </w:r>
    </w:p>
    <w:p w:rsidR="00DD6975" w:rsidRDefault="00DD6975" w:rsidP="00DD6975"/>
    <w:p w:rsidR="00DD6975" w:rsidRDefault="00DD6975" w:rsidP="00DD6975">
      <w:r>
        <w:tab/>
        <w:t>(</w:t>
      </w:r>
      <w:proofErr w:type="spellStart"/>
      <w:r>
        <w:t>i</w:t>
      </w:r>
      <w:proofErr w:type="spellEnd"/>
      <w:r>
        <w:t>)</w:t>
      </w:r>
      <w:r>
        <w:tab/>
      </w:r>
      <w:proofErr w:type="gramStart"/>
      <w:r>
        <w:t>providing</w:t>
      </w:r>
      <w:proofErr w:type="gramEnd"/>
      <w:r>
        <w:t xml:space="preserve"> information on the use of molecular techniques in each organization;</w:t>
      </w:r>
    </w:p>
    <w:p w:rsidR="00DD6975" w:rsidRDefault="00DD6975" w:rsidP="00DD6975">
      <w:r>
        <w:tab/>
        <w:t>(ii)</w:t>
      </w:r>
      <w:r>
        <w:tab/>
      </w:r>
      <w:proofErr w:type="gramStart"/>
      <w:r>
        <w:t>procedure</w:t>
      </w:r>
      <w:proofErr w:type="gramEnd"/>
      <w:r>
        <w:t xml:space="preserve"> for approval of biochemical and molecular methods in each organization; and</w:t>
      </w:r>
    </w:p>
    <w:p w:rsidR="00DD6975" w:rsidRDefault="00DD6975" w:rsidP="00DD6975">
      <w:r>
        <w:tab/>
        <w:t>(iii)</w:t>
      </w:r>
      <w:r>
        <w:tab/>
      </w:r>
      <w:proofErr w:type="gramStart"/>
      <w:r>
        <w:t>possibilities</w:t>
      </w:r>
      <w:proofErr w:type="gramEnd"/>
      <w:r>
        <w:t xml:space="preserve"> for harmonizing methods between UPOV, OECD and ISTA.</w:t>
      </w:r>
    </w:p>
    <w:p w:rsidR="00DD6975" w:rsidRDefault="00DD6975" w:rsidP="00DD6975"/>
    <w:p w:rsidR="00D14394" w:rsidRDefault="00D14394" w:rsidP="00D14394">
      <w:bookmarkStart w:id="36" w:name="_Toc53597268"/>
      <w:bookmarkEnd w:id="27"/>
      <w:bookmarkEnd w:id="28"/>
      <w:bookmarkEnd w:id="29"/>
    </w:p>
    <w:p w:rsidR="000E52A6" w:rsidRPr="00623A02" w:rsidRDefault="000E52A6" w:rsidP="00D14394"/>
    <w:p w:rsidR="00D14394" w:rsidRPr="001857B6" w:rsidRDefault="00D14394" w:rsidP="00D14394">
      <w:pPr>
        <w:pStyle w:val="Heading1"/>
        <w:rPr>
          <w:snapToGrid w:val="0"/>
        </w:rPr>
      </w:pPr>
      <w:bookmarkStart w:id="37" w:name="_Toc85560673"/>
      <w:r w:rsidRPr="001857B6">
        <w:rPr>
          <w:snapToGrid w:val="0"/>
        </w:rPr>
        <w:lastRenderedPageBreak/>
        <w:t>Session to facilitate cooperation in relation to the use of molecular techniques</w:t>
      </w:r>
      <w:bookmarkEnd w:id="36"/>
      <w:bookmarkEnd w:id="37"/>
    </w:p>
    <w:p w:rsidR="00D14394" w:rsidRDefault="00D14394" w:rsidP="00D14394">
      <w:pPr>
        <w:keepNext/>
        <w:rPr>
          <w:rFonts w:cs="Arial"/>
          <w:iCs/>
        </w:rPr>
      </w:pPr>
    </w:p>
    <w:p w:rsidR="00D14394" w:rsidRDefault="00D14394" w:rsidP="00D14394">
      <w:pPr>
        <w:keepNext/>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w:t>
      </w:r>
      <w:proofErr w:type="gramStart"/>
      <w:r w:rsidRPr="001857B6">
        <w:rPr>
          <w:rFonts w:eastAsiaTheme="minorEastAsia" w:hint="eastAsia"/>
          <w:lang w:eastAsia="ja-JP"/>
        </w:rPr>
        <w:t>is provided</w:t>
      </w:r>
      <w:proofErr w:type="gramEnd"/>
      <w:r w:rsidRPr="001857B6">
        <w:rPr>
          <w:rFonts w:eastAsiaTheme="minorEastAsia" w:hint="eastAsia"/>
          <w:lang w:eastAsia="ja-JP"/>
        </w:rPr>
        <w:t xml:space="preserve"> in </w:t>
      </w:r>
      <w:r w:rsidRPr="00623A02">
        <w:rPr>
          <w:rFonts w:eastAsiaTheme="minorEastAsia"/>
          <w:lang w:eastAsia="ja-JP"/>
        </w:rPr>
        <w:t>document CAJ/76/INF/3</w:t>
      </w:r>
      <w:r w:rsidRPr="00623A02">
        <w:rPr>
          <w:lang w:eastAsia="ja-JP"/>
        </w:rPr>
        <w:t xml:space="preserve"> “Molecular Techniques”</w:t>
      </w:r>
      <w:r w:rsidRPr="00A43304">
        <w:rPr>
          <w:rFonts w:eastAsiaTheme="minorEastAsia" w:hint="eastAsia"/>
          <w:lang w:eastAsia="ja-JP"/>
        </w:rPr>
        <w:t>.</w:t>
      </w:r>
    </w:p>
    <w:p w:rsidR="00D14394" w:rsidRDefault="00D14394" w:rsidP="00D14394"/>
    <w:p w:rsidR="008E521A" w:rsidRDefault="008E521A" w:rsidP="00D14394"/>
    <w:p w:rsidR="00D14394" w:rsidRDefault="00D14394" w:rsidP="00D14394">
      <w:pPr>
        <w:pStyle w:val="Heading2"/>
      </w:pPr>
      <w:bookmarkStart w:id="38" w:name="_Toc53597270"/>
      <w:bookmarkStart w:id="39" w:name="_Toc85560674"/>
      <w:r>
        <w:t>Developments at the TWPs and BMT at their sessions in 202</w:t>
      </w:r>
      <w:bookmarkEnd w:id="38"/>
      <w:r w:rsidR="007F7D6E">
        <w:t>1</w:t>
      </w:r>
      <w:bookmarkEnd w:id="39"/>
    </w:p>
    <w:p w:rsidR="00D14394" w:rsidRDefault="00D14394" w:rsidP="00D14394"/>
    <w:p w:rsidR="007F7D6E" w:rsidRDefault="007F7D6E" w:rsidP="007F7D6E">
      <w:pPr>
        <w:pStyle w:val="Heading3"/>
      </w:pPr>
      <w:bookmarkStart w:id="40" w:name="_Toc84415959"/>
      <w:r>
        <w:t>Technical Working Parties (TWPs)</w:t>
      </w:r>
      <w:bookmarkEnd w:id="40"/>
    </w:p>
    <w:p w:rsidR="007F7D6E" w:rsidRPr="00FA4478" w:rsidRDefault="007F7D6E" w:rsidP="007F7D6E">
      <w:pPr>
        <w:keepNext/>
      </w:pPr>
    </w:p>
    <w:p w:rsidR="007F7D6E" w:rsidRPr="00FA4478" w:rsidRDefault="007F7D6E" w:rsidP="007F7D6E">
      <w:r w:rsidRPr="00FA4478">
        <w:fldChar w:fldCharType="begin"/>
      </w:r>
      <w:r w:rsidRPr="00FA4478">
        <w:instrText xml:space="preserve"> AUTONUM  </w:instrText>
      </w:r>
      <w:r w:rsidRPr="00FA4478">
        <w:fldChar w:fldCharType="end"/>
      </w:r>
      <w:r w:rsidRPr="00FA4478">
        <w:tab/>
      </w:r>
      <w:proofErr w:type="gramStart"/>
      <w:r w:rsidRPr="00FA4478">
        <w:t>The TWPs</w:t>
      </w:r>
      <w:r>
        <w:t>, at their sessions in 2021,</w:t>
      </w:r>
      <w:r w:rsidRPr="00FA4478">
        <w:t xml:space="preserve"> noted the information provided by participants at the nineteenth session of the BMT on their work on biochemical and molecular techniques and areas for cooperation, as reproduced in Annex I to document TWP/5/7</w:t>
      </w:r>
      <w:r>
        <w:t xml:space="preserve"> </w:t>
      </w:r>
      <w:r w:rsidRPr="00FA4478">
        <w:t>see documents TWV/55/16 “Report”, paragraphs </w:t>
      </w:r>
      <w:r>
        <w:t>48 and 49</w:t>
      </w:r>
      <w:r w:rsidRPr="00FA4478">
        <w:t>; TWO/53/10 “Report”, paragraph</w:t>
      </w:r>
      <w:r>
        <w:t xml:space="preserve"> 57</w:t>
      </w:r>
      <w:r w:rsidRPr="00FA4478">
        <w:t>; TWA/50/9 “Report”, paragraphs 8</w:t>
      </w:r>
      <w:r>
        <w:t>5</w:t>
      </w:r>
      <w:r w:rsidRPr="00FA4478">
        <w:t xml:space="preserve"> </w:t>
      </w:r>
      <w:r>
        <w:t>and 86</w:t>
      </w:r>
      <w:r w:rsidRPr="00FA4478">
        <w:t xml:space="preserve">; TWF/52/10 “Report”, paragraphs </w:t>
      </w:r>
      <w:r>
        <w:t>10 and 11</w:t>
      </w:r>
      <w:r w:rsidRPr="00FA4478">
        <w:t>; and TWC/39/9 “Report”, paragraph</w:t>
      </w:r>
      <w:r>
        <w:t xml:space="preserve"> 70</w:t>
      </w:r>
      <w:r w:rsidRPr="00FA4478">
        <w:t>).</w:t>
      </w:r>
      <w:proofErr w:type="gramEnd"/>
    </w:p>
    <w:p w:rsidR="007F7D6E" w:rsidRPr="00FA4478" w:rsidRDefault="007F7D6E" w:rsidP="007F7D6E"/>
    <w:p w:rsidR="007F7D6E" w:rsidRPr="00FC712E" w:rsidRDefault="007F7D6E" w:rsidP="007F7D6E">
      <w:r w:rsidRPr="00FC712E">
        <w:fldChar w:fldCharType="begin"/>
      </w:r>
      <w:r w:rsidRPr="00FC712E">
        <w:instrText xml:space="preserve"> AUTONUM  </w:instrText>
      </w:r>
      <w:r w:rsidRPr="00FC712E">
        <w:fldChar w:fldCharType="end"/>
      </w:r>
      <w:r w:rsidRPr="00FC712E">
        <w:tab/>
        <w:t xml:space="preserve">The TWV, at its fifty-fifth session, formed a discussion group to allow participants to exchange information on their work on biochemical and molecular techniques and explore areas for cooperation.  Tomato, lettuce and pepper </w:t>
      </w:r>
      <w:proofErr w:type="gramStart"/>
      <w:r w:rsidRPr="00FC712E">
        <w:t>were discussed</w:t>
      </w:r>
      <w:proofErr w:type="gramEnd"/>
      <w:r w:rsidRPr="00FC712E">
        <w:t xml:space="preserve"> during the discussion group.</w:t>
      </w:r>
    </w:p>
    <w:p w:rsidR="007F7D6E" w:rsidRPr="00FC712E" w:rsidRDefault="007F7D6E" w:rsidP="007F7D6E"/>
    <w:p w:rsidR="007F7D6E" w:rsidRPr="00FA4478" w:rsidRDefault="007F7D6E" w:rsidP="007F7D6E">
      <w:r w:rsidRPr="00FC712E">
        <w:fldChar w:fldCharType="begin"/>
      </w:r>
      <w:r w:rsidRPr="00FC712E">
        <w:instrText xml:space="preserve"> AUTONUM  </w:instrText>
      </w:r>
      <w:r w:rsidRPr="00FC712E">
        <w:fldChar w:fldCharType="end"/>
      </w:r>
      <w:r w:rsidRPr="00FC712E">
        <w:tab/>
        <w:t xml:space="preserve">The TWA, at its fiftieth session, held a discussion session to allow participants to exchange information on their work on biochemical and molecular techniques and explore possible areas for cooperation for Soybeans, Potato, Oilseed Rape, Hemp, </w:t>
      </w:r>
      <w:proofErr w:type="spellStart"/>
      <w:r w:rsidRPr="00FC712E">
        <w:t>Faba</w:t>
      </w:r>
      <w:proofErr w:type="spellEnd"/>
      <w:r w:rsidRPr="00FC712E">
        <w:t xml:space="preserve"> Bean and Wheat.  The TWA agreed to invite presentations to</w:t>
      </w:r>
      <w:r w:rsidRPr="00FA4478">
        <w:t xml:space="preserve"> </w:t>
      </w:r>
      <w:proofErr w:type="gramStart"/>
      <w:r w:rsidRPr="00FA4478">
        <w:t>be made</w:t>
      </w:r>
      <w:proofErr w:type="gramEnd"/>
      <w:r w:rsidRPr="00FA4478">
        <w:t xml:space="preserve"> at its fifty-first session, to be held in 2022, on biochemical and molecular techniques in the different crops discussed.</w:t>
      </w:r>
    </w:p>
    <w:p w:rsidR="007F7D6E" w:rsidRPr="00FA4478" w:rsidRDefault="007F7D6E" w:rsidP="007F7D6E"/>
    <w:p w:rsidR="007F7D6E" w:rsidRPr="00FA4478" w:rsidRDefault="007F7D6E" w:rsidP="007F7D6E">
      <w:r w:rsidRPr="00FA4478">
        <w:fldChar w:fldCharType="begin"/>
      </w:r>
      <w:r w:rsidRPr="00FA4478">
        <w:instrText xml:space="preserve"> AUTONUM  </w:instrText>
      </w:r>
      <w:r w:rsidRPr="00FA4478">
        <w:fldChar w:fldCharType="end"/>
      </w:r>
      <w:r w:rsidRPr="00FA4478">
        <w:tab/>
      </w:r>
      <w:r w:rsidRPr="00FC712E">
        <w:t>The TWF, at its fifty-third session, held a discussion session to allow participants to exchange information on their work on biochemical and molecular techniques and explore areas for cooperation for Apple, Strawberry and Peach. The TWF agreed</w:t>
      </w:r>
      <w:r w:rsidRPr="00FA4478">
        <w:t xml:space="preserve"> to invite the experts from the European Union and France to make presentations on the use of molecular techniques in DUS examination of apple varieties, at its fifty</w:t>
      </w:r>
      <w:r w:rsidRPr="00FA4478">
        <w:noBreakHyphen/>
        <w:t>third session.</w:t>
      </w:r>
    </w:p>
    <w:p w:rsidR="007F7D6E" w:rsidRDefault="007F7D6E" w:rsidP="007F7D6E"/>
    <w:p w:rsidR="007F7D6E" w:rsidRDefault="007F7D6E" w:rsidP="007F7D6E">
      <w:pPr>
        <w:pStyle w:val="Heading3"/>
      </w:pPr>
      <w:bookmarkStart w:id="41" w:name="_Toc84415960"/>
      <w:r w:rsidRPr="003E7D87">
        <w:t>Working Group on Biochemical and Molecular Techniques, and DNA-Profiling in Particular</w:t>
      </w:r>
      <w:r>
        <w:t xml:space="preserve"> (BMT)</w:t>
      </w:r>
      <w:bookmarkEnd w:id="41"/>
    </w:p>
    <w:p w:rsidR="007F7D6E" w:rsidRPr="00FA4478" w:rsidRDefault="007F7D6E" w:rsidP="007F7D6E"/>
    <w:p w:rsidR="007F7D6E" w:rsidRPr="00A17C89" w:rsidRDefault="007F7D6E" w:rsidP="007F7D6E">
      <w:r w:rsidRPr="00A17C89">
        <w:fldChar w:fldCharType="begin"/>
      </w:r>
      <w:r w:rsidRPr="00A17C89">
        <w:instrText xml:space="preserve"> AUTONUM  </w:instrText>
      </w:r>
      <w:r w:rsidRPr="00A17C89">
        <w:fldChar w:fldCharType="end"/>
      </w:r>
      <w:r w:rsidRPr="00A17C89">
        <w:tab/>
        <w:t>The BMT</w:t>
      </w:r>
      <w:r>
        <w:t>, at its twentieth session,</w:t>
      </w:r>
      <w:r w:rsidRPr="00A17C89">
        <w:t xml:space="preserve"> considered document BMT/20/6</w:t>
      </w:r>
      <w:r>
        <w:t xml:space="preserve"> “Session to facilitate cooperation” (see document BMT/20/12 “Report”, paragraphs 28 to 35)</w:t>
      </w:r>
      <w:r w:rsidRPr="00A17C89">
        <w:t>.</w:t>
      </w:r>
    </w:p>
    <w:p w:rsidR="007F7D6E" w:rsidRPr="00A17C89" w:rsidRDefault="007F7D6E" w:rsidP="007F7D6E"/>
    <w:p w:rsidR="007F7D6E" w:rsidRPr="00A17C89" w:rsidRDefault="007F7D6E" w:rsidP="007F7D6E">
      <w:r w:rsidRPr="00A17C89">
        <w:fldChar w:fldCharType="begin"/>
      </w:r>
      <w:r w:rsidRPr="00A17C89">
        <w:instrText xml:space="preserve"> AUTONUM  </w:instrText>
      </w:r>
      <w:r w:rsidRPr="00A17C89">
        <w:fldChar w:fldCharType="end"/>
      </w:r>
      <w:r w:rsidRPr="00A17C89">
        <w:tab/>
        <w:t xml:space="preserve">The BMT </w:t>
      </w:r>
      <w:r w:rsidRPr="00FC712E">
        <w:t>recalled</w:t>
      </w:r>
      <w:r w:rsidRPr="00A17C89">
        <w:t xml:space="preserve"> the information provided by participants at the nineteenth session of the BMT on their work on biochemical and molecular techniques and areas for cooperation, as reproduced in the Annex to document BMT/20/6.</w:t>
      </w:r>
    </w:p>
    <w:p w:rsidR="007F7D6E" w:rsidRPr="00A17C89" w:rsidRDefault="007F7D6E" w:rsidP="007F7D6E"/>
    <w:p w:rsidR="007F7D6E" w:rsidRPr="00FC712E" w:rsidRDefault="007F7D6E" w:rsidP="007F7D6E">
      <w:r w:rsidRPr="00A17C89">
        <w:fldChar w:fldCharType="begin"/>
      </w:r>
      <w:r w:rsidRPr="00A17C89">
        <w:instrText xml:space="preserve"> AUTONUM  </w:instrText>
      </w:r>
      <w:r w:rsidRPr="00A17C89">
        <w:fldChar w:fldCharType="end"/>
      </w:r>
      <w:r w:rsidRPr="00A17C89">
        <w:tab/>
      </w:r>
      <w:r w:rsidRPr="00FC712E">
        <w:t xml:space="preserve">The BMT noted the information on the discussion groups that </w:t>
      </w:r>
      <w:proofErr w:type="gramStart"/>
      <w:r w:rsidRPr="00FC712E">
        <w:t>had been formed</w:t>
      </w:r>
      <w:proofErr w:type="gramEnd"/>
      <w:r w:rsidRPr="00FC712E">
        <w:t xml:space="preserve"> at the Technical Working Parties, at their sessions in 2021, to allow participants to exchange information on their work on biochemical and molecular techniques and explore areas for cooperation.</w:t>
      </w:r>
    </w:p>
    <w:p w:rsidR="007F7D6E" w:rsidRPr="00FC712E" w:rsidRDefault="007F7D6E" w:rsidP="007F7D6E"/>
    <w:p w:rsidR="007F7D6E" w:rsidRPr="00FC712E" w:rsidRDefault="007F7D6E" w:rsidP="007F7D6E">
      <w:r w:rsidRPr="00FC712E">
        <w:fldChar w:fldCharType="begin"/>
      </w:r>
      <w:r w:rsidRPr="00FC712E">
        <w:instrText xml:space="preserve"> AUTONUM  </w:instrText>
      </w:r>
      <w:r w:rsidRPr="00FC712E">
        <w:fldChar w:fldCharType="end"/>
      </w:r>
      <w:r w:rsidRPr="00FC712E">
        <w:tab/>
      </w:r>
      <w:r>
        <w:t>The</w:t>
      </w:r>
      <w:r w:rsidRPr="00FC712E">
        <w:t xml:space="preserve"> BMT held a discussion session to allow participants to exchange information on their work on biochemical and molecular techniques and explore possible areas for cooperation.  </w:t>
      </w:r>
    </w:p>
    <w:p w:rsidR="007F7D6E" w:rsidRPr="00FC712E" w:rsidRDefault="007F7D6E" w:rsidP="007F7D6E"/>
    <w:p w:rsidR="007F7D6E" w:rsidRPr="00FC712E" w:rsidRDefault="007F7D6E" w:rsidP="007F7D6E">
      <w:r w:rsidRPr="00FC712E">
        <w:fldChar w:fldCharType="begin"/>
      </w:r>
      <w:r w:rsidRPr="00FC712E">
        <w:instrText xml:space="preserve"> AUTONUM  </w:instrText>
      </w:r>
      <w:r w:rsidRPr="00FC712E">
        <w:fldChar w:fldCharType="end"/>
      </w:r>
      <w:r w:rsidRPr="00FC712E">
        <w:tab/>
        <w:t>The BMT considered whether UPOV could support harmonization and cooperation between members already using molecular markers in DUS examination or making information or BMT services available to other UPOV members.</w:t>
      </w:r>
    </w:p>
    <w:p w:rsidR="007F7D6E" w:rsidRPr="00FC712E" w:rsidRDefault="007F7D6E" w:rsidP="007F7D6E"/>
    <w:p w:rsidR="007F7D6E" w:rsidRPr="00274192" w:rsidRDefault="007F7D6E" w:rsidP="007F7D6E">
      <w:r w:rsidRPr="00FC712E">
        <w:fldChar w:fldCharType="begin"/>
      </w:r>
      <w:r w:rsidRPr="00FC712E">
        <w:instrText xml:space="preserve"> AUTONUM  </w:instrText>
      </w:r>
      <w:r w:rsidRPr="00FC712E">
        <w:fldChar w:fldCharType="end"/>
      </w:r>
      <w:r w:rsidRPr="00FC712E">
        <w:tab/>
        <w:t xml:space="preserve">The BMT agreed that </w:t>
      </w:r>
      <w:r w:rsidRPr="00274192">
        <w:t xml:space="preserve">information on the use of molecular markers by crop was important to promote cooperation between UPOV members and agreed to propose that the survey on the use of molecular markers </w:t>
      </w:r>
      <w:proofErr w:type="gramStart"/>
      <w:r w:rsidRPr="00274192">
        <w:t>was continued</w:t>
      </w:r>
      <w:proofErr w:type="gramEnd"/>
      <w:r w:rsidRPr="00274192">
        <w:t xml:space="preserve"> to obtain information from a greater number of UPOV members. </w:t>
      </w:r>
    </w:p>
    <w:p w:rsidR="007F7D6E" w:rsidRPr="00274192" w:rsidRDefault="007F7D6E" w:rsidP="007F7D6E"/>
    <w:p w:rsidR="007F7D6E" w:rsidRDefault="007F7D6E" w:rsidP="007F7D6E">
      <w:r w:rsidRPr="00274192">
        <w:fldChar w:fldCharType="begin"/>
      </w:r>
      <w:r w:rsidRPr="00274192">
        <w:instrText xml:space="preserve"> AUTONUM  </w:instrText>
      </w:r>
      <w:r w:rsidRPr="00274192">
        <w:fldChar w:fldCharType="end"/>
      </w:r>
      <w:r w:rsidRPr="00274192">
        <w:tab/>
        <w:t>The BMT agreed that it would be us</w:t>
      </w:r>
      <w:r w:rsidRPr="00FC712E">
        <w:t xml:space="preserve">eful to confirm the reasons for not responding to the first survey.  </w:t>
      </w:r>
      <w:r>
        <w:t xml:space="preserve">The TC, </w:t>
      </w:r>
      <w:r w:rsidRPr="00FC712E">
        <w:t>at its fifty-</w:t>
      </w:r>
      <w:r>
        <w:t>sevent</w:t>
      </w:r>
      <w:r w:rsidRPr="00FC712E">
        <w:t xml:space="preserve">h session, </w:t>
      </w:r>
      <w:proofErr w:type="gramStart"/>
      <w:r w:rsidR="00B31902">
        <w:t xml:space="preserve">will be </w:t>
      </w:r>
      <w:r>
        <w:t>invited</w:t>
      </w:r>
      <w:proofErr w:type="gramEnd"/>
      <w:r>
        <w:t xml:space="preserve"> to: </w:t>
      </w:r>
    </w:p>
    <w:p w:rsidR="007F7D6E" w:rsidRDefault="007F7D6E" w:rsidP="007F7D6E"/>
    <w:p w:rsidR="007F7D6E" w:rsidRDefault="007F7D6E" w:rsidP="007F7D6E">
      <w:pPr>
        <w:ind w:left="567"/>
      </w:pPr>
      <w:r>
        <w:t>(a)</w:t>
      </w:r>
      <w:r>
        <w:tab/>
      </w:r>
      <w:proofErr w:type="gramStart"/>
      <w:r>
        <w:t>consider</w:t>
      </w:r>
      <w:proofErr w:type="gramEnd"/>
      <w:r>
        <w:t xml:space="preserve"> whether to continue the survey on the use of molecular markers to obtain information from a greater number of UPOV members; and</w:t>
      </w:r>
    </w:p>
    <w:p w:rsidR="007F7D6E" w:rsidRDefault="007F7D6E" w:rsidP="007F7D6E">
      <w:pPr>
        <w:ind w:left="567"/>
      </w:pPr>
    </w:p>
    <w:p w:rsidR="007F7D6E" w:rsidRPr="00FC712E" w:rsidRDefault="007F7D6E" w:rsidP="007F7D6E">
      <w:pPr>
        <w:ind w:left="567"/>
      </w:pPr>
      <w:r>
        <w:t>(b)</w:t>
      </w:r>
      <w:r>
        <w:tab/>
      </w:r>
      <w:proofErr w:type="gramStart"/>
      <w:r>
        <w:t>investigate</w:t>
      </w:r>
      <w:proofErr w:type="gramEnd"/>
      <w:r>
        <w:t xml:space="preserve"> the reasons for members of the Union not responding to the first survey.</w:t>
      </w:r>
    </w:p>
    <w:p w:rsidR="007F7D6E" w:rsidRPr="00FC712E" w:rsidRDefault="007F7D6E" w:rsidP="007F7D6E"/>
    <w:p w:rsidR="007F7D6E" w:rsidRDefault="007F7D6E" w:rsidP="007F7D6E">
      <w:r w:rsidRPr="00FC712E">
        <w:lastRenderedPageBreak/>
        <w:fldChar w:fldCharType="begin"/>
      </w:r>
      <w:r w:rsidRPr="00FC712E">
        <w:instrText xml:space="preserve"> AUTONUM  </w:instrText>
      </w:r>
      <w:r w:rsidRPr="00FC712E">
        <w:fldChar w:fldCharType="end"/>
      </w:r>
      <w:r w:rsidRPr="00FC712E">
        <w:tab/>
        <w:t>The BMT agreed that</w:t>
      </w:r>
      <w:r>
        <w:t xml:space="preserve"> the possibility to form discussion groups during the sessions </w:t>
      </w:r>
      <w:proofErr w:type="gramStart"/>
      <w:r>
        <w:t>should be maintained</w:t>
      </w:r>
      <w:proofErr w:type="gramEnd"/>
      <w:r>
        <w:t>.</w:t>
      </w:r>
    </w:p>
    <w:p w:rsidR="007F7D6E" w:rsidRPr="008E521A" w:rsidRDefault="007F7D6E" w:rsidP="008E521A"/>
    <w:p w:rsidR="00733267" w:rsidRPr="008E521A" w:rsidRDefault="00733267" w:rsidP="008E521A"/>
    <w:p w:rsidR="00733267" w:rsidRPr="008E521A" w:rsidRDefault="00733267" w:rsidP="008E521A"/>
    <w:p w:rsidR="00733267" w:rsidRDefault="00733267" w:rsidP="00733267">
      <w:pPr>
        <w:pStyle w:val="Heading1"/>
      </w:pPr>
      <w:bookmarkStart w:id="42" w:name="_Toc84413225"/>
      <w:bookmarkStart w:id="43" w:name="_Toc85560675"/>
      <w:r w:rsidRPr="00640427">
        <w:t>Confidentiality &amp; Ownership of Molecular Information</w:t>
      </w:r>
      <w:bookmarkEnd w:id="42"/>
      <w:bookmarkEnd w:id="43"/>
    </w:p>
    <w:p w:rsidR="00733267" w:rsidRPr="00465745" w:rsidRDefault="00733267" w:rsidP="00733267"/>
    <w:p w:rsidR="00733267" w:rsidRPr="00465745" w:rsidRDefault="00733267" w:rsidP="00733267">
      <w:r w:rsidRPr="00465745">
        <w:fldChar w:fldCharType="begin"/>
      </w:r>
      <w:r w:rsidRPr="00465745">
        <w:instrText xml:space="preserve"> AUTONUM  </w:instrText>
      </w:r>
      <w:r w:rsidRPr="00465745">
        <w:fldChar w:fldCharType="end"/>
      </w:r>
      <w:r w:rsidRPr="00465745">
        <w:tab/>
      </w:r>
      <w:proofErr w:type="gramStart"/>
      <w:r w:rsidRPr="00465745">
        <w:t xml:space="preserve">The </w:t>
      </w:r>
      <w:r>
        <w:t>TWPs and the BMT, at their sessions in 2021,</w:t>
      </w:r>
      <w:r w:rsidRPr="00465745">
        <w:t xml:space="preserve"> received a presentation on “Confidentiality &amp; Ownership of Molecular Information” by an expert on behalf of the African Seed Trade Association (AFSTA), the Asia and Pacific Seed Association (APSA), the International Community of Breeders of Asexually Reproduced Horticultural Plants (</w:t>
      </w:r>
      <w:proofErr w:type="spellStart"/>
      <w:r w:rsidRPr="00465745">
        <w:t>CIOPORA</w:t>
      </w:r>
      <w:proofErr w:type="spellEnd"/>
      <w:r w:rsidRPr="00465745">
        <w:t xml:space="preserve">), </w:t>
      </w:r>
      <w:proofErr w:type="spellStart"/>
      <w:r w:rsidRPr="00465745">
        <w:t>CropLife</w:t>
      </w:r>
      <w:proofErr w:type="spellEnd"/>
      <w:r w:rsidRPr="00465745">
        <w:t xml:space="preserve"> International, </w:t>
      </w:r>
      <w:proofErr w:type="spellStart"/>
      <w:r w:rsidRPr="00465745">
        <w:t>Euroseeds</w:t>
      </w:r>
      <w:proofErr w:type="spellEnd"/>
      <w:r w:rsidRPr="00465745">
        <w:t>, the International Seed Federation (ISF) and the Seed Association of the Americas (SAA).</w:t>
      </w:r>
      <w:proofErr w:type="gramEnd"/>
      <w:r w:rsidRPr="00465745">
        <w:t xml:space="preserve">  A copy of the presentation is provided in document TWV/55/4</w:t>
      </w:r>
      <w:r>
        <w:t xml:space="preserve"> (see documents TWV/55/16 “Report”, paragraphs 56 to 61; TWO/53/10 “Report”, paragraphs 62 to 64; TWA/50/9 “Report”, paragraphs 91 to 93; TWF/52/10 “Report”, paragraphs 16 and 17; and BMT/20/12 “Report”, paragraphs 25 to 27)</w:t>
      </w:r>
      <w:r w:rsidRPr="00465745">
        <w:t>.</w:t>
      </w:r>
    </w:p>
    <w:p w:rsidR="00733267" w:rsidRPr="00465745" w:rsidRDefault="00733267" w:rsidP="00733267"/>
    <w:p w:rsidR="00733267" w:rsidRPr="00465745" w:rsidRDefault="00733267" w:rsidP="00733267">
      <w:r w:rsidRPr="00465745">
        <w:fldChar w:fldCharType="begin"/>
      </w:r>
      <w:r w:rsidRPr="00465745">
        <w:instrText xml:space="preserve"> AUTONUM  </w:instrText>
      </w:r>
      <w:r w:rsidRPr="00465745">
        <w:fldChar w:fldCharType="end"/>
      </w:r>
      <w:r w:rsidRPr="00465745">
        <w:tab/>
        <w:t>The TWV</w:t>
      </w:r>
      <w:r>
        <w:t>, TWO and TWA</w:t>
      </w:r>
      <w:r w:rsidRPr="00465745">
        <w:t xml:space="preserve"> considered the proposal to revise document TGP/5, Section 3: Model Application Form, to include a request for confidentiality of molecular information of candidate varieties as follows:</w:t>
      </w:r>
    </w:p>
    <w:p w:rsidR="00733267" w:rsidRPr="00465745" w:rsidRDefault="00733267" w:rsidP="00733267">
      <w:pPr>
        <w:ind w:left="567" w:right="567"/>
      </w:pPr>
    </w:p>
    <w:p w:rsidR="00733267" w:rsidRPr="00465745" w:rsidRDefault="008E521A" w:rsidP="00733267">
      <w:pPr>
        <w:ind w:left="567" w:right="567"/>
        <w:rPr>
          <w:i/>
        </w:rPr>
      </w:pPr>
      <w:r>
        <w:rPr>
          <w:i/>
        </w:rPr>
        <w:t>“</w:t>
      </w:r>
      <w:r w:rsidR="00733267" w:rsidRPr="00465745">
        <w:rPr>
          <w:i/>
        </w:rPr>
        <w:t>We request that molecular information pertaining to the variety remains confidential and exchange to another UPOV member or examination office is subject to approval by the applicant.”</w:t>
      </w:r>
    </w:p>
    <w:p w:rsidR="00733267" w:rsidRPr="00465745" w:rsidRDefault="00733267" w:rsidP="00733267"/>
    <w:p w:rsidR="00733267" w:rsidRPr="00465745" w:rsidRDefault="00733267" w:rsidP="00733267">
      <w:r w:rsidRPr="00465745">
        <w:fldChar w:fldCharType="begin"/>
      </w:r>
      <w:r w:rsidRPr="00465745">
        <w:instrText xml:space="preserve"> AUTONUM  </w:instrText>
      </w:r>
      <w:r w:rsidRPr="00465745">
        <w:fldChar w:fldCharType="end"/>
      </w:r>
      <w:r w:rsidRPr="00465745">
        <w:tab/>
        <w:t xml:space="preserve">The TWV noted that some authorities were creating databases with molecular information and using this information for selecting similar varieties and organizing the growing trial. </w:t>
      </w:r>
    </w:p>
    <w:p w:rsidR="00733267" w:rsidRPr="00465745" w:rsidRDefault="00733267" w:rsidP="00733267"/>
    <w:p w:rsidR="00733267" w:rsidRPr="00465745" w:rsidRDefault="00733267" w:rsidP="00733267">
      <w:r w:rsidRPr="00465745">
        <w:fldChar w:fldCharType="begin"/>
      </w:r>
      <w:r w:rsidRPr="00465745">
        <w:instrText xml:space="preserve"> AUTONUM  </w:instrText>
      </w:r>
      <w:r w:rsidRPr="00465745">
        <w:fldChar w:fldCharType="end"/>
      </w:r>
      <w:r w:rsidRPr="00465745">
        <w:tab/>
        <w:t xml:space="preserve">The TWV agreed to request information on whether the proposal could prevent the authority receiving an application from obtaining molecular information from the candidate variety for DUS purposes and whether the </w:t>
      </w:r>
      <w:proofErr w:type="gramStart"/>
      <w:r w:rsidRPr="00465745">
        <w:t>proposal was only aimed at preventing the receiving authority from passing on molecular information of the variety to other authorities without approval by the applicant</w:t>
      </w:r>
      <w:proofErr w:type="gramEnd"/>
      <w:r w:rsidRPr="00465745">
        <w:t>.</w:t>
      </w:r>
    </w:p>
    <w:p w:rsidR="00733267" w:rsidRPr="00465745" w:rsidRDefault="00733267" w:rsidP="00733267"/>
    <w:p w:rsidR="00733267" w:rsidRPr="00465745" w:rsidRDefault="00733267" w:rsidP="00733267">
      <w:r w:rsidRPr="00465745">
        <w:fldChar w:fldCharType="begin"/>
      </w:r>
      <w:r w:rsidRPr="00465745">
        <w:instrText xml:space="preserve"> AUTONUM  </w:instrText>
      </w:r>
      <w:r w:rsidRPr="00465745">
        <w:fldChar w:fldCharType="end"/>
      </w:r>
      <w:r w:rsidRPr="00465745">
        <w:tab/>
        <w:t xml:space="preserve">The TWV noted that a further discussion with breeders </w:t>
      </w:r>
      <w:proofErr w:type="gramStart"/>
      <w:r w:rsidR="00B31902" w:rsidRPr="00465745">
        <w:t>w</w:t>
      </w:r>
      <w:r w:rsidR="00B31902">
        <w:t>ould</w:t>
      </w:r>
      <w:r w:rsidR="00B31902" w:rsidRPr="00465745">
        <w:t xml:space="preserve"> </w:t>
      </w:r>
      <w:r w:rsidRPr="00465745">
        <w:t>be needed</w:t>
      </w:r>
      <w:proofErr w:type="gramEnd"/>
      <w:r w:rsidRPr="00465745">
        <w:t xml:space="preserve"> to find a pragmatic solution to address the concerns of the breeders but to prevent unnecessary administrative burden for authorities.</w:t>
      </w:r>
    </w:p>
    <w:p w:rsidR="00733267" w:rsidRPr="00465745" w:rsidRDefault="00733267" w:rsidP="00733267"/>
    <w:p w:rsidR="00733267" w:rsidRPr="00465745" w:rsidRDefault="00733267" w:rsidP="00733267">
      <w:r w:rsidRPr="00465745">
        <w:fldChar w:fldCharType="begin"/>
      </w:r>
      <w:r w:rsidRPr="00465745">
        <w:instrText xml:space="preserve"> AUTONUM  </w:instrText>
      </w:r>
      <w:r w:rsidRPr="00465745">
        <w:fldChar w:fldCharType="end"/>
      </w:r>
      <w:r w:rsidRPr="00465745">
        <w:tab/>
        <w:t xml:space="preserve">The TWV noted that the same presentation </w:t>
      </w:r>
      <w:proofErr w:type="gramStart"/>
      <w:r w:rsidRPr="00465745">
        <w:t>would be scheduled</w:t>
      </w:r>
      <w:proofErr w:type="gramEnd"/>
      <w:r w:rsidRPr="00465745">
        <w:t xml:space="preserve"> for other TWPs at their sessions in 2021, which would allow further consideration of the proposal.</w:t>
      </w:r>
    </w:p>
    <w:p w:rsidR="00733267" w:rsidRPr="00465745" w:rsidRDefault="00733267" w:rsidP="00733267"/>
    <w:p w:rsidR="00733267" w:rsidRDefault="00733267" w:rsidP="00733267">
      <w:r>
        <w:fldChar w:fldCharType="begin"/>
      </w:r>
      <w:r>
        <w:instrText xml:space="preserve"> AUTONUM  </w:instrText>
      </w:r>
      <w:r>
        <w:fldChar w:fldCharType="end"/>
      </w:r>
      <w:r>
        <w:tab/>
        <w:t xml:space="preserve">The TWO agreed that further discussion </w:t>
      </w:r>
      <w:proofErr w:type="gramStart"/>
      <w:r>
        <w:t>would be needed</w:t>
      </w:r>
      <w:proofErr w:type="gramEnd"/>
      <w:r>
        <w:t xml:space="preserve"> to find a suitable solution to address the concerns of the breeders while preventing unnecessary administrative burden for authorities.</w:t>
      </w:r>
    </w:p>
    <w:p w:rsidR="00733267" w:rsidRDefault="00733267" w:rsidP="00733267">
      <w:pPr>
        <w:jc w:val="left"/>
      </w:pPr>
    </w:p>
    <w:p w:rsidR="00733267" w:rsidRDefault="00733267" w:rsidP="00733267">
      <w:r>
        <w:fldChar w:fldCharType="begin"/>
      </w:r>
      <w:r>
        <w:instrText xml:space="preserve"> AUTONUM  </w:instrText>
      </w:r>
      <w:r>
        <w:fldChar w:fldCharType="end"/>
      </w:r>
      <w:r>
        <w:tab/>
        <w:t>The TWA noted the importance of confidentiality of molecular information for breeders and agreed that further discussion would be required on the topic.  The TWA noted that confidentiality of molecular information could be subject to legislation in different UPOV members and agreed to invite presentations at its fifty-first session.  The TWA noted the expression of interest from Argentina to make a presentation on the topic at the fifty-first session of the TWA.</w:t>
      </w:r>
    </w:p>
    <w:p w:rsidR="00733267" w:rsidRDefault="00733267" w:rsidP="00733267"/>
    <w:p w:rsidR="00733267" w:rsidRDefault="00733267" w:rsidP="00733267">
      <w:pPr>
        <w:rPr>
          <w:rFonts w:cs="Arial"/>
          <w:i/>
          <w:snapToGrid w:val="0"/>
        </w:rPr>
      </w:pPr>
      <w:r>
        <w:fldChar w:fldCharType="begin"/>
      </w:r>
      <w:r>
        <w:instrText xml:space="preserve"> AUTONUM  </w:instrText>
      </w:r>
      <w:r>
        <w:fldChar w:fldCharType="end"/>
      </w:r>
      <w:r>
        <w:tab/>
        <w:t xml:space="preserve">The TWF noted that the matter of confidentiality and ownership of molecular information </w:t>
      </w:r>
      <w:proofErr w:type="gramStart"/>
      <w:r>
        <w:t>had not been considered in any detail in the fruit sector and agreed that further discussion was required</w:t>
      </w:r>
      <w:proofErr w:type="gramEnd"/>
      <w:r>
        <w:t>. The TWF agreed to invite presentations from members and observers on this topic under the agenda item “Presentation on the use of molecular techniques in DUS examination” at its fifty-third session.</w:t>
      </w:r>
    </w:p>
    <w:p w:rsidR="00733267" w:rsidRDefault="00733267" w:rsidP="00733267">
      <w:pPr>
        <w:jc w:val="left"/>
      </w:pPr>
    </w:p>
    <w:p w:rsidR="00733267" w:rsidRPr="00C22974" w:rsidRDefault="00733267" w:rsidP="00733267">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t xml:space="preserve">The BMT noted that discussions on </w:t>
      </w:r>
      <w:r w:rsidRPr="00C22974">
        <w:t>confidentiality, ownership and access to molecular data</w:t>
      </w:r>
      <w:r w:rsidRPr="00C22974">
        <w:rPr>
          <w:rFonts w:cs="Arial"/>
          <w:iCs/>
        </w:rPr>
        <w:t xml:space="preserve"> </w:t>
      </w:r>
      <w:proofErr w:type="gramStart"/>
      <w:r w:rsidRPr="00C22974">
        <w:rPr>
          <w:rFonts w:cs="Arial"/>
          <w:iCs/>
        </w:rPr>
        <w:t>had been held</w:t>
      </w:r>
      <w:proofErr w:type="gramEnd"/>
      <w:r w:rsidRPr="00C22974">
        <w:rPr>
          <w:rFonts w:cs="Arial"/>
          <w:iCs/>
        </w:rPr>
        <w:t xml:space="preserve"> at the Technical Working Parties, at their sessions in 2021.  The BMT noted that the TWPs had invited further </w:t>
      </w:r>
      <w:r w:rsidRPr="00781108">
        <w:rPr>
          <w:rFonts w:cs="Arial"/>
          <w:iCs/>
        </w:rPr>
        <w:t>discussions</w:t>
      </w:r>
      <w:r>
        <w:rPr>
          <w:rFonts w:cs="Arial"/>
          <w:iCs/>
        </w:rPr>
        <w:t xml:space="preserve"> </w:t>
      </w:r>
      <w:r w:rsidRPr="00C22974">
        <w:rPr>
          <w:rFonts w:cs="Arial"/>
          <w:iCs/>
        </w:rPr>
        <w:t>on this topic for their next sessions.</w:t>
      </w:r>
    </w:p>
    <w:p w:rsidR="00733267" w:rsidRPr="00C22974" w:rsidRDefault="00733267" w:rsidP="00733267">
      <w:pPr>
        <w:rPr>
          <w:rFonts w:cs="Arial"/>
          <w:iCs/>
        </w:rPr>
      </w:pPr>
    </w:p>
    <w:p w:rsidR="00733267" w:rsidRPr="00C22974" w:rsidRDefault="00733267" w:rsidP="00733267">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t xml:space="preserve">The BMT </w:t>
      </w:r>
      <w:r w:rsidRPr="009E2967">
        <w:rPr>
          <w:rFonts w:cs="Arial"/>
          <w:iCs/>
        </w:rPr>
        <w:t>agreed</w:t>
      </w:r>
      <w:r w:rsidRPr="00C22974">
        <w:rPr>
          <w:rFonts w:cs="Arial"/>
          <w:iCs/>
        </w:rPr>
        <w:t xml:space="preserve"> to invite presentations on current practices on confidentiality and access to molecular data to </w:t>
      </w:r>
      <w:proofErr w:type="gramStart"/>
      <w:r w:rsidRPr="00C22974">
        <w:rPr>
          <w:rFonts w:cs="Arial"/>
          <w:iCs/>
        </w:rPr>
        <w:t>be made</w:t>
      </w:r>
      <w:proofErr w:type="gramEnd"/>
      <w:r w:rsidRPr="00C22974">
        <w:rPr>
          <w:rFonts w:cs="Arial"/>
          <w:iCs/>
        </w:rPr>
        <w:t xml:space="preserve"> at the first session of the TWM.  The BMT agreed that current practices in UPOV members and observers could provide a suitable basis for further discussions on the topic. </w:t>
      </w:r>
    </w:p>
    <w:p w:rsidR="00733267" w:rsidRPr="008E521A" w:rsidRDefault="00733267" w:rsidP="008E521A"/>
    <w:p w:rsidR="00D14394" w:rsidRPr="001F7350" w:rsidRDefault="00D14394" w:rsidP="00D14394"/>
    <w:p w:rsidR="00D14394" w:rsidRDefault="00D14394" w:rsidP="00595E41">
      <w:pPr>
        <w:jc w:val="right"/>
      </w:pPr>
      <w:r w:rsidRPr="001F7350">
        <w:rPr>
          <w:rFonts w:hint="eastAsia"/>
        </w:rPr>
        <w:t>[</w:t>
      </w:r>
      <w:r w:rsidRPr="001F7350">
        <w:t>Annex</w:t>
      </w:r>
      <w:r>
        <w:t>es follow</w:t>
      </w:r>
      <w:r w:rsidRPr="001F7350">
        <w:t>]</w:t>
      </w:r>
    </w:p>
    <w:p w:rsidR="000E52A6" w:rsidRDefault="000E52A6" w:rsidP="00595E41">
      <w:pPr>
        <w:ind w:right="500"/>
        <w:sectPr w:rsidR="000E52A6" w:rsidSect="0004198B">
          <w:headerReference w:type="default" r:id="rId9"/>
          <w:pgSz w:w="11907" w:h="16840" w:code="9"/>
          <w:pgMar w:top="510" w:right="1134" w:bottom="1134" w:left="1134" w:header="510" w:footer="680" w:gutter="0"/>
          <w:pgNumType w:start="1"/>
          <w:cols w:space="720"/>
          <w:titlePg/>
        </w:sectPr>
      </w:pPr>
    </w:p>
    <w:p w:rsidR="007E07ED" w:rsidRPr="00EF6C3B" w:rsidRDefault="007E07ED" w:rsidP="007E07ED">
      <w:r w:rsidRPr="00EF6C3B">
        <w:lastRenderedPageBreak/>
        <w:t xml:space="preserve">ELEMENTS FOR DRAFT JOINT DOCUMENT </w:t>
      </w:r>
      <w:r w:rsidRPr="00EF6C3B">
        <w:rPr>
          <w:caps/>
        </w:rPr>
        <w:t>explaining the principal features of the systems of the OECD, UPOV and ISTA</w:t>
      </w:r>
    </w:p>
    <w:p w:rsidR="007E07ED" w:rsidRPr="00EF6C3B" w:rsidRDefault="007E07ED" w:rsidP="007E07ED"/>
    <w:p w:rsidR="007E07ED" w:rsidRPr="00EF6C3B" w:rsidRDefault="007E07ED" w:rsidP="007E07ED">
      <w:pPr>
        <w:rPr>
          <w:bCs/>
          <w:u w:val="single"/>
        </w:rPr>
      </w:pPr>
      <w:r w:rsidRPr="00EF6C3B">
        <w:rPr>
          <w:bCs/>
          <w:u w:val="single"/>
        </w:rPr>
        <w:t xml:space="preserve">The </w:t>
      </w:r>
      <w:proofErr w:type="spellStart"/>
      <w:r w:rsidRPr="00EF6C3B">
        <w:rPr>
          <w:bCs/>
          <w:u w:val="single"/>
        </w:rPr>
        <w:t>Organisation</w:t>
      </w:r>
      <w:proofErr w:type="spellEnd"/>
      <w:r w:rsidRPr="00EF6C3B">
        <w:rPr>
          <w:bCs/>
          <w:u w:val="single"/>
        </w:rPr>
        <w:t xml:space="preserve"> for Economic Co-operation and Development (OECD)</w:t>
      </w:r>
    </w:p>
    <w:p w:rsidR="007E07ED" w:rsidRPr="00EF6C3B" w:rsidRDefault="007E07ED" w:rsidP="007E07ED"/>
    <w:p w:rsidR="007E07ED" w:rsidRPr="00EF6C3B" w:rsidRDefault="007E07ED" w:rsidP="007E07ED">
      <w:pPr>
        <w:spacing w:before="91"/>
        <w:rPr>
          <w:i/>
        </w:rPr>
      </w:pPr>
      <w:r w:rsidRPr="00EF6C3B">
        <w:rPr>
          <w:i/>
        </w:rPr>
        <w:t>What are the OECD Seed Schemes?</w:t>
      </w:r>
    </w:p>
    <w:p w:rsidR="007E07ED" w:rsidRPr="00EF6C3B" w:rsidRDefault="007E07ED" w:rsidP="007E07ED">
      <w:pPr>
        <w:spacing w:before="4"/>
        <w:rPr>
          <w:b/>
        </w:rPr>
      </w:pPr>
    </w:p>
    <w:p w:rsidR="007E07ED" w:rsidRPr="00EF6C3B" w:rsidRDefault="007E07ED" w:rsidP="007E07ED">
      <w:pPr>
        <w:widowControl w:val="0"/>
        <w:tabs>
          <w:tab w:val="left" w:pos="1125"/>
          <w:tab w:val="left" w:pos="1126"/>
        </w:tabs>
        <w:autoSpaceDE w:val="0"/>
        <w:autoSpaceDN w:val="0"/>
        <w:spacing w:before="1"/>
        <w:ind w:right="214"/>
        <w:rPr>
          <w:rFonts w:cs="Arial"/>
          <w:lang w:val="en-GB" w:eastAsia="en-GB" w:bidi="en-GB"/>
        </w:rPr>
      </w:pPr>
      <w:r w:rsidRPr="00EF6C3B">
        <w:rPr>
          <w:rFonts w:cs="Arial"/>
          <w:lang w:val="en-GB" w:eastAsia="en-GB" w:bidi="en-GB"/>
        </w:rPr>
        <w:t xml:space="preserve">The OECD Seed Schemes provide an international framework for the varietal certification of agricultural seed moving in international trade. The Schemes </w:t>
      </w:r>
      <w:proofErr w:type="gramStart"/>
      <w:r w:rsidRPr="00EF6C3B">
        <w:rPr>
          <w:rFonts w:cs="Arial"/>
          <w:lang w:val="en-GB" w:eastAsia="en-GB" w:bidi="en-GB"/>
        </w:rPr>
        <w:t>were established</w:t>
      </w:r>
      <w:proofErr w:type="gramEnd"/>
      <w:r w:rsidRPr="00EF6C3B">
        <w:rPr>
          <w:rFonts w:cs="Arial"/>
          <w:lang w:val="en-GB" w:eastAsia="en-GB" w:bidi="en-GB"/>
        </w:rPr>
        <w:t xml:space="preserve">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EF6C3B">
        <w:rPr>
          <w:rFonts w:cs="Arial"/>
          <w:spacing w:val="-31"/>
          <w:lang w:val="en-GB" w:eastAsia="en-GB" w:bidi="en-GB"/>
        </w:rPr>
        <w:t xml:space="preserve"> </w:t>
      </w:r>
      <w:r w:rsidRPr="00EF6C3B">
        <w:rPr>
          <w:rFonts w:cs="Arial"/>
          <w:lang w:val="en-GB" w:eastAsia="en-GB" w:bidi="en-GB"/>
        </w:rPr>
        <w:t>Schemes.</w:t>
      </w:r>
    </w:p>
    <w:p w:rsidR="007E07ED" w:rsidRPr="00EF6C3B" w:rsidRDefault="007E07ED" w:rsidP="007E07ED">
      <w:pPr>
        <w:spacing w:before="3"/>
        <w:rPr>
          <w:rFonts w:cs="Arial"/>
        </w:rPr>
      </w:pPr>
    </w:p>
    <w:p w:rsidR="007E07ED" w:rsidRPr="00EF6C3B" w:rsidRDefault="007E07ED" w:rsidP="007E07ED">
      <w:pPr>
        <w:rPr>
          <w:i/>
        </w:rPr>
      </w:pPr>
      <w:bookmarkStart w:id="44" w:name="Participating_countries"/>
      <w:bookmarkEnd w:id="44"/>
      <w:r w:rsidRPr="00EF6C3B">
        <w:rPr>
          <w:i/>
        </w:rPr>
        <w:t>Participating countries</w:t>
      </w:r>
    </w:p>
    <w:p w:rsidR="007E07ED" w:rsidRPr="00EF6C3B" w:rsidRDefault="007E07ED" w:rsidP="007E07ED">
      <w:pPr>
        <w:spacing w:before="4"/>
        <w:rPr>
          <w:rFonts w:cs="Arial"/>
          <w:b/>
        </w:rPr>
      </w:pPr>
    </w:p>
    <w:p w:rsidR="007E07ED" w:rsidRPr="00EF6C3B" w:rsidRDefault="007E07ED" w:rsidP="007E07ED">
      <w:pPr>
        <w:widowControl w:val="0"/>
        <w:tabs>
          <w:tab w:val="left" w:pos="567"/>
        </w:tabs>
        <w:autoSpaceDE w:val="0"/>
        <w:autoSpaceDN w:val="0"/>
        <w:spacing w:before="1"/>
        <w:ind w:right="216"/>
        <w:rPr>
          <w:rFonts w:cs="Arial"/>
          <w:lang w:val="en-GB" w:eastAsia="en-GB" w:bidi="en-GB"/>
        </w:rPr>
      </w:pPr>
      <w:r w:rsidRPr="00EF6C3B">
        <w:rPr>
          <w:rFonts w:cs="Arial"/>
          <w:lang w:val="en-GB" w:eastAsia="en-GB" w:bidi="en-GB"/>
        </w:rPr>
        <w:t xml:space="preserve">59 countries from Europe, North and South America, Africa, the </w:t>
      </w:r>
      <w:proofErr w:type="gramStart"/>
      <w:r w:rsidRPr="00EF6C3B">
        <w:rPr>
          <w:rFonts w:cs="Arial"/>
          <w:lang w:val="en-GB" w:eastAsia="en-GB" w:bidi="en-GB"/>
        </w:rPr>
        <w:t>Middle-East</w:t>
      </w:r>
      <w:proofErr w:type="gramEnd"/>
      <w:r w:rsidRPr="00EF6C3B">
        <w:rPr>
          <w:rFonts w:cs="Arial"/>
          <w:lang w:val="en-GB" w:eastAsia="en-GB" w:bidi="en-GB"/>
        </w:rPr>
        <w:t>, Asia and Oceania currently participate in the OECD Seed</w:t>
      </w:r>
      <w:r w:rsidRPr="00EF6C3B">
        <w:rPr>
          <w:rFonts w:cs="Arial"/>
          <w:spacing w:val="-7"/>
          <w:lang w:val="en-GB" w:eastAsia="en-GB" w:bidi="en-GB"/>
        </w:rPr>
        <w:t xml:space="preserve"> </w:t>
      </w:r>
      <w:r w:rsidRPr="00EF6C3B">
        <w:rPr>
          <w:rFonts w:cs="Arial"/>
          <w:lang w:val="en-GB" w:eastAsia="en-GB" w:bidi="en-GB"/>
        </w:rPr>
        <w:t>Schemes:</w:t>
      </w:r>
    </w:p>
    <w:p w:rsidR="007E07ED" w:rsidRPr="00EF6C3B" w:rsidRDefault="007E07ED" w:rsidP="007E07ED">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7E07ED" w:rsidRPr="00EF6C3B" w:rsidTr="007C231A">
        <w:trPr>
          <w:trHeight w:val="257"/>
        </w:trPr>
        <w:tc>
          <w:tcPr>
            <w:tcW w:w="2482" w:type="dxa"/>
            <w:tcBorders>
              <w:top w:val="single" w:sz="4" w:space="0" w:color="000000"/>
            </w:tcBorders>
            <w:shd w:val="clear" w:color="auto" w:fill="DBE5F1"/>
          </w:tcPr>
          <w:p w:rsidR="007E07ED" w:rsidRPr="00EF6C3B" w:rsidRDefault="007E07ED" w:rsidP="007C231A">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ALBANIA</w:t>
            </w:r>
          </w:p>
        </w:tc>
        <w:tc>
          <w:tcPr>
            <w:tcW w:w="1438" w:type="dxa"/>
            <w:tcBorders>
              <w:top w:val="single" w:sz="4" w:space="0" w:color="000000"/>
            </w:tcBorders>
          </w:tcPr>
          <w:p w:rsidR="007E07ED" w:rsidRPr="00EF6C3B" w:rsidRDefault="007E07ED" w:rsidP="007C231A">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shd w:val="clear" w:color="auto" w:fill="DBE5F1"/>
          </w:tcPr>
          <w:p w:rsidR="007E07ED" w:rsidRPr="00EF6C3B" w:rsidRDefault="007E07ED" w:rsidP="007C231A">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LITHUANIA</w:t>
            </w:r>
          </w:p>
        </w:tc>
        <w:tc>
          <w:tcPr>
            <w:tcW w:w="1143" w:type="dxa"/>
            <w:tcBorders>
              <w:top w:val="single" w:sz="8" w:space="0" w:color="000000"/>
            </w:tcBorders>
          </w:tcPr>
          <w:p w:rsidR="007E07ED" w:rsidRPr="00EF6C3B" w:rsidRDefault="007E07ED" w:rsidP="007C231A">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7E07ED" w:rsidRPr="00EF6C3B" w:rsidTr="007C231A">
        <w:trPr>
          <w:trHeight w:val="248"/>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ARGENTINA</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LUXEMBOURG</w:t>
            </w:r>
          </w:p>
        </w:tc>
        <w:tc>
          <w:tcPr>
            <w:tcW w:w="1143"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E07ED" w:rsidRPr="00EF6C3B" w:rsidTr="007C231A">
        <w:trPr>
          <w:trHeight w:val="249"/>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AUSTRALIA</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MEXICO</w:t>
            </w:r>
          </w:p>
        </w:tc>
        <w:tc>
          <w:tcPr>
            <w:tcW w:w="1143"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E07ED" w:rsidRPr="00EF6C3B" w:rsidTr="007C231A">
        <w:trPr>
          <w:trHeight w:val="249"/>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AUSTRIA</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MOLDOVA</w:t>
            </w:r>
          </w:p>
        </w:tc>
        <w:tc>
          <w:tcPr>
            <w:tcW w:w="1143"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7E07ED" w:rsidRPr="00EF6C3B" w:rsidTr="007C231A">
        <w:trPr>
          <w:trHeight w:val="248"/>
        </w:trPr>
        <w:tc>
          <w:tcPr>
            <w:tcW w:w="2482" w:type="dxa"/>
            <w:shd w:val="clear" w:color="auto" w:fill="DBE5F1"/>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BELGIUM</w:t>
            </w:r>
          </w:p>
        </w:tc>
        <w:tc>
          <w:tcPr>
            <w:tcW w:w="1438" w:type="dxa"/>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MOROCCO</w:t>
            </w:r>
          </w:p>
        </w:tc>
        <w:tc>
          <w:tcPr>
            <w:tcW w:w="1143" w:type="dxa"/>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7E07ED" w:rsidRPr="00EF6C3B" w:rsidTr="007C231A">
        <w:trPr>
          <w:trHeight w:val="248"/>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BOLIVIA</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NETHERLANDS</w:t>
            </w:r>
          </w:p>
        </w:tc>
        <w:tc>
          <w:tcPr>
            <w:tcW w:w="1143"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E07ED" w:rsidRPr="00EF6C3B" w:rsidTr="007C231A">
        <w:trPr>
          <w:trHeight w:val="249"/>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BRAZIL</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NEW ZEALAND</w:t>
            </w:r>
          </w:p>
        </w:tc>
        <w:tc>
          <w:tcPr>
            <w:tcW w:w="1143"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E07ED" w:rsidRPr="00EF6C3B" w:rsidTr="007C231A">
        <w:trPr>
          <w:trHeight w:val="249"/>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BULGARIA</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NORWAY</w:t>
            </w:r>
          </w:p>
        </w:tc>
        <w:tc>
          <w:tcPr>
            <w:tcW w:w="1143"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E07ED" w:rsidRPr="00EF6C3B" w:rsidTr="007C231A">
        <w:trPr>
          <w:trHeight w:val="248"/>
        </w:trPr>
        <w:tc>
          <w:tcPr>
            <w:tcW w:w="2482" w:type="dxa"/>
            <w:shd w:val="clear" w:color="auto" w:fill="DBE5F1"/>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CANADA</w:t>
            </w:r>
          </w:p>
        </w:tc>
        <w:tc>
          <w:tcPr>
            <w:tcW w:w="1438" w:type="dxa"/>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POLAND</w:t>
            </w:r>
          </w:p>
        </w:tc>
        <w:tc>
          <w:tcPr>
            <w:tcW w:w="1143" w:type="dxa"/>
          </w:tcPr>
          <w:p w:rsidR="007E07ED" w:rsidRPr="00EF6C3B" w:rsidRDefault="007E07ED" w:rsidP="007C231A">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7E07ED" w:rsidRPr="00EF6C3B" w:rsidTr="007C231A">
        <w:trPr>
          <w:trHeight w:val="260"/>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CHILE</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PORTUGAL</w:t>
            </w:r>
          </w:p>
        </w:tc>
        <w:tc>
          <w:tcPr>
            <w:tcW w:w="1143" w:type="dxa"/>
          </w:tcPr>
          <w:p w:rsidR="007E07ED" w:rsidRPr="00EF6C3B" w:rsidRDefault="007E07ED" w:rsidP="007C231A">
            <w:pPr>
              <w:widowControl w:val="0"/>
              <w:autoSpaceDE w:val="0"/>
              <w:autoSpaceDN w:val="0"/>
              <w:spacing w:before="19" w:line="22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CROATIA</w:t>
            </w:r>
          </w:p>
        </w:tc>
        <w:tc>
          <w:tcPr>
            <w:tcW w:w="1438" w:type="dxa"/>
          </w:tcPr>
          <w:p w:rsidR="007E07ED" w:rsidRPr="00EF6C3B" w:rsidRDefault="007E07ED" w:rsidP="007C231A">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ROMANIA</w:t>
            </w:r>
          </w:p>
        </w:tc>
        <w:tc>
          <w:tcPr>
            <w:tcW w:w="1143" w:type="dxa"/>
          </w:tcPr>
          <w:p w:rsidR="007E07ED" w:rsidRPr="00EF6C3B" w:rsidRDefault="007E07ED" w:rsidP="007C231A">
            <w:pPr>
              <w:widowControl w:val="0"/>
              <w:autoSpaceDE w:val="0"/>
              <w:autoSpaceDN w:val="0"/>
              <w:spacing w:before="32" w:line="220"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83"/>
        </w:trPr>
        <w:tc>
          <w:tcPr>
            <w:tcW w:w="2482" w:type="dxa"/>
            <w:shd w:val="clear" w:color="auto" w:fill="DBE5F1"/>
          </w:tcPr>
          <w:p w:rsidR="007E07ED" w:rsidRPr="00EF6C3B" w:rsidRDefault="007E07ED" w:rsidP="007C231A">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CYPRUS</w:t>
            </w:r>
            <w:r w:rsidRPr="00EF6C3B">
              <w:rPr>
                <w:rFonts w:ascii="Trebuchet MS" w:eastAsia="Trebuchet MS" w:hAnsi="Trebuchet MS" w:cs="Trebuchet MS"/>
                <w:sz w:val="18"/>
                <w:szCs w:val="22"/>
                <w:vertAlign w:val="superscript"/>
                <w:lang w:val="en-GB" w:eastAsia="en-GB" w:bidi="en-GB"/>
              </w:rPr>
              <w:t>1</w:t>
            </w:r>
          </w:p>
        </w:tc>
        <w:tc>
          <w:tcPr>
            <w:tcW w:w="1438" w:type="dxa"/>
          </w:tcPr>
          <w:p w:rsidR="007E07ED" w:rsidRPr="00EF6C3B" w:rsidRDefault="007E07ED" w:rsidP="007C231A">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RUSSIAN FEDERATION</w:t>
            </w:r>
          </w:p>
        </w:tc>
        <w:tc>
          <w:tcPr>
            <w:tcW w:w="1143" w:type="dxa"/>
          </w:tcPr>
          <w:p w:rsidR="007E07ED" w:rsidRPr="00EF6C3B" w:rsidRDefault="007E07ED" w:rsidP="007C231A">
            <w:pPr>
              <w:widowControl w:val="0"/>
              <w:autoSpaceDE w:val="0"/>
              <w:autoSpaceDN w:val="0"/>
              <w:spacing w:before="31"/>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CZECH REPUBLIC</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SENEGAL</w:t>
            </w:r>
          </w:p>
        </w:tc>
        <w:tc>
          <w:tcPr>
            <w:tcW w:w="1143" w:type="dxa"/>
          </w:tcPr>
          <w:p w:rsidR="007E07ED" w:rsidRPr="00EF6C3B" w:rsidRDefault="007E07ED" w:rsidP="007C231A">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DENMARK</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SERBIA</w:t>
            </w:r>
          </w:p>
        </w:tc>
        <w:tc>
          <w:tcPr>
            <w:tcW w:w="1143" w:type="dxa"/>
          </w:tcPr>
          <w:p w:rsidR="007E07ED" w:rsidRPr="00EF6C3B" w:rsidRDefault="007E07ED" w:rsidP="007C231A">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EGYPT</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SLOVAKIA</w:t>
            </w:r>
          </w:p>
        </w:tc>
        <w:tc>
          <w:tcPr>
            <w:tcW w:w="1143" w:type="dxa"/>
          </w:tcPr>
          <w:p w:rsidR="007E07ED" w:rsidRPr="00EF6C3B" w:rsidRDefault="007E07ED" w:rsidP="007C231A">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71"/>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ESTONIA</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SLOVENIA</w:t>
            </w:r>
          </w:p>
        </w:tc>
        <w:tc>
          <w:tcPr>
            <w:tcW w:w="1143" w:type="dxa"/>
          </w:tcPr>
          <w:p w:rsidR="007E07ED" w:rsidRPr="00EF6C3B" w:rsidRDefault="007E07ED" w:rsidP="007C231A">
            <w:pPr>
              <w:widowControl w:val="0"/>
              <w:autoSpaceDE w:val="0"/>
              <w:autoSpaceDN w:val="0"/>
              <w:spacing w:before="19"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FINLAND</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SOUTH AFRICA</w:t>
            </w:r>
          </w:p>
        </w:tc>
        <w:tc>
          <w:tcPr>
            <w:tcW w:w="1143" w:type="dxa"/>
          </w:tcPr>
          <w:p w:rsidR="007E07ED" w:rsidRPr="00EF6C3B" w:rsidRDefault="007E07ED" w:rsidP="007C231A">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FRANCE</w:t>
            </w:r>
          </w:p>
        </w:tc>
        <w:tc>
          <w:tcPr>
            <w:tcW w:w="1438" w:type="dxa"/>
          </w:tcPr>
          <w:p w:rsidR="007E07ED" w:rsidRPr="00EF6C3B" w:rsidRDefault="007E07ED" w:rsidP="007C231A">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SPAIN</w:t>
            </w:r>
          </w:p>
        </w:tc>
        <w:tc>
          <w:tcPr>
            <w:tcW w:w="1143" w:type="dxa"/>
          </w:tcPr>
          <w:p w:rsidR="007E07ED" w:rsidRPr="00EF6C3B" w:rsidRDefault="007E07ED" w:rsidP="007C231A">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65"/>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GERMANY</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SWEDEN</w:t>
            </w:r>
          </w:p>
        </w:tc>
        <w:tc>
          <w:tcPr>
            <w:tcW w:w="1143" w:type="dxa"/>
          </w:tcPr>
          <w:p w:rsidR="007E07ED" w:rsidRPr="00EF6C3B" w:rsidRDefault="007E07ED" w:rsidP="007C231A">
            <w:pPr>
              <w:widowControl w:val="0"/>
              <w:autoSpaceDE w:val="0"/>
              <w:autoSpaceDN w:val="0"/>
              <w:spacing w:before="19" w:line="225"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bl>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p>
    <w:p w:rsidR="007E07ED" w:rsidRPr="00EF6C3B" w:rsidRDefault="007E07ED" w:rsidP="007E07ED">
      <w:pPr>
        <w:spacing w:before="2"/>
        <w:rPr>
          <w:sz w:val="15"/>
        </w:rPr>
      </w:pPr>
      <w:r w:rsidRPr="00EF6C3B">
        <w:rPr>
          <w:noProof/>
          <w:sz w:val="22"/>
        </w:rPr>
        <mc:AlternateContent>
          <mc:Choice Requires="wps">
            <w:drawing>
              <wp:anchor distT="0" distB="0" distL="0" distR="0" simplePos="0" relativeHeight="251661312" behindDoc="1" locked="0" layoutInCell="1" allowOverlap="1" wp14:anchorId="128CAC99" wp14:editId="39C61CFC">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789D"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7E07ED" w:rsidRPr="00EF6C3B" w:rsidRDefault="007E07ED" w:rsidP="007E07ED">
      <w:pPr>
        <w:spacing w:before="35"/>
        <w:rPr>
          <w:rFonts w:ascii="Trebuchet MS"/>
          <w:sz w:val="18"/>
        </w:rPr>
      </w:pPr>
      <w:proofErr w:type="gramStart"/>
      <w:r>
        <w:rPr>
          <w:rFonts w:ascii="Trebuchet MS"/>
          <w:position w:val="9"/>
          <w:sz w:val="13"/>
        </w:rPr>
        <w:t>1</w:t>
      </w:r>
      <w:proofErr w:type="gramEnd"/>
      <w:r>
        <w:rPr>
          <w:rFonts w:ascii="Trebuchet MS"/>
          <w:position w:val="9"/>
          <w:sz w:val="13"/>
        </w:rPr>
        <w:t xml:space="preserve"> </w:t>
      </w:r>
      <w:r>
        <w:rPr>
          <w:rFonts w:ascii="Trebuchet MS"/>
          <w:sz w:val="18"/>
        </w:rPr>
        <w:t xml:space="preserve">Source OECD </w:t>
      </w:r>
      <w:r>
        <w:rPr>
          <w:rFonts w:ascii="Trebuchet MS"/>
          <w:sz w:val="18"/>
        </w:rPr>
        <w:t>“</w:t>
      </w:r>
      <w:r>
        <w:rPr>
          <w:rFonts w:ascii="Trebuchet MS"/>
          <w:sz w:val="18"/>
        </w:rPr>
        <w:t>N</w:t>
      </w:r>
      <w:r w:rsidRPr="00EF6C3B">
        <w:rPr>
          <w:rFonts w:ascii="Trebuchet MS"/>
          <w:sz w:val="18"/>
        </w:rPr>
        <w:t>ote by Turkey</w:t>
      </w:r>
    </w:p>
    <w:p w:rsidR="007E07ED" w:rsidRPr="00EF6C3B" w:rsidRDefault="007E07ED" w:rsidP="007E07ED">
      <w:pPr>
        <w:spacing w:before="127"/>
        <w:ind w:right="216"/>
        <w:rPr>
          <w:rFonts w:ascii="Trebuchet MS" w:hAnsi="Trebuchet MS"/>
          <w:sz w:val="18"/>
        </w:rPr>
      </w:pPr>
      <w:r w:rsidRPr="00EF6C3B">
        <w:rPr>
          <w:rFonts w:ascii="Trebuchet MS" w:hAnsi="Trebuchet MS"/>
          <w:sz w:val="18"/>
        </w:rPr>
        <w:t>The information in th</w:t>
      </w:r>
      <w:r>
        <w:rPr>
          <w:rFonts w:ascii="Trebuchet MS" w:hAnsi="Trebuchet MS"/>
          <w:sz w:val="18"/>
        </w:rPr>
        <w:t>is document with reference to ‘</w:t>
      </w:r>
      <w:r w:rsidRPr="00EF6C3B">
        <w:rPr>
          <w:rFonts w:ascii="Trebuchet MS" w:hAnsi="Trebuchet MS"/>
          <w:sz w:val="18"/>
        </w:rPr>
        <w:t>Cyprus</w:t>
      </w:r>
      <w:r>
        <w:rPr>
          <w:rFonts w:ascii="Trebuchet MS" w:hAnsi="Trebuchet MS"/>
          <w:sz w:val="18"/>
        </w:rPr>
        <w:t>’</w:t>
      </w:r>
      <w:r w:rsidRPr="00EF6C3B">
        <w:rPr>
          <w:rFonts w:ascii="Trebuchet MS" w:hAnsi="Trebuchet MS"/>
          <w:sz w:val="18"/>
        </w:rPr>
        <w:t xml:space="preserve"> relates to the southern part of the Island. There is no single authority representing both Turkish and Greek Cypriot people on the Island. Turkey </w:t>
      </w:r>
      <w:proofErr w:type="spellStart"/>
      <w:r w:rsidRPr="00EF6C3B">
        <w:rPr>
          <w:rFonts w:ascii="Trebuchet MS" w:hAnsi="Trebuchet MS"/>
          <w:sz w:val="18"/>
        </w:rPr>
        <w:t>recognises</w:t>
      </w:r>
      <w:proofErr w:type="spellEnd"/>
      <w:r w:rsidRPr="00EF6C3B">
        <w:rPr>
          <w:rFonts w:ascii="Trebuchet MS" w:hAnsi="Trebuchet MS"/>
          <w:sz w:val="18"/>
        </w:rPr>
        <w:t xml:space="preserve"> the Turkish Republic of Northern Cyprus (TRNC). Until a lasting and equitable solution </w:t>
      </w:r>
      <w:proofErr w:type="gramStart"/>
      <w:r w:rsidRPr="00EF6C3B">
        <w:rPr>
          <w:rFonts w:ascii="Trebuchet MS" w:hAnsi="Trebuchet MS"/>
          <w:sz w:val="18"/>
        </w:rPr>
        <w:t>is found</w:t>
      </w:r>
      <w:proofErr w:type="gramEnd"/>
      <w:r w:rsidRPr="00EF6C3B">
        <w:rPr>
          <w:rFonts w:ascii="Trebuchet MS" w:hAnsi="Trebuchet MS"/>
          <w:sz w:val="18"/>
        </w:rPr>
        <w:t xml:space="preserve"> within the context of the United Nations, Turkey shall preser</w:t>
      </w:r>
      <w:r>
        <w:rPr>
          <w:rFonts w:ascii="Trebuchet MS" w:hAnsi="Trebuchet MS"/>
          <w:sz w:val="18"/>
        </w:rPr>
        <w:t>ve its position concerning the ‘</w:t>
      </w:r>
      <w:r w:rsidRPr="00EF6C3B">
        <w:rPr>
          <w:rFonts w:ascii="Trebuchet MS" w:hAnsi="Trebuchet MS"/>
          <w:sz w:val="18"/>
        </w:rPr>
        <w:t>Cyprus issue</w:t>
      </w:r>
      <w:r>
        <w:rPr>
          <w:rFonts w:ascii="Trebuchet MS" w:hAnsi="Trebuchet MS"/>
          <w:sz w:val="18"/>
        </w:rPr>
        <w:t>’</w:t>
      </w:r>
      <w:r w:rsidRPr="00EF6C3B">
        <w:rPr>
          <w:rFonts w:ascii="Trebuchet MS" w:hAnsi="Trebuchet MS"/>
          <w:sz w:val="18"/>
        </w:rPr>
        <w:t>.</w:t>
      </w:r>
    </w:p>
    <w:p w:rsidR="007E07ED" w:rsidRPr="00EF6C3B" w:rsidRDefault="007E07ED" w:rsidP="007E07ED">
      <w:pPr>
        <w:spacing w:before="119"/>
        <w:rPr>
          <w:rFonts w:ascii="Trebuchet MS"/>
          <w:sz w:val="18"/>
        </w:rPr>
      </w:pPr>
      <w:r w:rsidRPr="00EF6C3B">
        <w:rPr>
          <w:rFonts w:ascii="Trebuchet MS"/>
          <w:sz w:val="18"/>
        </w:rPr>
        <w:t>Note by all the European Union Member States of the OECD and the European Union</w:t>
      </w:r>
    </w:p>
    <w:p w:rsidR="007E07ED" w:rsidRPr="00EF6C3B" w:rsidRDefault="007E07ED" w:rsidP="007E07ED">
      <w:pPr>
        <w:spacing w:before="120"/>
        <w:ind w:right="216"/>
        <w:rPr>
          <w:rFonts w:ascii="Trebuchet MS"/>
          <w:sz w:val="18"/>
        </w:rPr>
      </w:pPr>
      <w:proofErr w:type="gramStart"/>
      <w:r w:rsidRPr="00EF6C3B">
        <w:rPr>
          <w:rFonts w:ascii="Trebuchet MS"/>
          <w:sz w:val="18"/>
        </w:rPr>
        <w:t xml:space="preserve">The Republic of Cyprus is </w:t>
      </w:r>
      <w:proofErr w:type="spellStart"/>
      <w:r w:rsidRPr="00EF6C3B">
        <w:rPr>
          <w:rFonts w:ascii="Trebuchet MS"/>
          <w:sz w:val="18"/>
        </w:rPr>
        <w:t>recognised</w:t>
      </w:r>
      <w:proofErr w:type="spellEnd"/>
      <w:r w:rsidRPr="00EF6C3B">
        <w:rPr>
          <w:rFonts w:ascii="Trebuchet MS"/>
          <w:sz w:val="18"/>
        </w:rPr>
        <w:t xml:space="preserve"> by all members of the United Nations with the exception of Turkey</w:t>
      </w:r>
      <w:proofErr w:type="gramEnd"/>
      <w:r w:rsidRPr="00EF6C3B">
        <w:rPr>
          <w:rFonts w:ascii="Trebuchet MS"/>
          <w:sz w:val="18"/>
        </w:rPr>
        <w:t>. The information in this document relates to the area under the effective control of the Government of the Republic of Cyprus.</w:t>
      </w:r>
      <w:r>
        <w:rPr>
          <w:rFonts w:ascii="Trebuchet MS"/>
          <w:sz w:val="18"/>
        </w:rPr>
        <w:t>”</w:t>
      </w:r>
    </w:p>
    <w:p w:rsidR="007E07ED" w:rsidRPr="00EF6C3B" w:rsidRDefault="007E07ED" w:rsidP="007E07ED">
      <w:pPr>
        <w:spacing w:before="120"/>
        <w:ind w:right="216"/>
        <w:rPr>
          <w:rFonts w:ascii="Trebuchet MS"/>
          <w:sz w:val="18"/>
        </w:rPr>
      </w:pPr>
    </w:p>
    <w:p w:rsidR="007E07ED" w:rsidRPr="00EF6C3B" w:rsidRDefault="007E07ED" w:rsidP="007E07ED">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7E07ED" w:rsidRPr="00EF6C3B" w:rsidTr="007C231A">
        <w:trPr>
          <w:trHeight w:val="279"/>
        </w:trPr>
        <w:tc>
          <w:tcPr>
            <w:tcW w:w="2482" w:type="dxa"/>
            <w:shd w:val="clear" w:color="auto" w:fill="DBE5F1"/>
          </w:tcPr>
          <w:p w:rsidR="007E07ED" w:rsidRPr="00EF6C3B" w:rsidRDefault="007E07ED" w:rsidP="007C231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GREECE</w:t>
            </w:r>
          </w:p>
        </w:tc>
        <w:tc>
          <w:tcPr>
            <w:tcW w:w="1438" w:type="dxa"/>
          </w:tcPr>
          <w:p w:rsidR="007E07ED" w:rsidRPr="00EF6C3B" w:rsidRDefault="007E07ED" w:rsidP="007C231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SWITZERLAND</w:t>
            </w:r>
          </w:p>
        </w:tc>
        <w:tc>
          <w:tcPr>
            <w:tcW w:w="1143" w:type="dxa"/>
          </w:tcPr>
          <w:p w:rsidR="007E07ED" w:rsidRPr="00EF6C3B" w:rsidRDefault="007E07ED" w:rsidP="007C231A">
            <w:pPr>
              <w:widowControl w:val="0"/>
              <w:autoSpaceDE w:val="0"/>
              <w:autoSpaceDN w:val="0"/>
              <w:spacing w:before="28" w:line="232"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HUNGARY</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TUNISIA</w:t>
            </w:r>
          </w:p>
        </w:tc>
        <w:tc>
          <w:tcPr>
            <w:tcW w:w="1143" w:type="dxa"/>
          </w:tcPr>
          <w:p w:rsidR="007E07ED" w:rsidRPr="00EF6C3B" w:rsidRDefault="007E07ED" w:rsidP="007C231A">
            <w:pPr>
              <w:widowControl w:val="0"/>
              <w:autoSpaceDE w:val="0"/>
              <w:autoSpaceDN w:val="0"/>
              <w:spacing w:before="20"/>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ICELAND</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TURKEY</w:t>
            </w:r>
          </w:p>
        </w:tc>
        <w:tc>
          <w:tcPr>
            <w:tcW w:w="1143" w:type="dxa"/>
          </w:tcPr>
          <w:p w:rsidR="007E07ED" w:rsidRPr="00EF6C3B" w:rsidRDefault="007E07ED" w:rsidP="007C231A">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INDIA</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UGANDA</w:t>
            </w:r>
          </w:p>
        </w:tc>
        <w:tc>
          <w:tcPr>
            <w:tcW w:w="1143" w:type="dxa"/>
          </w:tcPr>
          <w:p w:rsidR="007E07ED" w:rsidRPr="00EF6C3B" w:rsidRDefault="007E07ED" w:rsidP="007C231A">
            <w:pPr>
              <w:widowControl w:val="0"/>
              <w:autoSpaceDE w:val="0"/>
              <w:autoSpaceDN w:val="0"/>
              <w:spacing w:before="19"/>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IRAN</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UKRAINE</w:t>
            </w:r>
          </w:p>
        </w:tc>
        <w:tc>
          <w:tcPr>
            <w:tcW w:w="1143" w:type="dxa"/>
          </w:tcPr>
          <w:p w:rsidR="007E07ED" w:rsidRPr="00EF6C3B" w:rsidRDefault="007E07ED" w:rsidP="007C231A">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59"/>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IRELAND</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KINGDOM</w:t>
            </w:r>
          </w:p>
        </w:tc>
        <w:tc>
          <w:tcPr>
            <w:tcW w:w="1143" w:type="dxa"/>
          </w:tcPr>
          <w:p w:rsidR="007E07ED" w:rsidRPr="00EF6C3B" w:rsidRDefault="007E07ED" w:rsidP="007C231A">
            <w:pPr>
              <w:widowControl w:val="0"/>
              <w:autoSpaceDE w:val="0"/>
              <w:autoSpaceDN w:val="0"/>
              <w:spacing w:before="19" w:line="220"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84"/>
        </w:trPr>
        <w:tc>
          <w:tcPr>
            <w:tcW w:w="2482" w:type="dxa"/>
            <w:shd w:val="clear" w:color="auto" w:fill="DBE5F1"/>
          </w:tcPr>
          <w:p w:rsidR="007E07ED" w:rsidRPr="00EF6C3B" w:rsidRDefault="007E07ED" w:rsidP="007C231A">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ISRAEL</w:t>
            </w:r>
          </w:p>
        </w:tc>
        <w:tc>
          <w:tcPr>
            <w:tcW w:w="1438" w:type="dxa"/>
          </w:tcPr>
          <w:p w:rsidR="007E07ED" w:rsidRPr="00EF6C3B" w:rsidRDefault="007E07ED" w:rsidP="007C231A">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STATES</w:t>
            </w:r>
          </w:p>
        </w:tc>
        <w:tc>
          <w:tcPr>
            <w:tcW w:w="1143" w:type="dxa"/>
          </w:tcPr>
          <w:p w:rsidR="007E07ED" w:rsidRPr="00EF6C3B" w:rsidRDefault="007E07ED" w:rsidP="007C231A">
            <w:pPr>
              <w:widowControl w:val="0"/>
              <w:autoSpaceDE w:val="0"/>
              <w:autoSpaceDN w:val="0"/>
              <w:spacing w:before="31"/>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7E07ED" w:rsidRPr="00EF6C3B" w:rsidTr="007C231A">
        <w:trPr>
          <w:trHeight w:val="272"/>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ITALY</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URUGUAY</w:t>
            </w:r>
          </w:p>
        </w:tc>
        <w:tc>
          <w:tcPr>
            <w:tcW w:w="1143" w:type="dxa"/>
          </w:tcPr>
          <w:p w:rsidR="007E07ED" w:rsidRPr="00EF6C3B" w:rsidRDefault="007E07ED" w:rsidP="007C231A">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64"/>
        </w:trPr>
        <w:tc>
          <w:tcPr>
            <w:tcW w:w="2482" w:type="dxa"/>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JAPAN</w:t>
            </w:r>
          </w:p>
        </w:tc>
        <w:tc>
          <w:tcPr>
            <w:tcW w:w="1438" w:type="dxa"/>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tcBorders>
              <w:bottom w:val="single" w:sz="8" w:space="0" w:color="000000"/>
            </w:tcBorders>
            <w:shd w:val="clear" w:color="auto" w:fill="DBE5F1"/>
          </w:tcPr>
          <w:p w:rsidR="007E07ED" w:rsidRPr="00EF6C3B" w:rsidRDefault="007E07ED" w:rsidP="007C231A">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ZIMBABWE</w:t>
            </w:r>
          </w:p>
        </w:tc>
        <w:tc>
          <w:tcPr>
            <w:tcW w:w="1143" w:type="dxa"/>
            <w:tcBorders>
              <w:bottom w:val="single" w:sz="8" w:space="0" w:color="000000"/>
            </w:tcBorders>
          </w:tcPr>
          <w:p w:rsidR="007E07ED" w:rsidRPr="00EF6C3B" w:rsidRDefault="007E07ED" w:rsidP="007C231A">
            <w:pPr>
              <w:widowControl w:val="0"/>
              <w:autoSpaceDE w:val="0"/>
              <w:autoSpaceDN w:val="0"/>
              <w:spacing w:before="19" w:line="225"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7E07ED" w:rsidRPr="00EF6C3B" w:rsidTr="007C231A">
        <w:trPr>
          <w:trHeight w:val="256"/>
        </w:trPr>
        <w:tc>
          <w:tcPr>
            <w:tcW w:w="2482" w:type="dxa"/>
            <w:shd w:val="clear" w:color="auto" w:fill="DBE5F1"/>
          </w:tcPr>
          <w:p w:rsidR="007E07ED" w:rsidRPr="00EF6C3B" w:rsidRDefault="007E07ED" w:rsidP="007C231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KENYA</w:t>
            </w:r>
          </w:p>
        </w:tc>
        <w:tc>
          <w:tcPr>
            <w:tcW w:w="1438" w:type="dxa"/>
          </w:tcPr>
          <w:p w:rsidR="007E07ED" w:rsidRPr="00EF6C3B" w:rsidRDefault="007E07ED" w:rsidP="007C231A">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tcPr>
          <w:p w:rsidR="007E07ED" w:rsidRPr="00EF6C3B" w:rsidRDefault="007E07ED" w:rsidP="007C231A">
            <w:pPr>
              <w:widowControl w:val="0"/>
              <w:autoSpaceDE w:val="0"/>
              <w:autoSpaceDN w:val="0"/>
              <w:jc w:val="left"/>
              <w:rPr>
                <w:rFonts w:ascii="Times New Roman" w:eastAsia="Trebuchet MS" w:hAnsi="Trebuchet MS" w:cs="Trebuchet MS"/>
                <w:sz w:val="18"/>
                <w:szCs w:val="22"/>
                <w:lang w:val="en-GB" w:eastAsia="en-GB" w:bidi="en-GB"/>
              </w:rPr>
            </w:pPr>
          </w:p>
        </w:tc>
        <w:tc>
          <w:tcPr>
            <w:tcW w:w="1143" w:type="dxa"/>
            <w:tcBorders>
              <w:top w:val="single" w:sz="8" w:space="0" w:color="000000"/>
            </w:tcBorders>
          </w:tcPr>
          <w:p w:rsidR="007E07ED" w:rsidRPr="00EF6C3B" w:rsidRDefault="007E07ED" w:rsidP="007C231A">
            <w:pPr>
              <w:widowControl w:val="0"/>
              <w:autoSpaceDE w:val="0"/>
              <w:autoSpaceDN w:val="0"/>
              <w:jc w:val="left"/>
              <w:rPr>
                <w:rFonts w:ascii="Times New Roman" w:eastAsia="Trebuchet MS" w:hAnsi="Trebuchet MS" w:cs="Trebuchet MS"/>
                <w:sz w:val="18"/>
                <w:szCs w:val="22"/>
                <w:lang w:val="en-GB" w:eastAsia="en-GB" w:bidi="en-GB"/>
              </w:rPr>
            </w:pPr>
          </w:p>
        </w:tc>
      </w:tr>
      <w:tr w:rsidR="007E07ED" w:rsidRPr="00EF6C3B" w:rsidTr="007C231A">
        <w:trPr>
          <w:trHeight w:val="249"/>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KYRGYZSTAN</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 OECD Member Country</w:t>
            </w:r>
          </w:p>
        </w:tc>
        <w:tc>
          <w:tcPr>
            <w:tcW w:w="1143" w:type="dxa"/>
          </w:tcPr>
          <w:p w:rsidR="007E07ED" w:rsidRPr="00EF6C3B" w:rsidRDefault="007E07ED" w:rsidP="007C231A">
            <w:pPr>
              <w:widowControl w:val="0"/>
              <w:autoSpaceDE w:val="0"/>
              <w:autoSpaceDN w:val="0"/>
              <w:jc w:val="left"/>
              <w:rPr>
                <w:rFonts w:ascii="Times New Roman" w:eastAsia="Trebuchet MS" w:hAnsi="Trebuchet MS" w:cs="Trebuchet MS"/>
                <w:sz w:val="18"/>
                <w:szCs w:val="22"/>
                <w:lang w:val="en-GB" w:eastAsia="en-GB" w:bidi="en-GB"/>
              </w:rPr>
            </w:pPr>
          </w:p>
        </w:tc>
      </w:tr>
      <w:tr w:rsidR="007E07ED" w:rsidRPr="00EF6C3B" w:rsidTr="007C231A">
        <w:trPr>
          <w:trHeight w:val="249"/>
        </w:trPr>
        <w:tc>
          <w:tcPr>
            <w:tcW w:w="2482" w:type="dxa"/>
            <w:shd w:val="clear" w:color="auto" w:fill="DBE5F1"/>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LATVIA</w:t>
            </w:r>
          </w:p>
        </w:tc>
        <w:tc>
          <w:tcPr>
            <w:tcW w:w="1438" w:type="dxa"/>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4022" w:type="dxa"/>
            <w:gridSpan w:val="2"/>
          </w:tcPr>
          <w:p w:rsidR="007E07ED" w:rsidRPr="00EF6C3B" w:rsidRDefault="007E07ED" w:rsidP="007C231A">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 Non OECD Member Country</w:t>
            </w:r>
          </w:p>
        </w:tc>
      </w:tr>
    </w:tbl>
    <w:p w:rsidR="007E07ED" w:rsidRPr="00EF6C3B" w:rsidRDefault="007E07ED" w:rsidP="007E07ED">
      <w:pPr>
        <w:rPr>
          <w:rFonts w:ascii="Trebuchet MS"/>
        </w:rPr>
      </w:pPr>
    </w:p>
    <w:p w:rsidR="007E07ED" w:rsidRPr="00EF6C3B" w:rsidRDefault="007E07ED" w:rsidP="007E07ED">
      <w:pPr>
        <w:spacing w:before="5"/>
        <w:rPr>
          <w:rFonts w:ascii="Trebuchet MS"/>
        </w:rPr>
      </w:pPr>
    </w:p>
    <w:p w:rsidR="007E07ED" w:rsidRPr="00EF6C3B" w:rsidRDefault="007E07ED" w:rsidP="007E07ED">
      <w:r w:rsidRPr="00EF6C3B">
        <w:rPr>
          <w:noProof/>
          <w:sz w:val="22"/>
        </w:rPr>
        <mc:AlternateContent>
          <mc:Choice Requires="wpg">
            <w:drawing>
              <wp:anchor distT="0" distB="0" distL="114300" distR="114300" simplePos="0" relativeHeight="251662336" behindDoc="0" locked="0" layoutInCell="1" allowOverlap="1" wp14:anchorId="0052BA41" wp14:editId="00C006C4">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4F601A"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EF6C3B">
        <w:t xml:space="preserve">Figure </w:t>
      </w:r>
      <w:proofErr w:type="gramStart"/>
      <w:r w:rsidRPr="00EF6C3B">
        <w:t>1</w:t>
      </w:r>
      <w:proofErr w:type="gramEnd"/>
      <w:r w:rsidRPr="00EF6C3B">
        <w:t xml:space="preserve"> Map of Participating Countries in the OECD Seed Schemes (2016)</w:t>
      </w:r>
    </w:p>
    <w:p w:rsidR="007E07ED" w:rsidRPr="00EF6C3B" w:rsidRDefault="007E07ED" w:rsidP="007E07ED">
      <w:pPr>
        <w:rPr>
          <w:b/>
        </w:rPr>
      </w:pPr>
    </w:p>
    <w:p w:rsidR="007E07ED" w:rsidRPr="00EF6C3B" w:rsidRDefault="007E07ED" w:rsidP="007E07ED">
      <w:pPr>
        <w:spacing w:before="5"/>
        <w:rPr>
          <w:b/>
          <w:sz w:val="15"/>
        </w:rPr>
      </w:pPr>
      <w:r w:rsidRPr="00EF6C3B">
        <w:rPr>
          <w:noProof/>
        </w:rPr>
        <w:drawing>
          <wp:anchor distT="0" distB="0" distL="0" distR="0" simplePos="0" relativeHeight="251660288" behindDoc="0" locked="0" layoutInCell="1" allowOverlap="1" wp14:anchorId="61D034B1" wp14:editId="0B8247F4">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348250" cy="2987040"/>
                    </a:xfrm>
                    <a:prstGeom prst="rect">
                      <a:avLst/>
                    </a:prstGeom>
                  </pic:spPr>
                </pic:pic>
              </a:graphicData>
            </a:graphic>
          </wp:anchor>
        </w:drawing>
      </w:r>
    </w:p>
    <w:p w:rsidR="007E07ED" w:rsidRPr="00EF6C3B" w:rsidRDefault="007E07ED" w:rsidP="007E07ED">
      <w:pPr>
        <w:spacing w:before="11"/>
        <w:rPr>
          <w:b/>
          <w:sz w:val="23"/>
        </w:rPr>
      </w:pPr>
    </w:p>
    <w:p w:rsidR="007E07ED" w:rsidRPr="00EF6C3B" w:rsidRDefault="007E07ED" w:rsidP="007E07ED">
      <w:pPr>
        <w:rPr>
          <w:i/>
        </w:rPr>
      </w:pPr>
      <w:bookmarkStart w:id="45" w:name="Objectives"/>
      <w:bookmarkEnd w:id="45"/>
      <w:r w:rsidRPr="00EF6C3B">
        <w:rPr>
          <w:i/>
        </w:rPr>
        <w:t>Objectives</w:t>
      </w:r>
    </w:p>
    <w:p w:rsidR="007E07ED" w:rsidRPr="00EF6C3B" w:rsidRDefault="007E07ED" w:rsidP="007E07ED">
      <w:pPr>
        <w:spacing w:before="4"/>
        <w:rPr>
          <w:rFonts w:cs="Arial"/>
          <w:b/>
        </w:rPr>
      </w:pPr>
    </w:p>
    <w:p w:rsidR="007E07ED" w:rsidRPr="00EF6C3B" w:rsidRDefault="007E07ED" w:rsidP="007E07ED">
      <w:pPr>
        <w:widowControl w:val="0"/>
        <w:tabs>
          <w:tab w:val="left" w:pos="1069"/>
          <w:tab w:val="left" w:pos="1071"/>
        </w:tabs>
        <w:autoSpaceDE w:val="0"/>
        <w:autoSpaceDN w:val="0"/>
        <w:ind w:right="213"/>
        <w:rPr>
          <w:rFonts w:cs="Arial"/>
          <w:lang w:val="en-GB" w:eastAsia="en-GB" w:bidi="en-GB"/>
        </w:rPr>
      </w:pPr>
      <w:r w:rsidRPr="00EF6C3B">
        <w:rPr>
          <w:rFonts w:cs="Arial"/>
          <w:lang w:val="en-GB" w:eastAsia="en-GB" w:bidi="en-GB"/>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EF6C3B">
        <w:rPr>
          <w:rFonts w:cs="Arial"/>
          <w:spacing w:val="-15"/>
          <w:lang w:val="en-GB" w:eastAsia="en-GB" w:bidi="en-GB"/>
        </w:rPr>
        <w:t xml:space="preserve"> </w:t>
      </w:r>
      <w:r w:rsidRPr="00EF6C3B">
        <w:rPr>
          <w:rFonts w:cs="Arial"/>
          <w:lang w:val="en-GB" w:eastAsia="en-GB" w:bidi="en-GB"/>
        </w:rPr>
        <w:t>purity.</w:t>
      </w:r>
    </w:p>
    <w:p w:rsidR="007E07ED" w:rsidRPr="00EF6C3B" w:rsidRDefault="007E07ED" w:rsidP="007E07ED">
      <w:pPr>
        <w:rPr>
          <w:rFonts w:cs="Arial"/>
        </w:rPr>
      </w:pPr>
    </w:p>
    <w:p w:rsidR="007E07ED" w:rsidRPr="00EF6C3B" w:rsidRDefault="007E07ED" w:rsidP="007E07ED">
      <w:pPr>
        <w:widowControl w:val="0"/>
        <w:tabs>
          <w:tab w:val="left" w:pos="1069"/>
          <w:tab w:val="left" w:pos="1071"/>
        </w:tabs>
        <w:autoSpaceDE w:val="0"/>
        <w:autoSpaceDN w:val="0"/>
        <w:spacing w:before="1"/>
        <w:ind w:right="212"/>
        <w:rPr>
          <w:rFonts w:cs="Arial"/>
          <w:lang w:val="en-GB" w:eastAsia="en-GB" w:bidi="en-GB"/>
        </w:rPr>
      </w:pPr>
      <w:r w:rsidRPr="00EF6C3B">
        <w:rPr>
          <w:rFonts w:cs="Arial"/>
          <w:lang w:val="en-GB" w:eastAsia="en-GB" w:bidi="en-GB"/>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EF6C3B">
        <w:rPr>
          <w:rFonts w:cs="Arial"/>
          <w:spacing w:val="-2"/>
          <w:lang w:val="en-GB" w:eastAsia="en-GB" w:bidi="en-GB"/>
        </w:rPr>
        <w:t xml:space="preserve"> </w:t>
      </w:r>
      <w:r w:rsidRPr="00EF6C3B">
        <w:rPr>
          <w:rFonts w:cs="Arial"/>
          <w:lang w:val="en-GB" w:eastAsia="en-GB" w:bidi="en-GB"/>
        </w:rPr>
        <w:t>tonnes.</w:t>
      </w:r>
    </w:p>
    <w:p w:rsidR="007E07ED" w:rsidRPr="00EF6C3B" w:rsidRDefault="007E07ED" w:rsidP="007E07ED">
      <w:pPr>
        <w:spacing w:before="5"/>
        <w:rPr>
          <w:sz w:val="14"/>
        </w:rPr>
      </w:pPr>
    </w:p>
    <w:p w:rsidR="007E07ED" w:rsidRPr="00EF6C3B" w:rsidRDefault="007E07ED" w:rsidP="007E07ED">
      <w:pPr>
        <w:rPr>
          <w:i/>
        </w:rPr>
      </w:pPr>
      <w:bookmarkStart w:id="46" w:name="How_do_the_Seed_Schemes_operate"/>
      <w:bookmarkEnd w:id="46"/>
      <w:r w:rsidRPr="00EF6C3B">
        <w:rPr>
          <w:i/>
        </w:rPr>
        <w:t xml:space="preserve">How do the Seed Schemes </w:t>
      </w:r>
      <w:proofErr w:type="gramStart"/>
      <w:r w:rsidRPr="00EF6C3B">
        <w:rPr>
          <w:i/>
        </w:rPr>
        <w:t>operate</w:t>
      </w:r>
      <w:proofErr w:type="gramEnd"/>
    </w:p>
    <w:p w:rsidR="007E07ED" w:rsidRPr="00EF6C3B" w:rsidRDefault="007E07ED" w:rsidP="007E07ED">
      <w:pPr>
        <w:spacing w:before="4"/>
        <w:rPr>
          <w:rFonts w:cs="Arial"/>
          <w:b/>
        </w:rPr>
      </w:pPr>
    </w:p>
    <w:p w:rsidR="007E07ED" w:rsidRPr="00EF6C3B" w:rsidRDefault="007E07ED" w:rsidP="007E07ED">
      <w:pPr>
        <w:widowControl w:val="0"/>
        <w:tabs>
          <w:tab w:val="left" w:pos="1069"/>
          <w:tab w:val="left" w:pos="1071"/>
        </w:tabs>
        <w:autoSpaceDE w:val="0"/>
        <w:autoSpaceDN w:val="0"/>
        <w:ind w:right="216"/>
        <w:rPr>
          <w:rFonts w:cs="Arial"/>
          <w:lang w:val="en-GB" w:eastAsia="en-GB" w:bidi="en-GB"/>
        </w:rPr>
      </w:pPr>
      <w:r w:rsidRPr="00EF6C3B">
        <w:rPr>
          <w:rFonts w:cs="Arial"/>
          <w:lang w:val="en-GB" w:eastAsia="en-GB" w:bidi="en-GB"/>
        </w:rPr>
        <w:t xml:space="preserve">The success of international certification depends upon close co-operation between maintainers, seed producers, traders and the designated authority (appointed by the government) in each participating country. </w:t>
      </w:r>
      <w:proofErr w:type="gramStart"/>
      <w:r w:rsidRPr="00EF6C3B">
        <w:rPr>
          <w:rFonts w:cs="Arial"/>
          <w:lang w:val="en-GB" w:eastAsia="en-GB" w:bidi="en-GB"/>
        </w:rPr>
        <w:t>Frequent  meetings</w:t>
      </w:r>
      <w:proofErr w:type="gramEnd"/>
      <w:r w:rsidRPr="00EF6C3B">
        <w:rPr>
          <w:rFonts w:cs="Arial"/>
          <w:lang w:val="en-GB" w:eastAsia="en-GB" w:bidi="en-GB"/>
        </w:rPr>
        <w:t xml:space="preserve"> allow for a multi-stakeholder dialogue to exchange information, discuss case studies, revise rules and update the Schemes. A wide range of international and non-governmental organisations as well as and seed industry networks participate actively in the</w:t>
      </w:r>
      <w:r w:rsidRPr="00EF6C3B">
        <w:rPr>
          <w:rFonts w:cs="Arial"/>
          <w:spacing w:val="-4"/>
          <w:lang w:val="en-GB" w:eastAsia="en-GB" w:bidi="en-GB"/>
        </w:rPr>
        <w:t xml:space="preserve"> </w:t>
      </w:r>
      <w:r w:rsidRPr="00EF6C3B">
        <w:rPr>
          <w:rFonts w:cs="Arial"/>
          <w:lang w:val="en-GB" w:eastAsia="en-GB" w:bidi="en-GB"/>
        </w:rPr>
        <w:t>Schemes.</w:t>
      </w:r>
    </w:p>
    <w:p w:rsidR="007E07ED" w:rsidRPr="00EF6C3B" w:rsidRDefault="007E07ED" w:rsidP="007E07ED">
      <w:pPr>
        <w:spacing w:before="3"/>
        <w:rPr>
          <w:rFonts w:cs="Arial"/>
        </w:rPr>
      </w:pPr>
    </w:p>
    <w:p w:rsidR="007E07ED" w:rsidRPr="00EF6C3B" w:rsidRDefault="007E07ED" w:rsidP="008E521A">
      <w:pPr>
        <w:keepNext/>
        <w:rPr>
          <w:i/>
        </w:rPr>
      </w:pPr>
      <w:bookmarkStart w:id="47" w:name="Benefits_of_the_Schemes"/>
      <w:bookmarkEnd w:id="47"/>
      <w:r w:rsidRPr="00EF6C3B">
        <w:rPr>
          <w:i/>
        </w:rPr>
        <w:lastRenderedPageBreak/>
        <w:t>Benefits of the Schemes</w:t>
      </w:r>
    </w:p>
    <w:p w:rsidR="007E07ED" w:rsidRPr="00EF6C3B" w:rsidRDefault="007E07ED" w:rsidP="007E07ED">
      <w:pPr>
        <w:spacing w:before="5"/>
        <w:rPr>
          <w:rFonts w:cs="Arial"/>
          <w:b/>
        </w:rPr>
      </w:pPr>
    </w:p>
    <w:p w:rsidR="007E07ED" w:rsidRPr="00EF6C3B" w:rsidRDefault="007E07ED" w:rsidP="007E07ED">
      <w:pPr>
        <w:widowControl w:val="0"/>
        <w:numPr>
          <w:ilvl w:val="1"/>
          <w:numId w:val="9"/>
        </w:numPr>
        <w:tabs>
          <w:tab w:val="left" w:pos="1071"/>
        </w:tabs>
        <w:autoSpaceDE w:val="0"/>
        <w:autoSpaceDN w:val="0"/>
        <w:ind w:right="219"/>
        <w:rPr>
          <w:rFonts w:cs="Arial"/>
          <w:lang w:val="en-GB" w:eastAsia="en-GB" w:bidi="en-GB"/>
        </w:rPr>
      </w:pPr>
      <w:r w:rsidRPr="00EF6C3B">
        <w:rPr>
          <w:rFonts w:cs="Arial"/>
          <w:lang w:val="en-GB" w:eastAsia="en-GB" w:bidi="en-GB"/>
        </w:rPr>
        <w:t xml:space="preserve">To facilitate international trade by using harmonised certification procedures, crop inspection techniques and use of control plots. The varietal purity standards for the appropriate species </w:t>
      </w:r>
      <w:proofErr w:type="gramStart"/>
      <w:r w:rsidRPr="00EF6C3B">
        <w:rPr>
          <w:rFonts w:cs="Arial"/>
          <w:lang w:val="en-GB" w:eastAsia="en-GB" w:bidi="en-GB"/>
        </w:rPr>
        <w:t>are also agreed and standardised by all member states</w:t>
      </w:r>
      <w:proofErr w:type="gramEnd"/>
      <w:r w:rsidRPr="00EF6C3B">
        <w:rPr>
          <w:rFonts w:cs="Arial"/>
          <w:lang w:val="en-GB" w:eastAsia="en-GB" w:bidi="en-GB"/>
        </w:rPr>
        <w:t>.</w:t>
      </w:r>
    </w:p>
    <w:p w:rsidR="007E07ED" w:rsidRPr="00EF6C3B" w:rsidRDefault="007E07ED" w:rsidP="007E07ED">
      <w:pPr>
        <w:widowControl w:val="0"/>
        <w:numPr>
          <w:ilvl w:val="1"/>
          <w:numId w:val="9"/>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provide a framework to develop seed production with other countries or</w:t>
      </w:r>
      <w:r w:rsidRPr="00EF6C3B">
        <w:rPr>
          <w:rFonts w:cs="Arial"/>
          <w:spacing w:val="-12"/>
          <w:lang w:val="en-GB" w:eastAsia="en-GB" w:bidi="en-GB"/>
        </w:rPr>
        <w:t xml:space="preserve"> </w:t>
      </w:r>
      <w:r w:rsidRPr="00EF6C3B">
        <w:rPr>
          <w:rFonts w:cs="Arial"/>
          <w:lang w:val="en-GB" w:eastAsia="en-GB" w:bidi="en-GB"/>
        </w:rPr>
        <w:t>companies.</w:t>
      </w:r>
    </w:p>
    <w:p w:rsidR="007E07ED" w:rsidRPr="00EF6C3B" w:rsidRDefault="007E07ED" w:rsidP="007E07ED">
      <w:pPr>
        <w:widowControl w:val="0"/>
        <w:numPr>
          <w:ilvl w:val="1"/>
          <w:numId w:val="9"/>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participate in the elaboration of international rules for seed</w:t>
      </w:r>
      <w:r w:rsidRPr="00EF6C3B">
        <w:rPr>
          <w:rFonts w:cs="Arial"/>
          <w:spacing w:val="-15"/>
          <w:lang w:val="en-GB" w:eastAsia="en-GB" w:bidi="en-GB"/>
        </w:rPr>
        <w:t xml:space="preserve"> </w:t>
      </w:r>
      <w:r w:rsidRPr="00EF6C3B">
        <w:rPr>
          <w:rFonts w:cs="Arial"/>
          <w:lang w:val="en-GB" w:eastAsia="en-GB" w:bidi="en-GB"/>
        </w:rPr>
        <w:t>certification.</w:t>
      </w:r>
    </w:p>
    <w:p w:rsidR="007E07ED" w:rsidRPr="00EF6C3B" w:rsidRDefault="007E07ED" w:rsidP="007E07ED">
      <w:pPr>
        <w:widowControl w:val="0"/>
        <w:numPr>
          <w:ilvl w:val="1"/>
          <w:numId w:val="9"/>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develop collaboration between the public and private</w:t>
      </w:r>
      <w:r w:rsidRPr="00EF6C3B">
        <w:rPr>
          <w:rFonts w:cs="Arial"/>
          <w:spacing w:val="-10"/>
          <w:lang w:val="en-GB" w:eastAsia="en-GB" w:bidi="en-GB"/>
        </w:rPr>
        <w:t xml:space="preserve"> </w:t>
      </w:r>
      <w:r w:rsidRPr="00EF6C3B">
        <w:rPr>
          <w:rFonts w:cs="Arial"/>
          <w:lang w:val="en-GB" w:eastAsia="en-GB" w:bidi="en-GB"/>
        </w:rPr>
        <w:t>sectors.</w:t>
      </w:r>
    </w:p>
    <w:p w:rsidR="007E07ED" w:rsidRPr="00EF6C3B" w:rsidRDefault="007E07ED" w:rsidP="007E07ED">
      <w:pPr>
        <w:widowControl w:val="0"/>
        <w:numPr>
          <w:ilvl w:val="1"/>
          <w:numId w:val="9"/>
        </w:numPr>
        <w:tabs>
          <w:tab w:val="left" w:pos="1071"/>
        </w:tabs>
        <w:autoSpaceDE w:val="0"/>
        <w:autoSpaceDN w:val="0"/>
        <w:ind w:right="225"/>
        <w:rPr>
          <w:rFonts w:cs="Arial"/>
          <w:lang w:val="en-GB" w:eastAsia="en-GB" w:bidi="en-GB"/>
        </w:rPr>
      </w:pPr>
      <w:r w:rsidRPr="00EF6C3B">
        <w:rPr>
          <w:rFonts w:cs="Arial"/>
          <w:lang w:val="en-GB" w:eastAsia="en-GB" w:bidi="en-GB"/>
        </w:rPr>
        <w:t>To benefit from regular exchanges of information with other national certification agencies and Observer organisations.</w:t>
      </w:r>
    </w:p>
    <w:p w:rsidR="007E07ED" w:rsidRPr="00EF6C3B" w:rsidRDefault="007E07ED" w:rsidP="007E07ED">
      <w:pPr>
        <w:spacing w:before="5"/>
        <w:rPr>
          <w:rFonts w:cs="Arial"/>
        </w:rPr>
      </w:pPr>
    </w:p>
    <w:p w:rsidR="007E07ED" w:rsidRPr="00EF6C3B" w:rsidRDefault="007E07ED" w:rsidP="007E07ED">
      <w:pPr>
        <w:rPr>
          <w:i/>
        </w:rPr>
      </w:pPr>
      <w:bookmarkStart w:id="48" w:name="Annual_List_of_Varieties"/>
      <w:bookmarkEnd w:id="48"/>
      <w:r w:rsidRPr="00EF6C3B">
        <w:rPr>
          <w:i/>
        </w:rPr>
        <w:t>Annual List of Varieties</w:t>
      </w:r>
    </w:p>
    <w:p w:rsidR="007E07ED" w:rsidRPr="00EF6C3B" w:rsidRDefault="007E07ED" w:rsidP="007E07ED">
      <w:pPr>
        <w:spacing w:before="4"/>
        <w:rPr>
          <w:rFonts w:cs="Arial"/>
          <w:b/>
        </w:rPr>
      </w:pPr>
    </w:p>
    <w:p w:rsidR="007E07ED" w:rsidRPr="00EF6C3B" w:rsidRDefault="007E07ED" w:rsidP="007E07ED">
      <w:pPr>
        <w:widowControl w:val="0"/>
        <w:tabs>
          <w:tab w:val="left" w:pos="1127"/>
          <w:tab w:val="left" w:pos="1128"/>
        </w:tabs>
        <w:autoSpaceDE w:val="0"/>
        <w:autoSpaceDN w:val="0"/>
        <w:ind w:right="216"/>
        <w:rPr>
          <w:rFonts w:cs="Arial"/>
          <w:lang w:val="en-GB" w:eastAsia="en-GB" w:bidi="en-GB"/>
        </w:rPr>
      </w:pPr>
      <w:r w:rsidRPr="00EF6C3B">
        <w:rPr>
          <w:rFonts w:cs="Arial"/>
          <w:w w:val="105"/>
          <w:lang w:val="en-GB" w:eastAsia="en-GB" w:bidi="en-GB"/>
        </w:rPr>
        <w:t xml:space="preserve">The Annual List of Varieties eligible for OECD certification includes </w:t>
      </w:r>
      <w:proofErr w:type="gramStart"/>
      <w:r w:rsidRPr="00EF6C3B">
        <w:rPr>
          <w:rFonts w:cs="Arial"/>
          <w:w w:val="105"/>
          <w:lang w:val="en-GB" w:eastAsia="en-GB" w:bidi="en-GB"/>
        </w:rPr>
        <w:t>varieties which</w:t>
      </w:r>
      <w:proofErr w:type="gramEnd"/>
      <w:r w:rsidRPr="00EF6C3B">
        <w:rPr>
          <w:rFonts w:cs="Arial"/>
          <w:w w:val="105"/>
          <w:lang w:val="en-GB" w:eastAsia="en-GB" w:bidi="en-GB"/>
        </w:rPr>
        <w:t xml:space="preserve">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EF6C3B">
        <w:rPr>
          <w:rFonts w:cs="Arial"/>
          <w:spacing w:val="16"/>
          <w:w w:val="105"/>
          <w:lang w:val="en-GB" w:eastAsia="en-GB" w:bidi="en-GB"/>
        </w:rPr>
        <w:t xml:space="preserve"> </w:t>
      </w:r>
      <w:r w:rsidRPr="00EF6C3B">
        <w:rPr>
          <w:rFonts w:cs="Arial"/>
          <w:w w:val="105"/>
          <w:lang w:val="en-GB" w:eastAsia="en-GB" w:bidi="en-GB"/>
        </w:rPr>
        <w:t>frequently.</w:t>
      </w:r>
    </w:p>
    <w:p w:rsidR="007E07ED" w:rsidRPr="00EF6C3B" w:rsidRDefault="007E07ED" w:rsidP="007E07ED">
      <w:pPr>
        <w:spacing w:before="4"/>
        <w:rPr>
          <w:rFonts w:cs="Arial"/>
        </w:rPr>
      </w:pPr>
    </w:p>
    <w:p w:rsidR="007E07ED" w:rsidRPr="00EF6C3B" w:rsidRDefault="007E07ED" w:rsidP="007E07ED">
      <w:pPr>
        <w:rPr>
          <w:i/>
        </w:rPr>
      </w:pPr>
      <w:bookmarkStart w:id="49" w:name="Outlook"/>
      <w:bookmarkEnd w:id="49"/>
      <w:r w:rsidRPr="00EF6C3B">
        <w:rPr>
          <w:i/>
        </w:rPr>
        <w:t>Outlook</w:t>
      </w:r>
    </w:p>
    <w:p w:rsidR="007E07ED" w:rsidRPr="00EF6C3B" w:rsidRDefault="007E07ED" w:rsidP="007E07ED">
      <w:pPr>
        <w:spacing w:before="6"/>
        <w:rPr>
          <w:rFonts w:cs="Arial"/>
          <w:b/>
        </w:rPr>
      </w:pPr>
    </w:p>
    <w:p w:rsidR="007E07ED" w:rsidRPr="00EF6C3B" w:rsidRDefault="007E07ED" w:rsidP="007E07ED">
      <w:pPr>
        <w:widowControl w:val="0"/>
        <w:tabs>
          <w:tab w:val="left" w:pos="1069"/>
          <w:tab w:val="left" w:pos="1071"/>
        </w:tabs>
        <w:autoSpaceDE w:val="0"/>
        <w:autoSpaceDN w:val="0"/>
        <w:spacing w:before="1"/>
        <w:ind w:right="223"/>
        <w:rPr>
          <w:rFonts w:cs="Arial"/>
          <w:lang w:val="en-GB" w:eastAsia="en-GB" w:bidi="en-GB"/>
        </w:rPr>
      </w:pPr>
      <w:r w:rsidRPr="00EF6C3B">
        <w:rPr>
          <w:rFonts w:cs="Arial"/>
          <w:lang w:val="en-GB" w:eastAsia="en-GB" w:bidi="en-GB"/>
        </w:rPr>
        <w:t>As seed “consumers” become more demanding, there are greater needs for uniform seed standards, while at the same time public financial resources for regulation and quality control are</w:t>
      </w:r>
      <w:r w:rsidRPr="00EF6C3B">
        <w:rPr>
          <w:rFonts w:cs="Arial"/>
          <w:spacing w:val="-9"/>
          <w:lang w:val="en-GB" w:eastAsia="en-GB" w:bidi="en-GB"/>
        </w:rPr>
        <w:t xml:space="preserve"> </w:t>
      </w:r>
      <w:r w:rsidRPr="00EF6C3B">
        <w:rPr>
          <w:rFonts w:cs="Arial"/>
          <w:lang w:val="en-GB" w:eastAsia="en-GB" w:bidi="en-GB"/>
        </w:rPr>
        <w:t>limited.</w:t>
      </w:r>
    </w:p>
    <w:p w:rsidR="007E07ED" w:rsidRPr="00EF6C3B" w:rsidRDefault="007E07ED" w:rsidP="007E07ED">
      <w:pPr>
        <w:spacing w:before="8"/>
        <w:rPr>
          <w:rFonts w:cs="Arial"/>
        </w:rPr>
      </w:pPr>
    </w:p>
    <w:p w:rsidR="007E07ED" w:rsidRPr="00EF6C3B" w:rsidRDefault="007E07ED" w:rsidP="007E07ED">
      <w:pPr>
        <w:widowControl w:val="0"/>
        <w:tabs>
          <w:tab w:val="left" w:pos="1069"/>
          <w:tab w:val="left" w:pos="1071"/>
        </w:tabs>
        <w:autoSpaceDE w:val="0"/>
        <w:autoSpaceDN w:val="0"/>
        <w:ind w:right="214"/>
        <w:rPr>
          <w:rFonts w:cs="Arial"/>
          <w:lang w:val="en-GB" w:eastAsia="en-GB" w:bidi="en-GB"/>
        </w:rPr>
      </w:pPr>
      <w:r w:rsidRPr="00EF6C3B">
        <w:rPr>
          <w:rFonts w:cs="Arial"/>
          <w:lang w:val="en-GB" w:eastAsia="en-GB" w:bidi="en-GB"/>
        </w:rPr>
        <w:t>Co-operation among countries and stakeholders in the framework of the Schemes is a response to the concern for a market-responsive regulatory approach</w:t>
      </w:r>
      <w:r w:rsidRPr="00EF6C3B">
        <w:rPr>
          <w:rFonts w:cs="Arial"/>
          <w:i/>
          <w:lang w:val="en-GB" w:eastAsia="en-GB" w:bidi="en-GB"/>
        </w:rPr>
        <w:t xml:space="preserve">. </w:t>
      </w:r>
      <w:r w:rsidRPr="00EF6C3B">
        <w:rPr>
          <w:rFonts w:cs="Arial"/>
          <w:lang w:val="en-GB" w:eastAsia="en-GB" w:bidi="en-GB"/>
        </w:rPr>
        <w:t xml:space="preserve">Every country is confronted with a different legal framework, institutional barriers and trade relations whilst the different approaches must remain consistent between countries </w:t>
      </w:r>
      <w:proofErr w:type="gramStart"/>
      <w:r w:rsidRPr="00EF6C3B">
        <w:rPr>
          <w:rFonts w:cs="Arial"/>
          <w:lang w:val="en-GB" w:eastAsia="en-GB" w:bidi="en-GB"/>
        </w:rPr>
        <w:t>entering  international</w:t>
      </w:r>
      <w:proofErr w:type="gramEnd"/>
      <w:r w:rsidRPr="00EF6C3B">
        <w:rPr>
          <w:rFonts w:cs="Arial"/>
          <w:lang w:val="en-GB" w:eastAsia="en-GB" w:bidi="en-GB"/>
        </w:rPr>
        <w:t xml:space="preserve"> markets as importers or exporters of</w:t>
      </w:r>
      <w:r w:rsidRPr="00EF6C3B">
        <w:rPr>
          <w:rFonts w:cs="Arial"/>
          <w:spacing w:val="-6"/>
          <w:lang w:val="en-GB" w:eastAsia="en-GB" w:bidi="en-GB"/>
        </w:rPr>
        <w:t xml:space="preserve"> </w:t>
      </w:r>
      <w:r w:rsidRPr="00EF6C3B">
        <w:rPr>
          <w:rFonts w:cs="Arial"/>
          <w:lang w:val="en-GB" w:eastAsia="en-GB" w:bidi="en-GB"/>
        </w:rPr>
        <w:t>seed.</w:t>
      </w:r>
    </w:p>
    <w:p w:rsidR="007E07ED" w:rsidRPr="00EF6C3B" w:rsidRDefault="007E07ED" w:rsidP="007E07ED">
      <w:pPr>
        <w:spacing w:before="10"/>
        <w:rPr>
          <w:rFonts w:cs="Arial"/>
        </w:rPr>
      </w:pPr>
    </w:p>
    <w:p w:rsidR="007E07ED" w:rsidRPr="00EF6C3B" w:rsidRDefault="007E07ED" w:rsidP="007E07ED">
      <w:pPr>
        <w:widowControl w:val="0"/>
        <w:tabs>
          <w:tab w:val="left" w:pos="1069"/>
          <w:tab w:val="left" w:pos="1071"/>
        </w:tabs>
        <w:autoSpaceDE w:val="0"/>
        <w:autoSpaceDN w:val="0"/>
        <w:spacing w:before="1"/>
        <w:ind w:right="217"/>
        <w:rPr>
          <w:rFonts w:cs="Arial"/>
          <w:lang w:val="en-GB" w:eastAsia="en-GB" w:bidi="en-GB"/>
        </w:rPr>
      </w:pPr>
      <w:r w:rsidRPr="00EF6C3B">
        <w:rPr>
          <w:rFonts w:cs="Arial"/>
          <w:lang w:val="en-GB" w:eastAsia="en-GB" w:bidi="en-GB"/>
        </w:rPr>
        <w:t xml:space="preserve">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w:t>
      </w:r>
      <w:proofErr w:type="gramStart"/>
      <w:r w:rsidRPr="00EF6C3B">
        <w:rPr>
          <w:rFonts w:cs="Arial"/>
          <w:lang w:val="en-GB" w:eastAsia="en-GB" w:bidi="en-GB"/>
        </w:rPr>
        <w:t>defined</w:t>
      </w:r>
      <w:proofErr w:type="gramEnd"/>
      <w:r w:rsidRPr="00EF6C3B">
        <w:rPr>
          <w:rFonts w:cs="Arial"/>
          <w:lang w:val="en-GB" w:eastAsia="en-GB" w:bidi="en-GB"/>
        </w:rPr>
        <w:t>, endorsed and enforced when multiplying seed in large quantities for the trade. The OECD Seed Schemes provide this legal framework at international level.</w:t>
      </w:r>
    </w:p>
    <w:p w:rsidR="007E07ED" w:rsidRPr="00EF6C3B" w:rsidRDefault="007E07ED" w:rsidP="007E07ED">
      <w:pPr>
        <w:widowControl w:val="0"/>
        <w:tabs>
          <w:tab w:val="left" w:pos="1069"/>
          <w:tab w:val="left" w:pos="1071"/>
        </w:tabs>
        <w:autoSpaceDE w:val="0"/>
        <w:autoSpaceDN w:val="0"/>
        <w:spacing w:before="1"/>
        <w:ind w:left="220" w:right="217"/>
        <w:rPr>
          <w:rFonts w:cs="Arial"/>
          <w:lang w:val="en-GB" w:eastAsia="en-GB" w:bidi="en-GB"/>
        </w:rPr>
      </w:pPr>
    </w:p>
    <w:p w:rsidR="007E07ED" w:rsidRPr="00EF6C3B" w:rsidRDefault="007E07ED" w:rsidP="007E07ED">
      <w:pPr>
        <w:rPr>
          <w:i/>
        </w:rPr>
      </w:pPr>
      <w:r w:rsidRPr="00EF6C3B">
        <w:rPr>
          <w:i/>
          <w:lang w:val="en-GB"/>
        </w:rPr>
        <w:t xml:space="preserve">Status of Biochemical and Molecular Techniques </w:t>
      </w:r>
      <w:r w:rsidRPr="00EF6C3B">
        <w:rPr>
          <w:i/>
          <w:spacing w:val="-3"/>
        </w:rPr>
        <w:t xml:space="preserve">(BMT) </w:t>
      </w:r>
      <w:r w:rsidRPr="00EF6C3B">
        <w:rPr>
          <w:i/>
        </w:rPr>
        <w:t>in the OECD Seed Schemes</w:t>
      </w:r>
    </w:p>
    <w:p w:rsidR="007E07ED" w:rsidRPr="00EF6C3B" w:rsidRDefault="007E07ED" w:rsidP="007E07ED">
      <w:pPr>
        <w:ind w:right="556"/>
      </w:pPr>
    </w:p>
    <w:p w:rsidR="007E07ED" w:rsidRPr="00EF6C3B" w:rsidRDefault="007E07ED" w:rsidP="007E07ED">
      <w:pPr>
        <w:spacing w:line="247" w:lineRule="exact"/>
      </w:pPr>
      <w:r w:rsidRPr="00EF6C3B">
        <w:t xml:space="preserve">The OECD Seed Schemes do not specifically endorse any laboratory method for determining varietal identity or for determining varietal purity. The traditional OECD methods of using field inspection techniques together with pre- and post- control plots are to </w:t>
      </w:r>
      <w:proofErr w:type="gramStart"/>
      <w:r w:rsidRPr="00EF6C3B">
        <w:t>be regarded</w:t>
      </w:r>
      <w:proofErr w:type="gramEnd"/>
      <w:r w:rsidRPr="00EF6C3B">
        <w:t xml:space="preserve"> as the required methods of determining varietal identity and varietal purity.</w:t>
      </w:r>
    </w:p>
    <w:p w:rsidR="007E07ED" w:rsidRPr="00EF6C3B" w:rsidRDefault="007E07ED" w:rsidP="007E07ED">
      <w:pPr>
        <w:spacing w:line="247" w:lineRule="exact"/>
      </w:pPr>
    </w:p>
    <w:p w:rsidR="007E07ED" w:rsidRPr="00EF6C3B" w:rsidRDefault="007E07ED" w:rsidP="007E07ED">
      <w:pPr>
        <w:ind w:right="102"/>
      </w:pPr>
      <w:r w:rsidRPr="00EF6C3B">
        <w:t xml:space="preserve">However, the OECD Seed Schemes do </w:t>
      </w:r>
      <w:proofErr w:type="spellStart"/>
      <w:r w:rsidRPr="00EF6C3B">
        <w:t>recognise</w:t>
      </w:r>
      <w:proofErr w:type="spellEnd"/>
      <w:r w:rsidRPr="00EF6C3B">
        <w:t xml:space="preserve"> that there are occasions where these traditional methods limit the certainty of the varietal determination, and in some </w:t>
      </w:r>
      <w:proofErr w:type="gramStart"/>
      <w:r w:rsidRPr="00EF6C3B">
        <w:t>cases</w:t>
      </w:r>
      <w:proofErr w:type="gramEnd"/>
      <w:r w:rsidRPr="00EF6C3B">
        <w:t xml:space="preserve"> varieties of some species cannot be identified with certainty using these traditional methods. In these specific circumstances, it might be beneficial to use non-field based techniques such as BMT, which </w:t>
      </w:r>
      <w:proofErr w:type="gramStart"/>
      <w:r w:rsidRPr="00EF6C3B">
        <w:t>must be seen</w:t>
      </w:r>
      <w:proofErr w:type="gramEnd"/>
      <w:r w:rsidRPr="00EF6C3B">
        <w:t xml:space="preserve"> as supplementing and not replacing the more traditional methods.</w:t>
      </w:r>
    </w:p>
    <w:p w:rsidR="007E07ED" w:rsidRPr="00EF6C3B" w:rsidRDefault="007E07ED" w:rsidP="007E07ED">
      <w:pPr>
        <w:spacing w:before="8"/>
      </w:pPr>
    </w:p>
    <w:p w:rsidR="007E07ED" w:rsidRPr="00EF6C3B" w:rsidRDefault="007E07ED" w:rsidP="007E07ED">
      <w:pPr>
        <w:spacing w:before="1"/>
        <w:rPr>
          <w:b/>
        </w:rPr>
      </w:pPr>
      <w:r w:rsidRPr="00EF6C3B">
        <w:t xml:space="preserve">For more information on the OECD Seed Schemes see: </w:t>
      </w:r>
      <w:hyperlink r:id="rId11">
        <w:r w:rsidRPr="00EF6C3B">
          <w:rPr>
            <w:b/>
          </w:rPr>
          <w:t>www.oecd.org/tad</w:t>
        </w:r>
        <w:r w:rsidRPr="00EF6C3B">
          <w:t>/</w:t>
        </w:r>
        <w:r w:rsidRPr="00EF6C3B">
          <w:rPr>
            <w:b/>
          </w:rPr>
          <w:t>seed</w:t>
        </w:r>
      </w:hyperlink>
    </w:p>
    <w:p w:rsidR="007E07ED" w:rsidRPr="00EF6C3B" w:rsidRDefault="007E07ED" w:rsidP="007E07ED"/>
    <w:p w:rsidR="007E07ED" w:rsidRPr="00EF6C3B" w:rsidRDefault="007E07ED" w:rsidP="007E07ED"/>
    <w:p w:rsidR="007E07ED" w:rsidRPr="00EF6C3B" w:rsidRDefault="007E07ED" w:rsidP="007E07ED">
      <w:pPr>
        <w:rPr>
          <w:bCs/>
          <w:u w:val="single"/>
        </w:rPr>
      </w:pPr>
      <w:r w:rsidRPr="00EF6C3B">
        <w:rPr>
          <w:bCs/>
          <w:u w:val="single"/>
        </w:rPr>
        <w:t>International Union for the Protection of New Varieties of Plants (UPOV)</w:t>
      </w:r>
    </w:p>
    <w:p w:rsidR="007E07ED" w:rsidRPr="00EF6C3B" w:rsidRDefault="007E07ED" w:rsidP="007E07ED"/>
    <w:p w:rsidR="007E07ED" w:rsidRPr="00EF6C3B" w:rsidRDefault="007E07ED" w:rsidP="007E07ED">
      <w:r w:rsidRPr="00EF6C3B">
        <w:rPr>
          <w:bCs/>
        </w:rPr>
        <w:t xml:space="preserve">Type of Organization: </w:t>
      </w:r>
      <w:r w:rsidRPr="00EF6C3B">
        <w:t>Intergovernmental</w:t>
      </w:r>
    </w:p>
    <w:p w:rsidR="007E07ED" w:rsidRPr="00EF6C3B" w:rsidRDefault="007E07ED" w:rsidP="007E07ED">
      <w:r w:rsidRPr="00EF6C3B">
        <w:t> </w:t>
      </w:r>
    </w:p>
    <w:p w:rsidR="007E07ED" w:rsidRPr="00EF6C3B" w:rsidRDefault="007E07ED" w:rsidP="007E07ED">
      <w:pPr>
        <w:rPr>
          <w:bCs/>
        </w:rPr>
      </w:pPr>
      <w:r w:rsidRPr="00EF6C3B">
        <w:rPr>
          <w:bCs/>
        </w:rPr>
        <w:t>Membership</w:t>
      </w:r>
    </w:p>
    <w:p w:rsidR="007E07ED" w:rsidRPr="00EF6C3B" w:rsidRDefault="007F7E37" w:rsidP="007E07ED">
      <w:hyperlink r:id="rId12" w:history="1">
        <w:r w:rsidR="007E07ED" w:rsidRPr="00EF6C3B">
          <w:rPr>
            <w:color w:val="0000FF"/>
            <w:u w:val="single"/>
          </w:rPr>
          <w:t>List of UPOV members</w:t>
        </w:r>
      </w:hyperlink>
      <w:r w:rsidR="007E07ED" w:rsidRPr="00EF6C3B">
        <w:t xml:space="preserve">  / </w:t>
      </w:r>
      <w:hyperlink r:id="rId13" w:history="1">
        <w:r w:rsidR="007E07ED" w:rsidRPr="00EF6C3B">
          <w:rPr>
            <w:color w:val="0000FF"/>
            <w:u w:val="single"/>
          </w:rPr>
          <w:t>Situation in UPOV</w:t>
        </w:r>
      </w:hyperlink>
    </w:p>
    <w:p w:rsidR="007E07ED" w:rsidRPr="00EF6C3B" w:rsidRDefault="007E07ED" w:rsidP="007E07ED">
      <w:r w:rsidRPr="00EF6C3B">
        <w:t> </w:t>
      </w:r>
    </w:p>
    <w:p w:rsidR="007E07ED" w:rsidRPr="00EF6C3B" w:rsidRDefault="007E07ED" w:rsidP="008E521A">
      <w:pPr>
        <w:keepNext/>
        <w:rPr>
          <w:bCs/>
          <w:i/>
        </w:rPr>
      </w:pPr>
      <w:r w:rsidRPr="00EF6C3B">
        <w:rPr>
          <w:bCs/>
          <w:i/>
        </w:rPr>
        <w:lastRenderedPageBreak/>
        <w:t>What is UPOV?</w:t>
      </w:r>
    </w:p>
    <w:p w:rsidR="007E07ED" w:rsidRPr="00EF6C3B" w:rsidRDefault="007E07ED" w:rsidP="008E521A">
      <w:pPr>
        <w:keepNext/>
        <w:rPr>
          <w:bCs/>
        </w:rPr>
      </w:pPr>
    </w:p>
    <w:p w:rsidR="007E07ED" w:rsidRPr="00EF6C3B" w:rsidRDefault="007E07ED" w:rsidP="007E07ED">
      <w:r w:rsidRPr="00EF6C3B">
        <w:t xml:space="preserve">The International Union for the Protection of New Varieties of Plants (UPOV) is an intergovernmental organization based in Geneva, Switzerland. </w:t>
      </w:r>
      <w:proofErr w:type="gramStart"/>
      <w:r w:rsidRPr="00EF6C3B">
        <w:t>UPOV was established in 1961 by the International Convention</w:t>
      </w:r>
      <w:proofErr w:type="gramEnd"/>
      <w:r w:rsidRPr="00EF6C3B">
        <w:t xml:space="preserve"> for the Protection of New Varieties of Plants (the "UPOV Convention").</w:t>
      </w:r>
    </w:p>
    <w:p w:rsidR="007E07ED" w:rsidRPr="00EF6C3B" w:rsidRDefault="007E07ED" w:rsidP="007E07ED">
      <w:r w:rsidRPr="00EF6C3B">
        <w:t xml:space="preserve">The </w:t>
      </w:r>
      <w:r w:rsidRPr="00EF6C3B">
        <w:rPr>
          <w:bCs/>
        </w:rPr>
        <w:t>mission</w:t>
      </w:r>
      <w:r w:rsidRPr="00EF6C3B">
        <w:t xml:space="preserve"> of UPOV is to provide and promote an effective system of plant variety protection, with the aim of encouraging the development of new varieties of plants, for the benefit of society.</w:t>
      </w:r>
    </w:p>
    <w:p w:rsidR="007E07ED" w:rsidRPr="00EF6C3B" w:rsidRDefault="007E07ED" w:rsidP="007E07ED">
      <w:r w:rsidRPr="00EF6C3B">
        <w:t>The UPOV Convention provides the basis for members to encourage plant breeding by granting breeders of new plant varieties an intellectual property right: the breeder’s right.</w:t>
      </w:r>
    </w:p>
    <w:p w:rsidR="007E07ED" w:rsidRPr="00EF6C3B" w:rsidRDefault="007E07ED" w:rsidP="007E07ED">
      <w:r w:rsidRPr="00EF6C3B">
        <w:t> </w:t>
      </w:r>
    </w:p>
    <w:p w:rsidR="007E07ED" w:rsidRPr="00EF6C3B" w:rsidRDefault="007E07ED" w:rsidP="007E07ED">
      <w:pPr>
        <w:rPr>
          <w:bCs/>
          <w:i/>
        </w:rPr>
      </w:pPr>
      <w:r w:rsidRPr="00EF6C3B">
        <w:rPr>
          <w:bCs/>
          <w:i/>
        </w:rPr>
        <w:t>What does UPOV do?</w:t>
      </w:r>
    </w:p>
    <w:p w:rsidR="007E07ED" w:rsidRPr="00EF6C3B" w:rsidRDefault="007E07ED" w:rsidP="007E07ED">
      <w:pPr>
        <w:rPr>
          <w:bCs/>
        </w:rPr>
      </w:pPr>
    </w:p>
    <w:p w:rsidR="007E07ED" w:rsidRPr="00EF6C3B" w:rsidRDefault="007E07ED" w:rsidP="007E07ED">
      <w:r w:rsidRPr="00EF6C3B">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7E07ED" w:rsidRPr="00EF6C3B" w:rsidRDefault="007E07ED" w:rsidP="007E07ED">
      <w:pPr>
        <w:numPr>
          <w:ilvl w:val="0"/>
          <w:numId w:val="6"/>
        </w:numPr>
      </w:pPr>
      <w:r w:rsidRPr="00EF6C3B">
        <w:t>provide and develop the legal, administrative and technical basis for international cooperation in plant variety protection;</w:t>
      </w:r>
    </w:p>
    <w:p w:rsidR="007E07ED" w:rsidRPr="00EF6C3B" w:rsidRDefault="007E07ED" w:rsidP="007E07ED">
      <w:pPr>
        <w:numPr>
          <w:ilvl w:val="0"/>
          <w:numId w:val="6"/>
        </w:numPr>
      </w:pPr>
      <w:r w:rsidRPr="00EF6C3B">
        <w:t>assist States and organizations in the development of legislation and the implementation of an effective plant variety protection system; and</w:t>
      </w:r>
    </w:p>
    <w:p w:rsidR="007E07ED" w:rsidRPr="00EF6C3B" w:rsidRDefault="007E07ED" w:rsidP="007E07ED">
      <w:pPr>
        <w:numPr>
          <w:ilvl w:val="0"/>
          <w:numId w:val="6"/>
        </w:numPr>
      </w:pPr>
      <w:proofErr w:type="gramStart"/>
      <w:r w:rsidRPr="00EF6C3B">
        <w:t>enhance</w:t>
      </w:r>
      <w:proofErr w:type="gramEnd"/>
      <w:r w:rsidRPr="00EF6C3B">
        <w:t xml:space="preserve"> public awareness and understanding of the UPOV system of plant variety protection.</w:t>
      </w:r>
    </w:p>
    <w:p w:rsidR="007E07ED" w:rsidRPr="00EF6C3B" w:rsidRDefault="007E07ED" w:rsidP="007E07ED">
      <w:r w:rsidRPr="00EF6C3B">
        <w:rPr>
          <w:bCs/>
        </w:rPr>
        <w:t> </w:t>
      </w:r>
    </w:p>
    <w:p w:rsidR="007E07ED" w:rsidRPr="00EF6C3B" w:rsidRDefault="007E07ED" w:rsidP="007E07ED">
      <w:pPr>
        <w:rPr>
          <w:bCs/>
          <w:i/>
        </w:rPr>
      </w:pPr>
      <w:r w:rsidRPr="00EF6C3B">
        <w:rPr>
          <w:bCs/>
          <w:i/>
        </w:rPr>
        <w:t>What are the benefits of plant variety protection and UPOV membership?</w:t>
      </w:r>
    </w:p>
    <w:p w:rsidR="007E07ED" w:rsidRPr="00EF6C3B" w:rsidRDefault="007E07ED" w:rsidP="007E07ED">
      <w:pPr>
        <w:rPr>
          <w:bCs/>
        </w:rPr>
      </w:pPr>
    </w:p>
    <w:p w:rsidR="007E07ED" w:rsidRPr="00EF6C3B" w:rsidRDefault="007E07ED" w:rsidP="007E07ED">
      <w:r w:rsidRPr="00EF6C3B">
        <w:t xml:space="preserve">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t>
      </w:r>
      <w:proofErr w:type="gramStart"/>
      <w:r w:rsidRPr="00EF6C3B">
        <w:t>were found to be associated</w:t>
      </w:r>
      <w:proofErr w:type="gramEnd"/>
      <w:r w:rsidRPr="00EF6C3B">
        <w:t xml:space="preserve"> with:</w:t>
      </w:r>
    </w:p>
    <w:p w:rsidR="007E07ED" w:rsidRPr="00EF6C3B" w:rsidRDefault="007E07ED" w:rsidP="007E07ED"/>
    <w:p w:rsidR="007E07ED" w:rsidRPr="00EF6C3B" w:rsidRDefault="007E07ED" w:rsidP="007E07ED">
      <w:r w:rsidRPr="00EF6C3B">
        <w:t>(</w:t>
      </w:r>
      <w:proofErr w:type="gramStart"/>
      <w:r w:rsidRPr="00EF6C3B">
        <w:t>a</w:t>
      </w:r>
      <w:proofErr w:type="gramEnd"/>
      <w:r w:rsidRPr="00EF6C3B">
        <w:t>) increased breeding activities,</w:t>
      </w:r>
    </w:p>
    <w:p w:rsidR="007E07ED" w:rsidRPr="00EF6C3B" w:rsidRDefault="007E07ED" w:rsidP="007E07ED">
      <w:r w:rsidRPr="00EF6C3B">
        <w:t xml:space="preserve">(b) </w:t>
      </w:r>
      <w:proofErr w:type="gramStart"/>
      <w:r w:rsidRPr="00EF6C3B">
        <w:t>greater</w:t>
      </w:r>
      <w:proofErr w:type="gramEnd"/>
      <w:r w:rsidRPr="00EF6C3B">
        <w:t xml:space="preserve"> availability of improved varieties,</w:t>
      </w:r>
    </w:p>
    <w:p w:rsidR="007E07ED" w:rsidRPr="00EF6C3B" w:rsidRDefault="007E07ED" w:rsidP="007E07ED">
      <w:r w:rsidRPr="00EF6C3B">
        <w:t>(</w:t>
      </w:r>
      <w:proofErr w:type="gramStart"/>
      <w:r w:rsidRPr="00EF6C3B">
        <w:t>c</w:t>
      </w:r>
      <w:proofErr w:type="gramEnd"/>
      <w:r w:rsidRPr="00EF6C3B">
        <w:t>) increased number of new varieties,</w:t>
      </w:r>
    </w:p>
    <w:p w:rsidR="007E07ED" w:rsidRPr="00EF6C3B" w:rsidRDefault="007E07ED" w:rsidP="007E07ED">
      <w:r w:rsidRPr="00EF6C3B">
        <w:t xml:space="preserve">(d) </w:t>
      </w:r>
      <w:proofErr w:type="gramStart"/>
      <w:r w:rsidRPr="00EF6C3B">
        <w:t>diversification</w:t>
      </w:r>
      <w:proofErr w:type="gramEnd"/>
      <w:r w:rsidRPr="00EF6C3B">
        <w:t xml:space="preserve"> of types of breeders (e.g. private breeders, researchers),</w:t>
      </w:r>
    </w:p>
    <w:p w:rsidR="007E07ED" w:rsidRPr="00EF6C3B" w:rsidRDefault="007E07ED" w:rsidP="007E07ED">
      <w:r w:rsidRPr="00EF6C3B">
        <w:t>(</w:t>
      </w:r>
      <w:proofErr w:type="gramStart"/>
      <w:r w:rsidRPr="00EF6C3B">
        <w:t>e</w:t>
      </w:r>
      <w:proofErr w:type="gramEnd"/>
      <w:r w:rsidRPr="00EF6C3B">
        <w:t>) increased number of foreign new varieties,</w:t>
      </w:r>
    </w:p>
    <w:p w:rsidR="007E07ED" w:rsidRPr="00EF6C3B" w:rsidRDefault="007E07ED" w:rsidP="007E07ED">
      <w:r w:rsidRPr="00EF6C3B">
        <w:t xml:space="preserve">(f) </w:t>
      </w:r>
      <w:proofErr w:type="gramStart"/>
      <w:r w:rsidRPr="00EF6C3B">
        <w:t>encouraging</w:t>
      </w:r>
      <w:proofErr w:type="gramEnd"/>
      <w:r w:rsidRPr="00EF6C3B">
        <w:t xml:space="preserve"> the development of a new industry competitiveness on foreign markets, and</w:t>
      </w:r>
    </w:p>
    <w:p w:rsidR="007E07ED" w:rsidRPr="00EF6C3B" w:rsidRDefault="007E07ED" w:rsidP="007E07ED">
      <w:r w:rsidRPr="00EF6C3B">
        <w:t xml:space="preserve">(g) </w:t>
      </w:r>
      <w:proofErr w:type="gramStart"/>
      <w:r w:rsidRPr="00EF6C3B">
        <w:t>improved</w:t>
      </w:r>
      <w:proofErr w:type="gramEnd"/>
      <w:r w:rsidRPr="00EF6C3B">
        <w:t xml:space="preserve"> access to foreign plant varieties and enhanced domestic breeding programs.</w:t>
      </w:r>
    </w:p>
    <w:p w:rsidR="007E07ED" w:rsidRPr="00EF6C3B" w:rsidRDefault="007E07ED" w:rsidP="007E07ED">
      <w:r w:rsidRPr="00EF6C3B">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7E07ED" w:rsidRPr="00EF6C3B" w:rsidRDefault="007E07ED" w:rsidP="007E07ED">
      <w:pPr>
        <w:keepNext/>
        <w:rPr>
          <w:i/>
        </w:rPr>
      </w:pPr>
    </w:p>
    <w:p w:rsidR="007E07ED" w:rsidRPr="00EF6C3B" w:rsidRDefault="007E07ED" w:rsidP="007E07ED">
      <w:pPr>
        <w:keepNext/>
        <w:rPr>
          <w:i/>
          <w:lang w:val="en-GB"/>
        </w:rPr>
      </w:pPr>
      <w:r w:rsidRPr="00EF6C3B">
        <w:rPr>
          <w:i/>
          <w:lang w:val="en-GB"/>
        </w:rPr>
        <w:t>Does UPOV allow molecular techniques (DNA profiles) in the examination of Distinctness, Uniformity and Stability (“DUS”)?</w:t>
      </w:r>
    </w:p>
    <w:p w:rsidR="007E07ED" w:rsidRPr="00EF6C3B" w:rsidRDefault="007E07ED" w:rsidP="007E07ED">
      <w:pPr>
        <w:keepNext/>
        <w:rPr>
          <w:lang w:val="en-GB"/>
        </w:rPr>
      </w:pPr>
    </w:p>
    <w:p w:rsidR="007E07ED" w:rsidRPr="00EF6C3B" w:rsidRDefault="007E07ED" w:rsidP="007E07ED">
      <w:pPr>
        <w:keepNext/>
        <w:rPr>
          <w:lang w:val="en-GB"/>
        </w:rPr>
      </w:pPr>
      <w:r w:rsidRPr="00EF6C3B">
        <w:rPr>
          <w:lang w:val="en-GB"/>
        </w:rPr>
        <w:t xml:space="preserve">It is important to note that, in some </w:t>
      </w:r>
      <w:proofErr w:type="gramStart"/>
      <w:r w:rsidRPr="00EF6C3B">
        <w:rPr>
          <w:lang w:val="en-GB"/>
        </w:rPr>
        <w:t>cases,</w:t>
      </w:r>
      <w:proofErr w:type="gramEnd"/>
      <w:r w:rsidRPr="00EF6C3B">
        <w:rPr>
          <w:lang w:val="en-GB"/>
        </w:rPr>
        <w:t xml:space="preserve"> varieties may have a different DNA profile but be phenotypically identical, whilst, in other cases, varieties which have a large phenotypic difference may have the same DNA profile for a particular set of molecular markers (e.g. some mutations).</w:t>
      </w:r>
    </w:p>
    <w:p w:rsidR="007E07ED" w:rsidRPr="00EF6C3B" w:rsidRDefault="007E07ED" w:rsidP="007E07ED">
      <w:pPr>
        <w:rPr>
          <w:lang w:val="en-GB"/>
        </w:rPr>
      </w:pPr>
    </w:p>
    <w:p w:rsidR="007E07ED" w:rsidRPr="00EF6C3B" w:rsidRDefault="007E07ED" w:rsidP="007E07ED">
      <w:pPr>
        <w:rPr>
          <w:lang w:val="en-GB"/>
        </w:rPr>
      </w:pPr>
      <w:r w:rsidRPr="00EF6C3B">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7E07ED" w:rsidRPr="00EF6C3B" w:rsidRDefault="007E07ED" w:rsidP="007E07ED">
      <w:pPr>
        <w:rPr>
          <w:lang w:val="en-GB"/>
        </w:rPr>
      </w:pPr>
    </w:p>
    <w:p w:rsidR="007E07ED" w:rsidRPr="00EF6C3B" w:rsidRDefault="007E07ED" w:rsidP="007E07ED">
      <w:pPr>
        <w:rPr>
          <w:lang w:val="en-GB"/>
        </w:rPr>
      </w:pPr>
      <w:r w:rsidRPr="00EF6C3B">
        <w:rPr>
          <w:lang w:val="en-GB"/>
        </w:rPr>
        <w:t>On the above basis, UPOV has agreed the following uses of molecular markers in relation to DUS examination:</w:t>
      </w:r>
    </w:p>
    <w:p w:rsidR="007E07ED" w:rsidRPr="00EF6C3B" w:rsidRDefault="007E07ED" w:rsidP="007E07ED">
      <w:pPr>
        <w:rPr>
          <w:lang w:val="en-GB"/>
        </w:rPr>
      </w:pPr>
    </w:p>
    <w:p w:rsidR="007E07ED" w:rsidRPr="00EF6C3B" w:rsidRDefault="008E521A" w:rsidP="007E07ED">
      <w:pPr>
        <w:rPr>
          <w:lang w:val="en-GB"/>
        </w:rPr>
      </w:pPr>
      <w:r>
        <w:rPr>
          <w:lang w:val="en-GB"/>
        </w:rPr>
        <w:t xml:space="preserve">(a) </w:t>
      </w:r>
      <w:r>
        <w:rPr>
          <w:lang w:val="en-GB"/>
        </w:rPr>
        <w:tab/>
      </w:r>
      <w:r w:rsidR="007E07ED" w:rsidRPr="00EF6C3B">
        <w:rPr>
          <w:lang w:val="en-GB"/>
        </w:rPr>
        <w:t xml:space="preserve">Molecular markers </w:t>
      </w:r>
      <w:proofErr w:type="gramStart"/>
      <w:r w:rsidR="007E07ED" w:rsidRPr="00EF6C3B">
        <w:rPr>
          <w:lang w:val="en-GB"/>
        </w:rPr>
        <w:t>can be used</w:t>
      </w:r>
      <w:proofErr w:type="gramEnd"/>
      <w:r w:rsidR="007E07ED" w:rsidRPr="00EF6C3B">
        <w:rPr>
          <w:lang w:val="en-GB"/>
        </w:rPr>
        <w:t xml:space="preserve"> as a method of examining DUS characteristics that satisfy the criteria for characteristics set out in the General Introduction if there is a reliable link between the marker and the characteristic.</w:t>
      </w:r>
    </w:p>
    <w:p w:rsidR="007E07ED" w:rsidRPr="00EF6C3B" w:rsidRDefault="007E07ED" w:rsidP="007E07ED">
      <w:pPr>
        <w:rPr>
          <w:lang w:val="en-GB"/>
        </w:rPr>
      </w:pPr>
    </w:p>
    <w:p w:rsidR="007E07ED" w:rsidRPr="00EF6C3B" w:rsidRDefault="008E521A" w:rsidP="007E07ED">
      <w:pPr>
        <w:rPr>
          <w:lang w:val="en-GB"/>
        </w:rPr>
      </w:pPr>
      <w:proofErr w:type="gramStart"/>
      <w:r>
        <w:rPr>
          <w:lang w:val="en-GB"/>
        </w:rPr>
        <w:t xml:space="preserve">(b) </w:t>
      </w:r>
      <w:r>
        <w:rPr>
          <w:lang w:val="en-GB"/>
        </w:rPr>
        <w:tab/>
      </w:r>
      <w:r w:rsidR="007E07ED" w:rsidRPr="00EF6C3B">
        <w:rPr>
          <w:lang w:val="en-GB"/>
        </w:rPr>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roofErr w:type="gramEnd"/>
    </w:p>
    <w:p w:rsidR="007E07ED" w:rsidRPr="00EF6C3B" w:rsidRDefault="007E07ED" w:rsidP="007E07ED">
      <w:pPr>
        <w:rPr>
          <w:lang w:val="en-GB"/>
        </w:rPr>
      </w:pPr>
    </w:p>
    <w:p w:rsidR="007E07ED" w:rsidRPr="00EF6C3B" w:rsidRDefault="007E07ED" w:rsidP="007E07ED">
      <w:pPr>
        <w:rPr>
          <w:lang w:val="en-GB"/>
        </w:rPr>
      </w:pPr>
      <w:r w:rsidRPr="00EF6C3B">
        <w:rPr>
          <w:lang w:val="en-GB"/>
        </w:rPr>
        <w:lastRenderedPageBreak/>
        <w:t xml:space="preserve">The situation in UPOV </w:t>
      </w:r>
      <w:proofErr w:type="gramStart"/>
      <w:r w:rsidRPr="00EF6C3B">
        <w:rPr>
          <w:lang w:val="en-GB"/>
        </w:rPr>
        <w:t>is explained</w:t>
      </w:r>
      <w:proofErr w:type="gramEnd"/>
      <w:r w:rsidRPr="00EF6C3B">
        <w:rPr>
          <w:lang w:val="en-GB"/>
        </w:rPr>
        <w:t xml:space="preserve"> in documents TGP/15 “Guidance on the Use of Biochemical and Molecular Markers in the Examination of Distinctness, Uniformity and Stability (DUS)” and UPOV/INF/18 “Possible use of Molecular Markers in the Examination of Distinctness, Uniformity and Stability (DUS)”.</w:t>
      </w:r>
    </w:p>
    <w:p w:rsidR="007E07ED" w:rsidRPr="00EF6C3B" w:rsidRDefault="007E07ED" w:rsidP="007E07ED">
      <w:pPr>
        <w:rPr>
          <w:lang w:val="en-GB"/>
        </w:rPr>
      </w:pPr>
    </w:p>
    <w:p w:rsidR="007E07ED" w:rsidRPr="00EF6C3B" w:rsidRDefault="007F7E37" w:rsidP="007E07ED">
      <w:pPr>
        <w:rPr>
          <w:lang w:val="en-GB"/>
        </w:rPr>
      </w:pPr>
      <w:hyperlink r:id="rId14" w:anchor="QB80" w:history="1">
        <w:r w:rsidR="007E07ED" w:rsidRPr="00EF6C3B">
          <w:rPr>
            <w:color w:val="0000FF"/>
            <w:u w:val="single"/>
            <w:lang w:val="en-GB"/>
          </w:rPr>
          <w:t>https://www.upov.int/about/en/faq.html#QB80</w:t>
        </w:r>
      </w:hyperlink>
    </w:p>
    <w:p w:rsidR="007E07ED" w:rsidRPr="00EF6C3B" w:rsidRDefault="007E07ED" w:rsidP="007E07ED">
      <w:pPr>
        <w:rPr>
          <w:lang w:val="en-GB"/>
        </w:rPr>
      </w:pPr>
    </w:p>
    <w:p w:rsidR="007E07ED" w:rsidRPr="00EF6C3B" w:rsidRDefault="007E07ED" w:rsidP="007E07ED">
      <w:pPr>
        <w:rPr>
          <w:lang w:val="en-GB"/>
        </w:rPr>
      </w:pPr>
    </w:p>
    <w:p w:rsidR="007E07ED" w:rsidRPr="00EF6C3B" w:rsidRDefault="007E07ED" w:rsidP="007E07ED">
      <w:pPr>
        <w:rPr>
          <w:bCs/>
          <w:u w:val="single"/>
        </w:rPr>
      </w:pPr>
      <w:r w:rsidRPr="00EF6C3B">
        <w:rPr>
          <w:bCs/>
          <w:u w:val="single"/>
        </w:rPr>
        <w:t>International Seed Testing Association (ISTA)</w:t>
      </w:r>
    </w:p>
    <w:p w:rsidR="007E07ED" w:rsidRPr="00EF6C3B" w:rsidRDefault="007E07ED" w:rsidP="007E07ED"/>
    <w:p w:rsidR="007E07ED" w:rsidRPr="00EF6C3B" w:rsidRDefault="007E07ED" w:rsidP="007E07ED">
      <w:pPr>
        <w:rPr>
          <w:rFonts w:eastAsia="Calibri"/>
        </w:rPr>
      </w:pPr>
      <w:r w:rsidRPr="00EF6C3B">
        <w:rPr>
          <w:rFonts w:eastAsia="Calibri"/>
        </w:rPr>
        <w:t>ISTA’S VISION: UNIFORMITY IN SEED TESTING</w:t>
      </w:r>
    </w:p>
    <w:p w:rsidR="007E07ED" w:rsidRPr="00EF6C3B" w:rsidRDefault="007E07ED" w:rsidP="007E07ED">
      <w:pPr>
        <w:rPr>
          <w:rFonts w:eastAsia="Calibri"/>
        </w:rPr>
      </w:pPr>
    </w:p>
    <w:p w:rsidR="007E07ED" w:rsidRPr="00EF6C3B" w:rsidRDefault="007E07ED" w:rsidP="007E07ED">
      <w:pPr>
        <w:spacing w:after="160" w:line="259" w:lineRule="auto"/>
        <w:rPr>
          <w:rFonts w:eastAsia="Calibri" w:cs="Arial"/>
          <w:color w:val="000000"/>
          <w:shd w:val="clear" w:color="auto" w:fill="FFFFFF"/>
        </w:rPr>
      </w:pPr>
      <w:r w:rsidRPr="00EF6C3B">
        <w:rPr>
          <w:rFonts w:eastAsia="Calibri" w:cs="Arial"/>
          <w:color w:val="000000"/>
          <w:shd w:val="clear" w:color="auto" w:fill="FFFFFF"/>
        </w:rPr>
        <w:t xml:space="preserve">Founded in 1924, with the aim to develop and publish standard procedures in the field of seed testing, ISTA </w:t>
      </w:r>
      <w:proofErr w:type="gramStart"/>
      <w:r w:rsidRPr="00EF6C3B">
        <w:rPr>
          <w:rFonts w:eastAsia="Calibri" w:cs="Arial"/>
          <w:color w:val="000000"/>
          <w:shd w:val="clear" w:color="auto" w:fill="FFFFFF"/>
        </w:rPr>
        <w:t>is inextricably linked</w:t>
      </w:r>
      <w:proofErr w:type="gramEnd"/>
      <w:r w:rsidRPr="00EF6C3B">
        <w:rPr>
          <w:rFonts w:eastAsia="Calibri" w:cs="Arial"/>
          <w:color w:val="000000"/>
          <w:shd w:val="clear" w:color="auto" w:fill="FFFFFF"/>
        </w:rPr>
        <w:t xml:space="preserve"> with the history of seed testing. With member laboratories in over 80 countries/distinct economies worldwide, ISTA membership is truly a global network.</w:t>
      </w:r>
    </w:p>
    <w:p w:rsidR="007E07ED" w:rsidRPr="00EF6C3B" w:rsidRDefault="007E07ED" w:rsidP="007E07ED">
      <w:pPr>
        <w:spacing w:after="160" w:line="259" w:lineRule="auto"/>
        <w:rPr>
          <w:rFonts w:eastAsia="Calibri" w:cs="Arial"/>
          <w:color w:val="000000"/>
          <w:shd w:val="clear" w:color="auto" w:fill="FFFFFF"/>
        </w:rPr>
      </w:pPr>
      <w:r w:rsidRPr="00EF6C3B">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7E07ED" w:rsidRPr="00EF6C3B" w:rsidRDefault="007E07ED" w:rsidP="007E07ED">
      <w:pPr>
        <w:spacing w:after="160" w:line="259" w:lineRule="auto"/>
        <w:jc w:val="left"/>
        <w:rPr>
          <w:rFonts w:eastAsia="Calibri" w:cs="Arial"/>
          <w:bCs/>
        </w:rPr>
      </w:pPr>
      <w:r w:rsidRPr="00EF6C3B">
        <w:rPr>
          <w:rFonts w:eastAsia="Calibri" w:cs="Arial"/>
          <w:bCs/>
        </w:rPr>
        <w:t>ISTA’S MEMBERSHIP 2019</w:t>
      </w:r>
    </w:p>
    <w:p w:rsidR="007E07ED" w:rsidRPr="00EF6C3B" w:rsidRDefault="007E07ED" w:rsidP="007E07ED">
      <w:pPr>
        <w:spacing w:after="160" w:line="259" w:lineRule="auto"/>
        <w:rPr>
          <w:rFonts w:eastAsia="Calibri" w:cs="Arial"/>
        </w:rPr>
      </w:pPr>
      <w:r w:rsidRPr="00EF6C3B">
        <w:rPr>
          <w:rFonts w:eastAsia="Calibri" w:cs="Arial"/>
        </w:rPr>
        <w:t>With member laboratories in 82 countries/distinct economies worldwide, ISTA membership is a truly global network. Currently, ISTA membership consists of:</w:t>
      </w:r>
    </w:p>
    <w:p w:rsidR="007E07ED" w:rsidRPr="00EF6C3B" w:rsidRDefault="007E07ED" w:rsidP="007E07ED">
      <w:pPr>
        <w:autoSpaceDE w:val="0"/>
        <w:autoSpaceDN w:val="0"/>
        <w:adjustRightInd w:val="0"/>
        <w:jc w:val="left"/>
        <w:rPr>
          <w:rFonts w:eastAsia="Calibri" w:cs="Arial"/>
          <w:strike/>
          <w:color w:val="C00000"/>
        </w:rPr>
      </w:pPr>
    </w:p>
    <w:p w:rsidR="007E07ED" w:rsidRPr="00EF6C3B" w:rsidRDefault="007E07ED" w:rsidP="007E07ED">
      <w:pPr>
        <w:numPr>
          <w:ilvl w:val="0"/>
          <w:numId w:val="8"/>
        </w:numPr>
        <w:autoSpaceDE w:val="0"/>
        <w:autoSpaceDN w:val="0"/>
        <w:adjustRightInd w:val="0"/>
        <w:spacing w:after="278" w:line="259" w:lineRule="auto"/>
        <w:jc w:val="left"/>
        <w:rPr>
          <w:rFonts w:eastAsia="Calibri" w:cs="Arial"/>
          <w:color w:val="000000"/>
        </w:rPr>
      </w:pPr>
      <w:r w:rsidRPr="00EF6C3B">
        <w:rPr>
          <w:rFonts w:eastAsia="Calibri" w:cs="Arial"/>
          <w:color w:val="000000"/>
        </w:rPr>
        <w:t xml:space="preserve">235 Member Laboratories, out of which 136 are ISTA accredited </w:t>
      </w:r>
    </w:p>
    <w:p w:rsidR="007E07ED" w:rsidRPr="00EF6C3B" w:rsidRDefault="007E07ED" w:rsidP="007E07ED">
      <w:pPr>
        <w:numPr>
          <w:ilvl w:val="0"/>
          <w:numId w:val="8"/>
        </w:numPr>
        <w:autoSpaceDE w:val="0"/>
        <w:autoSpaceDN w:val="0"/>
        <w:adjustRightInd w:val="0"/>
        <w:spacing w:after="278" w:line="259" w:lineRule="auto"/>
        <w:jc w:val="left"/>
        <w:rPr>
          <w:rFonts w:eastAsia="Calibri" w:cs="Arial"/>
          <w:color w:val="000000"/>
        </w:rPr>
      </w:pPr>
      <w:r w:rsidRPr="00EF6C3B">
        <w:rPr>
          <w:rFonts w:eastAsia="Calibri" w:cs="Arial"/>
          <w:color w:val="000000"/>
        </w:rPr>
        <w:t>63   Associate Members</w:t>
      </w:r>
    </w:p>
    <w:p w:rsidR="007E07ED" w:rsidRPr="00EF6C3B" w:rsidRDefault="007E07ED" w:rsidP="007E07ED">
      <w:pPr>
        <w:numPr>
          <w:ilvl w:val="0"/>
          <w:numId w:val="8"/>
        </w:numPr>
        <w:autoSpaceDE w:val="0"/>
        <w:autoSpaceDN w:val="0"/>
        <w:adjustRightInd w:val="0"/>
        <w:spacing w:after="278" w:line="259" w:lineRule="auto"/>
        <w:jc w:val="left"/>
        <w:rPr>
          <w:rFonts w:eastAsia="Calibri" w:cs="Arial"/>
          <w:color w:val="000000"/>
        </w:rPr>
      </w:pPr>
      <w:r w:rsidRPr="00EF6C3B">
        <w:rPr>
          <w:rFonts w:eastAsia="Calibri" w:cs="Arial"/>
          <w:color w:val="000000"/>
        </w:rPr>
        <w:t>39   Personal Members</w:t>
      </w:r>
    </w:p>
    <w:p w:rsidR="007E07ED" w:rsidRPr="00EF6C3B" w:rsidRDefault="007E07ED" w:rsidP="007E07ED">
      <w:pPr>
        <w:autoSpaceDE w:val="0"/>
        <w:autoSpaceDN w:val="0"/>
        <w:adjustRightInd w:val="0"/>
        <w:jc w:val="left"/>
        <w:rPr>
          <w:rFonts w:eastAsia="Calibri" w:cs="Arial"/>
          <w:bCs/>
        </w:rPr>
      </w:pPr>
      <w:r w:rsidRPr="00EF6C3B">
        <w:rPr>
          <w:rFonts w:eastAsia="Calibri" w:cs="Arial"/>
          <w:bCs/>
        </w:rPr>
        <w:t>ISTA</w:t>
      </w:r>
      <w:r w:rsidRPr="00EF6C3B">
        <w:rPr>
          <w:rFonts w:eastAsia="Calibri" w:cs="Arial"/>
          <w:bCs/>
          <w:color w:val="000000"/>
        </w:rPr>
        <w:t>’</w:t>
      </w:r>
      <w:r w:rsidRPr="00EF6C3B">
        <w:rPr>
          <w:rFonts w:eastAsia="Calibri" w:cs="Arial"/>
          <w:bCs/>
        </w:rPr>
        <w:t>S TECHNICAL WORK</w:t>
      </w:r>
    </w:p>
    <w:p w:rsidR="007E07ED" w:rsidRPr="00EF6C3B" w:rsidRDefault="007E07ED" w:rsidP="007E07ED">
      <w:pPr>
        <w:autoSpaceDE w:val="0"/>
        <w:autoSpaceDN w:val="0"/>
        <w:adjustRightInd w:val="0"/>
        <w:jc w:val="left"/>
        <w:rPr>
          <w:rFonts w:eastAsia="Calibri" w:cs="Arial"/>
          <w:b/>
          <w:bCs/>
        </w:rPr>
      </w:pPr>
    </w:p>
    <w:p w:rsidR="007E07ED" w:rsidRPr="00EF6C3B" w:rsidRDefault="007E07ED" w:rsidP="007E07ED">
      <w:pPr>
        <w:autoSpaceDE w:val="0"/>
        <w:autoSpaceDN w:val="0"/>
        <w:adjustRightInd w:val="0"/>
        <w:rPr>
          <w:rFonts w:eastAsia="Calibri" w:cs="Arial"/>
          <w:color w:val="000000"/>
        </w:rPr>
      </w:pPr>
      <w:r w:rsidRPr="00EF6C3B">
        <w:rPr>
          <w:rFonts w:eastAsia="Calibri" w:cs="Arial"/>
          <w:color w:val="000000"/>
        </w:rPr>
        <w:t xml:space="preserve">The principle objective of ISTA Technical Committees is to develop, </w:t>
      </w:r>
      <w:proofErr w:type="spellStart"/>
      <w:r w:rsidRPr="00EF6C3B">
        <w:rPr>
          <w:rFonts w:eastAsia="Calibri" w:cs="Arial"/>
          <w:color w:val="000000"/>
        </w:rPr>
        <w:t>standardise</w:t>
      </w:r>
      <w:proofErr w:type="spellEnd"/>
      <w:r w:rsidRPr="00EF6C3B">
        <w:rPr>
          <w:rFonts w:eastAsia="Calibri" w:cs="Arial"/>
          <w:color w:val="000000"/>
        </w:rPr>
        <w:t xml:space="preserve"> and validate methods for sampling and testing of seed quality, using the best scientific knowledge available. They enhance the </w:t>
      </w:r>
      <w:r w:rsidRPr="00EF6C3B">
        <w:rPr>
          <w:rFonts w:eastAsia="Calibri" w:cs="Arial"/>
          <w:b/>
          <w:bCs/>
          <w:color w:val="000000"/>
        </w:rPr>
        <w:t xml:space="preserve">ISTA ‘International Rules for Seed Testing’ </w:t>
      </w:r>
      <w:r w:rsidRPr="00EF6C3B">
        <w:rPr>
          <w:rFonts w:eastAsia="Calibri" w:cs="Arial"/>
          <w:color w:val="000000"/>
        </w:rPr>
        <w:t xml:space="preserve">and develop ISTA Handbooks on seed methods including sampling and testing. </w:t>
      </w:r>
      <w:proofErr w:type="gramStart"/>
      <w:r w:rsidRPr="00EF6C3B">
        <w:rPr>
          <w:rFonts w:eastAsia="Calibri" w:cs="Arial"/>
          <w:color w:val="000000"/>
        </w:rPr>
        <w:t>Further</w:t>
      </w:r>
      <w:proofErr w:type="gramEnd"/>
      <w:r w:rsidRPr="00EF6C3B">
        <w:rPr>
          <w:rFonts w:eastAsia="Calibri" w:cs="Arial"/>
          <w:color w:val="000000"/>
        </w:rPr>
        <w:t xml:space="preserve"> they are responsible for the </w:t>
      </w:r>
      <w:proofErr w:type="spellStart"/>
      <w:r w:rsidRPr="00EF6C3B">
        <w:rPr>
          <w:rFonts w:eastAsia="Calibri" w:cs="Arial"/>
          <w:color w:val="000000"/>
        </w:rPr>
        <w:t>organisation</w:t>
      </w:r>
      <w:proofErr w:type="spellEnd"/>
      <w:r w:rsidRPr="00EF6C3B">
        <w:rPr>
          <w:rFonts w:eastAsia="Calibri" w:cs="Arial"/>
          <w:color w:val="000000"/>
        </w:rPr>
        <w:t xml:space="preserve"> of Symposia, Seminars and Workshops. ISTA Technical Committees regularly hold </w:t>
      </w:r>
      <w:proofErr w:type="gramStart"/>
      <w:r w:rsidRPr="00EF6C3B">
        <w:rPr>
          <w:rFonts w:eastAsia="Calibri" w:cs="Arial"/>
          <w:color w:val="000000"/>
        </w:rPr>
        <w:t>workshops which</w:t>
      </w:r>
      <w:proofErr w:type="gramEnd"/>
      <w:r w:rsidRPr="00EF6C3B">
        <w:rPr>
          <w:rFonts w:eastAsia="Calibri" w:cs="Arial"/>
          <w:color w:val="000000"/>
        </w:rPr>
        <w:t xml:space="preserve"> provide a platform for training as well as the exchange of information, experience and ideas.</w:t>
      </w:r>
    </w:p>
    <w:p w:rsidR="007E07ED" w:rsidRPr="00EF6C3B" w:rsidRDefault="007E07ED" w:rsidP="007E07ED">
      <w:pPr>
        <w:autoSpaceDE w:val="0"/>
        <w:autoSpaceDN w:val="0"/>
        <w:adjustRightInd w:val="0"/>
        <w:jc w:val="left"/>
        <w:rPr>
          <w:rFonts w:eastAsia="Calibri" w:cs="Arial"/>
          <w:color w:val="000000"/>
        </w:rPr>
      </w:pPr>
    </w:p>
    <w:p w:rsidR="007E07ED" w:rsidRPr="00EF6C3B" w:rsidRDefault="007E07ED" w:rsidP="007E07ED">
      <w:pPr>
        <w:autoSpaceDE w:val="0"/>
        <w:autoSpaceDN w:val="0"/>
        <w:adjustRightInd w:val="0"/>
        <w:jc w:val="left"/>
        <w:rPr>
          <w:rFonts w:eastAsia="Calibri" w:cs="Arial"/>
          <w:color w:val="000000"/>
        </w:rPr>
      </w:pPr>
      <w:r w:rsidRPr="00EF6C3B">
        <w:rPr>
          <w:rFonts w:eastAsia="Calibri" w:cs="Arial"/>
          <w:color w:val="000000"/>
        </w:rPr>
        <w:t>There are 20 Technical Committees in ISTA:</w:t>
      </w:r>
    </w:p>
    <w:p w:rsidR="007E07ED" w:rsidRPr="00EF6C3B" w:rsidRDefault="007E07ED" w:rsidP="007E07ED">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7E07ED" w:rsidRPr="00EF6C3B" w:rsidTr="007C231A">
        <w:trPr>
          <w:trHeight w:val="474"/>
        </w:trPr>
        <w:tc>
          <w:tcPr>
            <w:tcW w:w="495" w:type="dxa"/>
          </w:tcPr>
          <w:p w:rsidR="007E07ED" w:rsidRPr="00EF6C3B" w:rsidRDefault="007E07ED" w:rsidP="007C231A">
            <w:pPr>
              <w:autoSpaceDE w:val="0"/>
              <w:autoSpaceDN w:val="0"/>
              <w:adjustRightInd w:val="0"/>
              <w:jc w:val="left"/>
              <w:rPr>
                <w:rFonts w:ascii="Calibri" w:hAnsi="Calibri" w:cs="Arial"/>
                <w:lang w:val="en-US"/>
              </w:rPr>
            </w:pPr>
          </w:p>
        </w:tc>
        <w:tc>
          <w:tcPr>
            <w:tcW w:w="5312" w:type="dxa"/>
          </w:tcPr>
          <w:p w:rsidR="007E07ED" w:rsidRPr="00EF6C3B" w:rsidRDefault="007E07ED" w:rsidP="007C231A">
            <w:pPr>
              <w:autoSpaceDE w:val="0"/>
              <w:autoSpaceDN w:val="0"/>
              <w:adjustRightInd w:val="0"/>
              <w:jc w:val="left"/>
              <w:rPr>
                <w:rFonts w:ascii="Calibri" w:hAnsi="Calibri" w:cs="Arial"/>
                <w:b/>
                <w:bCs/>
                <w:lang w:val="en-US"/>
              </w:rPr>
            </w:pPr>
          </w:p>
          <w:p w:rsidR="007E07ED" w:rsidRPr="00EF6C3B" w:rsidRDefault="007E07ED" w:rsidP="007C231A">
            <w:pPr>
              <w:autoSpaceDE w:val="0"/>
              <w:autoSpaceDN w:val="0"/>
              <w:adjustRightInd w:val="0"/>
              <w:jc w:val="left"/>
              <w:rPr>
                <w:rFonts w:ascii="Calibri" w:hAnsi="Calibri" w:cs="Arial"/>
                <w:b/>
                <w:bCs/>
                <w:color w:val="000000"/>
              </w:rPr>
            </w:pPr>
            <w:r w:rsidRPr="00EF6C3B">
              <w:rPr>
                <w:rFonts w:ascii="Calibri" w:hAnsi="Calibri" w:cs="Arial"/>
                <w:color w:val="000000"/>
              </w:rPr>
              <w:t>Technical Committees</w:t>
            </w:r>
          </w:p>
          <w:p w:rsidR="007E07ED" w:rsidRPr="00EF6C3B" w:rsidRDefault="007E07ED" w:rsidP="007C231A">
            <w:pPr>
              <w:autoSpaceDE w:val="0"/>
              <w:autoSpaceDN w:val="0"/>
              <w:adjustRightInd w:val="0"/>
              <w:jc w:val="left"/>
              <w:rPr>
                <w:rFonts w:ascii="Calibri" w:hAnsi="Calibri" w:cs="Arial"/>
              </w:rPr>
            </w:pP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Advanced Technologies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2.</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Bulking and Sampling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3.</w:t>
            </w:r>
          </w:p>
        </w:tc>
        <w:tc>
          <w:tcPr>
            <w:tcW w:w="5312" w:type="dxa"/>
          </w:tcPr>
          <w:p w:rsidR="007E07ED" w:rsidRPr="00EF6C3B" w:rsidRDefault="007E07ED" w:rsidP="007C231A">
            <w:pPr>
              <w:autoSpaceDE w:val="0"/>
              <w:autoSpaceDN w:val="0"/>
              <w:adjustRightInd w:val="0"/>
              <w:jc w:val="left"/>
              <w:rPr>
                <w:rFonts w:ascii="Calibri" w:hAnsi="Calibri" w:cs="Arial"/>
                <w:lang w:val="en-US"/>
              </w:rPr>
            </w:pPr>
            <w:r w:rsidRPr="00EF6C3B">
              <w:rPr>
                <w:rFonts w:ascii="Calibri" w:hAnsi="Calibri" w:cs="Arial"/>
                <w:lang w:val="en-US"/>
              </w:rPr>
              <w:t>Editorial Board of Seed Science and Technology</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4.</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Flower Seed Testing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 xml:space="preserve">5. </w:t>
            </w:r>
          </w:p>
        </w:tc>
        <w:tc>
          <w:tcPr>
            <w:tcW w:w="5312" w:type="dxa"/>
          </w:tcPr>
          <w:p w:rsidR="007E07ED" w:rsidRPr="00EF6C3B" w:rsidRDefault="007E07ED" w:rsidP="007C231A">
            <w:pPr>
              <w:autoSpaceDE w:val="0"/>
              <w:autoSpaceDN w:val="0"/>
              <w:adjustRightInd w:val="0"/>
              <w:jc w:val="left"/>
              <w:rPr>
                <w:rFonts w:ascii="Calibri" w:hAnsi="Calibri" w:cs="Arial"/>
                <w:lang w:val="en-US"/>
              </w:rPr>
            </w:pPr>
            <w:r w:rsidRPr="00EF6C3B">
              <w:rPr>
                <w:rFonts w:ascii="Calibri" w:hAnsi="Calibri" w:cs="Arial"/>
                <w:lang w:val="en-US"/>
              </w:rPr>
              <w:t>Forest Tree and Shrub Seed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6.</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Germination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7.</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GMO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8.</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Moisture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9.</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Nomenclature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10.</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Proficiency Test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11.</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Purity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12.</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Rules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lastRenderedPageBreak/>
              <w:t>13.</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Seed Health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14.</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Seed Science Advisory Group</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15.</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Statistics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16.</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Seed Storage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17.</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Tetrazolium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18.</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Variety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19.</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Vigour Committee</w:t>
            </w:r>
          </w:p>
        </w:tc>
      </w:tr>
      <w:tr w:rsidR="007E07ED" w:rsidRPr="00EF6C3B" w:rsidTr="007C231A">
        <w:tc>
          <w:tcPr>
            <w:tcW w:w="495"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20.</w:t>
            </w:r>
          </w:p>
        </w:tc>
        <w:tc>
          <w:tcPr>
            <w:tcW w:w="5312" w:type="dxa"/>
          </w:tcPr>
          <w:p w:rsidR="007E07ED" w:rsidRPr="00EF6C3B" w:rsidRDefault="007E07ED" w:rsidP="007C231A">
            <w:pPr>
              <w:autoSpaceDE w:val="0"/>
              <w:autoSpaceDN w:val="0"/>
              <w:adjustRightInd w:val="0"/>
              <w:jc w:val="left"/>
              <w:rPr>
                <w:rFonts w:ascii="Calibri" w:hAnsi="Calibri" w:cs="Arial"/>
              </w:rPr>
            </w:pPr>
            <w:r w:rsidRPr="00EF6C3B">
              <w:rPr>
                <w:rFonts w:ascii="Calibri" w:hAnsi="Calibri" w:cs="Arial"/>
              </w:rPr>
              <w:t>Wild Species Working Group</w:t>
            </w:r>
          </w:p>
        </w:tc>
      </w:tr>
    </w:tbl>
    <w:p w:rsidR="007E07ED" w:rsidRPr="00EF6C3B" w:rsidRDefault="007E07ED" w:rsidP="007E07ED">
      <w:pPr>
        <w:spacing w:after="160" w:line="259" w:lineRule="auto"/>
        <w:jc w:val="left"/>
        <w:rPr>
          <w:rFonts w:ascii="Calibri" w:eastAsia="Calibri" w:hAnsi="Calibri"/>
          <w:b/>
          <w:bCs/>
          <w:sz w:val="22"/>
          <w:szCs w:val="22"/>
        </w:rPr>
      </w:pPr>
    </w:p>
    <w:p w:rsidR="007E07ED" w:rsidRPr="00EF6C3B" w:rsidRDefault="007E07ED" w:rsidP="007E07ED">
      <w:pPr>
        <w:spacing w:after="160" w:line="259" w:lineRule="auto"/>
        <w:jc w:val="left"/>
        <w:rPr>
          <w:rFonts w:ascii="Calibri" w:eastAsia="Calibri" w:hAnsi="Calibri"/>
          <w:bCs/>
          <w:sz w:val="22"/>
          <w:szCs w:val="22"/>
        </w:rPr>
      </w:pPr>
      <w:r w:rsidRPr="00EF6C3B">
        <w:rPr>
          <w:rFonts w:ascii="Calibri" w:eastAsia="Calibri" w:hAnsi="Calibri"/>
          <w:bCs/>
          <w:sz w:val="22"/>
          <w:szCs w:val="22"/>
        </w:rPr>
        <w:t>ISTA ACCREDITATION PROGRAMME:</w:t>
      </w:r>
    </w:p>
    <w:p w:rsidR="007E07ED" w:rsidRPr="00EF6C3B" w:rsidRDefault="007E07ED" w:rsidP="007E07ED">
      <w:pPr>
        <w:rPr>
          <w:rFonts w:eastAsia="Calibri" w:cs="Arial"/>
          <w:color w:val="000000"/>
        </w:rPr>
      </w:pPr>
      <w:r w:rsidRPr="00EF6C3B">
        <w:rPr>
          <w:rFonts w:eastAsia="Calibri" w:cs="Arial"/>
          <w:color w:val="000000"/>
        </w:rPr>
        <w:t>ISTA Accreditation verifies whether a laboratory is technically competent to carry out seed sampling and testing procedures in accordance with the </w:t>
      </w:r>
      <w:hyperlink r:id="rId15" w:history="1">
        <w:r w:rsidRPr="00EF6C3B">
          <w:rPr>
            <w:rFonts w:eastAsia="Calibri" w:cs="Arial"/>
            <w:color w:val="000000"/>
          </w:rPr>
          <w:t>ISTA International Rules for Seed Testing</w:t>
        </w:r>
      </w:hyperlink>
      <w:r w:rsidRPr="00EF6C3B">
        <w:rPr>
          <w:rFonts w:eastAsia="Calibri" w:cs="Arial"/>
          <w:color w:val="000000"/>
        </w:rPr>
        <w:t>. Accredited laboratories must run a quality assurance system, fulfilling the requirements of the </w:t>
      </w:r>
      <w:hyperlink r:id="rId16" w:history="1">
        <w:r w:rsidRPr="00EF6C3B">
          <w:rPr>
            <w:rFonts w:eastAsia="Calibri" w:cs="Arial"/>
            <w:color w:val="000000"/>
          </w:rPr>
          <w:t>ISTA Accreditation Standard</w:t>
        </w:r>
      </w:hyperlink>
      <w:r w:rsidRPr="00EF6C3B">
        <w:rPr>
          <w:rFonts w:eastAsia="Calibri" w:cs="Arial"/>
          <w:color w:val="000000"/>
        </w:rPr>
        <w:t xml:space="preserve">. Accreditation </w:t>
      </w:r>
      <w:proofErr w:type="gramStart"/>
      <w:r w:rsidRPr="00EF6C3B">
        <w:rPr>
          <w:rFonts w:eastAsia="Calibri" w:cs="Arial"/>
          <w:color w:val="000000"/>
        </w:rPr>
        <w:t>can be granted</w:t>
      </w:r>
      <w:proofErr w:type="gramEnd"/>
      <w:r w:rsidRPr="00EF6C3B">
        <w:rPr>
          <w:rFonts w:eastAsia="Calibri" w:cs="Arial"/>
          <w:color w:val="000000"/>
        </w:rPr>
        <w:t xml:space="preserve"> for:</w:t>
      </w:r>
    </w:p>
    <w:p w:rsidR="007E07ED" w:rsidRPr="00EF6C3B" w:rsidRDefault="007E07ED" w:rsidP="007E07ED">
      <w:pPr>
        <w:numPr>
          <w:ilvl w:val="0"/>
          <w:numId w:val="7"/>
        </w:numPr>
        <w:shd w:val="clear" w:color="auto" w:fill="FFFFFF"/>
        <w:spacing w:before="100" w:beforeAutospacing="1" w:after="100" w:afterAutospacing="1" w:line="259" w:lineRule="auto"/>
        <w:jc w:val="left"/>
        <w:rPr>
          <w:rFonts w:eastAsia="Calibri" w:cs="Arial"/>
          <w:color w:val="000000"/>
          <w:lang w:val="de-CH"/>
        </w:rPr>
      </w:pPr>
      <w:r w:rsidRPr="00EF6C3B">
        <w:rPr>
          <w:rFonts w:eastAsia="Calibri" w:cs="Arial"/>
          <w:color w:val="000000"/>
          <w:lang w:val="de-CH"/>
        </w:rPr>
        <w:t>entities performing sampling only</w:t>
      </w:r>
      <w:r w:rsidRPr="00EF6C3B">
        <w:rPr>
          <w:rFonts w:eastAsia="Calibri" w:cs="Arial"/>
          <w:color w:val="000000"/>
          <w:lang w:val="de-CH"/>
        </w:rPr>
        <w:br/>
      </w:r>
    </w:p>
    <w:p w:rsidR="007E07ED" w:rsidRPr="00EF6C3B" w:rsidRDefault="007E07ED" w:rsidP="007E07ED">
      <w:pPr>
        <w:numPr>
          <w:ilvl w:val="0"/>
          <w:numId w:val="7"/>
        </w:numPr>
        <w:shd w:val="clear" w:color="auto" w:fill="FFFFFF"/>
        <w:spacing w:before="100" w:beforeAutospacing="1" w:after="100" w:afterAutospacing="1" w:line="259" w:lineRule="auto"/>
        <w:jc w:val="left"/>
        <w:rPr>
          <w:rFonts w:eastAsia="Calibri" w:cs="Arial"/>
          <w:color w:val="000000"/>
          <w:lang w:val="de-CH"/>
        </w:rPr>
      </w:pPr>
      <w:r w:rsidRPr="00EF6C3B">
        <w:rPr>
          <w:rFonts w:eastAsia="Calibri" w:cs="Arial"/>
          <w:color w:val="000000"/>
          <w:lang w:val="de-CH"/>
        </w:rPr>
        <w:t>laboratories performing testing only</w:t>
      </w:r>
      <w:r w:rsidRPr="00EF6C3B">
        <w:rPr>
          <w:rFonts w:eastAsia="Calibri" w:cs="Arial"/>
          <w:color w:val="000000"/>
          <w:lang w:val="de-CH"/>
        </w:rPr>
        <w:br/>
      </w:r>
    </w:p>
    <w:p w:rsidR="007E07ED" w:rsidRDefault="007E07ED" w:rsidP="007E07ED">
      <w:pPr>
        <w:numPr>
          <w:ilvl w:val="0"/>
          <w:numId w:val="7"/>
        </w:numPr>
        <w:shd w:val="clear" w:color="auto" w:fill="FFFFFF"/>
        <w:spacing w:before="100" w:beforeAutospacing="1" w:after="100" w:afterAutospacing="1" w:line="259" w:lineRule="auto"/>
        <w:jc w:val="left"/>
        <w:rPr>
          <w:rFonts w:eastAsia="Calibri" w:cs="Arial"/>
          <w:color w:val="000000"/>
        </w:rPr>
      </w:pPr>
      <w:proofErr w:type="gramStart"/>
      <w:r w:rsidRPr="00EF6C3B">
        <w:rPr>
          <w:rFonts w:eastAsia="Calibri" w:cs="Arial"/>
          <w:color w:val="000000"/>
        </w:rPr>
        <w:t>laboratories</w:t>
      </w:r>
      <w:proofErr w:type="gramEnd"/>
      <w:r w:rsidRPr="00EF6C3B">
        <w:rPr>
          <w:rFonts w:eastAsia="Calibri" w:cs="Arial"/>
          <w:color w:val="000000"/>
        </w:rPr>
        <w:t xml:space="preserve"> performing sampling and testing.</w:t>
      </w:r>
    </w:p>
    <w:p w:rsidR="008E521A" w:rsidRPr="008E521A" w:rsidRDefault="008E521A" w:rsidP="008E521A">
      <w:pPr>
        <w:rPr>
          <w:rFonts w:eastAsia="Calibri"/>
        </w:rPr>
      </w:pPr>
    </w:p>
    <w:p w:rsidR="007E07ED" w:rsidRPr="00EF6C3B" w:rsidRDefault="007E07ED" w:rsidP="007E07ED">
      <w:pPr>
        <w:spacing w:after="160" w:line="259" w:lineRule="auto"/>
        <w:jc w:val="left"/>
        <w:rPr>
          <w:rFonts w:ascii="Calibri" w:eastAsia="Calibri" w:hAnsi="Calibri"/>
          <w:bCs/>
          <w:sz w:val="22"/>
          <w:szCs w:val="22"/>
        </w:rPr>
      </w:pPr>
      <w:proofErr w:type="spellStart"/>
      <w:r w:rsidRPr="00EF6C3B">
        <w:rPr>
          <w:rFonts w:ascii="Calibri" w:eastAsia="Calibri" w:hAnsi="Calibri"/>
          <w:bCs/>
          <w:sz w:val="22"/>
          <w:szCs w:val="22"/>
        </w:rPr>
        <w:t>ISTA</w:t>
      </w:r>
      <w:proofErr w:type="spellEnd"/>
      <w:r w:rsidRPr="00EF6C3B">
        <w:rPr>
          <w:rFonts w:ascii="Calibri" w:eastAsia="Calibri" w:hAnsi="Calibri"/>
          <w:bCs/>
          <w:sz w:val="22"/>
          <w:szCs w:val="22"/>
        </w:rPr>
        <w:t xml:space="preserve"> CERTIFICATES: PASSPORT FOR INTERNATIONAL SEED TRADING</w:t>
      </w:r>
    </w:p>
    <w:p w:rsidR="007E07ED" w:rsidRPr="00EF6C3B" w:rsidRDefault="007E07ED" w:rsidP="007E07ED">
      <w:pPr>
        <w:spacing w:after="160" w:line="259" w:lineRule="auto"/>
        <w:rPr>
          <w:rFonts w:eastAsia="Calibri" w:cs="Arial"/>
          <w:color w:val="000000"/>
        </w:rPr>
      </w:pPr>
      <w:r w:rsidRPr="00EF6C3B">
        <w:rPr>
          <w:rFonts w:eastAsia="Calibri" w:cs="Arial"/>
          <w:color w:val="000000"/>
        </w:rPr>
        <w:t xml:space="preserve">Only </w:t>
      </w:r>
      <w:proofErr w:type="spellStart"/>
      <w:r w:rsidRPr="00EF6C3B">
        <w:rPr>
          <w:rFonts w:eastAsia="Calibri" w:cs="Arial"/>
          <w:color w:val="000000"/>
        </w:rPr>
        <w:t>ISTA</w:t>
      </w:r>
      <w:proofErr w:type="spellEnd"/>
      <w:r w:rsidRPr="00EF6C3B">
        <w:rPr>
          <w:rFonts w:eastAsia="Calibri" w:cs="Arial"/>
          <w:color w:val="000000"/>
        </w:rPr>
        <w:t xml:space="preserve">-accredited laboratories are </w:t>
      </w:r>
      <w:proofErr w:type="spellStart"/>
      <w:r w:rsidRPr="00EF6C3B">
        <w:rPr>
          <w:rFonts w:eastAsia="Calibri" w:cs="Arial"/>
          <w:color w:val="000000"/>
        </w:rPr>
        <w:t>authorised</w:t>
      </w:r>
      <w:proofErr w:type="spellEnd"/>
      <w:r w:rsidRPr="00EF6C3B">
        <w:rPr>
          <w:rFonts w:eastAsia="Calibri" w:cs="Arial"/>
          <w:color w:val="000000"/>
        </w:rPr>
        <w:t xml:space="preserve"> to issue </w:t>
      </w:r>
      <w:proofErr w:type="spellStart"/>
      <w:r w:rsidRPr="00EF6C3B">
        <w:rPr>
          <w:rFonts w:eastAsia="Calibri" w:cs="Arial"/>
          <w:color w:val="000000"/>
        </w:rPr>
        <w:t>ISTA</w:t>
      </w:r>
      <w:proofErr w:type="spellEnd"/>
      <w:r w:rsidRPr="00EF6C3B">
        <w:rPr>
          <w:rFonts w:eastAsia="Calibri" w:cs="Arial"/>
          <w:color w:val="000000"/>
        </w:rPr>
        <w:t xml:space="preserve"> certificates for seed analysis.</w:t>
      </w:r>
    </w:p>
    <w:p w:rsidR="007E07ED" w:rsidRPr="00EF6C3B" w:rsidRDefault="007E07ED" w:rsidP="007E07ED">
      <w:pPr>
        <w:spacing w:after="160" w:line="259" w:lineRule="auto"/>
        <w:rPr>
          <w:rFonts w:eastAsia="Calibri" w:cs="Arial"/>
          <w:color w:val="000000"/>
        </w:rPr>
      </w:pPr>
      <w:r w:rsidRPr="00EF6C3B">
        <w:rPr>
          <w:rFonts w:eastAsia="Calibri" w:cs="Arial"/>
          <w:color w:val="000000"/>
        </w:rPr>
        <w:t xml:space="preserve">By reporting seed test results on ISTA Certificates, the issuing laboratory assures that the sampling and testing </w:t>
      </w:r>
      <w:proofErr w:type="gramStart"/>
      <w:r w:rsidRPr="00EF6C3B">
        <w:rPr>
          <w:rFonts w:eastAsia="Calibri" w:cs="Arial"/>
          <w:color w:val="000000"/>
        </w:rPr>
        <w:t>has been carried out</w:t>
      </w:r>
      <w:proofErr w:type="gramEnd"/>
      <w:r w:rsidRPr="00EF6C3B">
        <w:rPr>
          <w:rFonts w:eastAsia="Calibri" w:cs="Arial"/>
          <w:color w:val="000000"/>
        </w:rPr>
        <w:t xml:space="preserve"> in accordance with the ISTA Rules. ISTA Certificates are accepted by most authorities and are mentioned in the seed Acts of several countries.</w:t>
      </w:r>
    </w:p>
    <w:p w:rsidR="007E07ED" w:rsidRPr="00EF6C3B" w:rsidRDefault="007E07ED" w:rsidP="007E07ED">
      <w:pPr>
        <w:spacing w:after="160" w:line="259" w:lineRule="auto"/>
        <w:rPr>
          <w:rFonts w:eastAsia="Calibri" w:cs="Arial"/>
          <w:color w:val="000000"/>
        </w:rPr>
      </w:pPr>
      <w:r w:rsidRPr="00EF6C3B">
        <w:rPr>
          <w:rFonts w:eastAsia="Calibri" w:cs="Arial"/>
          <w:color w:val="000000"/>
        </w:rPr>
        <w:t>The ISTA certificates are assuring that the results are reproducible, true and represent the quality of the seed.</w:t>
      </w:r>
    </w:p>
    <w:p w:rsidR="007E07ED" w:rsidRPr="00EF6C3B" w:rsidRDefault="007E07ED" w:rsidP="007E07ED">
      <w:pPr>
        <w:tabs>
          <w:tab w:val="left" w:pos="6104"/>
        </w:tabs>
        <w:spacing w:after="160" w:line="259" w:lineRule="auto"/>
        <w:jc w:val="left"/>
        <w:rPr>
          <w:rFonts w:ascii="Calibri" w:eastAsia="Calibri" w:hAnsi="Calibri"/>
          <w:sz w:val="22"/>
          <w:szCs w:val="22"/>
        </w:rPr>
      </w:pPr>
      <w:r w:rsidRPr="00EF6C3B">
        <w:rPr>
          <w:rFonts w:eastAsia="Calibri" w:cs="Arial"/>
          <w:noProof/>
          <w:color w:val="000000"/>
        </w:rPr>
        <w:drawing>
          <wp:anchor distT="0" distB="0" distL="114300" distR="114300" simplePos="0" relativeHeight="251659264" behindDoc="0" locked="0" layoutInCell="1" allowOverlap="1" wp14:anchorId="200F05AD" wp14:editId="7B5993DD">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Pr="00EF6C3B">
        <w:rPr>
          <w:rFonts w:ascii="Calibri" w:eastAsia="Calibri" w:hAnsi="Calibri"/>
          <w:sz w:val="22"/>
          <w:szCs w:val="22"/>
        </w:rPr>
        <w:tab/>
      </w:r>
    </w:p>
    <w:p w:rsidR="007E07ED" w:rsidRPr="00EF6C3B" w:rsidRDefault="007E07ED" w:rsidP="007E07ED">
      <w:pPr>
        <w:tabs>
          <w:tab w:val="left" w:pos="2434"/>
          <w:tab w:val="left" w:pos="687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7E07ED" w:rsidRPr="00EF6C3B" w:rsidRDefault="007E07ED" w:rsidP="007E07ED">
      <w:pPr>
        <w:tabs>
          <w:tab w:val="left" w:pos="1702"/>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7E07ED" w:rsidRPr="00EF6C3B" w:rsidRDefault="007E07ED" w:rsidP="007E07ED">
      <w:pPr>
        <w:spacing w:after="160" w:line="259" w:lineRule="auto"/>
        <w:jc w:val="left"/>
        <w:rPr>
          <w:rFonts w:ascii="Calibri" w:eastAsia="Calibri" w:hAnsi="Calibri"/>
          <w:sz w:val="22"/>
          <w:szCs w:val="22"/>
        </w:rPr>
      </w:pPr>
    </w:p>
    <w:p w:rsidR="007E07ED" w:rsidRPr="00EF6C3B" w:rsidRDefault="007E07ED" w:rsidP="007E07ED">
      <w:pPr>
        <w:spacing w:after="160" w:line="259" w:lineRule="auto"/>
        <w:jc w:val="left"/>
        <w:rPr>
          <w:rFonts w:ascii="Calibri" w:eastAsia="Calibri" w:hAnsi="Calibri"/>
          <w:sz w:val="22"/>
          <w:szCs w:val="22"/>
        </w:rPr>
      </w:pPr>
    </w:p>
    <w:p w:rsidR="007E07ED" w:rsidRPr="00EF6C3B" w:rsidRDefault="007E07ED" w:rsidP="007E07ED">
      <w:pPr>
        <w:tabs>
          <w:tab w:val="left" w:pos="3102"/>
          <w:tab w:val="left" w:pos="696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7E07ED" w:rsidRPr="00EF6C3B" w:rsidRDefault="007E07ED" w:rsidP="007E07ED">
      <w:pPr>
        <w:tabs>
          <w:tab w:val="left" w:pos="7433"/>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7E07ED" w:rsidRPr="00EF6C3B" w:rsidRDefault="007E07ED" w:rsidP="007E07ED">
      <w:pPr>
        <w:spacing w:after="160" w:line="259" w:lineRule="auto"/>
        <w:rPr>
          <w:rFonts w:eastAsia="Calibri" w:cs="Arial"/>
        </w:rPr>
      </w:pPr>
      <w:r w:rsidRPr="00EF6C3B">
        <w:rPr>
          <w:rFonts w:eastAsia="Calibri" w:cs="Arial"/>
        </w:rPr>
        <w:t>More than 200,000 ISTA Orange and Blue Certificates are issued every year, facilitating trading of seed internationally.</w:t>
      </w:r>
    </w:p>
    <w:p w:rsidR="007E07ED" w:rsidRPr="00EF6C3B" w:rsidRDefault="007E07ED" w:rsidP="007E07ED">
      <w:pPr>
        <w:spacing w:line="259" w:lineRule="auto"/>
        <w:rPr>
          <w:rFonts w:eastAsia="Calibri" w:cs="Arial"/>
        </w:rPr>
      </w:pPr>
    </w:p>
    <w:p w:rsidR="007E07ED" w:rsidRPr="00EF6C3B" w:rsidRDefault="007E07ED" w:rsidP="008E521A">
      <w:pPr>
        <w:keepNext/>
        <w:spacing w:after="160" w:line="259" w:lineRule="auto"/>
        <w:rPr>
          <w:rFonts w:eastAsia="Calibri" w:cs="Arial"/>
          <w:b/>
          <w:bCs/>
        </w:rPr>
      </w:pPr>
      <w:r w:rsidRPr="00EF6C3B">
        <w:rPr>
          <w:rFonts w:eastAsia="Calibri" w:cs="Arial"/>
          <w:b/>
          <w:bCs/>
        </w:rPr>
        <w:lastRenderedPageBreak/>
        <w:t>THE STATUS OF BIOCHEMICAL AND MOLECULAR TECHNIQUE (BMT) IN ISTA.</w:t>
      </w:r>
    </w:p>
    <w:p w:rsidR="007E07ED" w:rsidRPr="00EF6C3B" w:rsidRDefault="007E07ED" w:rsidP="008E521A">
      <w:pPr>
        <w:keepLines/>
        <w:rPr>
          <w:rFonts w:eastAsia="Calibri" w:cs="Arial"/>
          <w:color w:val="000000"/>
        </w:rPr>
      </w:pPr>
      <w:r w:rsidRPr="00EF6C3B">
        <w:rPr>
          <w:rFonts w:eastAsia="Calibri" w:cs="Arial"/>
          <w:color w:val="000000"/>
        </w:rPr>
        <w:t xml:space="preserve">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w:t>
      </w:r>
      <w:proofErr w:type="gramStart"/>
      <w:r w:rsidRPr="00EF6C3B">
        <w:rPr>
          <w:rFonts w:eastAsia="Calibri" w:cs="Arial"/>
          <w:color w:val="000000"/>
        </w:rPr>
        <w:t>are used</w:t>
      </w:r>
      <w:proofErr w:type="gramEnd"/>
      <w:r w:rsidRPr="00EF6C3B">
        <w:rPr>
          <w:rFonts w:eastAsia="Calibri" w:cs="Arial"/>
          <w:color w:val="000000"/>
        </w:rPr>
        <w:t xml:space="preserve"> as diagnostic and quantitative assessment tools in seed health testing methods. Testing for species and varieties verification also makes use of </w:t>
      </w:r>
      <w:proofErr w:type="spellStart"/>
      <w:r w:rsidRPr="00EF6C3B">
        <w:rPr>
          <w:rFonts w:eastAsia="Calibri" w:cs="Arial"/>
          <w:color w:val="000000"/>
        </w:rPr>
        <w:t>BMTs</w:t>
      </w:r>
      <w:proofErr w:type="spellEnd"/>
      <w:r w:rsidRPr="00EF6C3B">
        <w:rPr>
          <w:rFonts w:eastAsia="Calibri" w:cs="Arial"/>
          <w:color w:val="000000"/>
        </w:rPr>
        <w:t xml:space="preserve"> by </w:t>
      </w:r>
      <w:proofErr w:type="spellStart"/>
      <w:r w:rsidRPr="00EF6C3B">
        <w:rPr>
          <w:rFonts w:eastAsia="Calibri" w:cs="Arial"/>
          <w:color w:val="000000"/>
        </w:rPr>
        <w:t>analysing</w:t>
      </w:r>
      <w:proofErr w:type="spellEnd"/>
      <w:r w:rsidRPr="00EF6C3B">
        <w:rPr>
          <w:rFonts w:eastAsia="Calibri" w:cs="Arial"/>
          <w:color w:val="000000"/>
        </w:rPr>
        <w:t xml:space="preserve"> storage protein profiles for sunflower, maize, oat, barley, wheat, rye grass and pea or by DNA fingerprint using molecular markers for maize and wheat. As the versatility of these methods increases and the cost of utilizing </w:t>
      </w:r>
      <w:proofErr w:type="gramStart"/>
      <w:r w:rsidRPr="00EF6C3B">
        <w:rPr>
          <w:rFonts w:eastAsia="Calibri" w:cs="Arial"/>
          <w:color w:val="000000"/>
        </w:rPr>
        <w:t>them</w:t>
      </w:r>
      <w:proofErr w:type="gramEnd"/>
      <w:r w:rsidRPr="00EF6C3B">
        <w:rPr>
          <w:rFonts w:eastAsia="Calibri" w:cs="Arial"/>
          <w:color w:val="000000"/>
        </w:rPr>
        <w:t xml:space="preserve"> decreases, they may in the future play an even larger role in seed testing.</w:t>
      </w:r>
    </w:p>
    <w:p w:rsidR="007E07ED" w:rsidRPr="00EF6C3B" w:rsidRDefault="007E07ED" w:rsidP="007E07ED">
      <w:pPr>
        <w:spacing w:after="160" w:line="259" w:lineRule="auto"/>
        <w:jc w:val="left"/>
        <w:rPr>
          <w:rFonts w:eastAsia="Calibri" w:cs="Arial"/>
          <w:color w:val="000000"/>
        </w:rPr>
      </w:pPr>
    </w:p>
    <w:p w:rsidR="007E07ED" w:rsidRPr="00EF6C3B" w:rsidRDefault="007E07ED" w:rsidP="007E07ED">
      <w:pPr>
        <w:spacing w:after="160" w:line="259" w:lineRule="auto"/>
        <w:jc w:val="left"/>
        <w:rPr>
          <w:rFonts w:eastAsia="Calibri" w:cs="Arial"/>
          <w:color w:val="000000"/>
        </w:rPr>
      </w:pPr>
      <w:r w:rsidRPr="00EF6C3B">
        <w:rPr>
          <w:rFonts w:eastAsia="Calibri" w:cs="Arial"/>
          <w:color w:val="000000"/>
        </w:rPr>
        <w:t xml:space="preserve">To learn more about ISTA, visit our website: </w:t>
      </w:r>
      <w:hyperlink r:id="rId22" w:history="1">
        <w:r w:rsidRPr="00EF6C3B">
          <w:rPr>
            <w:rFonts w:eastAsia="Calibri" w:cs="Arial"/>
            <w:color w:val="000000"/>
          </w:rPr>
          <w:t>www.seedtest.org</w:t>
        </w:r>
      </w:hyperlink>
    </w:p>
    <w:p w:rsidR="007E07ED" w:rsidRPr="00EF6C3B" w:rsidRDefault="007E07ED" w:rsidP="007E07ED">
      <w:pPr>
        <w:rPr>
          <w:lang w:val="en-GB"/>
        </w:rPr>
      </w:pPr>
    </w:p>
    <w:p w:rsidR="007E07ED" w:rsidRPr="00EF6C3B" w:rsidRDefault="007E07ED" w:rsidP="007E07ED">
      <w:pPr>
        <w:jc w:val="left"/>
      </w:pPr>
    </w:p>
    <w:p w:rsidR="007E07ED" w:rsidRPr="00EF6C3B" w:rsidRDefault="007E07ED" w:rsidP="007E07ED"/>
    <w:p w:rsidR="007E07ED" w:rsidRDefault="007E07ED" w:rsidP="007E07ED">
      <w:pPr>
        <w:jc w:val="right"/>
      </w:pPr>
      <w:r w:rsidRPr="00EF6C3B">
        <w:t xml:space="preserve">[Annex II </w:t>
      </w:r>
      <w:r w:rsidR="009621CC">
        <w:t>follows</w:t>
      </w:r>
      <w:r w:rsidRPr="00EF6C3B">
        <w:t>]</w:t>
      </w:r>
    </w:p>
    <w:p w:rsidR="007E07ED" w:rsidRDefault="007E07ED" w:rsidP="007E07ED">
      <w:pPr>
        <w:jc w:val="left"/>
        <w:sectPr w:rsidR="007E07ED" w:rsidSect="009060D0">
          <w:headerReference w:type="default" r:id="rId23"/>
          <w:headerReference w:type="first" r:id="rId24"/>
          <w:pgSz w:w="11907" w:h="16840" w:code="9"/>
          <w:pgMar w:top="510" w:right="1134" w:bottom="1134" w:left="1134" w:header="510" w:footer="680" w:gutter="0"/>
          <w:pgNumType w:start="1"/>
          <w:cols w:space="720"/>
          <w:titlePg/>
        </w:sectPr>
      </w:pPr>
    </w:p>
    <w:p w:rsidR="002A5011" w:rsidRPr="00EF6C3B" w:rsidRDefault="002A5011" w:rsidP="002A5011">
      <w:pPr>
        <w:jc w:val="center"/>
        <w:rPr>
          <w:u w:val="single"/>
        </w:rPr>
      </w:pPr>
      <w:r w:rsidRPr="00EF6C3B">
        <w:rPr>
          <w:u w:val="single"/>
        </w:rPr>
        <w:lastRenderedPageBreak/>
        <w:t>SURVEY ON THE USE OF MOLECULAR MARKER TECHNIQUES BY CROP</w:t>
      </w:r>
    </w:p>
    <w:p w:rsidR="002A5011" w:rsidRDefault="002A5011" w:rsidP="002A5011"/>
    <w:p w:rsidR="002A5011" w:rsidRPr="00EF6C3B" w:rsidRDefault="002A5011" w:rsidP="002A5011">
      <w:pPr>
        <w:rPr>
          <w:snapToGrid w:val="0"/>
        </w:rPr>
      </w:pPr>
    </w:p>
    <w:p w:rsidR="002A5011" w:rsidRPr="00EF6C3B" w:rsidRDefault="002A5011" w:rsidP="002A5011">
      <w:pPr>
        <w:rPr>
          <w:snapToGrid w:val="0"/>
        </w:rPr>
      </w:pPr>
    </w:p>
    <w:p w:rsidR="002A5011" w:rsidRPr="00EF6C3B" w:rsidRDefault="002A5011" w:rsidP="002A5011">
      <w:pPr>
        <w:jc w:val="center"/>
        <w:rPr>
          <w:rFonts w:cs="Arial"/>
          <w:i/>
        </w:rPr>
      </w:pPr>
      <w:r w:rsidRPr="00EF6C3B">
        <w:rPr>
          <w:rFonts w:cs="Arial"/>
          <w:i/>
        </w:rPr>
        <w:t>Please see the Excel spreadsheet for all the responses received</w:t>
      </w:r>
    </w:p>
    <w:p w:rsidR="002A5011" w:rsidRPr="00EF6C3B" w:rsidRDefault="002A5011" w:rsidP="002A5011"/>
    <w:p w:rsidR="002A5011" w:rsidRDefault="002A5011" w:rsidP="002A5011">
      <w:pPr>
        <w:rPr>
          <w:u w:val="single"/>
        </w:rPr>
      </w:pPr>
    </w:p>
    <w:p w:rsidR="002A5011" w:rsidRDefault="002A5011" w:rsidP="002A5011">
      <w:pPr>
        <w:rPr>
          <w:u w:val="single"/>
        </w:rPr>
      </w:pPr>
    </w:p>
    <w:p w:rsidR="002A5011" w:rsidRPr="008C71BE" w:rsidRDefault="002A5011" w:rsidP="002A5011">
      <w:pPr>
        <w:pStyle w:val="DecisionParagraphs"/>
        <w:jc w:val="right"/>
        <w:rPr>
          <w:i w:val="0"/>
        </w:rPr>
      </w:pPr>
      <w:r>
        <w:rPr>
          <w:i w:val="0"/>
        </w:rPr>
        <w:t>[Appendix to Annex II follows]</w:t>
      </w:r>
    </w:p>
    <w:p w:rsidR="002A5011" w:rsidRDefault="002A5011" w:rsidP="00050E16">
      <w:pPr>
        <w:rPr>
          <w:snapToGrid w:val="0"/>
          <w:highlight w:val="cyan"/>
        </w:rPr>
        <w:sectPr w:rsidR="002A5011" w:rsidSect="0004198B">
          <w:headerReference w:type="first" r:id="rId25"/>
          <w:pgSz w:w="11907" w:h="16840" w:code="9"/>
          <w:pgMar w:top="510" w:right="1134" w:bottom="1134" w:left="1134" w:header="510" w:footer="680" w:gutter="0"/>
          <w:pgNumType w:start="1"/>
          <w:cols w:space="720"/>
          <w:titlePg/>
        </w:sectPr>
      </w:pPr>
    </w:p>
    <w:p w:rsidR="00D72475" w:rsidRDefault="00D72475" w:rsidP="00D72475">
      <w:pPr>
        <w:jc w:val="center"/>
        <w:rPr>
          <w:u w:val="single"/>
        </w:rPr>
      </w:pPr>
    </w:p>
    <w:p w:rsidR="002A5011" w:rsidRPr="00EF6C3B" w:rsidRDefault="002A5011" w:rsidP="002A5011">
      <w:pPr>
        <w:rPr>
          <w:u w:val="single"/>
        </w:rPr>
      </w:pPr>
      <w:r w:rsidRPr="00EF6C3B">
        <w:rPr>
          <w:u w:val="single"/>
        </w:rPr>
        <w:t>Response from the European Union:</w:t>
      </w:r>
    </w:p>
    <w:p w:rsidR="002A5011" w:rsidRPr="00EF6C3B" w:rsidRDefault="002A5011" w:rsidP="002A5011"/>
    <w:p w:rsidR="002A5011" w:rsidRPr="00EF6C3B" w:rsidRDefault="002A5011" w:rsidP="002A5011"/>
    <w:p w:rsidR="002A5011" w:rsidRPr="00EF6C3B" w:rsidRDefault="002A5011" w:rsidP="002A5011">
      <w:pPr>
        <w:jc w:val="center"/>
        <w:rPr>
          <w:rFonts w:eastAsia="Cambria"/>
        </w:rPr>
      </w:pPr>
      <w:r w:rsidRPr="00EF6C3B">
        <w:rPr>
          <w:rFonts w:eastAsia="Cambria"/>
        </w:rPr>
        <w:t>USE OF MOLECULAR MARKER TECHNIQUES FOR DUS TESTING IN THE FRAMEWORK OF CPVR</w:t>
      </w:r>
    </w:p>
    <w:p w:rsidR="002A5011" w:rsidRPr="00EF6C3B" w:rsidRDefault="002A5011" w:rsidP="002A5011">
      <w:pPr>
        <w:rPr>
          <w:rFonts w:eastAsia="Cambria"/>
        </w:rPr>
      </w:pPr>
    </w:p>
    <w:p w:rsidR="002A5011" w:rsidRPr="00EF6C3B" w:rsidRDefault="002A5011" w:rsidP="002A5011">
      <w:pPr>
        <w:rPr>
          <w:rFonts w:eastAsia="Cambria"/>
        </w:rPr>
      </w:pPr>
    </w:p>
    <w:p w:rsidR="002A5011" w:rsidRPr="00940F61" w:rsidRDefault="002A5011" w:rsidP="002A5011">
      <w:pPr>
        <w:rPr>
          <w:rFonts w:eastAsia="Cambria"/>
          <w:u w:val="single"/>
          <w:lang w:val="en-GB"/>
        </w:rPr>
      </w:pPr>
      <w:r w:rsidRPr="00940F61">
        <w:rPr>
          <w:rFonts w:eastAsia="Cambria"/>
          <w:u w:val="single"/>
          <w:lang w:val="en-GB"/>
        </w:rPr>
        <w:t>Elements of context</w:t>
      </w:r>
    </w:p>
    <w:p w:rsidR="002A5011" w:rsidRPr="00EF6C3B" w:rsidRDefault="002A5011" w:rsidP="002A5011">
      <w:pPr>
        <w:rPr>
          <w:rFonts w:eastAsia="Cambria"/>
          <w:lang w:val="en-GB"/>
        </w:rPr>
      </w:pPr>
    </w:p>
    <w:p w:rsidR="002A5011" w:rsidRPr="00EF6C3B" w:rsidRDefault="002A5011" w:rsidP="002A5011">
      <w:pPr>
        <w:rPr>
          <w:rFonts w:eastAsia="Cambria"/>
        </w:rPr>
      </w:pPr>
      <w:proofErr w:type="gramStart"/>
      <w:r w:rsidRPr="00EF6C3B">
        <w:rPr>
          <w:rFonts w:eastAsia="Cambria"/>
        </w:rPr>
        <w:t>The Technical Committee (TC) of UPOV, at its fifty-fifth session, held in Geneva, on October 28 and 29, 2019, agreed to invite members of the Union to complete a survey as a basis to develop an inventory on the use of molecular marker techniques, by crop, in coordination with the OECD Seed Schemes (see document TC/55/25 “Report”, paragraphs 184 and 185).</w:t>
      </w:r>
      <w:proofErr w:type="gramEnd"/>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The information on molecular marker techniques used by members of the Union </w:t>
      </w:r>
      <w:proofErr w:type="gramStart"/>
      <w:r w:rsidRPr="00EF6C3B">
        <w:rPr>
          <w:rFonts w:eastAsia="Cambria"/>
        </w:rPr>
        <w:t>will be used</w:t>
      </w:r>
      <w:proofErr w:type="gramEnd"/>
      <w:r w:rsidRPr="00EF6C3B">
        <w:rPr>
          <w:rFonts w:eastAsia="Cambria"/>
        </w:rPr>
        <w:t xml:space="preserve"> to develop a joint UPOV/OECD/ISTA document containing that information, in a similar format to document UPOV/INF/16 “Exchangeable Software”, subject to the approval of the Council and in coordination with OECD and ISTA.</w:t>
      </w:r>
    </w:p>
    <w:p w:rsidR="002A5011" w:rsidRPr="00EF6C3B" w:rsidRDefault="002A5011" w:rsidP="002A5011">
      <w:pPr>
        <w:rPr>
          <w:rFonts w:eastAsia="Cambria"/>
        </w:rPr>
      </w:pPr>
    </w:p>
    <w:p w:rsidR="002A5011" w:rsidRDefault="002A5011" w:rsidP="002A5011">
      <w:pPr>
        <w:rPr>
          <w:rFonts w:eastAsia="Cambria"/>
        </w:rPr>
      </w:pPr>
      <w:r w:rsidRPr="00EF6C3B">
        <w:rPr>
          <w:rFonts w:eastAsia="Cambria"/>
        </w:rPr>
        <w:t xml:space="preserve">The present document constitutes the contribution of the CPVO to this survey and, as such, describes the molecular marker techniques that </w:t>
      </w:r>
      <w:proofErr w:type="gramStart"/>
      <w:r w:rsidRPr="00EF6C3B">
        <w:rPr>
          <w:rFonts w:eastAsia="Cambria"/>
        </w:rPr>
        <w:t>can be used</w:t>
      </w:r>
      <w:proofErr w:type="gramEnd"/>
      <w:r w:rsidRPr="00EF6C3B">
        <w:rPr>
          <w:rFonts w:eastAsia="Cambria"/>
        </w:rPr>
        <w:t xml:space="preserve"> for DUS testing aiming at the granting of Community Plant Variety Rights (CPVR) in the framework of the CPVO policy.</w:t>
      </w:r>
    </w:p>
    <w:p w:rsidR="002A5011" w:rsidRDefault="002A5011" w:rsidP="002A5011">
      <w:pPr>
        <w:rPr>
          <w:rFonts w:eastAsia="Cambria"/>
        </w:rPr>
      </w:pPr>
    </w:p>
    <w:p w:rsidR="002A5011" w:rsidRPr="00EF6C3B" w:rsidRDefault="002A5011" w:rsidP="002A5011">
      <w:pPr>
        <w:rPr>
          <w:rFonts w:eastAsia="Cambria"/>
        </w:rPr>
      </w:pPr>
    </w:p>
    <w:p w:rsidR="002A5011" w:rsidRDefault="002A5011" w:rsidP="002A5011">
      <w:pPr>
        <w:pStyle w:val="ListParagraph"/>
        <w:numPr>
          <w:ilvl w:val="0"/>
          <w:numId w:val="3"/>
        </w:numPr>
        <w:ind w:hanging="720"/>
      </w:pPr>
      <w:r w:rsidRPr="00940F61">
        <w:rPr>
          <w:lang w:val="en-GB"/>
        </w:rPr>
        <w:t>Legal</w:t>
      </w:r>
      <w:r w:rsidRPr="00EF6C3B">
        <w:t xml:space="preserve"> framework on the use of molecular techniques in DUS testing for CPVR</w:t>
      </w:r>
    </w:p>
    <w:p w:rsidR="002A5011" w:rsidRPr="00EF6C3B" w:rsidRDefault="002A5011" w:rsidP="002A5011"/>
    <w:p w:rsidR="002A5011" w:rsidRPr="00EF6C3B" w:rsidRDefault="002A5011" w:rsidP="002A5011">
      <w:pPr>
        <w:rPr>
          <w:rFonts w:eastAsia="Cambria"/>
        </w:rPr>
      </w:pPr>
      <w:r w:rsidRPr="00EF6C3B">
        <w:rPr>
          <w:rFonts w:eastAsia="Cambria"/>
        </w:rPr>
        <w:t>The legal framework for conducting DUS testing for CPVR includes the CPVO Basic Regulation 2100/94 (BR) and its Implementing Rules, the CPVO Technical Protocols (TPs) and the guidance documents adopted by UPOV.</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The CPVO does not undertake DUS testing himself </w:t>
      </w:r>
      <w:proofErr w:type="gramStart"/>
      <w:r w:rsidRPr="00EF6C3B">
        <w:rPr>
          <w:rFonts w:eastAsia="Cambria"/>
        </w:rPr>
        <w:t>but,</w:t>
      </w:r>
      <w:proofErr w:type="gramEnd"/>
      <w:r w:rsidRPr="00EF6C3B">
        <w:rPr>
          <w:rFonts w:eastAsia="Cambria"/>
        </w:rPr>
        <w:t xml:space="preserve"> as stated in Article 56 (BR) “shall arrange for the technical examination [...] to be carried out by the competent office or offices in at least one of the Member States entrusted with responsibility for the technical examination of varieties of the species concerned by the Administrative Council”.</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When carrying out a technical examination, “[…] the Examination Offices shall, for the purposes of the technical examination, grow the variety or undertake any other investigations” (Article 56-BR). Molecular techniques may thus be used to support DUS testing by the entrusted EOs </w:t>
      </w:r>
      <w:proofErr w:type="gramStart"/>
      <w:r w:rsidRPr="00EF6C3B">
        <w:rPr>
          <w:rFonts w:eastAsia="Cambria"/>
        </w:rPr>
        <w:t>provided that</w:t>
      </w:r>
      <w:proofErr w:type="gramEnd"/>
      <w:r w:rsidRPr="00EF6C3B">
        <w:rPr>
          <w:rFonts w:eastAsia="Cambria"/>
        </w:rPr>
        <w:t xml:space="preserve"> the technical examination is conducted in accordance with the test guidelines issued by the CPVO Administrative Council.</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As the same guidelines </w:t>
      </w:r>
      <w:proofErr w:type="gramStart"/>
      <w:r w:rsidRPr="00EF6C3B">
        <w:rPr>
          <w:rFonts w:eastAsia="Cambria"/>
        </w:rPr>
        <w:t>are used</w:t>
      </w:r>
      <w:proofErr w:type="gramEnd"/>
      <w:r w:rsidRPr="00EF6C3B">
        <w:rPr>
          <w:rFonts w:eastAsia="Cambria"/>
        </w:rPr>
        <w:t xml:space="preserve"> both for variety protection and for registration in the EU, the Directives on the Common Catalogues (</w:t>
      </w:r>
      <w:r w:rsidRPr="00EF6C3B">
        <w:rPr>
          <w:rFonts w:eastAsia="Cambria"/>
          <w:lang w:val="en"/>
        </w:rPr>
        <w:t>Council Directives 2002/53/EC</w:t>
      </w:r>
      <w:r w:rsidRPr="00EF6C3B">
        <w:rPr>
          <w:rFonts w:eastAsia="Cambria"/>
          <w:color w:val="333333"/>
          <w:lang w:val="en"/>
        </w:rPr>
        <w:t xml:space="preserve"> and </w:t>
      </w:r>
      <w:r w:rsidRPr="00EF6C3B">
        <w:rPr>
          <w:rFonts w:eastAsia="Cambria"/>
          <w:lang w:val="en"/>
        </w:rPr>
        <w:t>2002/55/EC</w:t>
      </w:r>
      <w:r w:rsidRPr="00EF6C3B">
        <w:rPr>
          <w:rFonts w:eastAsia="Cambria"/>
        </w:rPr>
        <w:t xml:space="preserve">) are also to be taken into account. </w:t>
      </w:r>
      <w:r w:rsidRPr="00EF6C3B">
        <w:rPr>
          <w:rFonts w:eastAsia="Cambria"/>
          <w:lang w:val="en-GB"/>
        </w:rPr>
        <w:t xml:space="preserve">According to them, the acceptance of varieties </w:t>
      </w:r>
      <w:proofErr w:type="gramStart"/>
      <w:r w:rsidRPr="00EF6C3B">
        <w:rPr>
          <w:rFonts w:eastAsia="Cambria"/>
          <w:lang w:val="en-GB"/>
        </w:rPr>
        <w:t>shall be based</w:t>
      </w:r>
      <w:proofErr w:type="gramEnd"/>
      <w:r w:rsidRPr="00EF6C3B">
        <w:rPr>
          <w:rFonts w:eastAsia="Cambria"/>
          <w:lang w:val="en-GB"/>
        </w:rPr>
        <w:t xml:space="preserve"> on the results of official examinations, particularly growing trials, covering a sufficient number of characteristics for the variety to be described. Therefore, molecular techniques </w:t>
      </w:r>
      <w:proofErr w:type="gramStart"/>
      <w:r w:rsidRPr="00EF6C3B">
        <w:rPr>
          <w:rFonts w:eastAsia="Cambria"/>
          <w:lang w:val="en-GB"/>
        </w:rPr>
        <w:t>may be used</w:t>
      </w:r>
      <w:proofErr w:type="gramEnd"/>
      <w:r w:rsidRPr="00EF6C3B">
        <w:rPr>
          <w:rFonts w:eastAsia="Cambria"/>
          <w:lang w:val="en-GB"/>
        </w:rPr>
        <w:t xml:space="preserve"> only as complementary tools in addition to the growing trials.</w:t>
      </w:r>
    </w:p>
    <w:p w:rsidR="002A5011" w:rsidRPr="00EF6C3B" w:rsidRDefault="002A5011" w:rsidP="002A5011">
      <w:pPr>
        <w:rPr>
          <w:rFonts w:eastAsia="Cambria"/>
        </w:rPr>
      </w:pPr>
    </w:p>
    <w:p w:rsidR="002A5011" w:rsidRDefault="002A5011" w:rsidP="002A5011">
      <w:pPr>
        <w:rPr>
          <w:rFonts w:eastAsia="Cambria"/>
        </w:rPr>
      </w:pPr>
      <w:r w:rsidRPr="00EF6C3B">
        <w:rPr>
          <w:rFonts w:eastAsia="Cambria"/>
        </w:rPr>
        <w:t>As a UPOV member, the CPVO respects the agreed framework on the use of molecular techniques in DUS testing as laid down in documents UPOV/INF/18 (adopted by the Council of UPOV in 2011) and UPOV/TGP/15/3 (adopted by the Council of UPOV in 2020). More specifically, the CPVO supports the application by the network of its entrusted EOs of molecular tools according to the models positively assessed as regards their conformity with the UPOV convention.</w:t>
      </w:r>
    </w:p>
    <w:p w:rsidR="002A5011" w:rsidRDefault="002A5011" w:rsidP="002A5011">
      <w:pPr>
        <w:rPr>
          <w:rFonts w:eastAsia="Cambria"/>
        </w:rPr>
      </w:pPr>
    </w:p>
    <w:p w:rsidR="002A5011" w:rsidRPr="00EF6C3B" w:rsidRDefault="002A5011" w:rsidP="002A5011">
      <w:pPr>
        <w:rPr>
          <w:rFonts w:eastAsia="Cambria"/>
          <w:lang w:val="en-GB"/>
        </w:rPr>
      </w:pPr>
    </w:p>
    <w:p w:rsidR="002A5011" w:rsidRDefault="002A5011" w:rsidP="002A5011">
      <w:pPr>
        <w:pStyle w:val="ListParagraph"/>
        <w:numPr>
          <w:ilvl w:val="0"/>
          <w:numId w:val="3"/>
        </w:numPr>
        <w:ind w:hanging="720"/>
        <w:rPr>
          <w:rFonts w:cs="Arial"/>
          <w:spacing w:val="-3"/>
          <w:kern w:val="32"/>
          <w:szCs w:val="32"/>
        </w:rPr>
      </w:pPr>
      <w:bookmarkStart w:id="50" w:name="_Toc459988946"/>
      <w:bookmarkStart w:id="51" w:name="_Toc536804816"/>
      <w:r w:rsidRPr="00EF6C3B">
        <w:rPr>
          <w:rFonts w:cs="Arial"/>
          <w:spacing w:val="-3"/>
          <w:kern w:val="32"/>
          <w:szCs w:val="32"/>
        </w:rPr>
        <w:t>Models</w:t>
      </w:r>
      <w:bookmarkEnd w:id="50"/>
      <w:bookmarkEnd w:id="51"/>
      <w:r w:rsidRPr="00EF6C3B">
        <w:rPr>
          <w:rFonts w:cs="Arial"/>
          <w:spacing w:val="-3"/>
          <w:kern w:val="32"/>
          <w:szCs w:val="32"/>
        </w:rPr>
        <w:t xml:space="preserve"> supported by the CPVO and examples of application</w:t>
      </w:r>
      <w:bookmarkStart w:id="52" w:name="_Toc459988947"/>
      <w:bookmarkStart w:id="53" w:name="_Toc536804817"/>
    </w:p>
    <w:p w:rsidR="002A5011" w:rsidRDefault="002A5011" w:rsidP="002A5011"/>
    <w:p w:rsidR="002A5011" w:rsidRDefault="002A5011" w:rsidP="002A5011">
      <w:pPr>
        <w:ind w:left="709" w:hanging="709"/>
      </w:pPr>
      <w:r>
        <w:t>2.1.</w:t>
      </w:r>
      <w:r>
        <w:tab/>
      </w:r>
      <w:r w:rsidRPr="00940F61">
        <w:t>Characteristic-specific markers</w:t>
      </w:r>
      <w:bookmarkEnd w:id="52"/>
      <w:bookmarkEnd w:id="53"/>
    </w:p>
    <w:p w:rsidR="002A5011" w:rsidRPr="00940F61" w:rsidRDefault="002A5011" w:rsidP="002A5011">
      <w:pPr>
        <w:rPr>
          <w:szCs w:val="32"/>
        </w:rPr>
      </w:pPr>
    </w:p>
    <w:p w:rsidR="002A5011" w:rsidRPr="00EF6C3B" w:rsidRDefault="002A5011" w:rsidP="002A5011">
      <w:pPr>
        <w:rPr>
          <w:rFonts w:eastAsia="Cambria"/>
          <w:lang w:val="en-GB"/>
        </w:rPr>
      </w:pPr>
      <w:r w:rsidRPr="00EF6C3B">
        <w:rPr>
          <w:rFonts w:eastAsia="Cambria"/>
        </w:rPr>
        <w:t xml:space="preserve">Molecular markers can be </w:t>
      </w:r>
      <w:proofErr w:type="gramStart"/>
      <w:r w:rsidRPr="00EF6C3B">
        <w:rPr>
          <w:rFonts w:eastAsia="Cambria"/>
        </w:rPr>
        <w:t>used</w:t>
      </w:r>
      <w:proofErr w:type="gramEnd"/>
      <w:r w:rsidRPr="00EF6C3B">
        <w:rPr>
          <w:rFonts w:eastAsia="Cambria"/>
        </w:rPr>
        <w:t xml:space="preserve"> as an alternative to the phenotypic observation, as predictors of traditional characteristics that are difficult or cumbersome to assess, if a clear link exists. They </w:t>
      </w:r>
      <w:proofErr w:type="gramStart"/>
      <w:r w:rsidRPr="00EF6C3B">
        <w:rPr>
          <w:rFonts w:eastAsia="Cambria"/>
        </w:rPr>
        <w:t>can be either fully or partly correlated</w:t>
      </w:r>
      <w:proofErr w:type="gramEnd"/>
      <w:r w:rsidRPr="00EF6C3B">
        <w:rPr>
          <w:rFonts w:eastAsia="Cambria"/>
        </w:rPr>
        <w:t xml:space="preserve"> to the phenotype. These methods are included in technical protocols of CPVO </w:t>
      </w:r>
      <w:proofErr w:type="gramStart"/>
      <w:r w:rsidRPr="00EF6C3B">
        <w:rPr>
          <w:rFonts w:eastAsia="Cambria"/>
        </w:rPr>
        <w:t>on the basis of</w:t>
      </w:r>
      <w:proofErr w:type="gramEnd"/>
      <w:r w:rsidRPr="00EF6C3B">
        <w:rPr>
          <w:rFonts w:eastAsia="Cambria"/>
        </w:rPr>
        <w:t xml:space="preserve"> an evaluation/validation and suggestion of the CPVO crop-expert groups. </w:t>
      </w:r>
    </w:p>
    <w:p w:rsidR="002A5011" w:rsidRDefault="002A5011" w:rsidP="002A5011">
      <w:pPr>
        <w:rPr>
          <w:rFonts w:eastAsia="Cambria"/>
        </w:rPr>
      </w:pPr>
    </w:p>
    <w:p w:rsidR="002A5011" w:rsidRDefault="002A5011" w:rsidP="00D72475">
      <w:pPr>
        <w:keepNext/>
        <w:tabs>
          <w:tab w:val="left" w:pos="720"/>
        </w:tabs>
        <w:rPr>
          <w:rFonts w:eastAsia="Cambria"/>
        </w:rPr>
      </w:pPr>
      <w:r>
        <w:rPr>
          <w:rFonts w:eastAsia="Cambria"/>
        </w:rPr>
        <w:lastRenderedPageBreak/>
        <w:t>2.1.1.</w:t>
      </w:r>
      <w:r>
        <w:rPr>
          <w:rFonts w:eastAsia="Cambria"/>
        </w:rPr>
        <w:tab/>
      </w:r>
      <w:r w:rsidRPr="00EF6C3B">
        <w:rPr>
          <w:rFonts w:eastAsia="Cambria"/>
        </w:rPr>
        <w:t>Markers 100% correlated to a given state of expression of the characteristic</w:t>
      </w:r>
    </w:p>
    <w:p w:rsidR="002A5011" w:rsidRPr="00EF6C3B" w:rsidRDefault="002A5011" w:rsidP="002A5011">
      <w:pPr>
        <w:rPr>
          <w:rFonts w:eastAsia="Cambria"/>
          <w:lang w:val="en-GB"/>
        </w:rPr>
      </w:pPr>
    </w:p>
    <w:p w:rsidR="002A5011" w:rsidRPr="00EF6C3B" w:rsidRDefault="002A5011" w:rsidP="002A5011">
      <w:pPr>
        <w:rPr>
          <w:rFonts w:eastAsia="Cambria"/>
        </w:rPr>
      </w:pPr>
      <w:r w:rsidRPr="00EF6C3B">
        <w:rPr>
          <w:rFonts w:eastAsia="Cambria"/>
        </w:rPr>
        <w:t>In that case, the marker may replace the phenotypic observation.</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Examples of characteristics concerned:</w:t>
      </w:r>
    </w:p>
    <w:p w:rsidR="002A5011" w:rsidRPr="00EF6C3B" w:rsidRDefault="002A5011" w:rsidP="002A5011">
      <w:pPr>
        <w:ind w:left="567"/>
        <w:rPr>
          <w:rFonts w:eastAsia="Cambria"/>
        </w:rPr>
      </w:pPr>
      <w:r w:rsidRPr="00EF6C3B">
        <w:rPr>
          <w:rFonts w:eastAsia="Cambria"/>
        </w:rPr>
        <w:t xml:space="preserve">- Resistances to mono- or </w:t>
      </w:r>
      <w:proofErr w:type="spellStart"/>
      <w:r w:rsidRPr="00EF6C3B">
        <w:rPr>
          <w:rFonts w:eastAsia="Cambria"/>
        </w:rPr>
        <w:t>oligogenic</w:t>
      </w:r>
      <w:proofErr w:type="spellEnd"/>
      <w:r w:rsidRPr="00EF6C3B">
        <w:rPr>
          <w:rFonts w:eastAsia="Cambria"/>
        </w:rPr>
        <w:t xml:space="preserve"> diseases resistances (e.g. diseases in vegetables, resistance to nematode </w:t>
      </w:r>
      <w:proofErr w:type="spellStart"/>
      <w:r w:rsidRPr="00EF6C3B">
        <w:rPr>
          <w:rFonts w:eastAsia="Cambria"/>
        </w:rPr>
        <w:t>Heterodera</w:t>
      </w:r>
      <w:proofErr w:type="spellEnd"/>
      <w:r w:rsidRPr="00EF6C3B">
        <w:rPr>
          <w:rFonts w:eastAsia="Cambria"/>
        </w:rPr>
        <w:t xml:space="preserve"> </w:t>
      </w:r>
      <w:proofErr w:type="spellStart"/>
      <w:r w:rsidRPr="00EF6C3B">
        <w:rPr>
          <w:rFonts w:eastAsia="Cambria"/>
        </w:rPr>
        <w:t>schachtii</w:t>
      </w:r>
      <w:proofErr w:type="spellEnd"/>
      <w:r w:rsidRPr="00EF6C3B">
        <w:rPr>
          <w:rFonts w:eastAsia="Cambria"/>
        </w:rPr>
        <w:t xml:space="preserve"> in </w:t>
      </w:r>
      <w:proofErr w:type="spellStart"/>
      <w:r w:rsidRPr="00EF6C3B">
        <w:rPr>
          <w:rFonts w:eastAsia="Cambria"/>
        </w:rPr>
        <w:t>sugarbeet</w:t>
      </w:r>
      <w:proofErr w:type="spellEnd"/>
      <w:r w:rsidRPr="00EF6C3B">
        <w:rPr>
          <w:rFonts w:eastAsia="Cambria"/>
        </w:rPr>
        <w:t>)</w:t>
      </w:r>
    </w:p>
    <w:p w:rsidR="002A5011" w:rsidRPr="00EF6C3B" w:rsidRDefault="002A5011" w:rsidP="002A5011">
      <w:pPr>
        <w:ind w:left="567"/>
        <w:rPr>
          <w:rFonts w:eastAsia="Cambria"/>
        </w:rPr>
      </w:pPr>
      <w:r w:rsidRPr="00EF6C3B">
        <w:rPr>
          <w:rFonts w:eastAsia="Cambria"/>
        </w:rPr>
        <w:t>- CMS (cytoplasmic male sterility) in cabbages</w:t>
      </w:r>
    </w:p>
    <w:p w:rsidR="002A5011" w:rsidRPr="00EF6C3B" w:rsidRDefault="002A5011" w:rsidP="002A5011">
      <w:pPr>
        <w:ind w:left="567"/>
        <w:rPr>
          <w:rFonts w:eastAsia="Cambria"/>
        </w:rPr>
      </w:pPr>
      <w:r w:rsidRPr="00EF6C3B">
        <w:rPr>
          <w:rFonts w:eastAsia="Cambria"/>
        </w:rPr>
        <w:t>- Herbicides (e.g. sunflower, rapeseed)</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So far, none of these markers </w:t>
      </w:r>
      <w:proofErr w:type="gramStart"/>
      <w:r w:rsidRPr="00EF6C3B">
        <w:rPr>
          <w:rFonts w:eastAsia="Cambria"/>
        </w:rPr>
        <w:t>have</w:t>
      </w:r>
      <w:proofErr w:type="gramEnd"/>
      <w:r w:rsidRPr="00EF6C3B">
        <w:rPr>
          <w:rFonts w:eastAsia="Cambria"/>
        </w:rPr>
        <w:t xml:space="preserve"> been included in CPVO TPs.</w:t>
      </w:r>
    </w:p>
    <w:p w:rsidR="002A5011" w:rsidRDefault="002A5011" w:rsidP="002A5011">
      <w:pPr>
        <w:rPr>
          <w:rFonts w:eastAsia="Cambria"/>
        </w:rPr>
      </w:pPr>
    </w:p>
    <w:p w:rsidR="002A5011" w:rsidRDefault="002A5011" w:rsidP="00D72475">
      <w:pPr>
        <w:tabs>
          <w:tab w:val="left" w:pos="720"/>
        </w:tabs>
        <w:rPr>
          <w:rFonts w:eastAsia="Cambria"/>
        </w:rPr>
      </w:pPr>
      <w:r>
        <w:rPr>
          <w:rFonts w:eastAsia="Cambria"/>
        </w:rPr>
        <w:t>2.1.2.</w:t>
      </w:r>
      <w:r>
        <w:rPr>
          <w:rFonts w:eastAsia="Cambria"/>
        </w:rPr>
        <w:tab/>
      </w:r>
      <w:r w:rsidRPr="00EF6C3B">
        <w:rPr>
          <w:rFonts w:eastAsia="Cambria"/>
        </w:rPr>
        <w:t>Markers providing incomplete information on the state of expression of the characteristic</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In that case, the marker </w:t>
      </w:r>
      <w:proofErr w:type="gramStart"/>
      <w:r w:rsidRPr="00EF6C3B">
        <w:rPr>
          <w:rFonts w:eastAsia="Cambria"/>
        </w:rPr>
        <w:t>is only partially linked</w:t>
      </w:r>
      <w:proofErr w:type="gramEnd"/>
      <w:r w:rsidRPr="00EF6C3B">
        <w:rPr>
          <w:rFonts w:eastAsia="Cambria"/>
        </w:rPr>
        <w:t xml:space="preserve"> to the characteristic and give an incomplete information on the level of expression of the trait. Its use has to be described in an assessment scheme that precise the situations where it can be used and when it needs to be completed by a phenotypical observation.</w:t>
      </w:r>
    </w:p>
    <w:p w:rsidR="002A5011" w:rsidRPr="00EF6C3B" w:rsidRDefault="002A5011" w:rsidP="002A5011">
      <w:pPr>
        <w:rPr>
          <w:rFonts w:eastAsia="Cambria"/>
          <w:lang w:val="en-GB"/>
        </w:rPr>
      </w:pPr>
    </w:p>
    <w:p w:rsidR="002A5011" w:rsidRPr="00EF6C3B" w:rsidRDefault="002A5011" w:rsidP="002A5011">
      <w:pPr>
        <w:rPr>
          <w:rFonts w:eastAsia="Cambria"/>
        </w:rPr>
      </w:pPr>
      <w:r w:rsidRPr="00EF6C3B">
        <w:rPr>
          <w:rFonts w:eastAsia="Cambria"/>
        </w:rPr>
        <w:t>Examples of characteristics concerned: quantitative diseases resistances in vegetables, such as</w:t>
      </w:r>
    </w:p>
    <w:p w:rsidR="002A5011" w:rsidRPr="00EF6C3B" w:rsidRDefault="002A5011" w:rsidP="002A5011">
      <w:pPr>
        <w:ind w:left="567"/>
        <w:rPr>
          <w:rFonts w:eastAsia="Cambria"/>
        </w:rPr>
      </w:pPr>
      <w:r w:rsidRPr="00EF6C3B">
        <w:rPr>
          <w:rFonts w:eastAsia="Cambria"/>
        </w:rPr>
        <w:t>- Tomato mosaic virus (</w:t>
      </w:r>
      <w:proofErr w:type="spellStart"/>
      <w:r w:rsidRPr="00EF6C3B">
        <w:rPr>
          <w:rFonts w:eastAsia="Cambria"/>
        </w:rPr>
        <w:t>ToMV</w:t>
      </w:r>
      <w:proofErr w:type="spellEnd"/>
      <w:r w:rsidRPr="00EF6C3B">
        <w:rPr>
          <w:rFonts w:eastAsia="Cambria"/>
        </w:rPr>
        <w:t>)</w:t>
      </w:r>
    </w:p>
    <w:p w:rsidR="002A5011" w:rsidRPr="00EF6C3B" w:rsidRDefault="002A5011" w:rsidP="002A5011">
      <w:pPr>
        <w:ind w:left="567"/>
        <w:rPr>
          <w:rFonts w:eastAsia="Cambria"/>
        </w:rPr>
      </w:pPr>
      <w:r w:rsidRPr="00EF6C3B">
        <w:rPr>
          <w:rFonts w:eastAsia="Cambria"/>
        </w:rPr>
        <w:t>- Tomato spotted wilt virus (TSWV)</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The two sets of co-dominant markers developed for these two tomato viruses have been included in the CPVO TPs for tomato (4.4-2) and tomato rootstocks (1.4) as a potential alternative to the </w:t>
      </w:r>
      <w:proofErr w:type="spellStart"/>
      <w:r w:rsidRPr="00EF6C3B">
        <w:rPr>
          <w:rFonts w:eastAsia="Cambria"/>
        </w:rPr>
        <w:t>biotests</w:t>
      </w:r>
      <w:proofErr w:type="spellEnd"/>
      <w:r w:rsidRPr="00EF6C3B">
        <w:rPr>
          <w:rFonts w:eastAsia="Cambria"/>
        </w:rPr>
        <w:t xml:space="preserve"> in specific cases.</w:t>
      </w:r>
    </w:p>
    <w:p w:rsidR="002A5011" w:rsidRDefault="002A5011" w:rsidP="002A5011"/>
    <w:p w:rsidR="002A5011" w:rsidRDefault="002A5011" w:rsidP="002A5011"/>
    <w:p w:rsidR="002A5011" w:rsidRDefault="002A5011" w:rsidP="00D72475">
      <w:pPr>
        <w:tabs>
          <w:tab w:val="left" w:pos="720"/>
        </w:tabs>
      </w:pPr>
      <w:r>
        <w:t>2.2.</w:t>
      </w:r>
      <w:r>
        <w:tab/>
      </w:r>
      <w:r w:rsidRPr="00EF6C3B">
        <w:t>Management of variety collections</w:t>
      </w:r>
    </w:p>
    <w:p w:rsidR="002A5011" w:rsidRPr="00EF6C3B" w:rsidRDefault="002A5011" w:rsidP="002A5011"/>
    <w:p w:rsidR="002A5011" w:rsidRDefault="002A5011" w:rsidP="00D72475">
      <w:pPr>
        <w:tabs>
          <w:tab w:val="left" w:pos="720"/>
        </w:tabs>
        <w:rPr>
          <w:rFonts w:eastAsia="Cambria"/>
        </w:rPr>
      </w:pPr>
      <w:bookmarkStart w:id="54" w:name="_Toc459988949"/>
      <w:bookmarkStart w:id="55" w:name="_Toc536804819"/>
      <w:r>
        <w:rPr>
          <w:rFonts w:eastAsia="Cambria"/>
        </w:rPr>
        <w:t>2.2.1.</w:t>
      </w:r>
      <w:r>
        <w:rPr>
          <w:rFonts w:eastAsia="Cambria"/>
        </w:rPr>
        <w:tab/>
      </w:r>
      <w:r w:rsidRPr="00EF6C3B">
        <w:rPr>
          <w:rFonts w:eastAsia="Cambria"/>
        </w:rPr>
        <w:t>Combining molecular and phenotypic thresholds</w:t>
      </w:r>
      <w:bookmarkEnd w:id="54"/>
      <w:bookmarkEnd w:id="55"/>
      <w:r w:rsidRPr="00EF6C3B">
        <w:rPr>
          <w:rFonts w:eastAsia="Cambria"/>
        </w:rPr>
        <w:t xml:space="preserve"> to exclude super-distinct varieties from the second growing trial</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lang w:val="en-GB"/>
        </w:rPr>
        <w:t>In this model, t</w:t>
      </w:r>
      <w:r w:rsidRPr="00EF6C3B">
        <w:rPr>
          <w:rFonts w:eastAsia="Cambria"/>
        </w:rPr>
        <w:t xml:space="preserve">wo independent thresholds are set for the selection of similar varieties to be included into the growing trial. The first threshold is based on the information of morphological characteristics and the second relies on a genetic distance calculated using a set of markers distributed throughout the genome. Except for morphologically very similar varieties, reference varieties exceeding the two thresholds do not need to be included into the growing trial (they </w:t>
      </w:r>
      <w:proofErr w:type="gramStart"/>
      <w:r w:rsidRPr="00EF6C3B">
        <w:rPr>
          <w:rFonts w:eastAsia="Cambria"/>
        </w:rPr>
        <w:t>are considered</w:t>
      </w:r>
      <w:proofErr w:type="gramEnd"/>
      <w:r w:rsidRPr="00EF6C3B">
        <w:rPr>
          <w:rFonts w:eastAsia="Cambria"/>
        </w:rPr>
        <w:t xml:space="preserve"> as “super-distinct”).</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This model </w:t>
      </w:r>
      <w:proofErr w:type="gramStart"/>
      <w:r w:rsidRPr="00EF6C3B">
        <w:rPr>
          <w:rFonts w:eastAsia="Cambria"/>
        </w:rPr>
        <w:t>is routinely applied</w:t>
      </w:r>
      <w:proofErr w:type="gramEnd"/>
      <w:r w:rsidRPr="00EF6C3B">
        <w:rPr>
          <w:rFonts w:eastAsia="Cambria"/>
        </w:rPr>
        <w:t xml:space="preserve"> by certain entrusted EOs for species like maize, lettuce, wheat and barley, and is currently being tested for oilseed rape through R&amp;D projects co-financed by CPVO.</w:t>
      </w:r>
    </w:p>
    <w:p w:rsidR="002A5011" w:rsidRDefault="002A5011" w:rsidP="002A5011">
      <w:pPr>
        <w:rPr>
          <w:rFonts w:eastAsia="Cambria"/>
        </w:rPr>
      </w:pPr>
      <w:bookmarkStart w:id="56" w:name="_Toc459988950"/>
      <w:bookmarkStart w:id="57" w:name="_Toc536804820"/>
    </w:p>
    <w:p w:rsidR="002A5011" w:rsidRDefault="002A5011" w:rsidP="00D72475">
      <w:pPr>
        <w:tabs>
          <w:tab w:val="left" w:pos="720"/>
        </w:tabs>
        <w:rPr>
          <w:rFonts w:eastAsia="Cambria"/>
        </w:rPr>
      </w:pPr>
      <w:r>
        <w:rPr>
          <w:rFonts w:eastAsia="Cambria"/>
        </w:rPr>
        <w:t>2.2.2.</w:t>
      </w:r>
      <w:r>
        <w:rPr>
          <w:rFonts w:eastAsia="Cambria"/>
        </w:rPr>
        <w:tab/>
      </w:r>
      <w:r w:rsidRPr="00EF6C3B">
        <w:rPr>
          <w:rFonts w:eastAsia="Cambria"/>
        </w:rPr>
        <w:t>Genetic selection of similar varieties for the first growing trial</w:t>
      </w:r>
      <w:bookmarkEnd w:id="56"/>
      <w:bookmarkEnd w:id="57"/>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The candidate variety is genotyped using a defined set of markers, and its profile </w:t>
      </w:r>
      <w:proofErr w:type="gramStart"/>
      <w:r w:rsidRPr="00EF6C3B">
        <w:rPr>
          <w:rFonts w:eastAsia="Cambria"/>
        </w:rPr>
        <w:t>is compared</w:t>
      </w:r>
      <w:proofErr w:type="gramEnd"/>
      <w:r w:rsidRPr="00EF6C3B">
        <w:rPr>
          <w:rFonts w:eastAsia="Cambria"/>
        </w:rPr>
        <w:t xml:space="preserve"> to the varieties from the reference collection. All reference varieties with a genetic similarity to the candidate higher than a certain percentage (e.g. 80%) are to be included in the first growing cycle, all the others </w:t>
      </w:r>
      <w:proofErr w:type="gramStart"/>
      <w:r w:rsidRPr="00EF6C3B">
        <w:rPr>
          <w:rFonts w:eastAsia="Cambria"/>
        </w:rPr>
        <w:t>being excluded</w:t>
      </w:r>
      <w:proofErr w:type="gramEnd"/>
      <w:r w:rsidRPr="00EF6C3B">
        <w:rPr>
          <w:rFonts w:eastAsia="Cambria"/>
        </w:rPr>
        <w:t>.</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During the first cycle, the candidate variety </w:t>
      </w:r>
      <w:proofErr w:type="gramStart"/>
      <w:r w:rsidRPr="00EF6C3B">
        <w:rPr>
          <w:rFonts w:eastAsia="Cambria"/>
        </w:rPr>
        <w:t>is assessed on uniformity and described morphologically according to the technical protocol</w:t>
      </w:r>
      <w:proofErr w:type="gramEnd"/>
      <w:r w:rsidRPr="00EF6C3B">
        <w:rPr>
          <w:rFonts w:eastAsia="Cambria"/>
        </w:rPr>
        <w:t xml:space="preserve">. Its morphological description </w:t>
      </w:r>
      <w:proofErr w:type="gramStart"/>
      <w:r w:rsidRPr="00EF6C3B">
        <w:rPr>
          <w:rFonts w:eastAsia="Cambria"/>
        </w:rPr>
        <w:t>is then compared</w:t>
      </w:r>
      <w:proofErr w:type="gramEnd"/>
      <w:r w:rsidRPr="00EF6C3B">
        <w:rPr>
          <w:rFonts w:eastAsia="Cambria"/>
        </w:rPr>
        <w:t xml:space="preserve"> </w:t>
      </w:r>
      <w:r w:rsidRPr="00EF6C3B">
        <w:rPr>
          <w:rFonts w:eastAsia="Cambria"/>
          <w:i/>
        </w:rPr>
        <w:t xml:space="preserve">in </w:t>
      </w:r>
      <w:proofErr w:type="spellStart"/>
      <w:r w:rsidRPr="00EF6C3B">
        <w:rPr>
          <w:rFonts w:eastAsia="Cambria"/>
          <w:i/>
        </w:rPr>
        <w:t>silico</w:t>
      </w:r>
      <w:proofErr w:type="spellEnd"/>
      <w:r w:rsidRPr="00EF6C3B">
        <w:rPr>
          <w:rFonts w:eastAsia="Cambria"/>
        </w:rPr>
        <w:t xml:space="preserve"> to the descriptions of all the reference varieties.</w:t>
      </w:r>
    </w:p>
    <w:p w:rsidR="002A5011" w:rsidRPr="00EF6C3B" w:rsidRDefault="002A5011" w:rsidP="002A5011">
      <w:pPr>
        <w:rPr>
          <w:rFonts w:eastAsia="Cambria"/>
        </w:rPr>
      </w:pPr>
    </w:p>
    <w:p w:rsidR="002A5011" w:rsidRPr="00EF6C3B" w:rsidRDefault="002A5011" w:rsidP="002A5011">
      <w:pPr>
        <w:rPr>
          <w:rFonts w:eastAsia="Cambria"/>
          <w:i/>
          <w:sz w:val="16"/>
        </w:rPr>
      </w:pPr>
      <w:r w:rsidRPr="00EF6C3B">
        <w:rPr>
          <w:rFonts w:eastAsia="Cambria"/>
          <w:i/>
          <w:sz w:val="16"/>
        </w:rPr>
        <w:t xml:space="preserve">Remark: the morphological descriptions of the reference varieties used for the in </w:t>
      </w:r>
      <w:proofErr w:type="spellStart"/>
      <w:r w:rsidRPr="00EF6C3B">
        <w:rPr>
          <w:rFonts w:eastAsia="Cambria"/>
          <w:i/>
          <w:sz w:val="16"/>
        </w:rPr>
        <w:t>silico</w:t>
      </w:r>
      <w:proofErr w:type="spellEnd"/>
      <w:r w:rsidRPr="00EF6C3B">
        <w:rPr>
          <w:rFonts w:eastAsia="Cambria"/>
          <w:i/>
          <w:sz w:val="16"/>
        </w:rPr>
        <w:t xml:space="preserve"> comparison </w:t>
      </w:r>
      <w:proofErr w:type="gramStart"/>
      <w:r w:rsidRPr="00EF6C3B">
        <w:rPr>
          <w:rFonts w:eastAsia="Cambria"/>
          <w:i/>
          <w:sz w:val="16"/>
        </w:rPr>
        <w:t>shall be based</w:t>
      </w:r>
      <w:proofErr w:type="gramEnd"/>
      <w:r w:rsidRPr="00EF6C3B">
        <w:rPr>
          <w:rFonts w:eastAsia="Cambria"/>
          <w:i/>
          <w:sz w:val="16"/>
        </w:rPr>
        <w:t xml:space="preserve"> on observations made by the EO (in-house variety descriptions). If the variety descriptions used </w:t>
      </w:r>
      <w:proofErr w:type="gramStart"/>
      <w:r w:rsidRPr="00EF6C3B">
        <w:rPr>
          <w:rFonts w:eastAsia="Cambria"/>
          <w:i/>
          <w:sz w:val="16"/>
        </w:rPr>
        <w:t>are not made</w:t>
      </w:r>
      <w:proofErr w:type="gramEnd"/>
      <w:r w:rsidRPr="00EF6C3B">
        <w:rPr>
          <w:rFonts w:eastAsia="Cambria"/>
          <w:i/>
          <w:sz w:val="16"/>
        </w:rPr>
        <w:t xml:space="preserve"> in-house, they can be used only if notation scales have been harmonized between the examination offices producing and using them (through ring tests for example).</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The reference varieties identified to be morphologically similar to the candidate will be included for comparison into a second growing trial. If the variety is clearly distinct from the similar varieties in the first growing cycle and no similar varieties </w:t>
      </w:r>
      <w:proofErr w:type="gramStart"/>
      <w:r w:rsidRPr="00EF6C3B">
        <w:rPr>
          <w:rFonts w:eastAsia="Cambria"/>
        </w:rPr>
        <w:t>are detected</w:t>
      </w:r>
      <w:proofErr w:type="gramEnd"/>
      <w:r w:rsidRPr="00EF6C3B">
        <w:rPr>
          <w:rFonts w:eastAsia="Cambria"/>
        </w:rPr>
        <w:t xml:space="preserve"> based on the variety description after the first growing cycle, a positive decision on distinctness can be taken after one growing cycle.</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 xml:space="preserve">This model is </w:t>
      </w:r>
      <w:proofErr w:type="gramStart"/>
      <w:r w:rsidRPr="00EF6C3B">
        <w:rPr>
          <w:rFonts w:eastAsia="Cambria"/>
        </w:rPr>
        <w:t>under application by certain entrusted EOs for species like French bean and potato</w:t>
      </w:r>
      <w:proofErr w:type="gramEnd"/>
      <w:r w:rsidRPr="00EF6C3B">
        <w:rPr>
          <w:rFonts w:eastAsia="Cambria"/>
        </w:rPr>
        <w:t xml:space="preserve">. It is currently under test for durum wheat and </w:t>
      </w:r>
      <w:proofErr w:type="gramStart"/>
      <w:r w:rsidRPr="00EF6C3B">
        <w:rPr>
          <w:rFonts w:eastAsia="Cambria"/>
        </w:rPr>
        <w:t>will be explored</w:t>
      </w:r>
      <w:proofErr w:type="gramEnd"/>
      <w:r w:rsidRPr="00EF6C3B">
        <w:rPr>
          <w:rFonts w:eastAsia="Cambria"/>
        </w:rPr>
        <w:t xml:space="preserve"> for tomato and hemp through R&amp;D projects co-financed by CPVO.</w:t>
      </w:r>
    </w:p>
    <w:p w:rsidR="002A5011" w:rsidRPr="00EF6C3B" w:rsidRDefault="002A5011" w:rsidP="002A5011">
      <w:pPr>
        <w:rPr>
          <w:rFonts w:eastAsia="Cambria"/>
        </w:rPr>
      </w:pPr>
    </w:p>
    <w:p w:rsidR="002A5011" w:rsidRDefault="002A5011" w:rsidP="002A5011">
      <w:pPr>
        <w:rPr>
          <w:rFonts w:eastAsia="Cambria"/>
        </w:rPr>
      </w:pPr>
      <w:proofErr w:type="gramStart"/>
      <w:r w:rsidRPr="00EF6C3B">
        <w:rPr>
          <w:rFonts w:eastAsia="Cambria"/>
        </w:rPr>
        <w:lastRenderedPageBreak/>
        <w:t>The methods are evaluated by CPVO crop expert groups</w:t>
      </w:r>
      <w:proofErr w:type="gramEnd"/>
      <w:r w:rsidRPr="00EF6C3B">
        <w:rPr>
          <w:rFonts w:eastAsia="Cambria"/>
        </w:rPr>
        <w:t xml:space="preserve"> </w:t>
      </w:r>
    </w:p>
    <w:p w:rsidR="002A5011" w:rsidRDefault="002A5011" w:rsidP="002A5011">
      <w:pPr>
        <w:rPr>
          <w:rFonts w:eastAsia="Cambria"/>
        </w:rPr>
      </w:pPr>
    </w:p>
    <w:p w:rsidR="002A5011" w:rsidRPr="00EF6C3B" w:rsidRDefault="002A5011" w:rsidP="002A5011">
      <w:pPr>
        <w:rPr>
          <w:rFonts w:eastAsia="Cambria"/>
        </w:rPr>
      </w:pPr>
    </w:p>
    <w:p w:rsidR="002A5011" w:rsidRDefault="002A5011" w:rsidP="00D72475">
      <w:pPr>
        <w:tabs>
          <w:tab w:val="left" w:pos="720"/>
        </w:tabs>
      </w:pPr>
      <w:r>
        <w:t>2.3.</w:t>
      </w:r>
      <w:r>
        <w:tab/>
      </w:r>
      <w:r w:rsidRPr="00EF6C3B">
        <w:t>Other uses</w:t>
      </w:r>
    </w:p>
    <w:p w:rsidR="002A5011" w:rsidRPr="00EF6C3B" w:rsidRDefault="002A5011" w:rsidP="002A5011"/>
    <w:p w:rsidR="002A5011" w:rsidRPr="00EF6C3B" w:rsidRDefault="002A5011" w:rsidP="00D72475">
      <w:pPr>
        <w:tabs>
          <w:tab w:val="left" w:pos="720"/>
        </w:tabs>
        <w:rPr>
          <w:rFonts w:eastAsia="Cambria"/>
          <w:lang w:val="en-GB"/>
        </w:rPr>
      </w:pPr>
      <w:r>
        <w:rPr>
          <w:rFonts w:eastAsia="Cambria"/>
          <w:lang w:val="en-GB"/>
        </w:rPr>
        <w:t>2.3.1.</w:t>
      </w:r>
      <w:r>
        <w:rPr>
          <w:rFonts w:eastAsia="Cambria"/>
          <w:lang w:val="en-GB"/>
        </w:rPr>
        <w:tab/>
      </w:r>
      <w:r w:rsidRPr="00EF6C3B">
        <w:rPr>
          <w:rFonts w:eastAsia="Cambria"/>
          <w:lang w:val="en-GB"/>
        </w:rPr>
        <w:t>Identification in support to the maintenance of variety collections</w:t>
      </w:r>
    </w:p>
    <w:p w:rsidR="002A5011" w:rsidRPr="00EF6C3B" w:rsidRDefault="002A5011" w:rsidP="002A5011">
      <w:pPr>
        <w:rPr>
          <w:rFonts w:eastAsia="Cambria"/>
          <w:lang w:val="en-GB"/>
        </w:rPr>
      </w:pPr>
      <w:r w:rsidRPr="00EF6C3B">
        <w:rPr>
          <w:rFonts w:eastAsia="Cambria"/>
          <w:lang w:val="en-GB"/>
        </w:rPr>
        <w:t xml:space="preserve">All the molecular markers used in the above examples </w:t>
      </w:r>
      <w:proofErr w:type="gramStart"/>
      <w:r w:rsidRPr="00EF6C3B">
        <w:rPr>
          <w:rFonts w:eastAsia="Cambria"/>
          <w:lang w:val="en-GB"/>
        </w:rPr>
        <w:t>can be used</w:t>
      </w:r>
      <w:proofErr w:type="gramEnd"/>
      <w:r w:rsidRPr="00EF6C3B">
        <w:rPr>
          <w:rFonts w:eastAsia="Cambria"/>
          <w:lang w:val="en-GB"/>
        </w:rPr>
        <w:t xml:space="preserve"> for identification purposes in support to the maintenance of reference collections.</w:t>
      </w:r>
    </w:p>
    <w:p w:rsidR="002A5011" w:rsidRPr="00EF6C3B" w:rsidRDefault="002A5011" w:rsidP="002A5011">
      <w:pPr>
        <w:rPr>
          <w:rFonts w:eastAsia="Cambria"/>
          <w:lang w:val="en-GB"/>
        </w:rPr>
      </w:pPr>
    </w:p>
    <w:p w:rsidR="002A5011" w:rsidRPr="00EF6C3B" w:rsidRDefault="002A5011" w:rsidP="002A5011">
      <w:pPr>
        <w:rPr>
          <w:rFonts w:eastAsia="Cambria"/>
          <w:lang w:val="en-GB"/>
        </w:rPr>
      </w:pPr>
      <w:r w:rsidRPr="00EF6C3B">
        <w:rPr>
          <w:rFonts w:eastAsia="Cambria"/>
          <w:lang w:val="en-GB"/>
        </w:rPr>
        <w:t xml:space="preserve">In addition, </w:t>
      </w:r>
      <w:proofErr w:type="gramStart"/>
      <w:r w:rsidRPr="00EF6C3B">
        <w:rPr>
          <w:rFonts w:eastAsia="Cambria"/>
          <w:lang w:val="en-GB"/>
        </w:rPr>
        <w:t>other molecular marker sets can be used also for identification purposes by certain entrusted EOs for species like rose, cherry tree, peach, grapevine, citrus</w:t>
      </w:r>
      <w:proofErr w:type="gramEnd"/>
      <w:r w:rsidRPr="00EF6C3B">
        <w:rPr>
          <w:rFonts w:eastAsia="Cambria"/>
          <w:lang w:val="en-GB"/>
        </w:rPr>
        <w:t xml:space="preserve">… These sets </w:t>
      </w:r>
      <w:proofErr w:type="gramStart"/>
      <w:r w:rsidRPr="00EF6C3B">
        <w:rPr>
          <w:rFonts w:eastAsia="Cambria"/>
          <w:lang w:val="en-GB"/>
        </w:rPr>
        <w:t>can be harmonized</w:t>
      </w:r>
      <w:proofErr w:type="gramEnd"/>
      <w:r w:rsidRPr="00EF6C3B">
        <w:rPr>
          <w:rFonts w:eastAsia="Cambria"/>
          <w:lang w:val="en-GB"/>
        </w:rPr>
        <w:t xml:space="preserve"> between EOs (e.g. potato, thanks to a project supported by CPVO) or not. </w:t>
      </w:r>
    </w:p>
    <w:p w:rsidR="002A5011" w:rsidRDefault="002A5011" w:rsidP="002A5011">
      <w:pPr>
        <w:rPr>
          <w:rFonts w:eastAsia="Cambria"/>
          <w:lang w:val="en-GB"/>
        </w:rPr>
      </w:pPr>
    </w:p>
    <w:p w:rsidR="002A5011" w:rsidRPr="00EF6C3B" w:rsidRDefault="002A5011" w:rsidP="00D72475">
      <w:pPr>
        <w:tabs>
          <w:tab w:val="left" w:pos="720"/>
        </w:tabs>
        <w:rPr>
          <w:rFonts w:eastAsia="Cambria"/>
          <w:lang w:val="en-GB"/>
        </w:rPr>
      </w:pPr>
      <w:r>
        <w:rPr>
          <w:rFonts w:eastAsia="Cambria"/>
          <w:lang w:val="en-GB"/>
        </w:rPr>
        <w:t>2.3.2.</w:t>
      </w:r>
      <w:r>
        <w:rPr>
          <w:rFonts w:eastAsia="Cambria"/>
          <w:lang w:val="en-GB"/>
        </w:rPr>
        <w:tab/>
      </w:r>
      <w:r w:rsidRPr="00EF6C3B">
        <w:rPr>
          <w:rFonts w:eastAsia="Cambria"/>
          <w:lang w:val="en-GB"/>
        </w:rPr>
        <w:t>Detection of GMOs (in the sense of Directive 2001/18/EC)</w:t>
      </w:r>
    </w:p>
    <w:p w:rsidR="002A5011" w:rsidRPr="00EF6C3B" w:rsidRDefault="002A5011" w:rsidP="002A5011">
      <w:pPr>
        <w:rPr>
          <w:rFonts w:eastAsia="Cambria"/>
          <w:lang w:val="en-GB"/>
        </w:rPr>
      </w:pPr>
      <w:r w:rsidRPr="00EF6C3B">
        <w:rPr>
          <w:rFonts w:eastAsia="Cambria"/>
          <w:lang w:val="en-GB"/>
        </w:rPr>
        <w:t xml:space="preserve">In specific cases, markers </w:t>
      </w:r>
      <w:proofErr w:type="gramStart"/>
      <w:r w:rsidRPr="00EF6C3B">
        <w:rPr>
          <w:rFonts w:eastAsia="Cambria"/>
          <w:lang w:val="en-GB"/>
        </w:rPr>
        <w:t>are used</w:t>
      </w:r>
      <w:proofErr w:type="gramEnd"/>
      <w:r w:rsidRPr="00EF6C3B">
        <w:rPr>
          <w:rFonts w:eastAsia="Cambria"/>
          <w:lang w:val="en-GB"/>
        </w:rPr>
        <w:t xml:space="preserve"> by EOs to detect varieties produced with the help of </w:t>
      </w:r>
      <w:proofErr w:type="spellStart"/>
      <w:r w:rsidRPr="00EF6C3B">
        <w:rPr>
          <w:rFonts w:eastAsia="Cambria"/>
          <w:lang w:val="en-GB"/>
        </w:rPr>
        <w:t>transgenesis</w:t>
      </w:r>
      <w:proofErr w:type="spellEnd"/>
      <w:r w:rsidRPr="00EF6C3B">
        <w:rPr>
          <w:rFonts w:eastAsia="Cambria"/>
          <w:lang w:val="en-GB"/>
        </w:rPr>
        <w:t xml:space="preserve"> or targeted mutagenesis techniques for:</w:t>
      </w:r>
    </w:p>
    <w:p w:rsidR="002A5011" w:rsidRPr="00EF6C3B" w:rsidRDefault="002A5011" w:rsidP="002A5011">
      <w:pPr>
        <w:ind w:left="567"/>
        <w:rPr>
          <w:rFonts w:eastAsia="Cambria"/>
          <w:lang w:val="en-GB"/>
        </w:rPr>
      </w:pPr>
      <w:r w:rsidRPr="00EF6C3B">
        <w:rPr>
          <w:rFonts w:eastAsia="Cambria"/>
          <w:lang w:val="en-GB"/>
        </w:rPr>
        <w:t>- Confirmation of the presence of a declared genetic transformation (classical transgene insertion, or point mutations triggered by gene editing technologies).</w:t>
      </w:r>
    </w:p>
    <w:p w:rsidR="002A5011" w:rsidRPr="00EF6C3B" w:rsidRDefault="002A5011" w:rsidP="002A5011">
      <w:pPr>
        <w:ind w:left="567"/>
        <w:rPr>
          <w:rFonts w:eastAsia="Cambria"/>
          <w:lang w:val="en-GB"/>
        </w:rPr>
      </w:pPr>
      <w:r w:rsidRPr="00EF6C3B">
        <w:rPr>
          <w:rFonts w:eastAsia="Cambria"/>
          <w:lang w:val="en-GB"/>
        </w:rPr>
        <w:t xml:space="preserve">- </w:t>
      </w:r>
      <w:r w:rsidRPr="00EF6C3B">
        <w:rPr>
          <w:rFonts w:eastAsia="Cambria"/>
        </w:rPr>
        <w:t>Detection of adventitious presence of GM seeds in the submitted reference lots.</w:t>
      </w:r>
    </w:p>
    <w:p w:rsidR="002A5011" w:rsidRPr="00EF6C3B" w:rsidRDefault="002A5011" w:rsidP="002A5011">
      <w:pPr>
        <w:rPr>
          <w:rFonts w:eastAsia="Cambria"/>
        </w:rPr>
      </w:pPr>
    </w:p>
    <w:p w:rsidR="002A5011" w:rsidRPr="00EF6C3B" w:rsidRDefault="002A5011" w:rsidP="002A5011">
      <w:pPr>
        <w:suppressAutoHyphens/>
        <w:spacing w:line="259" w:lineRule="auto"/>
        <w:rPr>
          <w:rFonts w:eastAsia="Cambria" w:cs="Arial"/>
          <w:bCs/>
          <w:spacing w:val="-3"/>
          <w:szCs w:val="18"/>
        </w:rPr>
      </w:pPr>
      <w:r w:rsidRPr="00EF6C3B">
        <w:rPr>
          <w:rFonts w:eastAsia="Cambria" w:cs="Arial"/>
          <w:bCs/>
          <w:spacing w:val="-3"/>
          <w:szCs w:val="18"/>
        </w:rPr>
        <w:t>Conclusion</w:t>
      </w:r>
    </w:p>
    <w:p w:rsidR="002A5011" w:rsidRPr="00EF6C3B" w:rsidRDefault="002A5011" w:rsidP="002A5011">
      <w:pPr>
        <w:rPr>
          <w:rFonts w:eastAsia="Cambria"/>
        </w:rPr>
      </w:pPr>
    </w:p>
    <w:p w:rsidR="002A5011" w:rsidRPr="00EF6C3B" w:rsidRDefault="002A5011" w:rsidP="002A5011">
      <w:pPr>
        <w:rPr>
          <w:rFonts w:eastAsia="Cambria"/>
        </w:rPr>
      </w:pPr>
      <w:r w:rsidRPr="00EF6C3B">
        <w:rPr>
          <w:rFonts w:eastAsia="Cambria"/>
        </w:rPr>
        <w:t>In summary, many molecular methods are presently being used, or under development, by the CPVO network of entrusted EOs in support of DUS testing.</w:t>
      </w:r>
    </w:p>
    <w:p w:rsidR="002A5011" w:rsidRPr="00EF6C3B" w:rsidRDefault="002A5011" w:rsidP="002A5011">
      <w:pPr>
        <w:rPr>
          <w:rFonts w:eastAsia="Cambria"/>
        </w:rPr>
      </w:pPr>
      <w:r w:rsidRPr="00EF6C3B">
        <w:rPr>
          <w:rFonts w:eastAsia="Cambria"/>
        </w:rPr>
        <w:t>However, only 2 sets of characteristic-specific molecular markers are officially described in CPVP TPs on the basis of evaluation/validation of experts in the CPVO expert groups</w:t>
      </w:r>
      <w:proofErr w:type="gramStart"/>
      <w:r w:rsidRPr="00EF6C3B">
        <w:rPr>
          <w:rFonts w:eastAsia="Cambria"/>
        </w:rPr>
        <w:t>..</w:t>
      </w:r>
      <w:proofErr w:type="gramEnd"/>
      <w:r w:rsidRPr="00EF6C3B">
        <w:rPr>
          <w:rFonts w:eastAsia="Cambria"/>
        </w:rPr>
        <w:t xml:space="preserve"> These markers are publically available.</w:t>
      </w:r>
    </w:p>
    <w:p w:rsidR="002A5011" w:rsidRPr="00EF6C3B" w:rsidRDefault="002A5011" w:rsidP="002A5011">
      <w:pPr>
        <w:rPr>
          <w:rFonts w:eastAsia="Cambria"/>
        </w:rPr>
      </w:pPr>
      <w:r w:rsidRPr="00EF6C3B">
        <w:rPr>
          <w:rFonts w:eastAsia="Cambria"/>
        </w:rPr>
        <w:t>Consequently, the CPVO leaves to its entrusted EOs the role of describing the molecular tools they use in respect of the CPVO policy for the methods used in relation to variety reference collections.</w:t>
      </w:r>
    </w:p>
    <w:p w:rsidR="002A5011" w:rsidRDefault="002A5011" w:rsidP="002A5011">
      <w:pPr>
        <w:rPr>
          <w:rFonts w:eastAsia="Cambria"/>
        </w:rPr>
      </w:pPr>
    </w:p>
    <w:p w:rsidR="00595E41" w:rsidRPr="00EF6C3B" w:rsidRDefault="00595E41" w:rsidP="002A5011">
      <w:pPr>
        <w:rPr>
          <w:rFonts w:eastAsia="Cambria"/>
        </w:rPr>
      </w:pPr>
    </w:p>
    <w:p w:rsidR="00CA2C65" w:rsidRDefault="00CA2C65" w:rsidP="00CA2C65">
      <w:pPr>
        <w:jc w:val="right"/>
      </w:pPr>
    </w:p>
    <w:p w:rsidR="00DE3A86" w:rsidRDefault="00DE3A86" w:rsidP="00DE3A86">
      <w:pPr>
        <w:jc w:val="right"/>
      </w:pPr>
      <w:r w:rsidRPr="00EF6C3B">
        <w:t>[</w:t>
      </w:r>
      <w:r w:rsidRPr="006E6FC6">
        <w:rPr>
          <w:rFonts w:eastAsia="MS Mincho"/>
        </w:rPr>
        <w:t>End of Annex</w:t>
      </w:r>
      <w:r>
        <w:rPr>
          <w:rFonts w:eastAsia="MS Mincho"/>
        </w:rPr>
        <w:t xml:space="preserve"> </w:t>
      </w:r>
      <w:r w:rsidR="00CA2C65">
        <w:rPr>
          <w:rFonts w:eastAsia="MS Mincho"/>
        </w:rPr>
        <w:t>II</w:t>
      </w:r>
      <w:r w:rsidR="00CA2C65" w:rsidRPr="006E6FC6">
        <w:rPr>
          <w:rFonts w:eastAsia="MS Mincho"/>
        </w:rPr>
        <w:t xml:space="preserve"> </w:t>
      </w:r>
      <w:r w:rsidRPr="006E6FC6">
        <w:rPr>
          <w:rFonts w:eastAsia="MS Mincho"/>
        </w:rPr>
        <w:t>and of document</w:t>
      </w:r>
      <w:r w:rsidRPr="00EF6C3B">
        <w:t>]</w:t>
      </w:r>
    </w:p>
    <w:p w:rsidR="00DE3A86" w:rsidRDefault="00DE3A86" w:rsidP="00DE3A86">
      <w:pPr>
        <w:jc w:val="right"/>
      </w:pPr>
    </w:p>
    <w:sectPr w:rsidR="00DE3A86" w:rsidSect="0004198B">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E0" w:rsidRDefault="00F251E0" w:rsidP="006655D3">
      <w:r>
        <w:separator/>
      </w:r>
    </w:p>
    <w:p w:rsidR="00F251E0" w:rsidRDefault="00F251E0" w:rsidP="006655D3"/>
    <w:p w:rsidR="00F251E0" w:rsidRDefault="00F251E0" w:rsidP="006655D3"/>
  </w:endnote>
  <w:endnote w:type="continuationSeparator" w:id="0">
    <w:p w:rsidR="00F251E0" w:rsidRDefault="00F251E0" w:rsidP="006655D3">
      <w:r>
        <w:separator/>
      </w:r>
    </w:p>
    <w:p w:rsidR="00F251E0" w:rsidRPr="00294751" w:rsidRDefault="00F251E0">
      <w:pPr>
        <w:pStyle w:val="Footer"/>
        <w:spacing w:after="60"/>
        <w:rPr>
          <w:sz w:val="18"/>
          <w:lang w:val="fr-FR"/>
        </w:rPr>
      </w:pPr>
      <w:r w:rsidRPr="00294751">
        <w:rPr>
          <w:sz w:val="18"/>
          <w:lang w:val="fr-FR"/>
        </w:rPr>
        <w:t>[Suite de la note de la page précédente]</w:t>
      </w:r>
    </w:p>
    <w:p w:rsidR="00F251E0" w:rsidRPr="00294751" w:rsidRDefault="00F251E0" w:rsidP="006655D3">
      <w:pPr>
        <w:rPr>
          <w:lang w:val="fr-FR"/>
        </w:rPr>
      </w:pPr>
    </w:p>
    <w:p w:rsidR="00F251E0" w:rsidRPr="00294751" w:rsidRDefault="00F251E0" w:rsidP="006655D3">
      <w:pPr>
        <w:rPr>
          <w:lang w:val="fr-FR"/>
        </w:rPr>
      </w:pPr>
    </w:p>
  </w:endnote>
  <w:endnote w:type="continuationNotice" w:id="1">
    <w:p w:rsidR="00F251E0" w:rsidRPr="00294751" w:rsidRDefault="00F251E0" w:rsidP="006655D3">
      <w:pPr>
        <w:rPr>
          <w:lang w:val="fr-FR"/>
        </w:rPr>
      </w:pPr>
      <w:r w:rsidRPr="00294751">
        <w:rPr>
          <w:lang w:val="fr-FR"/>
        </w:rPr>
        <w:t>[Suite de la note page suivante]</w:t>
      </w:r>
    </w:p>
    <w:p w:rsidR="00F251E0" w:rsidRPr="00294751" w:rsidRDefault="00F251E0" w:rsidP="006655D3">
      <w:pPr>
        <w:rPr>
          <w:lang w:val="fr-FR"/>
        </w:rPr>
      </w:pPr>
    </w:p>
    <w:p w:rsidR="00F251E0" w:rsidRPr="00294751" w:rsidRDefault="00F251E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E0" w:rsidRDefault="00F251E0" w:rsidP="006655D3">
      <w:r>
        <w:separator/>
      </w:r>
    </w:p>
  </w:footnote>
  <w:footnote w:type="continuationSeparator" w:id="0">
    <w:p w:rsidR="00F251E0" w:rsidRDefault="00F251E0" w:rsidP="006655D3">
      <w:r>
        <w:separator/>
      </w:r>
    </w:p>
  </w:footnote>
  <w:footnote w:type="continuationNotice" w:id="1">
    <w:p w:rsidR="00F251E0" w:rsidRPr="00AB530F" w:rsidRDefault="00F251E0" w:rsidP="00AB530F">
      <w:pPr>
        <w:pStyle w:val="Footer"/>
      </w:pPr>
    </w:p>
  </w:footnote>
  <w:footnote w:id="2">
    <w:p w:rsidR="00F251E0" w:rsidRPr="00DA760B" w:rsidRDefault="00F251E0" w:rsidP="00D14394">
      <w:pPr>
        <w:pStyle w:val="FootnoteText"/>
        <w:rPr>
          <w:lang w:eastAsia="ja-JP"/>
        </w:rPr>
      </w:pPr>
      <w:r>
        <w:rPr>
          <w:rStyle w:val="FootnoteReference"/>
        </w:rPr>
        <w:footnoteRef/>
      </w:r>
      <w:r>
        <w:t xml:space="preserve"> </w:t>
      </w:r>
      <w:r>
        <w:rPr>
          <w:rFonts w:hint="eastAsia"/>
          <w:lang w:eastAsia="ja-JP"/>
        </w:rPr>
        <w:tab/>
        <w:t>S</w:t>
      </w:r>
      <w:r w:rsidRPr="00DA760B">
        <w:rPr>
          <w:lang w:eastAsia="ja-JP"/>
        </w:rPr>
        <w:t>ee</w:t>
      </w:r>
      <w:r w:rsidRPr="00C55844">
        <w:rPr>
          <w:lang w:eastAsia="ja-JP"/>
        </w:rPr>
        <w:t xml:space="preserve"> document C</w:t>
      </w:r>
      <w:r>
        <w:rPr>
          <w:lang w:eastAsia="ja-JP"/>
        </w:rPr>
        <w:t>AJ</w:t>
      </w:r>
      <w:r w:rsidRPr="00C55844">
        <w:rPr>
          <w:lang w:eastAsia="ja-JP"/>
        </w:rPr>
        <w:t>/</w:t>
      </w:r>
      <w:r>
        <w:rPr>
          <w:lang w:eastAsia="ja-JP"/>
        </w:rPr>
        <w:t>7</w:t>
      </w:r>
      <w:r w:rsidRPr="00C55844">
        <w:rPr>
          <w:lang w:eastAsia="ja-JP"/>
        </w:rPr>
        <w:t>5/1</w:t>
      </w:r>
      <w:r>
        <w:rPr>
          <w:lang w:eastAsia="ja-JP"/>
        </w:rPr>
        <w:t>4</w:t>
      </w:r>
      <w:r w:rsidRPr="00C55844">
        <w:rPr>
          <w:lang w:eastAsia="ja-JP"/>
        </w:rPr>
        <w:t xml:space="preserve"> “Report”, paragraph </w:t>
      </w:r>
      <w:r>
        <w:rPr>
          <w:lang w:eastAsia="ja-JP"/>
        </w:rPr>
        <w:t>65.</w:t>
      </w:r>
    </w:p>
  </w:footnote>
  <w:footnote w:id="3">
    <w:p w:rsidR="00F251E0" w:rsidRDefault="00F251E0" w:rsidP="00733267">
      <w:pPr>
        <w:pStyle w:val="FootnoteText"/>
      </w:pPr>
      <w:r>
        <w:rPr>
          <w:rStyle w:val="FootnoteReference"/>
        </w:rPr>
        <w:footnoteRef/>
      </w:r>
      <w:r>
        <w:t xml:space="preserve"> held in Hangzhou, China, from October 16 to 18, 2019</w:t>
      </w:r>
    </w:p>
  </w:footnote>
  <w:footnote w:id="4">
    <w:p w:rsidR="00F251E0" w:rsidRDefault="00F251E0" w:rsidP="00733267">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 w:id="5">
    <w:p w:rsidR="00F251E0" w:rsidRDefault="00F251E0" w:rsidP="00DE3A86">
      <w:pPr>
        <w:pStyle w:val="FootnoteText"/>
      </w:pPr>
      <w:r>
        <w:rPr>
          <w:rStyle w:val="FootnoteReference"/>
        </w:rPr>
        <w:footnoteRef/>
      </w:r>
      <w:r>
        <w:t xml:space="preserve"> hosted by the United States of America and held via electronic means, from September 22 to 24, 2021</w:t>
      </w:r>
    </w:p>
  </w:footnote>
  <w:footnote w:id="6">
    <w:p w:rsidR="00F251E0" w:rsidRDefault="00F251E0" w:rsidP="00DD6975">
      <w:pPr>
        <w:pStyle w:val="FootnoteText"/>
      </w:pPr>
      <w:r>
        <w:rPr>
          <w:rStyle w:val="FootnoteReference"/>
        </w:rPr>
        <w:footnoteRef/>
      </w:r>
      <w:r>
        <w:t xml:space="preserve"> hosted by the United States of America and held via electronic means, from September 22 to 24,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0" w:rsidRPr="007E07ED" w:rsidRDefault="00F251E0" w:rsidP="00EB048E">
    <w:pPr>
      <w:pStyle w:val="Header"/>
      <w:rPr>
        <w:rStyle w:val="PageNumber"/>
      </w:rPr>
    </w:pPr>
    <w:proofErr w:type="spellStart"/>
    <w:r w:rsidRPr="007E07ED">
      <w:rPr>
        <w:rStyle w:val="PageNumber"/>
      </w:rPr>
      <w:t>CAJ</w:t>
    </w:r>
    <w:proofErr w:type="spellEnd"/>
    <w:r w:rsidRPr="007E07ED">
      <w:rPr>
        <w:rStyle w:val="PageNumber"/>
      </w:rPr>
      <w:t>/78/</w:t>
    </w:r>
    <w:proofErr w:type="spellStart"/>
    <w:r w:rsidRPr="007E07ED">
      <w:rPr>
        <w:rStyle w:val="PageNumber"/>
      </w:rPr>
      <w:t>INF</w:t>
    </w:r>
    <w:proofErr w:type="spellEnd"/>
    <w:r w:rsidRPr="007E07ED">
      <w:rPr>
        <w:rStyle w:val="PageNumber"/>
      </w:rPr>
      <w:t>/5</w:t>
    </w:r>
  </w:p>
  <w:p w:rsidR="00F251E0" w:rsidRPr="007E07ED" w:rsidRDefault="00F251E0" w:rsidP="00EB048E">
    <w:pPr>
      <w:pStyle w:val="Header"/>
    </w:pPr>
    <w:r w:rsidRPr="007E07ED">
      <w:t xml:space="preserve">page </w:t>
    </w:r>
    <w:r w:rsidRPr="00C5280D">
      <w:rPr>
        <w:rStyle w:val="PageNumber"/>
        <w:lang w:val="en-US"/>
      </w:rPr>
      <w:fldChar w:fldCharType="begin"/>
    </w:r>
    <w:r w:rsidRPr="007E07ED">
      <w:rPr>
        <w:rStyle w:val="PageNumber"/>
      </w:rPr>
      <w:instrText xml:space="preserve"> PAGE </w:instrText>
    </w:r>
    <w:r w:rsidRPr="00C5280D">
      <w:rPr>
        <w:rStyle w:val="PageNumber"/>
        <w:lang w:val="en-US"/>
      </w:rPr>
      <w:fldChar w:fldCharType="separate"/>
    </w:r>
    <w:r w:rsidR="007F7E37">
      <w:rPr>
        <w:rStyle w:val="PageNumber"/>
        <w:noProof/>
      </w:rPr>
      <w:t>2</w:t>
    </w:r>
    <w:r w:rsidRPr="00C5280D">
      <w:rPr>
        <w:rStyle w:val="PageNumber"/>
        <w:lang w:val="en-US"/>
      </w:rPr>
      <w:fldChar w:fldCharType="end"/>
    </w:r>
  </w:p>
  <w:p w:rsidR="00F251E0" w:rsidRPr="007E07ED" w:rsidRDefault="00F251E0" w:rsidP="006655D3">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5" w:rsidRPr="007E07ED" w:rsidRDefault="00D72475" w:rsidP="00EB048E">
    <w:pPr>
      <w:pStyle w:val="Header"/>
      <w:rPr>
        <w:rStyle w:val="PageNumber"/>
      </w:rPr>
    </w:pPr>
    <w:proofErr w:type="spellStart"/>
    <w:r w:rsidRPr="007E07ED">
      <w:rPr>
        <w:rStyle w:val="PageNumber"/>
      </w:rPr>
      <w:t>CAJ</w:t>
    </w:r>
    <w:proofErr w:type="spellEnd"/>
    <w:r w:rsidRPr="007E07ED">
      <w:rPr>
        <w:rStyle w:val="PageNumber"/>
      </w:rPr>
      <w:t>/78/</w:t>
    </w:r>
    <w:proofErr w:type="spellStart"/>
    <w:r w:rsidRPr="007E07ED">
      <w:rPr>
        <w:rStyle w:val="PageNumber"/>
      </w:rPr>
      <w:t>INF</w:t>
    </w:r>
    <w:proofErr w:type="spellEnd"/>
    <w:r w:rsidRPr="007E07ED">
      <w:rPr>
        <w:rStyle w:val="PageNumber"/>
      </w:rPr>
      <w:t>/5</w:t>
    </w:r>
  </w:p>
  <w:p w:rsidR="00D72475" w:rsidRPr="007E07ED" w:rsidRDefault="00D72475" w:rsidP="00EB048E">
    <w:pPr>
      <w:pStyle w:val="Header"/>
    </w:pPr>
    <w:proofErr w:type="spellStart"/>
    <w:r>
      <w:t>Annex</w:t>
    </w:r>
    <w:proofErr w:type="spellEnd"/>
    <w:r>
      <w:t xml:space="preserve"> I, </w:t>
    </w:r>
    <w:r w:rsidRPr="007E07ED">
      <w:t xml:space="preserve">page </w:t>
    </w:r>
    <w:r w:rsidRPr="00C5280D">
      <w:rPr>
        <w:rStyle w:val="PageNumber"/>
        <w:lang w:val="en-US"/>
      </w:rPr>
      <w:fldChar w:fldCharType="begin"/>
    </w:r>
    <w:r w:rsidRPr="007E07ED">
      <w:rPr>
        <w:rStyle w:val="PageNumber"/>
      </w:rPr>
      <w:instrText xml:space="preserve"> PAGE </w:instrText>
    </w:r>
    <w:r w:rsidRPr="00C5280D">
      <w:rPr>
        <w:rStyle w:val="PageNumber"/>
        <w:lang w:val="en-US"/>
      </w:rPr>
      <w:fldChar w:fldCharType="separate"/>
    </w:r>
    <w:r w:rsidR="007F7E37">
      <w:rPr>
        <w:rStyle w:val="PageNumber"/>
        <w:noProof/>
      </w:rPr>
      <w:t>7</w:t>
    </w:r>
    <w:r w:rsidRPr="00C5280D">
      <w:rPr>
        <w:rStyle w:val="PageNumber"/>
        <w:lang w:val="en-US"/>
      </w:rPr>
      <w:fldChar w:fldCharType="end"/>
    </w:r>
  </w:p>
  <w:p w:rsidR="00D72475" w:rsidRPr="007E07ED" w:rsidRDefault="00D72475"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0" w:rsidRPr="00C5280D" w:rsidRDefault="00F251E0" w:rsidP="00632BB0">
    <w:pPr>
      <w:pStyle w:val="Header"/>
      <w:rPr>
        <w:rStyle w:val="PageNumber"/>
        <w:lang w:val="en-US"/>
      </w:rPr>
    </w:pPr>
    <w:r>
      <w:rPr>
        <w:rStyle w:val="PageNumber"/>
        <w:lang w:val="en-US"/>
      </w:rPr>
      <w:t>CAJ/78/INF/5</w:t>
    </w:r>
  </w:p>
  <w:p w:rsidR="00F251E0" w:rsidRDefault="00F251E0" w:rsidP="00632BB0">
    <w:pPr>
      <w:pStyle w:val="Header"/>
      <w:rPr>
        <w:lang w:val="en-US"/>
      </w:rPr>
    </w:pPr>
  </w:p>
  <w:p w:rsidR="00F251E0" w:rsidRPr="007E07ED" w:rsidRDefault="00F251E0" w:rsidP="0004198B">
    <w:pPr>
      <w:pStyle w:val="Header"/>
      <w:rPr>
        <w:i/>
        <w:lang w:val="en-US"/>
      </w:rPr>
    </w:pPr>
    <w:r>
      <w:rPr>
        <w:lang w:val="en-US"/>
      </w:rPr>
      <w:t xml:space="preserve">ANNEX I </w:t>
    </w:r>
  </w:p>
  <w:p w:rsidR="00F251E0" w:rsidRDefault="00F251E0" w:rsidP="0004198B">
    <w:pPr>
      <w:pStyle w:val="Header"/>
      <w:rPr>
        <w:lang w:val="en-US"/>
      </w:rPr>
    </w:pPr>
  </w:p>
  <w:p w:rsidR="00F251E0" w:rsidRPr="002A5011" w:rsidRDefault="00F251E0" w:rsidP="0004198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0" w:rsidRPr="00C5280D" w:rsidRDefault="00F251E0" w:rsidP="00632BB0">
    <w:pPr>
      <w:pStyle w:val="Header"/>
      <w:rPr>
        <w:rStyle w:val="PageNumber"/>
        <w:lang w:val="en-US"/>
      </w:rPr>
    </w:pPr>
    <w:r>
      <w:rPr>
        <w:rStyle w:val="PageNumber"/>
        <w:lang w:val="en-US"/>
      </w:rPr>
      <w:t>CAJ/78/INF/5</w:t>
    </w:r>
  </w:p>
  <w:p w:rsidR="00F251E0" w:rsidRDefault="00F251E0" w:rsidP="00632BB0">
    <w:pPr>
      <w:pStyle w:val="Header"/>
      <w:rPr>
        <w:lang w:val="en-US"/>
      </w:rPr>
    </w:pPr>
  </w:p>
  <w:p w:rsidR="00F251E0" w:rsidRPr="007E07ED" w:rsidRDefault="00F251E0" w:rsidP="0004198B">
    <w:pPr>
      <w:pStyle w:val="Header"/>
      <w:rPr>
        <w:i/>
        <w:lang w:val="en-US"/>
      </w:rPr>
    </w:pPr>
    <w:r>
      <w:rPr>
        <w:lang w:val="en-US"/>
      </w:rPr>
      <w:t xml:space="preserve">ANNEX II </w:t>
    </w:r>
  </w:p>
  <w:p w:rsidR="00F251E0" w:rsidRDefault="00F251E0" w:rsidP="0004198B">
    <w:pPr>
      <w:pStyle w:val="Header"/>
      <w:rPr>
        <w:lang w:val="en-US"/>
      </w:rPr>
    </w:pPr>
  </w:p>
  <w:p w:rsidR="00F251E0" w:rsidRPr="002A5011" w:rsidRDefault="00F251E0"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0" w:rsidRPr="007F7E37" w:rsidRDefault="00F251E0" w:rsidP="00EB048E">
    <w:pPr>
      <w:pStyle w:val="Header"/>
      <w:rPr>
        <w:rStyle w:val="PageNumber"/>
        <w:lang w:val="fr-CH"/>
      </w:rPr>
    </w:pPr>
    <w:proofErr w:type="spellStart"/>
    <w:r w:rsidRPr="007F7E37">
      <w:rPr>
        <w:rStyle w:val="PageNumber"/>
        <w:lang w:val="fr-CH"/>
      </w:rPr>
      <w:t>CAJ</w:t>
    </w:r>
    <w:proofErr w:type="spellEnd"/>
    <w:r w:rsidRPr="007F7E37">
      <w:rPr>
        <w:rStyle w:val="PageNumber"/>
        <w:lang w:val="fr-CH"/>
      </w:rPr>
      <w:t>/78/</w:t>
    </w:r>
    <w:proofErr w:type="spellStart"/>
    <w:r w:rsidRPr="007F7E37">
      <w:rPr>
        <w:rStyle w:val="PageNumber"/>
        <w:lang w:val="fr-CH"/>
      </w:rPr>
      <w:t>INF</w:t>
    </w:r>
    <w:proofErr w:type="spellEnd"/>
    <w:r w:rsidRPr="007F7E37">
      <w:rPr>
        <w:rStyle w:val="PageNumber"/>
        <w:lang w:val="fr-CH"/>
      </w:rPr>
      <w:t>/5</w:t>
    </w:r>
  </w:p>
  <w:p w:rsidR="00F251E0" w:rsidRPr="007F7E37" w:rsidRDefault="00801AEF" w:rsidP="003940A0">
    <w:pPr>
      <w:pStyle w:val="Header"/>
      <w:rPr>
        <w:lang w:val="fr-CH"/>
      </w:rPr>
    </w:pPr>
    <w:proofErr w:type="spellStart"/>
    <w:r w:rsidRPr="007F7E37">
      <w:rPr>
        <w:lang w:val="fr-CH"/>
      </w:rPr>
      <w:t>A</w:t>
    </w:r>
    <w:r w:rsidR="00F251E0" w:rsidRPr="007F7E37">
      <w:rPr>
        <w:lang w:val="fr-CH"/>
      </w:rPr>
      <w:t>nnex</w:t>
    </w:r>
    <w:proofErr w:type="spellEnd"/>
    <w:r w:rsidR="00F251E0" w:rsidRPr="007F7E37">
      <w:rPr>
        <w:lang w:val="fr-CH"/>
      </w:rPr>
      <w:t xml:space="preserve"> I</w:t>
    </w:r>
    <w:r w:rsidRPr="007F7E37">
      <w:rPr>
        <w:lang w:val="fr-CH"/>
      </w:rPr>
      <w:t>I</w:t>
    </w:r>
    <w:r w:rsidR="00F251E0" w:rsidRPr="007F7E37">
      <w:rPr>
        <w:lang w:val="fr-CH"/>
      </w:rPr>
      <w:t xml:space="preserve">, </w:t>
    </w:r>
    <w:proofErr w:type="spellStart"/>
    <w:r w:rsidR="00D72475" w:rsidRPr="007F7E37">
      <w:rPr>
        <w:lang w:val="fr-CH"/>
      </w:rPr>
      <w:t>Appendix</w:t>
    </w:r>
    <w:proofErr w:type="spellEnd"/>
    <w:r w:rsidR="00D72475" w:rsidRPr="007F7E37">
      <w:rPr>
        <w:lang w:val="fr-CH"/>
      </w:rPr>
      <w:t xml:space="preserve">, </w:t>
    </w:r>
    <w:r w:rsidR="00F251E0" w:rsidRPr="007F7E37">
      <w:rPr>
        <w:lang w:val="fr-CH"/>
      </w:rPr>
      <w:t xml:space="preserve">page </w:t>
    </w:r>
    <w:r w:rsidR="00F251E0" w:rsidRPr="007F7E37">
      <w:rPr>
        <w:rStyle w:val="PageNumber"/>
        <w:lang w:val="fr-CH"/>
      </w:rPr>
      <w:t>2</w:t>
    </w:r>
  </w:p>
  <w:p w:rsidR="00F251E0" w:rsidRPr="007F7E37" w:rsidRDefault="00F251E0"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E0" w:rsidRDefault="00F251E0" w:rsidP="00632BB0">
    <w:pPr>
      <w:pStyle w:val="Header"/>
      <w:rPr>
        <w:rStyle w:val="PageNumber"/>
        <w:lang w:val="en-US"/>
      </w:rPr>
    </w:pPr>
    <w:proofErr w:type="spellStart"/>
    <w:r>
      <w:rPr>
        <w:rStyle w:val="PageNumber"/>
        <w:lang w:val="en-US"/>
      </w:rPr>
      <w:t>CAJ</w:t>
    </w:r>
    <w:proofErr w:type="spellEnd"/>
    <w:r>
      <w:rPr>
        <w:rStyle w:val="PageNumber"/>
        <w:lang w:val="en-US"/>
      </w:rPr>
      <w:t>/78/INF/5</w:t>
    </w:r>
  </w:p>
  <w:p w:rsidR="00D72475" w:rsidRPr="00C5280D" w:rsidRDefault="00D72475" w:rsidP="00632BB0">
    <w:pPr>
      <w:pStyle w:val="Header"/>
      <w:rPr>
        <w:rStyle w:val="PageNumber"/>
        <w:lang w:val="en-US"/>
      </w:rPr>
    </w:pPr>
  </w:p>
  <w:p w:rsidR="00595E41" w:rsidRPr="00D72475" w:rsidRDefault="00D72475" w:rsidP="00595E41">
    <w:pPr>
      <w:pStyle w:val="Header"/>
      <w:rPr>
        <w:lang w:val="en-US"/>
      </w:rPr>
    </w:pPr>
    <w:r w:rsidRPr="00D72475">
      <w:rPr>
        <w:lang w:val="en-US"/>
      </w:rPr>
      <w:t xml:space="preserve">ANNEX </w:t>
    </w:r>
    <w:r w:rsidR="00595E41" w:rsidRPr="00D72475">
      <w:rPr>
        <w:lang w:val="en-US"/>
      </w:rPr>
      <w:t xml:space="preserve">II, </w:t>
    </w:r>
    <w:r w:rsidRPr="00D72475">
      <w:rPr>
        <w:lang w:val="en-US"/>
      </w:rPr>
      <w:t>A</w:t>
    </w:r>
    <w:r>
      <w:rPr>
        <w:lang w:val="en-US"/>
      </w:rPr>
      <w:t>PPENDIX</w:t>
    </w:r>
  </w:p>
  <w:p w:rsidR="00F251E0" w:rsidRPr="002A5011" w:rsidRDefault="00F251E0"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4"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5"/>
  </w:num>
  <w:num w:numId="4">
    <w:abstractNumId w:val="11"/>
  </w:num>
  <w:num w:numId="5">
    <w:abstractNumId w:val="8"/>
  </w:num>
  <w:num w:numId="6">
    <w:abstractNumId w:val="6"/>
  </w:num>
  <w:num w:numId="7">
    <w:abstractNumId w:val="10"/>
  </w:num>
  <w:num w:numId="8">
    <w:abstractNumId w:val="9"/>
  </w:num>
  <w:num w:numId="9">
    <w:abstractNumId w:val="2"/>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D0"/>
    <w:rsid w:val="00010CF3"/>
    <w:rsid w:val="00011E27"/>
    <w:rsid w:val="000148BC"/>
    <w:rsid w:val="00024AB8"/>
    <w:rsid w:val="00030854"/>
    <w:rsid w:val="00036028"/>
    <w:rsid w:val="0004198B"/>
    <w:rsid w:val="00044642"/>
    <w:rsid w:val="000446B9"/>
    <w:rsid w:val="00047E21"/>
    <w:rsid w:val="00050E16"/>
    <w:rsid w:val="00072526"/>
    <w:rsid w:val="000744B3"/>
    <w:rsid w:val="00085505"/>
    <w:rsid w:val="0009538C"/>
    <w:rsid w:val="00095BA0"/>
    <w:rsid w:val="000A1F3B"/>
    <w:rsid w:val="000C4E25"/>
    <w:rsid w:val="000C7021"/>
    <w:rsid w:val="000D60E7"/>
    <w:rsid w:val="000D6BBC"/>
    <w:rsid w:val="000D7780"/>
    <w:rsid w:val="000E52A6"/>
    <w:rsid w:val="000E636A"/>
    <w:rsid w:val="000F2F11"/>
    <w:rsid w:val="00100A5F"/>
    <w:rsid w:val="00105929"/>
    <w:rsid w:val="00110BED"/>
    <w:rsid w:val="00110C36"/>
    <w:rsid w:val="001131D5"/>
    <w:rsid w:val="00114547"/>
    <w:rsid w:val="00141DB8"/>
    <w:rsid w:val="00172084"/>
    <w:rsid w:val="0017474A"/>
    <w:rsid w:val="001758C6"/>
    <w:rsid w:val="00182B99"/>
    <w:rsid w:val="00197F61"/>
    <w:rsid w:val="001C1525"/>
    <w:rsid w:val="0020699C"/>
    <w:rsid w:val="0021332C"/>
    <w:rsid w:val="00213982"/>
    <w:rsid w:val="0024416D"/>
    <w:rsid w:val="00266300"/>
    <w:rsid w:val="00271911"/>
    <w:rsid w:val="00273187"/>
    <w:rsid w:val="0027540F"/>
    <w:rsid w:val="002800A0"/>
    <w:rsid w:val="002801B3"/>
    <w:rsid w:val="00281060"/>
    <w:rsid w:val="00285BD0"/>
    <w:rsid w:val="002940E8"/>
    <w:rsid w:val="00294751"/>
    <w:rsid w:val="002A5011"/>
    <w:rsid w:val="002A6E50"/>
    <w:rsid w:val="002B0F58"/>
    <w:rsid w:val="002B4298"/>
    <w:rsid w:val="002B7A36"/>
    <w:rsid w:val="002C256A"/>
    <w:rsid w:val="002D081D"/>
    <w:rsid w:val="002D5226"/>
    <w:rsid w:val="00305A7F"/>
    <w:rsid w:val="003152FE"/>
    <w:rsid w:val="00327436"/>
    <w:rsid w:val="00344BD6"/>
    <w:rsid w:val="00346604"/>
    <w:rsid w:val="0035528D"/>
    <w:rsid w:val="0036013F"/>
    <w:rsid w:val="00361821"/>
    <w:rsid w:val="00361E9E"/>
    <w:rsid w:val="003753EE"/>
    <w:rsid w:val="003908D9"/>
    <w:rsid w:val="003940A0"/>
    <w:rsid w:val="003A0835"/>
    <w:rsid w:val="003A5AAF"/>
    <w:rsid w:val="003B700A"/>
    <w:rsid w:val="003C7FBE"/>
    <w:rsid w:val="003D227C"/>
    <w:rsid w:val="003D2B4D"/>
    <w:rsid w:val="003F37F5"/>
    <w:rsid w:val="00400F4A"/>
    <w:rsid w:val="00426C2E"/>
    <w:rsid w:val="00444A88"/>
    <w:rsid w:val="00474DA4"/>
    <w:rsid w:val="00476B4D"/>
    <w:rsid w:val="004805FA"/>
    <w:rsid w:val="00482E74"/>
    <w:rsid w:val="004935D2"/>
    <w:rsid w:val="004B1215"/>
    <w:rsid w:val="004D047D"/>
    <w:rsid w:val="004F1E9E"/>
    <w:rsid w:val="004F305A"/>
    <w:rsid w:val="004F4D90"/>
    <w:rsid w:val="00512164"/>
    <w:rsid w:val="00520297"/>
    <w:rsid w:val="005338F9"/>
    <w:rsid w:val="0054281C"/>
    <w:rsid w:val="00544581"/>
    <w:rsid w:val="0055268D"/>
    <w:rsid w:val="00572304"/>
    <w:rsid w:val="00575DE2"/>
    <w:rsid w:val="00576BE4"/>
    <w:rsid w:val="005779DB"/>
    <w:rsid w:val="00595E41"/>
    <w:rsid w:val="005A400A"/>
    <w:rsid w:val="005B269D"/>
    <w:rsid w:val="005F7B92"/>
    <w:rsid w:val="00612379"/>
    <w:rsid w:val="006153B6"/>
    <w:rsid w:val="0061555F"/>
    <w:rsid w:val="006245ED"/>
    <w:rsid w:val="00632BB0"/>
    <w:rsid w:val="00636CA6"/>
    <w:rsid w:val="00641200"/>
    <w:rsid w:val="00645CA8"/>
    <w:rsid w:val="006655D3"/>
    <w:rsid w:val="00667404"/>
    <w:rsid w:val="00687EB4"/>
    <w:rsid w:val="00694FB1"/>
    <w:rsid w:val="00695C56"/>
    <w:rsid w:val="006A366A"/>
    <w:rsid w:val="006A5CDE"/>
    <w:rsid w:val="006A644A"/>
    <w:rsid w:val="006A6A52"/>
    <w:rsid w:val="006B17D2"/>
    <w:rsid w:val="006C224E"/>
    <w:rsid w:val="006D780A"/>
    <w:rsid w:val="0071271E"/>
    <w:rsid w:val="00732DEC"/>
    <w:rsid w:val="00733267"/>
    <w:rsid w:val="00735BD5"/>
    <w:rsid w:val="007451EC"/>
    <w:rsid w:val="00751613"/>
    <w:rsid w:val="00753EE9"/>
    <w:rsid w:val="007556F6"/>
    <w:rsid w:val="00760EEF"/>
    <w:rsid w:val="00777EE5"/>
    <w:rsid w:val="00783788"/>
    <w:rsid w:val="00784836"/>
    <w:rsid w:val="0079023E"/>
    <w:rsid w:val="007A2854"/>
    <w:rsid w:val="007C1D92"/>
    <w:rsid w:val="007C231A"/>
    <w:rsid w:val="007C4CB9"/>
    <w:rsid w:val="007D0B9D"/>
    <w:rsid w:val="007D19B0"/>
    <w:rsid w:val="007E07ED"/>
    <w:rsid w:val="007F498F"/>
    <w:rsid w:val="007F7D6E"/>
    <w:rsid w:val="007F7E37"/>
    <w:rsid w:val="00801AEF"/>
    <w:rsid w:val="0080679D"/>
    <w:rsid w:val="008108B0"/>
    <w:rsid w:val="00811B20"/>
    <w:rsid w:val="00812609"/>
    <w:rsid w:val="008211B5"/>
    <w:rsid w:val="0082296E"/>
    <w:rsid w:val="00824099"/>
    <w:rsid w:val="0083474A"/>
    <w:rsid w:val="00846D7C"/>
    <w:rsid w:val="00867AC1"/>
    <w:rsid w:val="008751DE"/>
    <w:rsid w:val="00890DF8"/>
    <w:rsid w:val="00892B81"/>
    <w:rsid w:val="008A0ADE"/>
    <w:rsid w:val="008A743F"/>
    <w:rsid w:val="008C0970"/>
    <w:rsid w:val="008D0BC5"/>
    <w:rsid w:val="008D2CF7"/>
    <w:rsid w:val="008E521A"/>
    <w:rsid w:val="008F750A"/>
    <w:rsid w:val="00900C26"/>
    <w:rsid w:val="0090197F"/>
    <w:rsid w:val="00903264"/>
    <w:rsid w:val="009060D0"/>
    <w:rsid w:val="00906DDC"/>
    <w:rsid w:val="00923D81"/>
    <w:rsid w:val="00931AD0"/>
    <w:rsid w:val="00934E09"/>
    <w:rsid w:val="00936253"/>
    <w:rsid w:val="00940D46"/>
    <w:rsid w:val="009413F1"/>
    <w:rsid w:val="00952DD4"/>
    <w:rsid w:val="009561F4"/>
    <w:rsid w:val="009621CC"/>
    <w:rsid w:val="00965AE7"/>
    <w:rsid w:val="00970FED"/>
    <w:rsid w:val="00992D82"/>
    <w:rsid w:val="00997029"/>
    <w:rsid w:val="009A7339"/>
    <w:rsid w:val="009B440E"/>
    <w:rsid w:val="009D4E5B"/>
    <w:rsid w:val="009D690D"/>
    <w:rsid w:val="009E65B6"/>
    <w:rsid w:val="009F0A51"/>
    <w:rsid w:val="009F77CF"/>
    <w:rsid w:val="00A24C10"/>
    <w:rsid w:val="00A42AC3"/>
    <w:rsid w:val="00A430CF"/>
    <w:rsid w:val="00A54309"/>
    <w:rsid w:val="00A610A9"/>
    <w:rsid w:val="00A74679"/>
    <w:rsid w:val="00A80F2A"/>
    <w:rsid w:val="00A96C33"/>
    <w:rsid w:val="00AB2B93"/>
    <w:rsid w:val="00AB530F"/>
    <w:rsid w:val="00AB7E5B"/>
    <w:rsid w:val="00AC2883"/>
    <w:rsid w:val="00AE0EF1"/>
    <w:rsid w:val="00AE2937"/>
    <w:rsid w:val="00B07301"/>
    <w:rsid w:val="00B11F3E"/>
    <w:rsid w:val="00B224DE"/>
    <w:rsid w:val="00B31902"/>
    <w:rsid w:val="00B324D4"/>
    <w:rsid w:val="00B46575"/>
    <w:rsid w:val="00B61777"/>
    <w:rsid w:val="00B622E6"/>
    <w:rsid w:val="00B83E82"/>
    <w:rsid w:val="00B84BBD"/>
    <w:rsid w:val="00BA43FB"/>
    <w:rsid w:val="00BC127D"/>
    <w:rsid w:val="00BC1FE6"/>
    <w:rsid w:val="00BC53CB"/>
    <w:rsid w:val="00C061B6"/>
    <w:rsid w:val="00C2446C"/>
    <w:rsid w:val="00C36AE5"/>
    <w:rsid w:val="00C41F17"/>
    <w:rsid w:val="00C527FA"/>
    <w:rsid w:val="00C5280D"/>
    <w:rsid w:val="00C53EB3"/>
    <w:rsid w:val="00C5791C"/>
    <w:rsid w:val="00C66290"/>
    <w:rsid w:val="00C72B7A"/>
    <w:rsid w:val="00C973F2"/>
    <w:rsid w:val="00CA2C65"/>
    <w:rsid w:val="00CA304C"/>
    <w:rsid w:val="00CA774A"/>
    <w:rsid w:val="00CB4921"/>
    <w:rsid w:val="00CC11B0"/>
    <w:rsid w:val="00CC2841"/>
    <w:rsid w:val="00CE47A9"/>
    <w:rsid w:val="00CF1330"/>
    <w:rsid w:val="00CF7E36"/>
    <w:rsid w:val="00D14394"/>
    <w:rsid w:val="00D3708D"/>
    <w:rsid w:val="00D40426"/>
    <w:rsid w:val="00D5236F"/>
    <w:rsid w:val="00D57C96"/>
    <w:rsid w:val="00D57D18"/>
    <w:rsid w:val="00D70E65"/>
    <w:rsid w:val="00D72475"/>
    <w:rsid w:val="00D91203"/>
    <w:rsid w:val="00D95174"/>
    <w:rsid w:val="00DA4973"/>
    <w:rsid w:val="00DA6F36"/>
    <w:rsid w:val="00DB596E"/>
    <w:rsid w:val="00DB6AE6"/>
    <w:rsid w:val="00DB7773"/>
    <w:rsid w:val="00DC00EA"/>
    <w:rsid w:val="00DC3802"/>
    <w:rsid w:val="00DD6208"/>
    <w:rsid w:val="00DD6975"/>
    <w:rsid w:val="00DE3A86"/>
    <w:rsid w:val="00DF7E99"/>
    <w:rsid w:val="00E07D87"/>
    <w:rsid w:val="00E249C8"/>
    <w:rsid w:val="00E32F7E"/>
    <w:rsid w:val="00E36B7C"/>
    <w:rsid w:val="00E5267B"/>
    <w:rsid w:val="00E559F0"/>
    <w:rsid w:val="00E63C0E"/>
    <w:rsid w:val="00E72D49"/>
    <w:rsid w:val="00E73913"/>
    <w:rsid w:val="00E7593C"/>
    <w:rsid w:val="00E7678A"/>
    <w:rsid w:val="00E81852"/>
    <w:rsid w:val="00E935F1"/>
    <w:rsid w:val="00E94A81"/>
    <w:rsid w:val="00EA1FFB"/>
    <w:rsid w:val="00EB048E"/>
    <w:rsid w:val="00EB36D4"/>
    <w:rsid w:val="00EB4E9C"/>
    <w:rsid w:val="00EE34DF"/>
    <w:rsid w:val="00EF2F89"/>
    <w:rsid w:val="00F03E98"/>
    <w:rsid w:val="00F1237A"/>
    <w:rsid w:val="00F170EF"/>
    <w:rsid w:val="00F22CBD"/>
    <w:rsid w:val="00F251E0"/>
    <w:rsid w:val="00F272F1"/>
    <w:rsid w:val="00F31412"/>
    <w:rsid w:val="00F45372"/>
    <w:rsid w:val="00F560F7"/>
    <w:rsid w:val="00F6334D"/>
    <w:rsid w:val="00F63599"/>
    <w:rsid w:val="00F71781"/>
    <w:rsid w:val="00FA49AB"/>
    <w:rsid w:val="00FC5FD0"/>
    <w:rsid w:val="00FE39C7"/>
    <w:rsid w:val="00FE7041"/>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50C9AD-4A6F-4004-8823-AE48BF7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uiPriority w:val="99"/>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09538C"/>
    <w:pPr>
      <w:tabs>
        <w:tab w:val="right" w:leader="dot" w:pos="9639"/>
      </w:tabs>
      <w:spacing w:before="60" w:after="60"/>
      <w:ind w:left="461" w:right="850" w:hanging="288"/>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09538C"/>
    <w:pPr>
      <w:tabs>
        <w:tab w:val="right" w:leader="dot" w:pos="9639"/>
      </w:tabs>
      <w:spacing w:before="120"/>
      <w:ind w:right="576"/>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14394"/>
    <w:rPr>
      <w:rFonts w:ascii="Arial" w:hAnsi="Arial"/>
      <w:lang w:val="fr-FR"/>
    </w:rPr>
  </w:style>
  <w:style w:type="character" w:customStyle="1" w:styleId="FootnoteTextChar">
    <w:name w:val="Footnote Text Char"/>
    <w:basedOn w:val="DefaultParagraphFont"/>
    <w:link w:val="FootnoteText"/>
    <w:rsid w:val="00D14394"/>
    <w:rPr>
      <w:rFonts w:ascii="Arial" w:hAnsi="Arial"/>
      <w:sz w:val="16"/>
    </w:rPr>
  </w:style>
  <w:style w:type="character" w:customStyle="1" w:styleId="Heading1Char">
    <w:name w:val="Heading 1 Char"/>
    <w:aliases w:val="COMMON NAME Char,common Char"/>
    <w:basedOn w:val="DefaultParagraphFont"/>
    <w:link w:val="Heading1"/>
    <w:rsid w:val="00D14394"/>
    <w:rPr>
      <w:rFonts w:ascii="Arial" w:hAnsi="Arial"/>
      <w:caps/>
    </w:rPr>
  </w:style>
  <w:style w:type="character" w:customStyle="1" w:styleId="Heading2Char">
    <w:name w:val="Heading 2 Char"/>
    <w:aliases w:val="VARIETY Char,variety Char"/>
    <w:link w:val="Heading2"/>
    <w:locked/>
    <w:rsid w:val="00D14394"/>
    <w:rPr>
      <w:rFonts w:ascii="Arial" w:hAnsi="Arial"/>
      <w:u w:val="single"/>
    </w:rPr>
  </w:style>
  <w:style w:type="character" w:customStyle="1" w:styleId="Heading3Char">
    <w:name w:val="Heading 3 Char"/>
    <w:basedOn w:val="DefaultParagraphFont"/>
    <w:link w:val="Heading3"/>
    <w:rsid w:val="00D14394"/>
    <w:rPr>
      <w:rFonts w:ascii="Arial" w:hAnsi="Arial"/>
      <w:i/>
    </w:rPr>
  </w:style>
  <w:style w:type="table" w:styleId="TableGrid">
    <w:name w:val="Table Grid"/>
    <w:basedOn w:val="TableNormal"/>
    <w:uiPriority w:val="39"/>
    <w:rsid w:val="00923D81"/>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F170EF"/>
    <w:rPr>
      <w:rFonts w:ascii="Arial" w:hAnsi="Arial"/>
      <w:i/>
    </w:rPr>
  </w:style>
  <w:style w:type="paragraph" w:styleId="ListParagraph">
    <w:name w:val="List Paragraph"/>
    <w:basedOn w:val="Normal"/>
    <w:uiPriority w:val="34"/>
    <w:qFormat/>
    <w:rsid w:val="002A5011"/>
    <w:pPr>
      <w:ind w:left="720"/>
      <w:contextualSpacing/>
    </w:pPr>
  </w:style>
  <w:style w:type="table" w:customStyle="1" w:styleId="TableGrid1">
    <w:name w:val="Table Grid1"/>
    <w:basedOn w:val="TableNormal"/>
    <w:next w:val="TableGrid"/>
    <w:uiPriority w:val="39"/>
    <w:rsid w:val="007E07E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E52A6"/>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export/sites/upov/images/worldmap_en.jpg" TargetMode="External"/><Relationship Id="rId18" Type="http://schemas.openxmlformats.org/officeDocument/2006/relationships/diagramLayout" Target="diagrams/layout1.xml"/><Relationship Id="rId26" Type="http://schemas.openxmlformats.org/officeDocument/2006/relationships/header" Target="header5.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upov.int/export/sites/upov/members/en/pdf/pub423.pdf" TargetMode="External"/><Relationship Id="rId17" Type="http://schemas.openxmlformats.org/officeDocument/2006/relationships/diagramData" Target="diagrams/data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eedtest.org/upload/cms/user/ISTAAccreditationStandardforSeedTestingandSeedSamplingV6.11.pdf"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d/see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eedtest.org/en/international-rules-for-seed-testing-2019-_content---1--1083--1065.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about/en/faq.html" TargetMode="External"/><Relationship Id="rId22" Type="http://schemas.openxmlformats.org/officeDocument/2006/relationships/hyperlink" Target="http://www.seedtest.org" TargetMode="External"/><Relationship Id="rId27"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635E-3B32-43C7-9C13-209A92F1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6659</Words>
  <Characters>38571</Characters>
  <Application>Microsoft Office Word</Application>
  <DocSecurity>0</DocSecurity>
  <Lines>1042</Lines>
  <Paragraphs>288</Paragraphs>
  <ScaleCrop>false</ScaleCrop>
  <HeadingPairs>
    <vt:vector size="2" baseType="variant">
      <vt:variant>
        <vt:lpstr>Title</vt:lpstr>
      </vt:variant>
      <vt:variant>
        <vt:i4>1</vt:i4>
      </vt:variant>
    </vt:vector>
  </HeadingPairs>
  <TitlesOfParts>
    <vt:vector size="1" baseType="lpstr">
      <vt:lpstr>CAJ/78/INF/5</vt:lpstr>
    </vt:vector>
  </TitlesOfParts>
  <Company>UPOV</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CAJ/78/INF/5</dc:title>
  <dc:creator>SANCHEZ VIZCAINO GOMEZ Rosa Maria</dc:creator>
  <cp:lastModifiedBy>SANTOS Carla Marina</cp:lastModifiedBy>
  <cp:revision>7</cp:revision>
  <cp:lastPrinted>2016-11-22T15:41:00Z</cp:lastPrinted>
  <dcterms:created xsi:type="dcterms:W3CDTF">2021-10-19T13:52:00Z</dcterms:created>
  <dcterms:modified xsi:type="dcterms:W3CDTF">2021-10-19T16:32:00Z</dcterms:modified>
</cp:coreProperties>
</file>