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A626D" w:rsidTr="00EB4E9C">
        <w:tc>
          <w:tcPr>
            <w:tcW w:w="6522" w:type="dxa"/>
          </w:tcPr>
          <w:p w:rsidR="00DC3802" w:rsidRPr="00CA626D" w:rsidRDefault="00DC3802" w:rsidP="00AC2883">
            <w:r w:rsidRPr="00CA626D">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A626D" w:rsidRDefault="00DC3802" w:rsidP="00AC2883">
            <w:pPr>
              <w:pStyle w:val="Lettrine"/>
            </w:pPr>
            <w:r w:rsidRPr="00CA626D">
              <w:t>E</w:t>
            </w:r>
          </w:p>
        </w:tc>
      </w:tr>
      <w:tr w:rsidR="00DC3802" w:rsidRPr="00CA626D" w:rsidTr="00645CA8">
        <w:trPr>
          <w:trHeight w:val="219"/>
        </w:trPr>
        <w:tc>
          <w:tcPr>
            <w:tcW w:w="6522" w:type="dxa"/>
          </w:tcPr>
          <w:p w:rsidR="00DC3802" w:rsidRPr="00CA626D" w:rsidRDefault="00DC3802" w:rsidP="00AC2883">
            <w:pPr>
              <w:pStyle w:val="upove"/>
            </w:pPr>
            <w:r w:rsidRPr="00CA626D">
              <w:t>International Union for the Protection of New Varieties of Plants</w:t>
            </w:r>
          </w:p>
        </w:tc>
        <w:tc>
          <w:tcPr>
            <w:tcW w:w="3117" w:type="dxa"/>
          </w:tcPr>
          <w:p w:rsidR="00DC3802" w:rsidRPr="00CA626D" w:rsidRDefault="00DC3802" w:rsidP="00DA4973"/>
        </w:tc>
      </w:tr>
    </w:tbl>
    <w:p w:rsidR="00DC3802" w:rsidRPr="00CA626D" w:rsidRDefault="00DC3802" w:rsidP="00DC3802"/>
    <w:p w:rsidR="00D70E65" w:rsidRPr="00CA626D"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A626D" w:rsidTr="00EB4E9C">
        <w:tc>
          <w:tcPr>
            <w:tcW w:w="6512" w:type="dxa"/>
          </w:tcPr>
          <w:p w:rsidR="00EB4E9C" w:rsidRPr="00CA626D" w:rsidRDefault="00B622E6" w:rsidP="00AC2883">
            <w:pPr>
              <w:pStyle w:val="Sessiontc"/>
              <w:spacing w:line="240" w:lineRule="auto"/>
            </w:pPr>
            <w:r w:rsidRPr="00CA626D">
              <w:t>Administrative and Legal</w:t>
            </w:r>
            <w:r w:rsidR="00EB4E9C" w:rsidRPr="00CA626D">
              <w:t xml:space="preserve"> Committee</w:t>
            </w:r>
          </w:p>
          <w:p w:rsidR="00EB4E9C" w:rsidRPr="00CA626D" w:rsidRDefault="00B622E6" w:rsidP="003A5AAF">
            <w:pPr>
              <w:pStyle w:val="Sessiontcplacedate"/>
              <w:rPr>
                <w:sz w:val="22"/>
              </w:rPr>
            </w:pPr>
            <w:r w:rsidRPr="00CA626D">
              <w:t>Seventy-</w:t>
            </w:r>
            <w:r w:rsidR="003A5AAF" w:rsidRPr="00CA626D">
              <w:t>Eigh</w:t>
            </w:r>
            <w:r w:rsidR="00110BED" w:rsidRPr="00CA626D">
              <w:t>th</w:t>
            </w:r>
            <w:r w:rsidR="00EB4E9C" w:rsidRPr="00CA626D">
              <w:t xml:space="preserve"> Session</w:t>
            </w:r>
            <w:r w:rsidR="00EB4E9C" w:rsidRPr="00CA626D">
              <w:br/>
              <w:t xml:space="preserve">Geneva, </w:t>
            </w:r>
            <w:r w:rsidRPr="00CA626D">
              <w:t xml:space="preserve">October </w:t>
            </w:r>
            <w:r w:rsidR="00E559F0" w:rsidRPr="00CA626D">
              <w:t>2</w:t>
            </w:r>
            <w:r w:rsidR="003A5AAF" w:rsidRPr="00CA626D">
              <w:t>7</w:t>
            </w:r>
            <w:r w:rsidR="00F31412" w:rsidRPr="00CA626D">
              <w:t xml:space="preserve">, </w:t>
            </w:r>
            <w:r w:rsidR="003A5AAF" w:rsidRPr="00CA626D">
              <w:t>2021</w:t>
            </w:r>
          </w:p>
        </w:tc>
        <w:tc>
          <w:tcPr>
            <w:tcW w:w="3127" w:type="dxa"/>
          </w:tcPr>
          <w:p w:rsidR="00EB4E9C" w:rsidRPr="00CA626D" w:rsidRDefault="003D01A1" w:rsidP="003C7FBE">
            <w:pPr>
              <w:pStyle w:val="Doccode"/>
            </w:pPr>
            <w:proofErr w:type="spellStart"/>
            <w:r w:rsidRPr="00CA626D">
              <w:t>CAJ</w:t>
            </w:r>
            <w:proofErr w:type="spellEnd"/>
            <w:r w:rsidRPr="00CA626D">
              <w:t>/78/2</w:t>
            </w:r>
          </w:p>
          <w:p w:rsidR="00EB4E9C" w:rsidRPr="00D53FBB" w:rsidRDefault="00EB4E9C" w:rsidP="003C7FBE">
            <w:pPr>
              <w:pStyle w:val="Docoriginal"/>
            </w:pPr>
            <w:r w:rsidRPr="00CA626D">
              <w:t>Original:</w:t>
            </w:r>
            <w:r w:rsidRPr="00CA626D">
              <w:rPr>
                <w:b w:val="0"/>
                <w:spacing w:val="0"/>
              </w:rPr>
              <w:t xml:space="preserve">  </w:t>
            </w:r>
            <w:r w:rsidRPr="00D53FBB">
              <w:rPr>
                <w:b w:val="0"/>
                <w:spacing w:val="0"/>
              </w:rPr>
              <w:t>English</w:t>
            </w:r>
          </w:p>
          <w:p w:rsidR="00EB4E9C" w:rsidRPr="00CA626D" w:rsidRDefault="00EB4E9C" w:rsidP="002269CD">
            <w:pPr>
              <w:pStyle w:val="Docoriginal"/>
            </w:pPr>
            <w:r w:rsidRPr="00D53FBB">
              <w:t>Date:</w:t>
            </w:r>
            <w:r w:rsidRPr="00D53FBB">
              <w:rPr>
                <w:b w:val="0"/>
                <w:spacing w:val="0"/>
              </w:rPr>
              <w:t xml:space="preserve">  </w:t>
            </w:r>
            <w:r w:rsidR="00F3609E" w:rsidRPr="00D53FBB">
              <w:rPr>
                <w:b w:val="0"/>
                <w:spacing w:val="0"/>
              </w:rPr>
              <w:t>October 26</w:t>
            </w:r>
            <w:r w:rsidRPr="00D53FBB">
              <w:rPr>
                <w:b w:val="0"/>
                <w:spacing w:val="0"/>
              </w:rPr>
              <w:t xml:space="preserve">, </w:t>
            </w:r>
            <w:r w:rsidR="002269CD" w:rsidRPr="00D53FBB">
              <w:rPr>
                <w:b w:val="0"/>
                <w:spacing w:val="0"/>
              </w:rPr>
              <w:t>2021</w:t>
            </w:r>
          </w:p>
        </w:tc>
      </w:tr>
    </w:tbl>
    <w:p w:rsidR="000D7780" w:rsidRPr="00CA626D" w:rsidRDefault="003D01A1" w:rsidP="006A644A">
      <w:pPr>
        <w:pStyle w:val="Titleofdoc0"/>
      </w:pPr>
      <w:bookmarkStart w:id="0" w:name="TitleOfDoc"/>
      <w:bookmarkEnd w:id="0"/>
      <w:r w:rsidRPr="00CA626D">
        <w:t>Report on developments in the Technical Committee</w:t>
      </w:r>
    </w:p>
    <w:p w:rsidR="006A644A" w:rsidRPr="00CA626D" w:rsidRDefault="00AE0EF1" w:rsidP="006A644A">
      <w:pPr>
        <w:pStyle w:val="preparedby1"/>
        <w:jc w:val="left"/>
      </w:pPr>
      <w:bookmarkStart w:id="1" w:name="Prepared"/>
      <w:bookmarkEnd w:id="1"/>
      <w:r w:rsidRPr="00CA626D">
        <w:t xml:space="preserve">Document </w:t>
      </w:r>
      <w:r w:rsidR="0061555F" w:rsidRPr="00CA626D">
        <w:t>prepared by the Office of the Union</w:t>
      </w:r>
    </w:p>
    <w:p w:rsidR="00050E16" w:rsidRPr="00CA626D" w:rsidRDefault="00050E16" w:rsidP="006A644A">
      <w:pPr>
        <w:pStyle w:val="Disclaimer"/>
      </w:pPr>
      <w:r w:rsidRPr="00CA626D">
        <w:t xml:space="preserve">Disclaimer:  this document does not represent </w:t>
      </w:r>
      <w:proofErr w:type="spellStart"/>
      <w:r w:rsidRPr="00CA626D">
        <w:t>UPOV</w:t>
      </w:r>
      <w:proofErr w:type="spellEnd"/>
      <w:r w:rsidRPr="00CA626D">
        <w:t xml:space="preserve"> policies or guidance</w:t>
      </w:r>
    </w:p>
    <w:p w:rsidR="00F3609E" w:rsidRPr="00F3609E" w:rsidRDefault="00F3609E" w:rsidP="00F3609E">
      <w:pPr>
        <w:rPr>
          <w:spacing w:val="2"/>
        </w:rPr>
      </w:pPr>
      <w:r w:rsidRPr="00F3609E">
        <w:rPr>
          <w:spacing w:val="2"/>
        </w:rPr>
        <w:t>EXECUTIVE SUMMARY</w:t>
      </w:r>
    </w:p>
    <w:p w:rsidR="00F3609E" w:rsidRPr="00F3609E" w:rsidRDefault="00F3609E" w:rsidP="00F3609E">
      <w:pPr>
        <w:rPr>
          <w:spacing w:val="2"/>
        </w:rPr>
      </w:pPr>
    </w:p>
    <w:p w:rsidR="00F3609E" w:rsidRDefault="00F3609E" w:rsidP="00F3609E">
      <w:r w:rsidRPr="00F3609E">
        <w:rPr>
          <w:spacing w:val="2"/>
        </w:rPr>
        <w:fldChar w:fldCharType="begin"/>
      </w:r>
      <w:r w:rsidRPr="00F3609E">
        <w:rPr>
          <w:spacing w:val="2"/>
        </w:rPr>
        <w:instrText xml:space="preserve"> AUTONUM  </w:instrText>
      </w:r>
      <w:r w:rsidRPr="00F3609E">
        <w:rPr>
          <w:spacing w:val="2"/>
        </w:rPr>
        <w:fldChar w:fldCharType="end"/>
      </w:r>
      <w:r w:rsidRPr="00F3609E">
        <w:rPr>
          <w:spacing w:val="2"/>
        </w:rPr>
        <w:tab/>
        <w:t>The purpose of this document is to report on developments in the Technical Committee (TC) at its fifty-</w:t>
      </w:r>
      <w:r w:rsidR="009B6810" w:rsidRPr="00CA626D">
        <w:rPr>
          <w:spacing w:val="2"/>
        </w:rPr>
        <w:t>seventh</w:t>
      </w:r>
      <w:r w:rsidRPr="00F3609E">
        <w:rPr>
          <w:spacing w:val="2"/>
        </w:rPr>
        <w:t xml:space="preserve"> session, held in Geneva on October 2</w:t>
      </w:r>
      <w:r w:rsidR="009B6810" w:rsidRPr="00CA626D">
        <w:rPr>
          <w:spacing w:val="2"/>
        </w:rPr>
        <w:t>5</w:t>
      </w:r>
      <w:r w:rsidRPr="00F3609E">
        <w:rPr>
          <w:spacing w:val="2"/>
        </w:rPr>
        <w:t xml:space="preserve"> and 2</w:t>
      </w:r>
      <w:r w:rsidR="009B6810" w:rsidRPr="00CA626D">
        <w:rPr>
          <w:spacing w:val="2"/>
        </w:rPr>
        <w:t>6</w:t>
      </w:r>
      <w:r w:rsidRPr="00F3609E">
        <w:rPr>
          <w:spacing w:val="2"/>
        </w:rPr>
        <w:t>, 202</w:t>
      </w:r>
      <w:r w:rsidR="009B6810" w:rsidRPr="00CA626D">
        <w:rPr>
          <w:spacing w:val="2"/>
        </w:rPr>
        <w:t>1</w:t>
      </w:r>
      <w:r w:rsidRPr="00F3609E">
        <w:rPr>
          <w:spacing w:val="2"/>
        </w:rPr>
        <w:t>, of relevance for the Administrative and Legal Committee (</w:t>
      </w:r>
      <w:proofErr w:type="spellStart"/>
      <w:r w:rsidRPr="00F3609E">
        <w:rPr>
          <w:spacing w:val="2"/>
        </w:rPr>
        <w:t>CAJ</w:t>
      </w:r>
      <w:proofErr w:type="spellEnd"/>
      <w:r w:rsidRPr="00F3609E">
        <w:rPr>
          <w:spacing w:val="2"/>
        </w:rPr>
        <w:t>).</w:t>
      </w:r>
      <w:r w:rsidRPr="00F3609E">
        <w:t xml:space="preserve">  </w:t>
      </w:r>
    </w:p>
    <w:p w:rsidR="001B1D39" w:rsidRDefault="001B1D39" w:rsidP="00F3609E"/>
    <w:p w:rsidR="00F3609E" w:rsidRDefault="001B1D39" w:rsidP="00F3609E">
      <w:r>
        <w:fldChar w:fldCharType="begin"/>
      </w:r>
      <w:r>
        <w:instrText xml:space="preserve"> AUTONUM  </w:instrText>
      </w:r>
      <w:r>
        <w:fldChar w:fldCharType="end"/>
      </w:r>
      <w:r>
        <w:tab/>
      </w:r>
      <w:r w:rsidR="00BA7F67">
        <w:t>M</w:t>
      </w:r>
      <w:r>
        <w:t xml:space="preserve">atters in this document </w:t>
      </w:r>
      <w:proofErr w:type="gramStart"/>
      <w:r>
        <w:t>are reported</w:t>
      </w:r>
      <w:proofErr w:type="gramEnd"/>
      <w:r>
        <w:t xml:space="preserve"> </w:t>
      </w:r>
      <w:r w:rsidR="00BA7F67">
        <w:t>f</w:t>
      </w:r>
      <w:r w:rsidR="00D53FBB">
        <w:t>or information purposes are not</w:t>
      </w:r>
      <w:r w:rsidR="00BA7F67">
        <w:t xml:space="preserve"> for consideration by the </w:t>
      </w:r>
      <w:proofErr w:type="spellStart"/>
      <w:r w:rsidR="00BA7F67">
        <w:t>CAJ</w:t>
      </w:r>
      <w:proofErr w:type="spellEnd"/>
      <w:r w:rsidR="00BA7F67">
        <w:t xml:space="preserve"> under any of the agenda items of its seventy-eight session</w:t>
      </w:r>
      <w:r>
        <w:t>.</w:t>
      </w:r>
      <w:r w:rsidR="00AF63D8">
        <w:t xml:space="preserve">  </w:t>
      </w:r>
    </w:p>
    <w:p w:rsidR="00BA7F67" w:rsidRPr="00F3609E" w:rsidRDefault="00BA7F67" w:rsidP="00F3609E"/>
    <w:p w:rsidR="00F3609E" w:rsidRPr="00F3609E" w:rsidRDefault="00F3609E" w:rsidP="00F3609E">
      <w:r w:rsidRPr="00F3609E">
        <w:fldChar w:fldCharType="begin"/>
      </w:r>
      <w:r w:rsidRPr="00F3609E">
        <w:instrText xml:space="preserve"> AUTONUM  </w:instrText>
      </w:r>
      <w:r w:rsidRPr="00F3609E">
        <w:fldChar w:fldCharType="end"/>
      </w:r>
      <w:r w:rsidRPr="00F3609E">
        <w:tab/>
        <w:t>The report of the TC is available in document TC/5</w:t>
      </w:r>
      <w:r w:rsidR="009B6810" w:rsidRPr="00CA626D">
        <w:t>7</w:t>
      </w:r>
      <w:r w:rsidRPr="00F3609E">
        <w:t>/2</w:t>
      </w:r>
      <w:r w:rsidR="009B6810" w:rsidRPr="00CA626D">
        <w:t>5</w:t>
      </w:r>
      <w:r w:rsidRPr="00F3609E">
        <w:t xml:space="preserve"> “Report”.</w:t>
      </w:r>
    </w:p>
    <w:p w:rsidR="00F3609E" w:rsidRPr="00F3609E" w:rsidRDefault="00F3609E" w:rsidP="00F3609E"/>
    <w:p w:rsidR="00F3609E" w:rsidRPr="00F3609E" w:rsidRDefault="00F3609E" w:rsidP="00F63FD8">
      <w:pPr>
        <w:tabs>
          <w:tab w:val="left" w:pos="567"/>
          <w:tab w:val="left" w:pos="1134"/>
          <w:tab w:val="left" w:pos="1701"/>
          <w:tab w:val="left" w:pos="5387"/>
        </w:tabs>
      </w:pPr>
      <w:r w:rsidRPr="00F3609E">
        <w:fldChar w:fldCharType="begin"/>
      </w:r>
      <w:r w:rsidRPr="00F3609E">
        <w:instrText xml:space="preserve"> AUTONUM  </w:instrText>
      </w:r>
      <w:r w:rsidRPr="00F3609E">
        <w:fldChar w:fldCharType="end"/>
      </w:r>
      <w:r w:rsidRPr="00F3609E">
        <w:tab/>
        <w:t xml:space="preserve">The </w:t>
      </w:r>
      <w:proofErr w:type="spellStart"/>
      <w:r w:rsidRPr="00F3609E">
        <w:t>CAJ</w:t>
      </w:r>
      <w:proofErr w:type="spellEnd"/>
      <w:r w:rsidRPr="00F3609E">
        <w:t xml:space="preserve"> </w:t>
      </w:r>
      <w:proofErr w:type="gramStart"/>
      <w:r w:rsidRPr="00F3609E">
        <w:t>is invited</w:t>
      </w:r>
      <w:proofErr w:type="gramEnd"/>
      <w:r w:rsidRPr="00F3609E">
        <w:t xml:space="preserve"> to</w:t>
      </w:r>
      <w:r w:rsidR="00F63FD8" w:rsidRPr="00F63FD8">
        <w:t xml:space="preserve"> </w:t>
      </w:r>
      <w:r w:rsidRPr="00F3609E">
        <w:t xml:space="preserve">note developments at the </w:t>
      </w:r>
      <w:r w:rsidRPr="00F3609E">
        <w:rPr>
          <w:spacing w:val="2"/>
        </w:rPr>
        <w:t>fifty-</w:t>
      </w:r>
      <w:r w:rsidR="00F63FD8" w:rsidRPr="00F63FD8">
        <w:rPr>
          <w:spacing w:val="2"/>
        </w:rPr>
        <w:t>seventh</w:t>
      </w:r>
      <w:r w:rsidRPr="00F3609E">
        <w:rPr>
          <w:spacing w:val="2"/>
        </w:rPr>
        <w:t xml:space="preserve"> session</w:t>
      </w:r>
      <w:r w:rsidRPr="00F3609E">
        <w:t xml:space="preserve"> of the Technical Committee, as reported in this document.</w:t>
      </w:r>
    </w:p>
    <w:p w:rsidR="00F3609E" w:rsidRPr="00F3609E" w:rsidRDefault="00F3609E" w:rsidP="00F3609E"/>
    <w:p w:rsidR="00F3609E" w:rsidRPr="00F3609E" w:rsidRDefault="00F3609E" w:rsidP="00D53FBB">
      <w:pPr>
        <w:spacing w:after="120"/>
        <w:rPr>
          <w:rFonts w:cs="Arial"/>
        </w:rPr>
      </w:pPr>
      <w:r w:rsidRPr="00F3609E">
        <w:rPr>
          <w:rFonts w:cs="Arial"/>
        </w:rPr>
        <w:fldChar w:fldCharType="begin"/>
      </w:r>
      <w:r w:rsidRPr="00F3609E">
        <w:rPr>
          <w:rFonts w:cs="Arial"/>
        </w:rPr>
        <w:instrText xml:space="preserve"> AUTONUM  </w:instrText>
      </w:r>
      <w:r w:rsidRPr="00F3609E">
        <w:rPr>
          <w:rFonts w:cs="Arial"/>
        </w:rPr>
        <w:fldChar w:fldCharType="end"/>
      </w:r>
      <w:r w:rsidRPr="00F3609E">
        <w:rPr>
          <w:rFonts w:cs="Arial"/>
        </w:rPr>
        <w:tab/>
        <w:t>The structure of this document is as follows:</w:t>
      </w:r>
    </w:p>
    <w:p w:rsidR="00D53FBB" w:rsidRDefault="00F3609E" w:rsidP="00CF211A">
      <w:pPr>
        <w:pStyle w:val="TOC1"/>
        <w:rPr>
          <w:rFonts w:asciiTheme="minorHAnsi" w:eastAsiaTheme="minorEastAsia" w:hAnsiTheme="minorHAnsi" w:cstheme="minorBidi"/>
          <w:noProof/>
          <w:sz w:val="22"/>
          <w:szCs w:val="22"/>
        </w:rPr>
      </w:pPr>
      <w:r w:rsidRPr="00F3609E">
        <w:rPr>
          <w:rFonts w:cs="Arial"/>
          <w:bCs/>
          <w:snapToGrid w:val="0"/>
          <w:sz w:val="18"/>
          <w:highlight w:val="yellow"/>
        </w:rPr>
        <w:fldChar w:fldCharType="begin"/>
      </w:r>
      <w:r w:rsidRPr="00F3609E">
        <w:rPr>
          <w:rFonts w:cs="Arial"/>
          <w:bCs/>
          <w:snapToGrid w:val="0"/>
          <w:highlight w:val="yellow"/>
        </w:rPr>
        <w:instrText xml:space="preserve"> TOC \o "1-4" \h \z \u </w:instrText>
      </w:r>
      <w:r w:rsidRPr="00F3609E">
        <w:rPr>
          <w:rFonts w:cs="Arial"/>
          <w:bCs/>
          <w:snapToGrid w:val="0"/>
          <w:sz w:val="18"/>
          <w:highlight w:val="yellow"/>
        </w:rPr>
        <w:fldChar w:fldCharType="separate"/>
      </w:r>
      <w:hyperlink w:anchor="_Toc86170146" w:history="1">
        <w:r w:rsidR="00D53FBB" w:rsidRPr="00E54CE9">
          <w:rPr>
            <w:rStyle w:val="Hyperlink"/>
            <w:noProof/>
          </w:rPr>
          <w:t>Development of guidance and information materials</w:t>
        </w:r>
        <w:r w:rsidR="00D53FBB">
          <w:rPr>
            <w:noProof/>
            <w:webHidden/>
          </w:rPr>
          <w:tab/>
        </w:r>
        <w:r w:rsidR="00D53FBB">
          <w:rPr>
            <w:noProof/>
            <w:webHidden/>
          </w:rPr>
          <w:fldChar w:fldCharType="begin"/>
        </w:r>
        <w:r w:rsidR="00D53FBB">
          <w:rPr>
            <w:noProof/>
            <w:webHidden/>
          </w:rPr>
          <w:instrText xml:space="preserve"> PAGEREF _Toc86170146 \h </w:instrText>
        </w:r>
        <w:r w:rsidR="00D53FBB">
          <w:rPr>
            <w:noProof/>
            <w:webHidden/>
          </w:rPr>
        </w:r>
        <w:r w:rsidR="00D53FBB">
          <w:rPr>
            <w:noProof/>
            <w:webHidden/>
          </w:rPr>
          <w:fldChar w:fldCharType="separate"/>
        </w:r>
        <w:r w:rsidR="00CF211A">
          <w:rPr>
            <w:noProof/>
            <w:webHidden/>
          </w:rPr>
          <w:t>2</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47" w:history="1">
        <w:r w:rsidR="00D53FBB" w:rsidRPr="00E54CE9">
          <w:rPr>
            <w:rStyle w:val="Hyperlink"/>
            <w:noProof/>
          </w:rPr>
          <w:t>Matters for adoption by the Council in 2021</w:t>
        </w:r>
        <w:r w:rsidR="00D53FBB">
          <w:rPr>
            <w:noProof/>
            <w:webHidden/>
          </w:rPr>
          <w:tab/>
        </w:r>
        <w:r w:rsidR="00D53FBB">
          <w:rPr>
            <w:noProof/>
            <w:webHidden/>
          </w:rPr>
          <w:fldChar w:fldCharType="begin"/>
        </w:r>
        <w:r w:rsidR="00D53FBB">
          <w:rPr>
            <w:noProof/>
            <w:webHidden/>
          </w:rPr>
          <w:instrText xml:space="preserve"> PAGEREF _Toc86170147 \h </w:instrText>
        </w:r>
        <w:r w:rsidR="00D53FBB">
          <w:rPr>
            <w:noProof/>
            <w:webHidden/>
          </w:rPr>
        </w:r>
        <w:r w:rsidR="00D53FBB">
          <w:rPr>
            <w:noProof/>
            <w:webHidden/>
          </w:rPr>
          <w:fldChar w:fldCharType="separate"/>
        </w:r>
        <w:r>
          <w:rPr>
            <w:noProof/>
            <w:webHidden/>
          </w:rPr>
          <w:t>2</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48" w:history="1">
        <w:r w:rsidR="00D53FBB" w:rsidRPr="00E54CE9">
          <w:rPr>
            <w:rStyle w:val="Hyperlink"/>
            <w:noProof/>
            <w:snapToGrid w:val="0"/>
          </w:rPr>
          <w:t>Possible future revisions of guidance and information materials</w:t>
        </w:r>
        <w:r w:rsidR="00D53FBB">
          <w:rPr>
            <w:noProof/>
            <w:webHidden/>
          </w:rPr>
          <w:tab/>
        </w:r>
        <w:r w:rsidR="00D53FBB">
          <w:rPr>
            <w:noProof/>
            <w:webHidden/>
          </w:rPr>
          <w:fldChar w:fldCharType="begin"/>
        </w:r>
        <w:r w:rsidR="00D53FBB">
          <w:rPr>
            <w:noProof/>
            <w:webHidden/>
          </w:rPr>
          <w:instrText xml:space="preserve"> PAGEREF _Toc86170148 \h </w:instrText>
        </w:r>
        <w:r w:rsidR="00D53FBB">
          <w:rPr>
            <w:noProof/>
            <w:webHidden/>
          </w:rPr>
        </w:r>
        <w:r w:rsidR="00D53FBB">
          <w:rPr>
            <w:noProof/>
            <w:webHidden/>
          </w:rPr>
          <w:fldChar w:fldCharType="separate"/>
        </w:r>
        <w:r>
          <w:rPr>
            <w:noProof/>
            <w:webHidden/>
          </w:rPr>
          <w:t>3</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49" w:history="1">
        <w:r w:rsidR="00D53FBB" w:rsidRPr="00E54CE9">
          <w:rPr>
            <w:rStyle w:val="Hyperlink"/>
            <w:noProof/>
            <w:snapToGrid w:val="0"/>
          </w:rPr>
          <w:t>(a)</w:t>
        </w:r>
        <w:r w:rsidR="00D53FBB">
          <w:rPr>
            <w:rFonts w:asciiTheme="minorHAnsi" w:eastAsiaTheme="minorEastAsia" w:hAnsiTheme="minorHAnsi" w:cstheme="minorBidi"/>
            <w:noProof/>
            <w:sz w:val="22"/>
            <w:szCs w:val="22"/>
            <w:lang w:val="en-US"/>
          </w:rPr>
          <w:tab/>
        </w:r>
        <w:r w:rsidR="00D53FBB" w:rsidRPr="00E54CE9">
          <w:rPr>
            <w:rStyle w:val="Hyperlink"/>
            <w:noProof/>
            <w:snapToGrid w:val="0"/>
          </w:rPr>
          <w:t>Information documents</w:t>
        </w:r>
        <w:r w:rsidR="00D53FBB">
          <w:rPr>
            <w:noProof/>
            <w:webHidden/>
          </w:rPr>
          <w:tab/>
        </w:r>
        <w:r w:rsidR="00D53FBB">
          <w:rPr>
            <w:noProof/>
            <w:webHidden/>
          </w:rPr>
          <w:fldChar w:fldCharType="begin"/>
        </w:r>
        <w:r w:rsidR="00D53FBB">
          <w:rPr>
            <w:noProof/>
            <w:webHidden/>
          </w:rPr>
          <w:instrText xml:space="preserve"> PAGEREF _Toc86170149 \h </w:instrText>
        </w:r>
        <w:r w:rsidR="00D53FBB">
          <w:rPr>
            <w:noProof/>
            <w:webHidden/>
          </w:rPr>
        </w:r>
        <w:r w:rsidR="00D53FBB">
          <w:rPr>
            <w:noProof/>
            <w:webHidden/>
          </w:rPr>
          <w:fldChar w:fldCharType="separate"/>
        </w:r>
        <w:r>
          <w:rPr>
            <w:noProof/>
            <w:webHidden/>
          </w:rPr>
          <w:t>3</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50" w:history="1">
        <w:r w:rsidR="00D53FBB" w:rsidRPr="00E54CE9">
          <w:rPr>
            <w:rStyle w:val="Hyperlink"/>
            <w:noProof/>
          </w:rPr>
          <w:t>Document UPOV/INF/12 “Explanatory Notes on Variety Denominations under the UPOV Convention”</w:t>
        </w:r>
        <w:r w:rsidR="00D53FBB">
          <w:rPr>
            <w:noProof/>
            <w:webHidden/>
          </w:rPr>
          <w:tab/>
        </w:r>
        <w:r w:rsidR="00D53FBB">
          <w:rPr>
            <w:noProof/>
            <w:webHidden/>
          </w:rPr>
          <w:fldChar w:fldCharType="begin"/>
        </w:r>
        <w:r w:rsidR="00D53FBB">
          <w:rPr>
            <w:noProof/>
            <w:webHidden/>
          </w:rPr>
          <w:instrText xml:space="preserve"> PAGEREF _Toc86170150 \h </w:instrText>
        </w:r>
        <w:r w:rsidR="00D53FBB">
          <w:rPr>
            <w:noProof/>
            <w:webHidden/>
          </w:rPr>
        </w:r>
        <w:r w:rsidR="00D53FBB">
          <w:rPr>
            <w:noProof/>
            <w:webHidden/>
          </w:rPr>
          <w:fldChar w:fldCharType="separate"/>
        </w:r>
        <w:r>
          <w:rPr>
            <w:noProof/>
            <w:webHidden/>
          </w:rPr>
          <w:t>3</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51" w:history="1">
        <w:r w:rsidR="00D53FBB" w:rsidRPr="00E54CE9">
          <w:rPr>
            <w:rStyle w:val="Hyperlink"/>
            <w:noProof/>
            <w:snapToGrid w:val="0"/>
          </w:rPr>
          <w:t>Document UPOV/INF/23 “</w:t>
        </w:r>
        <w:r w:rsidR="00D53FBB" w:rsidRPr="00E54CE9">
          <w:rPr>
            <w:rStyle w:val="Hyperlink"/>
            <w:noProof/>
          </w:rPr>
          <w:t>UPOV Code System”</w:t>
        </w:r>
        <w:r w:rsidR="00D53FBB">
          <w:rPr>
            <w:noProof/>
            <w:webHidden/>
          </w:rPr>
          <w:tab/>
        </w:r>
        <w:r w:rsidR="00D53FBB">
          <w:rPr>
            <w:noProof/>
            <w:webHidden/>
          </w:rPr>
          <w:fldChar w:fldCharType="begin"/>
        </w:r>
        <w:r w:rsidR="00D53FBB">
          <w:rPr>
            <w:noProof/>
            <w:webHidden/>
          </w:rPr>
          <w:instrText xml:space="preserve"> PAGEREF _Toc86170151 \h </w:instrText>
        </w:r>
        <w:r w:rsidR="00D53FBB">
          <w:rPr>
            <w:noProof/>
            <w:webHidden/>
          </w:rPr>
        </w:r>
        <w:r w:rsidR="00D53FBB">
          <w:rPr>
            <w:noProof/>
            <w:webHidden/>
          </w:rPr>
          <w:fldChar w:fldCharType="separate"/>
        </w:r>
        <w:r>
          <w:rPr>
            <w:noProof/>
            <w:webHidden/>
          </w:rPr>
          <w:t>4</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52" w:history="1">
        <w:r w:rsidR="00D53FBB" w:rsidRPr="00E54CE9">
          <w:rPr>
            <w:rStyle w:val="Hyperlink"/>
            <w:noProof/>
            <w:snapToGrid w:val="0"/>
          </w:rPr>
          <w:t>(b)</w:t>
        </w:r>
        <w:r w:rsidR="00D53FBB">
          <w:rPr>
            <w:rFonts w:asciiTheme="minorHAnsi" w:eastAsiaTheme="minorEastAsia" w:hAnsiTheme="minorHAnsi" w:cstheme="minorBidi"/>
            <w:noProof/>
            <w:sz w:val="22"/>
            <w:szCs w:val="22"/>
            <w:lang w:val="en-US"/>
          </w:rPr>
          <w:tab/>
        </w:r>
        <w:r w:rsidR="00D53FBB" w:rsidRPr="00E54CE9">
          <w:rPr>
            <w:rStyle w:val="Hyperlink"/>
            <w:noProof/>
            <w:snapToGrid w:val="0"/>
          </w:rPr>
          <w:t>TGP documents</w:t>
        </w:r>
        <w:r w:rsidR="00D53FBB">
          <w:rPr>
            <w:noProof/>
            <w:webHidden/>
          </w:rPr>
          <w:tab/>
        </w:r>
        <w:r w:rsidR="00D53FBB">
          <w:rPr>
            <w:noProof/>
            <w:webHidden/>
          </w:rPr>
          <w:fldChar w:fldCharType="begin"/>
        </w:r>
        <w:r w:rsidR="00D53FBB">
          <w:rPr>
            <w:noProof/>
            <w:webHidden/>
          </w:rPr>
          <w:instrText xml:space="preserve"> PAGEREF _Toc86170152 \h </w:instrText>
        </w:r>
        <w:r w:rsidR="00D53FBB">
          <w:rPr>
            <w:noProof/>
            <w:webHidden/>
          </w:rPr>
        </w:r>
        <w:r w:rsidR="00D53FBB">
          <w:rPr>
            <w:noProof/>
            <w:webHidden/>
          </w:rPr>
          <w:fldChar w:fldCharType="separate"/>
        </w:r>
        <w:r>
          <w:rPr>
            <w:noProof/>
            <w:webHidden/>
          </w:rPr>
          <w:t>4</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53" w:history="1">
        <w:r w:rsidR="00D53FBB" w:rsidRPr="00E54CE9">
          <w:rPr>
            <w:rStyle w:val="Hyperlink"/>
            <w:noProof/>
          </w:rPr>
          <w:t>Document TGP/5 Section 6:  UPOV Report on Technical Examination and UPOV Variety Description</w:t>
        </w:r>
        <w:r w:rsidR="00D53FBB">
          <w:rPr>
            <w:noProof/>
            <w:webHidden/>
          </w:rPr>
          <w:tab/>
        </w:r>
        <w:r w:rsidR="00D53FBB">
          <w:rPr>
            <w:noProof/>
            <w:webHidden/>
          </w:rPr>
          <w:fldChar w:fldCharType="begin"/>
        </w:r>
        <w:r w:rsidR="00D53FBB">
          <w:rPr>
            <w:noProof/>
            <w:webHidden/>
          </w:rPr>
          <w:instrText xml:space="preserve"> PAGEREF _Toc86170153 \h </w:instrText>
        </w:r>
        <w:r w:rsidR="00D53FBB">
          <w:rPr>
            <w:noProof/>
            <w:webHidden/>
          </w:rPr>
        </w:r>
        <w:r w:rsidR="00D53FBB">
          <w:rPr>
            <w:noProof/>
            <w:webHidden/>
          </w:rPr>
          <w:fldChar w:fldCharType="separate"/>
        </w:r>
        <w:r>
          <w:rPr>
            <w:noProof/>
            <w:webHidden/>
          </w:rPr>
          <w:t>4</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54" w:history="1">
        <w:r w:rsidR="00D53FBB" w:rsidRPr="00E54CE9">
          <w:rPr>
            <w:rStyle w:val="Hyperlink"/>
            <w:noProof/>
          </w:rPr>
          <w:t>Document TGP/8:  Trial Design and Techniques Used in the Examination of Distinctness, Uniformity and Stability (Revision)</w:t>
        </w:r>
        <w:r w:rsidR="00D53FBB">
          <w:rPr>
            <w:noProof/>
            <w:webHidden/>
          </w:rPr>
          <w:tab/>
        </w:r>
        <w:r w:rsidR="00D53FBB">
          <w:rPr>
            <w:noProof/>
            <w:webHidden/>
          </w:rPr>
          <w:fldChar w:fldCharType="begin"/>
        </w:r>
        <w:r w:rsidR="00D53FBB">
          <w:rPr>
            <w:noProof/>
            <w:webHidden/>
          </w:rPr>
          <w:instrText xml:space="preserve"> PAGEREF _Toc86170154 \h </w:instrText>
        </w:r>
        <w:r w:rsidR="00D53FBB">
          <w:rPr>
            <w:noProof/>
            <w:webHidden/>
          </w:rPr>
        </w:r>
        <w:r w:rsidR="00D53FBB">
          <w:rPr>
            <w:noProof/>
            <w:webHidden/>
          </w:rPr>
          <w:fldChar w:fldCharType="separate"/>
        </w:r>
        <w:r>
          <w:rPr>
            <w:noProof/>
            <w:webHidden/>
          </w:rPr>
          <w:t>4</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55" w:history="1">
        <w:r w:rsidR="00D53FBB" w:rsidRPr="00E54CE9">
          <w:rPr>
            <w:rStyle w:val="Hyperlink"/>
            <w:noProof/>
          </w:rPr>
          <w:t>Document TGP/12 ‘Guidance on certain physiological characteristics’</w:t>
        </w:r>
        <w:r w:rsidR="00D53FBB">
          <w:rPr>
            <w:noProof/>
            <w:webHidden/>
          </w:rPr>
          <w:tab/>
        </w:r>
        <w:r w:rsidR="00D53FBB">
          <w:rPr>
            <w:noProof/>
            <w:webHidden/>
          </w:rPr>
          <w:fldChar w:fldCharType="begin"/>
        </w:r>
        <w:r w:rsidR="00D53FBB">
          <w:rPr>
            <w:noProof/>
            <w:webHidden/>
          </w:rPr>
          <w:instrText xml:space="preserve"> PAGEREF _Toc86170155 \h </w:instrText>
        </w:r>
        <w:r w:rsidR="00D53FBB">
          <w:rPr>
            <w:noProof/>
            <w:webHidden/>
          </w:rPr>
        </w:r>
        <w:r w:rsidR="00D53FBB">
          <w:rPr>
            <w:noProof/>
            <w:webHidden/>
          </w:rPr>
          <w:fldChar w:fldCharType="separate"/>
        </w:r>
        <w:r>
          <w:rPr>
            <w:noProof/>
            <w:webHidden/>
          </w:rPr>
          <w:t>4</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56" w:history="1">
        <w:r w:rsidR="00D53FBB" w:rsidRPr="00E54CE9">
          <w:rPr>
            <w:rStyle w:val="Hyperlink"/>
            <w:noProof/>
          </w:rPr>
          <w:t>Program for the development of relevant information materials</w:t>
        </w:r>
        <w:r w:rsidR="00D53FBB">
          <w:rPr>
            <w:noProof/>
            <w:webHidden/>
          </w:rPr>
          <w:tab/>
        </w:r>
        <w:r w:rsidR="00D53FBB">
          <w:rPr>
            <w:noProof/>
            <w:webHidden/>
          </w:rPr>
          <w:fldChar w:fldCharType="begin"/>
        </w:r>
        <w:r w:rsidR="00D53FBB">
          <w:rPr>
            <w:noProof/>
            <w:webHidden/>
          </w:rPr>
          <w:instrText xml:space="preserve"> PAGEREF _Toc86170156 \h </w:instrText>
        </w:r>
        <w:r w:rsidR="00D53FBB">
          <w:rPr>
            <w:noProof/>
            <w:webHidden/>
          </w:rPr>
        </w:r>
        <w:r w:rsidR="00D53FBB">
          <w:rPr>
            <w:noProof/>
            <w:webHidden/>
          </w:rPr>
          <w:fldChar w:fldCharType="separate"/>
        </w:r>
        <w:r>
          <w:rPr>
            <w:noProof/>
            <w:webHidden/>
          </w:rPr>
          <w:t>5</w:t>
        </w:r>
        <w:r w:rsidR="00D53FBB">
          <w:rPr>
            <w:noProof/>
            <w:webHidden/>
          </w:rPr>
          <w:fldChar w:fldCharType="end"/>
        </w:r>
      </w:hyperlink>
    </w:p>
    <w:p w:rsidR="00D53FBB" w:rsidRDefault="00CF211A" w:rsidP="00CF211A">
      <w:pPr>
        <w:pStyle w:val="TOC1"/>
        <w:rPr>
          <w:rFonts w:asciiTheme="minorHAnsi" w:eastAsiaTheme="minorEastAsia" w:hAnsiTheme="minorHAnsi" w:cstheme="minorBidi"/>
          <w:noProof/>
          <w:sz w:val="22"/>
          <w:szCs w:val="22"/>
        </w:rPr>
      </w:pPr>
      <w:hyperlink w:anchor="_Toc86170157" w:history="1">
        <w:r w:rsidR="00D53FBB" w:rsidRPr="00E54CE9">
          <w:rPr>
            <w:rStyle w:val="Hyperlink"/>
            <w:noProof/>
          </w:rPr>
          <w:t>Cooperation in examination</w:t>
        </w:r>
        <w:r w:rsidR="00D53FBB">
          <w:rPr>
            <w:noProof/>
            <w:webHidden/>
          </w:rPr>
          <w:tab/>
        </w:r>
        <w:r w:rsidR="00D53FBB">
          <w:rPr>
            <w:noProof/>
            <w:webHidden/>
          </w:rPr>
          <w:fldChar w:fldCharType="begin"/>
        </w:r>
        <w:r w:rsidR="00D53FBB">
          <w:rPr>
            <w:noProof/>
            <w:webHidden/>
          </w:rPr>
          <w:instrText xml:space="preserve"> PAGEREF _Toc86170157 \h </w:instrText>
        </w:r>
        <w:r w:rsidR="00D53FBB">
          <w:rPr>
            <w:noProof/>
            <w:webHidden/>
          </w:rPr>
        </w:r>
        <w:r w:rsidR="00D53FBB">
          <w:rPr>
            <w:noProof/>
            <w:webHidden/>
          </w:rPr>
          <w:fldChar w:fldCharType="separate"/>
        </w:r>
        <w:r>
          <w:rPr>
            <w:noProof/>
            <w:webHidden/>
          </w:rPr>
          <w:t>5</w:t>
        </w:r>
        <w:r w:rsidR="00D53FBB">
          <w:rPr>
            <w:noProof/>
            <w:webHidden/>
          </w:rPr>
          <w:fldChar w:fldCharType="end"/>
        </w:r>
      </w:hyperlink>
    </w:p>
    <w:p w:rsidR="00D53FBB" w:rsidRDefault="00CF211A" w:rsidP="00CF211A">
      <w:pPr>
        <w:pStyle w:val="TOC1"/>
        <w:rPr>
          <w:rFonts w:asciiTheme="minorHAnsi" w:eastAsiaTheme="minorEastAsia" w:hAnsiTheme="minorHAnsi" w:cstheme="minorBidi"/>
          <w:noProof/>
          <w:sz w:val="22"/>
          <w:szCs w:val="22"/>
        </w:rPr>
      </w:pPr>
      <w:hyperlink w:anchor="_Toc86170158" w:history="1">
        <w:r w:rsidR="00D53FBB" w:rsidRPr="00E54CE9">
          <w:rPr>
            <w:rStyle w:val="Hyperlink"/>
            <w:noProof/>
          </w:rPr>
          <w:t>UPOV information databases</w:t>
        </w:r>
        <w:r w:rsidR="00D53FBB">
          <w:rPr>
            <w:noProof/>
            <w:webHidden/>
          </w:rPr>
          <w:tab/>
        </w:r>
        <w:r w:rsidR="00D53FBB">
          <w:rPr>
            <w:noProof/>
            <w:webHidden/>
          </w:rPr>
          <w:fldChar w:fldCharType="begin"/>
        </w:r>
        <w:r w:rsidR="00D53FBB">
          <w:rPr>
            <w:noProof/>
            <w:webHidden/>
          </w:rPr>
          <w:instrText xml:space="preserve"> PAGEREF _Toc86170158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59" w:history="1">
        <w:r w:rsidR="00D53FBB" w:rsidRPr="00E54CE9">
          <w:rPr>
            <w:rStyle w:val="Hyperlink"/>
            <w:noProof/>
          </w:rPr>
          <w:t>Amending the UPOV code system to provide information on variety groups or types</w:t>
        </w:r>
        <w:r w:rsidR="00D53FBB">
          <w:rPr>
            <w:noProof/>
            <w:webHidden/>
          </w:rPr>
          <w:tab/>
        </w:r>
        <w:r w:rsidR="00D53FBB">
          <w:rPr>
            <w:noProof/>
            <w:webHidden/>
          </w:rPr>
          <w:fldChar w:fldCharType="begin"/>
        </w:r>
        <w:r w:rsidR="00D53FBB">
          <w:rPr>
            <w:noProof/>
            <w:webHidden/>
          </w:rPr>
          <w:instrText xml:space="preserve"> PAGEREF _Toc86170159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60" w:history="1">
        <w:r w:rsidR="00D53FBB" w:rsidRPr="00E54CE9">
          <w:rPr>
            <w:rStyle w:val="Hyperlink"/>
            <w:noProof/>
          </w:rPr>
          <w:t>Proposals for amending UPOV codes</w:t>
        </w:r>
        <w:r w:rsidR="00D53FBB">
          <w:rPr>
            <w:noProof/>
            <w:webHidden/>
          </w:rPr>
          <w:tab/>
        </w:r>
        <w:r w:rsidR="00D53FBB">
          <w:rPr>
            <w:noProof/>
            <w:webHidden/>
          </w:rPr>
          <w:fldChar w:fldCharType="begin"/>
        </w:r>
        <w:r w:rsidR="00D53FBB">
          <w:rPr>
            <w:noProof/>
            <w:webHidden/>
          </w:rPr>
          <w:instrText xml:space="preserve"> PAGEREF _Toc86170160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61" w:history="1">
        <w:r w:rsidR="00D53FBB" w:rsidRPr="00E54CE9">
          <w:rPr>
            <w:rStyle w:val="Hyperlink"/>
            <w:rFonts w:eastAsia="MS Mincho"/>
            <w:noProof/>
          </w:rPr>
          <w:t>UPOV codes for Brassica oleracea</w:t>
        </w:r>
        <w:r w:rsidR="00D53FBB">
          <w:rPr>
            <w:noProof/>
            <w:webHidden/>
          </w:rPr>
          <w:tab/>
        </w:r>
        <w:r w:rsidR="00D53FBB">
          <w:rPr>
            <w:noProof/>
            <w:webHidden/>
          </w:rPr>
          <w:fldChar w:fldCharType="begin"/>
        </w:r>
        <w:r w:rsidR="00D53FBB">
          <w:rPr>
            <w:noProof/>
            <w:webHidden/>
          </w:rPr>
          <w:instrText xml:space="preserve"> PAGEREF _Toc86170161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62" w:history="1">
        <w:r w:rsidR="00D53FBB" w:rsidRPr="00E54CE9">
          <w:rPr>
            <w:rStyle w:val="Hyperlink"/>
            <w:noProof/>
          </w:rPr>
          <w:t>UPOV codes for Citrus</w:t>
        </w:r>
        <w:r w:rsidR="00D53FBB">
          <w:rPr>
            <w:noProof/>
            <w:webHidden/>
          </w:rPr>
          <w:tab/>
        </w:r>
        <w:r w:rsidR="00D53FBB">
          <w:rPr>
            <w:noProof/>
            <w:webHidden/>
          </w:rPr>
          <w:fldChar w:fldCharType="begin"/>
        </w:r>
        <w:r w:rsidR="00D53FBB">
          <w:rPr>
            <w:noProof/>
            <w:webHidden/>
          </w:rPr>
          <w:instrText xml:space="preserve"> PAGEREF _Toc86170162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63" w:history="1">
        <w:r w:rsidR="00D53FBB" w:rsidRPr="00E54CE9">
          <w:rPr>
            <w:rStyle w:val="Hyperlink"/>
            <w:rFonts w:eastAsia="MS Mincho"/>
            <w:noProof/>
          </w:rPr>
          <w:t>UPOV codes ZEAAA_MAY_SAC, ZEAAA_MAY_EVE and ZEAAA_MAY_MIC</w:t>
        </w:r>
        <w:r w:rsidR="00D53FBB">
          <w:rPr>
            <w:noProof/>
            <w:webHidden/>
          </w:rPr>
          <w:tab/>
        </w:r>
        <w:r w:rsidR="00D53FBB">
          <w:rPr>
            <w:noProof/>
            <w:webHidden/>
          </w:rPr>
          <w:fldChar w:fldCharType="begin"/>
        </w:r>
        <w:r w:rsidR="00D53FBB">
          <w:rPr>
            <w:noProof/>
            <w:webHidden/>
          </w:rPr>
          <w:instrText xml:space="preserve"> PAGEREF _Toc86170163 \h </w:instrText>
        </w:r>
        <w:r w:rsidR="00D53FBB">
          <w:rPr>
            <w:noProof/>
            <w:webHidden/>
          </w:rPr>
        </w:r>
        <w:r w:rsidR="00D53FBB">
          <w:rPr>
            <w:noProof/>
            <w:webHidden/>
          </w:rPr>
          <w:fldChar w:fldCharType="separate"/>
        </w:r>
        <w:r>
          <w:rPr>
            <w:noProof/>
            <w:webHidden/>
          </w:rPr>
          <w:t>6</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64" w:history="1">
        <w:r w:rsidR="00D53FBB" w:rsidRPr="00E54CE9">
          <w:rPr>
            <w:rStyle w:val="Hyperlink"/>
            <w:rFonts w:eastAsia="MS Mincho"/>
            <w:noProof/>
          </w:rPr>
          <w:t>Additional proposals for amending UPOV codes considered by the TWPs in 2021</w:t>
        </w:r>
        <w:r w:rsidR="00D53FBB">
          <w:rPr>
            <w:noProof/>
            <w:webHidden/>
          </w:rPr>
          <w:tab/>
        </w:r>
        <w:r w:rsidR="00D53FBB">
          <w:rPr>
            <w:noProof/>
            <w:webHidden/>
          </w:rPr>
          <w:fldChar w:fldCharType="begin"/>
        </w:r>
        <w:r w:rsidR="00D53FBB">
          <w:rPr>
            <w:noProof/>
            <w:webHidden/>
          </w:rPr>
          <w:instrText xml:space="preserve"> PAGEREF _Toc86170164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65" w:history="1">
        <w:r w:rsidR="00D53FBB" w:rsidRPr="00E54CE9">
          <w:rPr>
            <w:rStyle w:val="Hyperlink"/>
            <w:rFonts w:eastAsia="MS Mincho"/>
            <w:noProof/>
          </w:rPr>
          <w:t>UPOV cod</w:t>
        </w:r>
        <w:bookmarkStart w:id="2" w:name="_GoBack"/>
        <w:bookmarkEnd w:id="2"/>
        <w:r w:rsidR="00D53FBB" w:rsidRPr="00E54CE9">
          <w:rPr>
            <w:rStyle w:val="Hyperlink"/>
            <w:rFonts w:eastAsia="MS Mincho"/>
            <w:noProof/>
          </w:rPr>
          <w:t>e for Aloe aristata</w:t>
        </w:r>
        <w:r w:rsidR="00D53FBB">
          <w:rPr>
            <w:noProof/>
            <w:webHidden/>
          </w:rPr>
          <w:tab/>
        </w:r>
        <w:r w:rsidR="00D53FBB">
          <w:rPr>
            <w:noProof/>
            <w:webHidden/>
          </w:rPr>
          <w:fldChar w:fldCharType="begin"/>
        </w:r>
        <w:r w:rsidR="00D53FBB">
          <w:rPr>
            <w:noProof/>
            <w:webHidden/>
          </w:rPr>
          <w:instrText xml:space="preserve"> PAGEREF _Toc86170165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pPr>
        <w:pStyle w:val="TOC4"/>
        <w:rPr>
          <w:rFonts w:asciiTheme="minorHAnsi" w:eastAsiaTheme="minorEastAsia" w:hAnsiTheme="minorHAnsi" w:cstheme="minorBidi"/>
          <w:i w:val="0"/>
          <w:noProof/>
          <w:sz w:val="22"/>
          <w:szCs w:val="22"/>
          <w:lang w:val="en-US"/>
        </w:rPr>
      </w:pPr>
      <w:hyperlink w:anchor="_Toc86170166" w:history="1">
        <w:r w:rsidR="00D53FBB" w:rsidRPr="00E54CE9">
          <w:rPr>
            <w:rStyle w:val="Hyperlink"/>
            <w:rFonts w:eastAsia="MS Mincho"/>
            <w:noProof/>
          </w:rPr>
          <w:t>UPOV code for Dicentra species</w:t>
        </w:r>
        <w:r w:rsidR="00D53FBB">
          <w:rPr>
            <w:noProof/>
            <w:webHidden/>
          </w:rPr>
          <w:tab/>
        </w:r>
        <w:r w:rsidR="00D53FBB">
          <w:rPr>
            <w:noProof/>
            <w:webHidden/>
          </w:rPr>
          <w:fldChar w:fldCharType="begin"/>
        </w:r>
        <w:r w:rsidR="00D53FBB">
          <w:rPr>
            <w:noProof/>
            <w:webHidden/>
          </w:rPr>
          <w:instrText xml:space="preserve"> PAGEREF _Toc86170166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rsidP="00CF211A">
      <w:pPr>
        <w:pStyle w:val="TOC1"/>
        <w:rPr>
          <w:rFonts w:asciiTheme="minorHAnsi" w:eastAsiaTheme="minorEastAsia" w:hAnsiTheme="minorHAnsi" w:cstheme="minorBidi"/>
          <w:noProof/>
          <w:sz w:val="22"/>
          <w:szCs w:val="22"/>
        </w:rPr>
      </w:pPr>
      <w:hyperlink w:anchor="_Toc86170167" w:history="1">
        <w:r w:rsidR="00D53FBB" w:rsidRPr="00E54CE9">
          <w:rPr>
            <w:rStyle w:val="Hyperlink"/>
            <w:noProof/>
          </w:rPr>
          <w:t>Molecular techniques</w:t>
        </w:r>
        <w:r w:rsidR="00D53FBB">
          <w:rPr>
            <w:noProof/>
            <w:webHidden/>
          </w:rPr>
          <w:tab/>
        </w:r>
        <w:r w:rsidR="00D53FBB">
          <w:rPr>
            <w:noProof/>
            <w:webHidden/>
          </w:rPr>
          <w:fldChar w:fldCharType="begin"/>
        </w:r>
        <w:r w:rsidR="00D53FBB">
          <w:rPr>
            <w:noProof/>
            <w:webHidden/>
          </w:rPr>
          <w:instrText xml:space="preserve"> PAGEREF _Toc86170167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68" w:history="1">
        <w:r w:rsidR="00D53FBB" w:rsidRPr="00E54CE9">
          <w:rPr>
            <w:rStyle w:val="Hyperlink"/>
            <w:noProof/>
            <w:snapToGrid w:val="0"/>
            <w:lang w:eastAsia="ja-JP"/>
          </w:rPr>
          <w:t>Cooperation between international organizations</w:t>
        </w:r>
        <w:r w:rsidR="00D53FBB">
          <w:rPr>
            <w:noProof/>
            <w:webHidden/>
          </w:rPr>
          <w:tab/>
        </w:r>
        <w:r w:rsidR="00D53FBB">
          <w:rPr>
            <w:noProof/>
            <w:webHidden/>
          </w:rPr>
          <w:fldChar w:fldCharType="begin"/>
        </w:r>
        <w:r w:rsidR="00D53FBB">
          <w:rPr>
            <w:noProof/>
            <w:webHidden/>
          </w:rPr>
          <w:instrText xml:space="preserve"> PAGEREF _Toc86170168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rsidP="00D53FBB">
      <w:pPr>
        <w:pStyle w:val="TOC3"/>
        <w:rPr>
          <w:rFonts w:asciiTheme="minorHAnsi" w:eastAsiaTheme="minorEastAsia" w:hAnsiTheme="minorHAnsi" w:cstheme="minorBidi"/>
          <w:noProof/>
          <w:sz w:val="22"/>
          <w:szCs w:val="22"/>
          <w:lang w:val="en-US"/>
        </w:rPr>
      </w:pPr>
      <w:hyperlink w:anchor="_Toc86170169" w:history="1">
        <w:r w:rsidR="00D53FBB" w:rsidRPr="00E54CE9">
          <w:rPr>
            <w:rStyle w:val="Hyperlink"/>
            <w:noProof/>
          </w:rPr>
          <w:t>Lists of possible joint initiatives with OECD and ISTA in relation to molecular techniques</w:t>
        </w:r>
        <w:r w:rsidR="00D53FBB">
          <w:rPr>
            <w:noProof/>
            <w:webHidden/>
          </w:rPr>
          <w:tab/>
        </w:r>
        <w:r w:rsidR="00D53FBB">
          <w:rPr>
            <w:noProof/>
            <w:webHidden/>
          </w:rPr>
          <w:fldChar w:fldCharType="begin"/>
        </w:r>
        <w:r w:rsidR="00D53FBB">
          <w:rPr>
            <w:noProof/>
            <w:webHidden/>
          </w:rPr>
          <w:instrText xml:space="preserve"> PAGEREF _Toc86170169 \h </w:instrText>
        </w:r>
        <w:r w:rsidR="00D53FBB">
          <w:rPr>
            <w:noProof/>
            <w:webHidden/>
          </w:rPr>
        </w:r>
        <w:r w:rsidR="00D53FBB">
          <w:rPr>
            <w:noProof/>
            <w:webHidden/>
          </w:rPr>
          <w:fldChar w:fldCharType="separate"/>
        </w:r>
        <w:r>
          <w:rPr>
            <w:noProof/>
            <w:webHidden/>
          </w:rPr>
          <w:t>7</w:t>
        </w:r>
        <w:r w:rsidR="00D53FBB">
          <w:rPr>
            <w:noProof/>
            <w:webHidden/>
          </w:rPr>
          <w:fldChar w:fldCharType="end"/>
        </w:r>
      </w:hyperlink>
    </w:p>
    <w:p w:rsidR="00D53FBB" w:rsidRDefault="00CF211A" w:rsidP="00CF211A">
      <w:pPr>
        <w:pStyle w:val="TOC1"/>
        <w:rPr>
          <w:rFonts w:asciiTheme="minorHAnsi" w:eastAsiaTheme="minorEastAsia" w:hAnsiTheme="minorHAnsi" w:cstheme="minorBidi"/>
          <w:noProof/>
          <w:sz w:val="22"/>
          <w:szCs w:val="22"/>
        </w:rPr>
      </w:pPr>
      <w:hyperlink w:anchor="_Toc86170170" w:history="1">
        <w:r w:rsidR="00D53FBB" w:rsidRPr="00E54CE9">
          <w:rPr>
            <w:rStyle w:val="Hyperlink"/>
            <w:noProof/>
          </w:rPr>
          <w:t>Increasing participation in the work of the TC and the TWPs</w:t>
        </w:r>
        <w:r w:rsidR="00D53FBB">
          <w:rPr>
            <w:noProof/>
            <w:webHidden/>
          </w:rPr>
          <w:tab/>
        </w:r>
        <w:r w:rsidR="00D53FBB">
          <w:rPr>
            <w:noProof/>
            <w:webHidden/>
          </w:rPr>
          <w:fldChar w:fldCharType="begin"/>
        </w:r>
        <w:r w:rsidR="00D53FBB">
          <w:rPr>
            <w:noProof/>
            <w:webHidden/>
          </w:rPr>
          <w:instrText xml:space="preserve"> PAGEREF _Toc86170170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71" w:history="1">
        <w:r w:rsidR="00D53FBB" w:rsidRPr="00E54CE9">
          <w:rPr>
            <w:rStyle w:val="Hyperlink"/>
            <w:noProof/>
            <w:snapToGrid w:val="0"/>
          </w:rPr>
          <w:t>Participation at the TC and TWP meetings by electronic means</w:t>
        </w:r>
        <w:r w:rsidR="00D53FBB">
          <w:rPr>
            <w:noProof/>
            <w:webHidden/>
          </w:rPr>
          <w:tab/>
        </w:r>
        <w:r w:rsidR="00D53FBB">
          <w:rPr>
            <w:noProof/>
            <w:webHidden/>
          </w:rPr>
          <w:fldChar w:fldCharType="begin"/>
        </w:r>
        <w:r w:rsidR="00D53FBB">
          <w:rPr>
            <w:noProof/>
            <w:webHidden/>
          </w:rPr>
          <w:instrText xml:space="preserve"> PAGEREF _Toc86170171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72" w:history="1">
        <w:r w:rsidR="00D53FBB" w:rsidRPr="00E54CE9">
          <w:rPr>
            <w:rStyle w:val="Hyperlink"/>
            <w:noProof/>
            <w:snapToGrid w:val="0"/>
          </w:rPr>
          <w:t>Possible measures for physical and virtual participation at TWP meetings</w:t>
        </w:r>
        <w:r w:rsidR="00D53FBB">
          <w:rPr>
            <w:noProof/>
            <w:webHidden/>
          </w:rPr>
          <w:tab/>
        </w:r>
        <w:r w:rsidR="00D53FBB">
          <w:rPr>
            <w:noProof/>
            <w:webHidden/>
          </w:rPr>
          <w:fldChar w:fldCharType="begin"/>
        </w:r>
        <w:r w:rsidR="00D53FBB">
          <w:rPr>
            <w:noProof/>
            <w:webHidden/>
          </w:rPr>
          <w:instrText xml:space="preserve"> PAGEREF _Toc86170172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2"/>
        <w:rPr>
          <w:rFonts w:asciiTheme="minorHAnsi" w:eastAsiaTheme="minorEastAsia" w:hAnsiTheme="minorHAnsi" w:cstheme="minorBidi"/>
          <w:noProof/>
          <w:sz w:val="22"/>
          <w:szCs w:val="22"/>
        </w:rPr>
      </w:pPr>
      <w:hyperlink w:anchor="_Toc86170173" w:history="1">
        <w:r w:rsidR="00D53FBB" w:rsidRPr="00E54CE9">
          <w:rPr>
            <w:rStyle w:val="Hyperlink"/>
            <w:noProof/>
            <w:snapToGrid w:val="0"/>
          </w:rPr>
          <w:t>Proposals for increasing participation in the work of the Technical Working Parties</w:t>
        </w:r>
        <w:r w:rsidR="00D53FBB">
          <w:rPr>
            <w:noProof/>
            <w:webHidden/>
          </w:rPr>
          <w:tab/>
        </w:r>
        <w:r w:rsidR="00D53FBB">
          <w:rPr>
            <w:noProof/>
            <w:webHidden/>
          </w:rPr>
          <w:fldChar w:fldCharType="begin"/>
        </w:r>
        <w:r w:rsidR="00D53FBB">
          <w:rPr>
            <w:noProof/>
            <w:webHidden/>
          </w:rPr>
          <w:instrText xml:space="preserve"> PAGEREF _Toc86170173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4"/>
        <w:tabs>
          <w:tab w:val="left" w:pos="2600"/>
        </w:tabs>
        <w:rPr>
          <w:rFonts w:asciiTheme="minorHAnsi" w:eastAsiaTheme="minorEastAsia" w:hAnsiTheme="minorHAnsi" w:cstheme="minorBidi"/>
          <w:i w:val="0"/>
          <w:noProof/>
          <w:sz w:val="22"/>
          <w:szCs w:val="22"/>
          <w:lang w:val="en-US"/>
        </w:rPr>
      </w:pPr>
      <w:hyperlink w:anchor="_Toc86170174" w:history="1">
        <w:r w:rsidR="00D53FBB" w:rsidRPr="00E54CE9">
          <w:rPr>
            <w:rStyle w:val="Hyperlink"/>
            <w:noProof/>
          </w:rPr>
          <w:t>(a)</w:t>
        </w:r>
        <w:r w:rsidR="00D53FBB">
          <w:rPr>
            <w:rFonts w:asciiTheme="minorHAnsi" w:eastAsiaTheme="minorEastAsia" w:hAnsiTheme="minorHAnsi" w:cstheme="minorBidi"/>
            <w:i w:val="0"/>
            <w:noProof/>
            <w:sz w:val="22"/>
            <w:szCs w:val="22"/>
            <w:lang w:val="en-US"/>
          </w:rPr>
          <w:tab/>
        </w:r>
        <w:r w:rsidR="00D53FBB" w:rsidRPr="00E54CE9">
          <w:rPr>
            <w:rStyle w:val="Hyperlink"/>
            <w:noProof/>
          </w:rPr>
          <w:t>Virtual preparatory workshops prior to the TWPs</w:t>
        </w:r>
        <w:r w:rsidR="00D53FBB">
          <w:rPr>
            <w:noProof/>
            <w:webHidden/>
          </w:rPr>
          <w:tab/>
        </w:r>
        <w:r w:rsidR="00D53FBB">
          <w:rPr>
            <w:noProof/>
            <w:webHidden/>
          </w:rPr>
          <w:fldChar w:fldCharType="begin"/>
        </w:r>
        <w:r w:rsidR="00D53FBB">
          <w:rPr>
            <w:noProof/>
            <w:webHidden/>
          </w:rPr>
          <w:instrText xml:space="preserve"> PAGEREF _Toc86170174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4"/>
        <w:tabs>
          <w:tab w:val="left" w:pos="2600"/>
        </w:tabs>
        <w:rPr>
          <w:rFonts w:asciiTheme="minorHAnsi" w:eastAsiaTheme="minorEastAsia" w:hAnsiTheme="minorHAnsi" w:cstheme="minorBidi"/>
          <w:i w:val="0"/>
          <w:noProof/>
          <w:sz w:val="22"/>
          <w:szCs w:val="22"/>
          <w:lang w:val="en-US"/>
        </w:rPr>
      </w:pPr>
      <w:hyperlink w:anchor="_Toc86170175" w:history="1">
        <w:r w:rsidR="00D53FBB" w:rsidRPr="00E54CE9">
          <w:rPr>
            <w:rStyle w:val="Hyperlink"/>
            <w:noProof/>
          </w:rPr>
          <w:t>(b)</w:t>
        </w:r>
        <w:r w:rsidR="00D53FBB">
          <w:rPr>
            <w:rFonts w:asciiTheme="minorHAnsi" w:eastAsiaTheme="minorEastAsia" w:hAnsiTheme="minorHAnsi" w:cstheme="minorBidi"/>
            <w:i w:val="0"/>
            <w:noProof/>
            <w:sz w:val="22"/>
            <w:szCs w:val="22"/>
            <w:lang w:val="en-US"/>
          </w:rPr>
          <w:tab/>
        </w:r>
        <w:r w:rsidR="00D53FBB" w:rsidRPr="00E54CE9">
          <w:rPr>
            <w:rStyle w:val="Hyperlink"/>
            <w:noProof/>
          </w:rPr>
          <w:t>Comments and questions on TWP meeting documents to be provided in advance of the sessions</w:t>
        </w:r>
        <w:r w:rsidR="00D53FBB">
          <w:rPr>
            <w:noProof/>
            <w:webHidden/>
          </w:rPr>
          <w:tab/>
        </w:r>
        <w:r w:rsidR="00D53FBB">
          <w:rPr>
            <w:noProof/>
            <w:webHidden/>
          </w:rPr>
          <w:fldChar w:fldCharType="begin"/>
        </w:r>
        <w:r w:rsidR="00D53FBB">
          <w:rPr>
            <w:noProof/>
            <w:webHidden/>
          </w:rPr>
          <w:instrText xml:space="preserve"> PAGEREF _Toc86170175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4"/>
        <w:tabs>
          <w:tab w:val="left" w:pos="2590"/>
        </w:tabs>
        <w:rPr>
          <w:rFonts w:asciiTheme="minorHAnsi" w:eastAsiaTheme="minorEastAsia" w:hAnsiTheme="minorHAnsi" w:cstheme="minorBidi"/>
          <w:i w:val="0"/>
          <w:noProof/>
          <w:sz w:val="22"/>
          <w:szCs w:val="22"/>
          <w:lang w:val="en-US"/>
        </w:rPr>
      </w:pPr>
      <w:hyperlink w:anchor="_Toc86170176" w:history="1">
        <w:r w:rsidR="00D53FBB" w:rsidRPr="00E54CE9">
          <w:rPr>
            <w:rStyle w:val="Hyperlink"/>
            <w:noProof/>
          </w:rPr>
          <w:t>(c)</w:t>
        </w:r>
        <w:r w:rsidR="00D53FBB">
          <w:rPr>
            <w:rFonts w:asciiTheme="minorHAnsi" w:eastAsiaTheme="minorEastAsia" w:hAnsiTheme="minorHAnsi" w:cstheme="minorBidi"/>
            <w:i w:val="0"/>
            <w:noProof/>
            <w:sz w:val="22"/>
            <w:szCs w:val="22"/>
            <w:lang w:val="en-US"/>
          </w:rPr>
          <w:tab/>
        </w:r>
        <w:r w:rsidR="00D53FBB" w:rsidRPr="00E54CE9">
          <w:rPr>
            <w:rStyle w:val="Hyperlink"/>
            <w:noProof/>
          </w:rPr>
          <w:t>Alternating one year of physical meeting with one year of virtual meeting</w:t>
        </w:r>
        <w:r w:rsidR="00D53FBB">
          <w:rPr>
            <w:noProof/>
            <w:webHidden/>
          </w:rPr>
          <w:tab/>
        </w:r>
        <w:r w:rsidR="00D53FBB">
          <w:rPr>
            <w:noProof/>
            <w:webHidden/>
          </w:rPr>
          <w:fldChar w:fldCharType="begin"/>
        </w:r>
        <w:r w:rsidR="00D53FBB">
          <w:rPr>
            <w:noProof/>
            <w:webHidden/>
          </w:rPr>
          <w:instrText xml:space="preserve"> PAGEREF _Toc86170176 \h </w:instrText>
        </w:r>
        <w:r w:rsidR="00D53FBB">
          <w:rPr>
            <w:noProof/>
            <w:webHidden/>
          </w:rPr>
        </w:r>
        <w:r w:rsidR="00D53FBB">
          <w:rPr>
            <w:noProof/>
            <w:webHidden/>
          </w:rPr>
          <w:fldChar w:fldCharType="separate"/>
        </w:r>
        <w:r>
          <w:rPr>
            <w:noProof/>
            <w:webHidden/>
          </w:rPr>
          <w:t>8</w:t>
        </w:r>
        <w:r w:rsidR="00D53FBB">
          <w:rPr>
            <w:noProof/>
            <w:webHidden/>
          </w:rPr>
          <w:fldChar w:fldCharType="end"/>
        </w:r>
      </w:hyperlink>
    </w:p>
    <w:p w:rsidR="00D53FBB" w:rsidRDefault="00CF211A">
      <w:pPr>
        <w:pStyle w:val="TOC4"/>
        <w:tabs>
          <w:tab w:val="left" w:pos="2600"/>
        </w:tabs>
        <w:rPr>
          <w:rFonts w:asciiTheme="minorHAnsi" w:eastAsiaTheme="minorEastAsia" w:hAnsiTheme="minorHAnsi" w:cstheme="minorBidi"/>
          <w:i w:val="0"/>
          <w:noProof/>
          <w:sz w:val="22"/>
          <w:szCs w:val="22"/>
          <w:lang w:val="en-US"/>
        </w:rPr>
      </w:pPr>
      <w:hyperlink w:anchor="_Toc86170177" w:history="1">
        <w:r w:rsidR="00D53FBB" w:rsidRPr="00E54CE9">
          <w:rPr>
            <w:rStyle w:val="Hyperlink"/>
            <w:noProof/>
          </w:rPr>
          <w:t>(d)</w:t>
        </w:r>
        <w:r w:rsidR="00D53FBB">
          <w:rPr>
            <w:rFonts w:asciiTheme="minorHAnsi" w:eastAsiaTheme="minorEastAsia" w:hAnsiTheme="minorHAnsi" w:cstheme="minorBidi"/>
            <w:i w:val="0"/>
            <w:noProof/>
            <w:sz w:val="22"/>
            <w:szCs w:val="22"/>
            <w:lang w:val="en-US"/>
          </w:rPr>
          <w:tab/>
        </w:r>
        <w:r w:rsidR="00D53FBB" w:rsidRPr="00E54CE9">
          <w:rPr>
            <w:rStyle w:val="Hyperlink"/>
            <w:noProof/>
          </w:rPr>
          <w:t>Electronic participation at physical TWP sessions</w:t>
        </w:r>
        <w:r w:rsidR="00D53FBB">
          <w:rPr>
            <w:noProof/>
            <w:webHidden/>
          </w:rPr>
          <w:tab/>
        </w:r>
        <w:r w:rsidR="00D53FBB">
          <w:rPr>
            <w:noProof/>
            <w:webHidden/>
          </w:rPr>
          <w:fldChar w:fldCharType="begin"/>
        </w:r>
        <w:r w:rsidR="00D53FBB">
          <w:rPr>
            <w:noProof/>
            <w:webHidden/>
          </w:rPr>
          <w:instrText xml:space="preserve"> PAGEREF _Toc86170177 \h </w:instrText>
        </w:r>
        <w:r w:rsidR="00D53FBB">
          <w:rPr>
            <w:noProof/>
            <w:webHidden/>
          </w:rPr>
        </w:r>
        <w:r w:rsidR="00D53FBB">
          <w:rPr>
            <w:noProof/>
            <w:webHidden/>
          </w:rPr>
          <w:fldChar w:fldCharType="separate"/>
        </w:r>
        <w:r>
          <w:rPr>
            <w:noProof/>
            <w:webHidden/>
          </w:rPr>
          <w:t>9</w:t>
        </w:r>
        <w:r w:rsidR="00D53FBB">
          <w:rPr>
            <w:noProof/>
            <w:webHidden/>
          </w:rPr>
          <w:fldChar w:fldCharType="end"/>
        </w:r>
      </w:hyperlink>
    </w:p>
    <w:p w:rsidR="00D53FBB" w:rsidRDefault="00CF211A">
      <w:pPr>
        <w:pStyle w:val="TOC4"/>
        <w:tabs>
          <w:tab w:val="left" w:pos="2600"/>
        </w:tabs>
        <w:rPr>
          <w:rFonts w:asciiTheme="minorHAnsi" w:eastAsiaTheme="minorEastAsia" w:hAnsiTheme="minorHAnsi" w:cstheme="minorBidi"/>
          <w:i w:val="0"/>
          <w:noProof/>
          <w:sz w:val="22"/>
          <w:szCs w:val="22"/>
          <w:lang w:val="en-US"/>
        </w:rPr>
      </w:pPr>
      <w:hyperlink w:anchor="_Toc86170178" w:history="1">
        <w:r w:rsidR="00D53FBB" w:rsidRPr="00E54CE9">
          <w:rPr>
            <w:rStyle w:val="Hyperlink"/>
            <w:noProof/>
          </w:rPr>
          <w:t>(e)</w:t>
        </w:r>
        <w:r w:rsidR="00D53FBB">
          <w:rPr>
            <w:rFonts w:asciiTheme="minorHAnsi" w:eastAsiaTheme="minorEastAsia" w:hAnsiTheme="minorHAnsi" w:cstheme="minorBidi"/>
            <w:i w:val="0"/>
            <w:noProof/>
            <w:sz w:val="22"/>
            <w:szCs w:val="22"/>
            <w:lang w:val="en-US"/>
          </w:rPr>
          <w:tab/>
        </w:r>
        <w:r w:rsidR="00D53FBB" w:rsidRPr="00E54CE9">
          <w:rPr>
            <w:rStyle w:val="Hyperlink"/>
            <w:noProof/>
          </w:rPr>
          <w:t>Technical Working Party on Testing Methods and Techniques (TWM)</w:t>
        </w:r>
        <w:r w:rsidR="00D53FBB">
          <w:rPr>
            <w:noProof/>
            <w:webHidden/>
          </w:rPr>
          <w:tab/>
        </w:r>
        <w:r w:rsidR="00D53FBB">
          <w:rPr>
            <w:noProof/>
            <w:webHidden/>
          </w:rPr>
          <w:fldChar w:fldCharType="begin"/>
        </w:r>
        <w:r w:rsidR="00D53FBB">
          <w:rPr>
            <w:noProof/>
            <w:webHidden/>
          </w:rPr>
          <w:instrText xml:space="preserve"> PAGEREF _Toc86170178 \h </w:instrText>
        </w:r>
        <w:r w:rsidR="00D53FBB">
          <w:rPr>
            <w:noProof/>
            <w:webHidden/>
          </w:rPr>
        </w:r>
        <w:r w:rsidR="00D53FBB">
          <w:rPr>
            <w:noProof/>
            <w:webHidden/>
          </w:rPr>
          <w:fldChar w:fldCharType="separate"/>
        </w:r>
        <w:r>
          <w:rPr>
            <w:noProof/>
            <w:webHidden/>
          </w:rPr>
          <w:t>9</w:t>
        </w:r>
        <w:r w:rsidR="00D53FBB">
          <w:rPr>
            <w:noProof/>
            <w:webHidden/>
          </w:rPr>
          <w:fldChar w:fldCharType="end"/>
        </w:r>
      </w:hyperlink>
    </w:p>
    <w:p w:rsidR="00D53FBB" w:rsidRDefault="00CF211A">
      <w:pPr>
        <w:pStyle w:val="TOC4"/>
        <w:tabs>
          <w:tab w:val="left" w:pos="2550"/>
        </w:tabs>
        <w:rPr>
          <w:rFonts w:asciiTheme="minorHAnsi" w:eastAsiaTheme="minorEastAsia" w:hAnsiTheme="minorHAnsi" w:cstheme="minorBidi"/>
          <w:i w:val="0"/>
          <w:noProof/>
          <w:sz w:val="22"/>
          <w:szCs w:val="22"/>
          <w:lang w:val="en-US"/>
        </w:rPr>
      </w:pPr>
      <w:hyperlink w:anchor="_Toc86170179" w:history="1">
        <w:r w:rsidR="00D53FBB" w:rsidRPr="00E54CE9">
          <w:rPr>
            <w:rStyle w:val="Hyperlink"/>
            <w:noProof/>
          </w:rPr>
          <w:t>(f)</w:t>
        </w:r>
        <w:r w:rsidR="00D53FBB">
          <w:rPr>
            <w:rFonts w:asciiTheme="minorHAnsi" w:eastAsiaTheme="minorEastAsia" w:hAnsiTheme="minorHAnsi" w:cstheme="minorBidi"/>
            <w:i w:val="0"/>
            <w:noProof/>
            <w:sz w:val="22"/>
            <w:szCs w:val="22"/>
            <w:lang w:val="en-US"/>
          </w:rPr>
          <w:tab/>
        </w:r>
        <w:r w:rsidR="00D53FBB" w:rsidRPr="00E54CE9">
          <w:rPr>
            <w:rStyle w:val="Hyperlink"/>
            <w:noProof/>
          </w:rPr>
          <w:t>Reporting and r</w:t>
        </w:r>
        <w:r w:rsidR="00D53FBB" w:rsidRPr="00E54CE9">
          <w:rPr>
            <w:rStyle w:val="Hyperlink"/>
            <w:rFonts w:cs="Arial"/>
            <w:noProof/>
          </w:rPr>
          <w:t>eview of measures</w:t>
        </w:r>
        <w:r w:rsidR="00D53FBB">
          <w:rPr>
            <w:noProof/>
            <w:webHidden/>
          </w:rPr>
          <w:tab/>
        </w:r>
        <w:r w:rsidR="00D53FBB">
          <w:rPr>
            <w:noProof/>
            <w:webHidden/>
          </w:rPr>
          <w:fldChar w:fldCharType="begin"/>
        </w:r>
        <w:r w:rsidR="00D53FBB">
          <w:rPr>
            <w:noProof/>
            <w:webHidden/>
          </w:rPr>
          <w:instrText xml:space="preserve"> PAGEREF _Toc86170179 \h </w:instrText>
        </w:r>
        <w:r w:rsidR="00D53FBB">
          <w:rPr>
            <w:noProof/>
            <w:webHidden/>
          </w:rPr>
        </w:r>
        <w:r w:rsidR="00D53FBB">
          <w:rPr>
            <w:noProof/>
            <w:webHidden/>
          </w:rPr>
          <w:fldChar w:fldCharType="separate"/>
        </w:r>
        <w:r>
          <w:rPr>
            <w:noProof/>
            <w:webHidden/>
          </w:rPr>
          <w:t>9</w:t>
        </w:r>
        <w:r w:rsidR="00D53FBB">
          <w:rPr>
            <w:noProof/>
            <w:webHidden/>
          </w:rPr>
          <w:fldChar w:fldCharType="end"/>
        </w:r>
      </w:hyperlink>
    </w:p>
    <w:p w:rsidR="00F3609E" w:rsidRPr="00F3609E" w:rsidRDefault="00F3609E" w:rsidP="00F3609E">
      <w:pPr>
        <w:spacing w:after="120"/>
        <w:rPr>
          <w:sz w:val="18"/>
        </w:rPr>
      </w:pPr>
      <w:r w:rsidRPr="00F3609E">
        <w:rPr>
          <w:snapToGrid w:val="0"/>
          <w:highlight w:val="yellow"/>
        </w:rPr>
        <w:fldChar w:fldCharType="end"/>
      </w:r>
      <w:r w:rsidRPr="00F3609E">
        <w:rPr>
          <w:sz w:val="18"/>
        </w:rPr>
        <w:t xml:space="preserve">ANNEX </w:t>
      </w:r>
      <w:proofErr w:type="gramStart"/>
      <w:r w:rsidRPr="00F3609E">
        <w:rPr>
          <w:sz w:val="18"/>
        </w:rPr>
        <w:t>I</w:t>
      </w:r>
      <w:proofErr w:type="gramEnd"/>
      <w:r w:rsidRPr="00F3609E">
        <w:rPr>
          <w:sz w:val="18"/>
        </w:rPr>
        <w:t>:</w:t>
      </w:r>
      <w:r w:rsidRPr="00F3609E">
        <w:rPr>
          <w:sz w:val="18"/>
        </w:rPr>
        <w:tab/>
        <w:t xml:space="preserve">Program for the development of </w:t>
      </w:r>
      <w:proofErr w:type="spellStart"/>
      <w:r w:rsidRPr="00F3609E">
        <w:rPr>
          <w:sz w:val="18"/>
        </w:rPr>
        <w:t>TGP</w:t>
      </w:r>
      <w:proofErr w:type="spellEnd"/>
      <w:r w:rsidRPr="00F3609E">
        <w:rPr>
          <w:sz w:val="18"/>
        </w:rPr>
        <w:t xml:space="preserve"> documents </w:t>
      </w:r>
    </w:p>
    <w:p w:rsidR="00F3609E" w:rsidRPr="00F3609E" w:rsidRDefault="00F3609E" w:rsidP="00F3609E">
      <w:pPr>
        <w:ind w:left="1134" w:hanging="1134"/>
        <w:rPr>
          <w:sz w:val="18"/>
        </w:rPr>
      </w:pPr>
      <w:r w:rsidRPr="00F3609E">
        <w:rPr>
          <w:sz w:val="18"/>
        </w:rPr>
        <w:t>ANNEX II:</w:t>
      </w:r>
      <w:r w:rsidRPr="00F3609E">
        <w:rPr>
          <w:sz w:val="18"/>
        </w:rPr>
        <w:tab/>
        <w:t>Program for the development of relevant information materials</w:t>
      </w:r>
    </w:p>
    <w:p w:rsidR="00F3609E" w:rsidRDefault="00F3609E" w:rsidP="00F3609E">
      <w:pPr>
        <w:ind w:left="1134" w:hanging="1134"/>
        <w:rPr>
          <w:sz w:val="18"/>
          <w:highlight w:val="yellow"/>
        </w:rPr>
      </w:pPr>
    </w:p>
    <w:p w:rsidR="00F3609E" w:rsidRPr="00F3609E" w:rsidRDefault="00F3609E" w:rsidP="00F3609E">
      <w:pPr>
        <w:keepNext/>
        <w:rPr>
          <w:rFonts w:cs="Arial"/>
        </w:rPr>
      </w:pPr>
      <w:r w:rsidRPr="00F3609E">
        <w:rPr>
          <w:rFonts w:cs="Arial"/>
        </w:rPr>
        <w:fldChar w:fldCharType="begin"/>
      </w:r>
      <w:r w:rsidRPr="00F3609E">
        <w:rPr>
          <w:rFonts w:cs="Arial"/>
        </w:rPr>
        <w:instrText xml:space="preserve"> AUTONUM  </w:instrText>
      </w:r>
      <w:r w:rsidRPr="00F3609E">
        <w:rPr>
          <w:rFonts w:cs="Arial"/>
        </w:rPr>
        <w:fldChar w:fldCharType="end"/>
      </w:r>
      <w:r w:rsidRPr="00F3609E">
        <w:rPr>
          <w:rFonts w:cs="Arial"/>
        </w:rPr>
        <w:tab/>
        <w:t xml:space="preserve">The following abbreviations </w:t>
      </w:r>
      <w:proofErr w:type="gramStart"/>
      <w:r w:rsidRPr="00F3609E">
        <w:rPr>
          <w:rFonts w:cs="Arial"/>
        </w:rPr>
        <w:t>are used</w:t>
      </w:r>
      <w:proofErr w:type="gramEnd"/>
      <w:r w:rsidRPr="00F3609E">
        <w:rPr>
          <w:rFonts w:cs="Arial"/>
        </w:rPr>
        <w:t xml:space="preserve"> in this document:</w:t>
      </w:r>
    </w:p>
    <w:p w:rsidR="00F3609E" w:rsidRPr="00F3609E" w:rsidRDefault="00F3609E" w:rsidP="00F3609E">
      <w:pPr>
        <w:keepNext/>
        <w:ind w:left="1701" w:hanging="1134"/>
        <w:rPr>
          <w:rFonts w:cs="Arial"/>
        </w:rPr>
      </w:pPr>
    </w:p>
    <w:p w:rsidR="00F3609E" w:rsidRPr="00F3609E" w:rsidRDefault="00F3609E" w:rsidP="00F3609E">
      <w:pPr>
        <w:keepNext/>
        <w:ind w:left="1701" w:hanging="1134"/>
        <w:rPr>
          <w:rFonts w:cs="Arial"/>
        </w:rPr>
      </w:pPr>
      <w:proofErr w:type="spellStart"/>
      <w:r w:rsidRPr="00F3609E">
        <w:rPr>
          <w:rFonts w:cs="Arial"/>
        </w:rPr>
        <w:t>BMT</w:t>
      </w:r>
      <w:proofErr w:type="spellEnd"/>
      <w:r w:rsidRPr="00F3609E">
        <w:rPr>
          <w:rFonts w:cs="Arial"/>
        </w:rPr>
        <w:t xml:space="preserve">: </w:t>
      </w:r>
      <w:r w:rsidRPr="00F3609E">
        <w:rPr>
          <w:rFonts w:cs="Arial"/>
        </w:rPr>
        <w:tab/>
        <w:t>Working Group on Biochemical and Molecular Techniques and DNA-Profiling in Particular</w:t>
      </w:r>
    </w:p>
    <w:p w:rsidR="00F3609E" w:rsidRPr="00F3609E" w:rsidRDefault="00F3609E" w:rsidP="00F3609E">
      <w:pPr>
        <w:keepNext/>
        <w:ind w:left="1701" w:hanging="1134"/>
        <w:rPr>
          <w:rFonts w:cs="Arial"/>
        </w:rPr>
      </w:pPr>
      <w:proofErr w:type="spellStart"/>
      <w:r w:rsidRPr="00F3609E">
        <w:rPr>
          <w:rFonts w:cs="Arial"/>
        </w:rPr>
        <w:t>CAJ</w:t>
      </w:r>
      <w:proofErr w:type="spellEnd"/>
      <w:r w:rsidRPr="00F3609E">
        <w:rPr>
          <w:rFonts w:cs="Arial"/>
        </w:rPr>
        <w:t>:</w:t>
      </w:r>
      <w:r w:rsidRPr="00F3609E">
        <w:rPr>
          <w:rFonts w:cs="Arial"/>
        </w:rPr>
        <w:tab/>
        <w:t>Administrative and Legal Committee</w:t>
      </w:r>
    </w:p>
    <w:p w:rsidR="00F3609E" w:rsidRPr="00F3609E" w:rsidRDefault="00F3609E" w:rsidP="00F3609E">
      <w:pPr>
        <w:keepNext/>
        <w:ind w:left="1701" w:hanging="1134"/>
        <w:rPr>
          <w:rFonts w:cs="Arial"/>
        </w:rPr>
      </w:pPr>
      <w:r w:rsidRPr="00F3609E">
        <w:rPr>
          <w:rFonts w:cs="Arial"/>
        </w:rPr>
        <w:t xml:space="preserve">TC:  </w:t>
      </w:r>
      <w:r w:rsidRPr="00F3609E">
        <w:rPr>
          <w:rFonts w:cs="Arial"/>
        </w:rPr>
        <w:tab/>
        <w:t>Technical Committee</w:t>
      </w:r>
    </w:p>
    <w:p w:rsidR="00F3609E" w:rsidRPr="00F3609E" w:rsidRDefault="00F3609E" w:rsidP="00F3609E">
      <w:pPr>
        <w:ind w:left="1701" w:hanging="1134"/>
        <w:rPr>
          <w:rFonts w:cs="Arial"/>
        </w:rPr>
      </w:pPr>
      <w:r w:rsidRPr="00F3609E">
        <w:rPr>
          <w:rFonts w:cs="Arial"/>
        </w:rPr>
        <w:t xml:space="preserve">TC-EDC:  </w:t>
      </w:r>
      <w:r w:rsidRPr="00F3609E">
        <w:rPr>
          <w:rFonts w:cs="Arial"/>
        </w:rPr>
        <w:tab/>
        <w:t>Enlarged Editorial Committee</w:t>
      </w:r>
    </w:p>
    <w:p w:rsidR="00F3609E" w:rsidRPr="00F3609E" w:rsidRDefault="00F3609E" w:rsidP="00F3609E">
      <w:pPr>
        <w:ind w:left="1701" w:hanging="1134"/>
        <w:rPr>
          <w:rFonts w:cs="Arial"/>
        </w:rPr>
      </w:pPr>
      <w:r w:rsidRPr="00F3609E">
        <w:rPr>
          <w:rFonts w:cs="Arial"/>
        </w:rPr>
        <w:t xml:space="preserve">TWA:  </w:t>
      </w:r>
      <w:r w:rsidRPr="00F3609E">
        <w:rPr>
          <w:rFonts w:cs="Arial"/>
        </w:rPr>
        <w:tab/>
        <w:t>Technical Working Party for Agricultural Crops</w:t>
      </w:r>
    </w:p>
    <w:p w:rsidR="00F3609E" w:rsidRPr="00F3609E" w:rsidRDefault="00F3609E" w:rsidP="00F3609E">
      <w:pPr>
        <w:ind w:left="1701" w:hanging="1134"/>
        <w:rPr>
          <w:rFonts w:cs="Arial"/>
        </w:rPr>
      </w:pPr>
      <w:proofErr w:type="spellStart"/>
      <w:r w:rsidRPr="00F3609E">
        <w:rPr>
          <w:rFonts w:cs="Arial"/>
        </w:rPr>
        <w:t>TWC</w:t>
      </w:r>
      <w:proofErr w:type="spellEnd"/>
      <w:r w:rsidRPr="00F3609E">
        <w:rPr>
          <w:rFonts w:cs="Arial"/>
        </w:rPr>
        <w:t xml:space="preserve">:  </w:t>
      </w:r>
      <w:r w:rsidRPr="00F3609E">
        <w:rPr>
          <w:rFonts w:cs="Arial"/>
        </w:rPr>
        <w:tab/>
        <w:t>Technical Working Party on Automation and Computer Programs</w:t>
      </w:r>
    </w:p>
    <w:p w:rsidR="00F3609E" w:rsidRPr="00CA626D" w:rsidRDefault="00F3609E" w:rsidP="00F3609E">
      <w:pPr>
        <w:ind w:left="1701" w:hanging="1134"/>
        <w:rPr>
          <w:rFonts w:cs="Arial"/>
        </w:rPr>
      </w:pPr>
      <w:proofErr w:type="spellStart"/>
      <w:r w:rsidRPr="00F3609E">
        <w:rPr>
          <w:rFonts w:cs="Arial"/>
        </w:rPr>
        <w:t>TWF</w:t>
      </w:r>
      <w:proofErr w:type="spellEnd"/>
      <w:r w:rsidRPr="00F3609E">
        <w:rPr>
          <w:rFonts w:cs="Arial"/>
        </w:rPr>
        <w:t xml:space="preserve">:  </w:t>
      </w:r>
      <w:r w:rsidRPr="00F3609E">
        <w:rPr>
          <w:rFonts w:cs="Arial"/>
        </w:rPr>
        <w:tab/>
        <w:t xml:space="preserve">Technical Working Party for Fruit Crops </w:t>
      </w:r>
    </w:p>
    <w:p w:rsidR="001F7C08" w:rsidRPr="00F3609E" w:rsidRDefault="001F7C08" w:rsidP="00F3609E">
      <w:pPr>
        <w:ind w:left="1701" w:hanging="1134"/>
        <w:rPr>
          <w:rFonts w:cs="Arial"/>
        </w:rPr>
      </w:pPr>
      <w:proofErr w:type="spellStart"/>
      <w:r w:rsidRPr="00CA626D">
        <w:rPr>
          <w:rFonts w:cs="Arial"/>
        </w:rPr>
        <w:t>TWM</w:t>
      </w:r>
      <w:proofErr w:type="spellEnd"/>
      <w:r w:rsidRPr="00CA626D">
        <w:rPr>
          <w:rFonts w:cs="Arial"/>
        </w:rPr>
        <w:t>:</w:t>
      </w:r>
      <w:r w:rsidRPr="00CA626D">
        <w:rPr>
          <w:rFonts w:cs="Arial"/>
        </w:rPr>
        <w:tab/>
        <w:t xml:space="preserve">Technical Working Party </w:t>
      </w:r>
    </w:p>
    <w:p w:rsidR="00F3609E" w:rsidRPr="00F3609E" w:rsidRDefault="00F3609E" w:rsidP="00F3609E">
      <w:pPr>
        <w:ind w:left="1701" w:hanging="1134"/>
        <w:rPr>
          <w:rFonts w:cs="Arial"/>
        </w:rPr>
      </w:pPr>
      <w:r w:rsidRPr="00F3609E">
        <w:rPr>
          <w:rFonts w:cs="Arial"/>
        </w:rPr>
        <w:t xml:space="preserve">TWO:  </w:t>
      </w:r>
      <w:r w:rsidRPr="00F3609E">
        <w:rPr>
          <w:rFonts w:cs="Arial"/>
        </w:rPr>
        <w:tab/>
        <w:t xml:space="preserve">Technical Working Party for Ornamental Plants and Forest Trees </w:t>
      </w:r>
    </w:p>
    <w:p w:rsidR="00F3609E" w:rsidRPr="00F3609E" w:rsidRDefault="00F3609E" w:rsidP="00F3609E">
      <w:pPr>
        <w:ind w:left="1701" w:hanging="1134"/>
        <w:rPr>
          <w:rFonts w:cs="Arial"/>
        </w:rPr>
      </w:pPr>
      <w:proofErr w:type="spellStart"/>
      <w:r w:rsidRPr="00F3609E">
        <w:rPr>
          <w:rFonts w:cs="Arial"/>
        </w:rPr>
        <w:t>TWV</w:t>
      </w:r>
      <w:proofErr w:type="spellEnd"/>
      <w:r w:rsidRPr="00F3609E">
        <w:rPr>
          <w:rFonts w:cs="Arial"/>
        </w:rPr>
        <w:t xml:space="preserve">:  </w:t>
      </w:r>
      <w:r w:rsidRPr="00F3609E">
        <w:rPr>
          <w:rFonts w:cs="Arial"/>
        </w:rPr>
        <w:tab/>
        <w:t>Technical Working Party for Vegetables</w:t>
      </w:r>
    </w:p>
    <w:p w:rsidR="00F3609E" w:rsidRPr="00F3609E" w:rsidRDefault="00F3609E" w:rsidP="00F3609E">
      <w:pPr>
        <w:ind w:left="1701" w:hanging="1134"/>
        <w:rPr>
          <w:rFonts w:cs="Arial"/>
          <w:color w:val="000000"/>
        </w:rPr>
      </w:pPr>
      <w:proofErr w:type="spellStart"/>
      <w:r w:rsidRPr="00F3609E">
        <w:rPr>
          <w:rFonts w:cs="Arial"/>
          <w:color w:val="000000"/>
        </w:rPr>
        <w:t>TWPs</w:t>
      </w:r>
      <w:proofErr w:type="spellEnd"/>
      <w:r w:rsidRPr="00F3609E">
        <w:rPr>
          <w:rFonts w:cs="Arial"/>
          <w:color w:val="000000"/>
        </w:rPr>
        <w:t>:</w:t>
      </w:r>
      <w:r w:rsidRPr="00F3609E">
        <w:rPr>
          <w:rFonts w:cs="Arial"/>
          <w:color w:val="000000"/>
        </w:rPr>
        <w:tab/>
        <w:t xml:space="preserve">Technical Working Parties </w:t>
      </w:r>
    </w:p>
    <w:p w:rsidR="00F3609E" w:rsidRPr="00F3609E" w:rsidRDefault="00F3609E" w:rsidP="00F3609E">
      <w:pPr>
        <w:rPr>
          <w:lang w:eastAsia="ja-JP"/>
        </w:rPr>
      </w:pPr>
    </w:p>
    <w:p w:rsidR="00F3609E" w:rsidRDefault="00F3609E" w:rsidP="00F3609E">
      <w:pPr>
        <w:rPr>
          <w:lang w:eastAsia="ja-JP"/>
        </w:rPr>
      </w:pPr>
    </w:p>
    <w:p w:rsidR="00D53FBB" w:rsidRPr="00F3609E" w:rsidRDefault="00D53FBB" w:rsidP="00F3609E">
      <w:pPr>
        <w:rPr>
          <w:lang w:eastAsia="ja-JP"/>
        </w:rPr>
      </w:pPr>
    </w:p>
    <w:p w:rsidR="00F3609E" w:rsidRPr="00F3609E" w:rsidRDefault="00F3609E" w:rsidP="00F3609E">
      <w:pPr>
        <w:keepNext/>
        <w:outlineLvl w:val="0"/>
        <w:rPr>
          <w:caps/>
        </w:rPr>
      </w:pPr>
      <w:bookmarkStart w:id="3" w:name="_Toc86170146"/>
      <w:r w:rsidRPr="00F3609E">
        <w:rPr>
          <w:caps/>
        </w:rPr>
        <w:t>Development of guidance and information materials</w:t>
      </w:r>
      <w:bookmarkEnd w:id="3"/>
    </w:p>
    <w:p w:rsidR="00F3609E" w:rsidRPr="00F3609E" w:rsidRDefault="00F3609E" w:rsidP="00F3609E">
      <w:pPr>
        <w:jc w:val="left"/>
      </w:pPr>
    </w:p>
    <w:p w:rsidR="00F3609E" w:rsidRPr="00F3609E" w:rsidRDefault="00F3609E" w:rsidP="00F3609E">
      <w:pPr>
        <w:keepNext/>
        <w:outlineLvl w:val="1"/>
        <w:rPr>
          <w:u w:val="single"/>
        </w:rPr>
      </w:pPr>
      <w:bookmarkStart w:id="4" w:name="_Toc86170147"/>
      <w:r w:rsidRPr="00F3609E">
        <w:rPr>
          <w:u w:val="single"/>
        </w:rPr>
        <w:t>Matters for adoption by the Council in 202</w:t>
      </w:r>
      <w:r w:rsidR="005A1077" w:rsidRPr="00CA626D">
        <w:rPr>
          <w:u w:val="single"/>
        </w:rPr>
        <w:t>1</w:t>
      </w:r>
      <w:bookmarkEnd w:id="4"/>
      <w:r w:rsidRPr="00F3609E">
        <w:rPr>
          <w:u w:val="single"/>
        </w:rPr>
        <w:t xml:space="preserve"> </w:t>
      </w:r>
    </w:p>
    <w:p w:rsidR="00F3609E" w:rsidRPr="00F3609E" w:rsidRDefault="00F3609E" w:rsidP="00F3609E">
      <w:pPr>
        <w:jc w:val="left"/>
      </w:pPr>
    </w:p>
    <w:p w:rsidR="005A1077" w:rsidRPr="005A1077" w:rsidRDefault="005A1077" w:rsidP="005A1077">
      <w:r w:rsidRPr="005A1077">
        <w:fldChar w:fldCharType="begin"/>
      </w:r>
      <w:r w:rsidRPr="005A1077">
        <w:instrText xml:space="preserve"> AUTONUM  </w:instrText>
      </w:r>
      <w:r w:rsidRPr="005A1077">
        <w:fldChar w:fldCharType="end"/>
      </w:r>
      <w:r w:rsidRPr="005A1077">
        <w:tab/>
        <w:t xml:space="preserve">The TC noted that document TC/57/4 Rev. </w:t>
      </w:r>
      <w:proofErr w:type="gramStart"/>
      <w:r w:rsidRPr="005A1077">
        <w:t>had been considered</w:t>
      </w:r>
      <w:proofErr w:type="gramEnd"/>
      <w:r w:rsidRPr="005A1077">
        <w:t xml:space="preserve"> by correspondence</w:t>
      </w:r>
      <w:r w:rsidRPr="00CA626D">
        <w:t xml:space="preserve"> (see document TC/57/25 “Report”, paragraphs 15 to 18)</w:t>
      </w:r>
      <w:r w:rsidRPr="005A1077">
        <w:t>.</w:t>
      </w:r>
    </w:p>
    <w:p w:rsidR="005A1077" w:rsidRPr="005A1077" w:rsidRDefault="005A1077" w:rsidP="005A1077"/>
    <w:p w:rsidR="005A1077" w:rsidRPr="005A1077" w:rsidRDefault="005A1077" w:rsidP="005A1077">
      <w:pPr>
        <w:rPr>
          <w:rFonts w:eastAsia="MS Mincho"/>
          <w:spacing w:val="-2"/>
          <w:lang w:eastAsia="ja-JP"/>
        </w:rPr>
      </w:pPr>
      <w:r w:rsidRPr="005A1077">
        <w:fldChar w:fldCharType="begin"/>
      </w:r>
      <w:r w:rsidRPr="005A1077">
        <w:instrText xml:space="preserve"> AUTONUM  </w:instrText>
      </w:r>
      <w:r w:rsidRPr="005A1077">
        <w:fldChar w:fldCharType="end"/>
      </w:r>
      <w:r w:rsidRPr="005A1077">
        <w:tab/>
        <w:t>The TC noted</w:t>
      </w:r>
      <w:r w:rsidRPr="005A1077">
        <w:rPr>
          <w:spacing w:val="-2"/>
        </w:rPr>
        <w:t xml:space="preserve"> that decisions on document TC/57/4 Rev. had been taken and the </w:t>
      </w:r>
      <w:proofErr w:type="gramStart"/>
      <w:r w:rsidRPr="005A1077">
        <w:rPr>
          <w:spacing w:val="-2"/>
        </w:rPr>
        <w:t>following documents had been approved by the TC</w:t>
      </w:r>
      <w:proofErr w:type="gramEnd"/>
      <w:r w:rsidRPr="005A1077">
        <w:rPr>
          <w:spacing w:val="-2"/>
        </w:rPr>
        <w:t xml:space="preserve"> by correspondence as provided in document TC/57/14, paragraphs 10 to 20</w:t>
      </w:r>
      <w:r w:rsidRPr="005A1077">
        <w:rPr>
          <w:rFonts w:eastAsia="MS Mincho"/>
          <w:spacing w:val="-2"/>
          <w:lang w:eastAsia="ja-JP"/>
        </w:rPr>
        <w:t>:</w:t>
      </w:r>
    </w:p>
    <w:p w:rsidR="005A1077" w:rsidRPr="005A1077" w:rsidRDefault="005A1077" w:rsidP="005A1077"/>
    <w:p w:rsidR="005A1077" w:rsidRPr="005A1077" w:rsidRDefault="005A1077" w:rsidP="005A1077">
      <w:pPr>
        <w:spacing w:after="60"/>
        <w:ind w:left="2837" w:hanging="1699"/>
        <w:jc w:val="left"/>
        <w:rPr>
          <w:rFonts w:cs="Angsana New"/>
          <w:lang w:eastAsia="ja-JP" w:bidi="th-TH"/>
        </w:rPr>
      </w:pPr>
      <w:proofErr w:type="spellStart"/>
      <w:r w:rsidRPr="005A1077">
        <w:rPr>
          <w:rFonts w:cs="Angsana New"/>
          <w:lang w:eastAsia="ja-JP" w:bidi="th-TH"/>
        </w:rPr>
        <w:t>UPOV</w:t>
      </w:r>
      <w:proofErr w:type="spellEnd"/>
      <w:r w:rsidRPr="005A1077">
        <w:rPr>
          <w:rFonts w:cs="Angsana New"/>
          <w:lang w:eastAsia="ja-JP" w:bidi="th-TH"/>
        </w:rPr>
        <w:t>/INF/16:</w:t>
      </w:r>
      <w:r w:rsidRPr="005A1077">
        <w:rPr>
          <w:rFonts w:cs="Angsana New"/>
          <w:lang w:eastAsia="ja-JP" w:bidi="th-TH"/>
        </w:rPr>
        <w:tab/>
        <w:t xml:space="preserve">Exchangeable Software (Revision) </w:t>
      </w:r>
      <w:r w:rsidRPr="005A1077">
        <w:rPr>
          <w:rFonts w:cs="Arial"/>
        </w:rPr>
        <w:t>(</w:t>
      </w:r>
      <w:proofErr w:type="gramStart"/>
      <w:r w:rsidRPr="005A1077">
        <w:rPr>
          <w:rFonts w:cs="Arial"/>
        </w:rPr>
        <w:t>on the basis of</w:t>
      </w:r>
      <w:proofErr w:type="gramEnd"/>
      <w:r w:rsidRPr="005A1077">
        <w:rPr>
          <w:rFonts w:cs="Arial"/>
        </w:rPr>
        <w:t xml:space="preserve"> document </w:t>
      </w:r>
      <w:proofErr w:type="spellStart"/>
      <w:r w:rsidRPr="005A1077">
        <w:rPr>
          <w:rFonts w:cs="Angsana New"/>
          <w:lang w:eastAsia="ja-JP" w:bidi="th-TH"/>
        </w:rPr>
        <w:t>UPOV</w:t>
      </w:r>
      <w:proofErr w:type="spellEnd"/>
      <w:r w:rsidRPr="005A1077">
        <w:rPr>
          <w:rFonts w:cs="Angsana New"/>
          <w:lang w:eastAsia="ja-JP" w:bidi="th-TH"/>
        </w:rPr>
        <w:t>/INF/16/10 Draft 2</w:t>
      </w:r>
      <w:r w:rsidRPr="005A1077">
        <w:rPr>
          <w:rFonts w:cs="Arial"/>
        </w:rPr>
        <w:t>)</w:t>
      </w:r>
    </w:p>
    <w:p w:rsidR="005A1077" w:rsidRPr="005A1077" w:rsidRDefault="005A1077" w:rsidP="005A1077">
      <w:pPr>
        <w:spacing w:after="60"/>
        <w:ind w:left="2837" w:hanging="1699"/>
        <w:jc w:val="left"/>
        <w:rPr>
          <w:rFonts w:cs="Angsana New"/>
          <w:lang w:eastAsia="ja-JP" w:bidi="th-TH"/>
        </w:rPr>
      </w:pPr>
      <w:proofErr w:type="spellStart"/>
      <w:r w:rsidRPr="005A1077">
        <w:rPr>
          <w:rFonts w:cs="Angsana New"/>
          <w:lang w:eastAsia="ja-JP" w:bidi="th-TH"/>
        </w:rPr>
        <w:t>UPOV</w:t>
      </w:r>
      <w:proofErr w:type="spellEnd"/>
      <w:r w:rsidRPr="005A1077">
        <w:rPr>
          <w:rFonts w:cs="Angsana New"/>
          <w:lang w:eastAsia="ja-JP" w:bidi="th-TH"/>
        </w:rPr>
        <w:t>/INF/17:</w:t>
      </w:r>
      <w:r w:rsidRPr="005A1077">
        <w:rPr>
          <w:rFonts w:cs="Angsana New"/>
          <w:lang w:eastAsia="ja-JP" w:bidi="th-TH"/>
        </w:rPr>
        <w:tab/>
        <w:t>Guidelines for DNA-Profiling: Molecular Marker Selection and Database Construction (“</w:t>
      </w:r>
      <w:proofErr w:type="spellStart"/>
      <w:r w:rsidRPr="005A1077">
        <w:rPr>
          <w:rFonts w:cs="Angsana New"/>
          <w:lang w:eastAsia="ja-JP" w:bidi="th-TH"/>
        </w:rPr>
        <w:t>BMT</w:t>
      </w:r>
      <w:proofErr w:type="spellEnd"/>
      <w:r w:rsidRPr="005A1077">
        <w:rPr>
          <w:rFonts w:cs="Angsana New"/>
          <w:lang w:eastAsia="ja-JP" w:bidi="th-TH"/>
        </w:rPr>
        <w:t xml:space="preserve"> Guidelines”) (Revision) </w:t>
      </w:r>
      <w:r w:rsidRPr="005A1077">
        <w:rPr>
          <w:rFonts w:cs="Angsana New"/>
          <w:lang w:eastAsia="ja-JP" w:bidi="th-TH"/>
        </w:rPr>
        <w:br/>
      </w:r>
      <w:r w:rsidRPr="005A1077">
        <w:rPr>
          <w:rFonts w:cs="Arial"/>
        </w:rPr>
        <w:t>(</w:t>
      </w:r>
      <w:proofErr w:type="gramStart"/>
      <w:r w:rsidRPr="005A1077">
        <w:rPr>
          <w:rFonts w:cs="Arial"/>
        </w:rPr>
        <w:t>on the basis of</w:t>
      </w:r>
      <w:proofErr w:type="gramEnd"/>
      <w:r w:rsidRPr="005A1077">
        <w:rPr>
          <w:rFonts w:cs="Arial"/>
        </w:rPr>
        <w:t xml:space="preserve"> document</w:t>
      </w:r>
      <w:r w:rsidRPr="005A1077">
        <w:t> </w:t>
      </w:r>
      <w:proofErr w:type="spellStart"/>
      <w:r w:rsidRPr="005A1077">
        <w:rPr>
          <w:rFonts w:cs="Arial"/>
        </w:rPr>
        <w:t>UPOV</w:t>
      </w:r>
      <w:proofErr w:type="spellEnd"/>
      <w:r w:rsidRPr="005A1077">
        <w:rPr>
          <w:rFonts w:cs="Arial"/>
        </w:rPr>
        <w:t>/INF/17/2 Draft 6)</w:t>
      </w:r>
    </w:p>
    <w:p w:rsidR="005A1077" w:rsidRPr="005A1077" w:rsidRDefault="005A1077" w:rsidP="005A1077">
      <w:pPr>
        <w:spacing w:after="60"/>
        <w:ind w:left="2837" w:hanging="1699"/>
        <w:jc w:val="left"/>
        <w:rPr>
          <w:rFonts w:cs="Angsana New"/>
          <w:lang w:eastAsia="ja-JP" w:bidi="th-TH"/>
        </w:rPr>
      </w:pPr>
      <w:proofErr w:type="spellStart"/>
      <w:r w:rsidRPr="005A1077">
        <w:rPr>
          <w:rFonts w:cs="Angsana New"/>
          <w:lang w:eastAsia="ja-JP" w:bidi="th-TH"/>
        </w:rPr>
        <w:t>UPOV</w:t>
      </w:r>
      <w:proofErr w:type="spellEnd"/>
      <w:r w:rsidRPr="005A1077">
        <w:rPr>
          <w:rFonts w:cs="Angsana New"/>
          <w:lang w:eastAsia="ja-JP" w:bidi="th-TH"/>
        </w:rPr>
        <w:t>/INF/22:</w:t>
      </w:r>
      <w:r w:rsidRPr="005A1077">
        <w:rPr>
          <w:rFonts w:cs="Angsana New"/>
          <w:lang w:eastAsia="ja-JP" w:bidi="th-TH"/>
        </w:rPr>
        <w:tab/>
        <w:t xml:space="preserve">Software and Equipment Used by Members of the Union (Revision) </w:t>
      </w:r>
      <w:r w:rsidRPr="005A1077">
        <w:rPr>
          <w:rFonts w:cs="Arial"/>
        </w:rPr>
        <w:t>(</w:t>
      </w:r>
      <w:proofErr w:type="gramStart"/>
      <w:r w:rsidRPr="005A1077">
        <w:rPr>
          <w:rFonts w:cs="Arial"/>
        </w:rPr>
        <w:t>on the basis of</w:t>
      </w:r>
      <w:proofErr w:type="gramEnd"/>
      <w:r w:rsidRPr="005A1077">
        <w:rPr>
          <w:rFonts w:cs="Arial"/>
        </w:rPr>
        <w:t xml:space="preserve"> document </w:t>
      </w:r>
      <w:proofErr w:type="spellStart"/>
      <w:r w:rsidRPr="005A1077">
        <w:rPr>
          <w:rFonts w:cs="Angsana New"/>
          <w:lang w:eastAsia="ja-JP" w:bidi="th-TH"/>
        </w:rPr>
        <w:t>UPOV</w:t>
      </w:r>
      <w:proofErr w:type="spellEnd"/>
      <w:r w:rsidRPr="005A1077">
        <w:rPr>
          <w:rFonts w:cs="Angsana New"/>
          <w:lang w:eastAsia="ja-JP" w:bidi="th-TH"/>
        </w:rPr>
        <w:t>/INF/22/8 Draft 2</w:t>
      </w:r>
      <w:r w:rsidRPr="005A1077">
        <w:rPr>
          <w:rFonts w:cs="Arial"/>
        </w:rPr>
        <w:t>)</w:t>
      </w:r>
    </w:p>
    <w:p w:rsidR="005A1077" w:rsidRPr="005A1077" w:rsidRDefault="005A1077" w:rsidP="005A1077">
      <w:pPr>
        <w:keepNext/>
        <w:spacing w:after="60"/>
        <w:ind w:left="2837" w:hanging="1699"/>
        <w:jc w:val="left"/>
        <w:rPr>
          <w:rFonts w:cs="Angsana New"/>
          <w:lang w:eastAsia="ja-JP" w:bidi="th-TH"/>
        </w:rPr>
      </w:pPr>
      <w:proofErr w:type="spellStart"/>
      <w:r w:rsidRPr="005A1077">
        <w:rPr>
          <w:rFonts w:cs="Angsana New"/>
          <w:lang w:eastAsia="ja-JP" w:bidi="th-TH"/>
        </w:rPr>
        <w:t>UPOV</w:t>
      </w:r>
      <w:proofErr w:type="spellEnd"/>
      <w:r w:rsidRPr="005A1077">
        <w:rPr>
          <w:rFonts w:cs="Angsana New"/>
          <w:lang w:eastAsia="ja-JP" w:bidi="th-TH"/>
        </w:rPr>
        <w:t>/INF/23:</w:t>
      </w:r>
      <w:r w:rsidRPr="005A1077">
        <w:rPr>
          <w:rFonts w:cs="Angsana New"/>
          <w:lang w:eastAsia="ja-JP" w:bidi="th-TH"/>
        </w:rPr>
        <w:tab/>
      </w:r>
      <w:proofErr w:type="spellStart"/>
      <w:r w:rsidRPr="005A1077">
        <w:rPr>
          <w:rFonts w:cs="Angsana New"/>
          <w:lang w:eastAsia="ja-JP" w:bidi="th-TH"/>
        </w:rPr>
        <w:t>UPOV</w:t>
      </w:r>
      <w:proofErr w:type="spellEnd"/>
      <w:r w:rsidRPr="005A1077">
        <w:rPr>
          <w:rFonts w:cs="Angsana New"/>
          <w:lang w:eastAsia="ja-JP" w:bidi="th-TH"/>
        </w:rPr>
        <w:t xml:space="preserve"> Code System (</w:t>
      </w:r>
      <w:proofErr w:type="gramStart"/>
      <w:r w:rsidRPr="005A1077">
        <w:rPr>
          <w:rFonts w:cs="Angsana New"/>
          <w:lang w:eastAsia="ja-JP" w:bidi="th-TH"/>
        </w:rPr>
        <w:t>on the basis of</w:t>
      </w:r>
      <w:proofErr w:type="gramEnd"/>
      <w:r w:rsidRPr="005A1077">
        <w:rPr>
          <w:rFonts w:cs="Angsana New"/>
          <w:lang w:eastAsia="ja-JP" w:bidi="th-TH"/>
        </w:rPr>
        <w:t xml:space="preserve"> document </w:t>
      </w:r>
      <w:proofErr w:type="spellStart"/>
      <w:r w:rsidRPr="005A1077">
        <w:rPr>
          <w:rFonts w:cs="Angsana New"/>
          <w:lang w:eastAsia="ja-JP" w:bidi="th-TH"/>
        </w:rPr>
        <w:t>UPOV</w:t>
      </w:r>
      <w:proofErr w:type="spellEnd"/>
      <w:r w:rsidRPr="005A1077">
        <w:rPr>
          <w:rFonts w:cs="Angsana New"/>
          <w:lang w:eastAsia="ja-JP" w:bidi="th-TH"/>
        </w:rPr>
        <w:t>/INF/23/1 Draft 3)</w:t>
      </w:r>
    </w:p>
    <w:p w:rsidR="005A1077" w:rsidRPr="005A1077" w:rsidRDefault="005A1077" w:rsidP="005A1077"/>
    <w:p w:rsidR="005A1077" w:rsidRPr="005A1077" w:rsidRDefault="005A1077" w:rsidP="005A1077">
      <w:r w:rsidRPr="005A1077">
        <w:fldChar w:fldCharType="begin"/>
      </w:r>
      <w:r w:rsidRPr="005A1077">
        <w:instrText xml:space="preserve"> AUTONUM  </w:instrText>
      </w:r>
      <w:r w:rsidRPr="005A1077">
        <w:fldChar w:fldCharType="end"/>
      </w:r>
      <w:r w:rsidRPr="005A1077">
        <w:tab/>
      </w:r>
      <w:r w:rsidRPr="005A1077">
        <w:rPr>
          <w:spacing w:val="-2"/>
        </w:rPr>
        <w:t xml:space="preserve">The </w:t>
      </w:r>
      <w:r w:rsidRPr="005A1077">
        <w:rPr>
          <w:snapToGrid w:val="0"/>
          <w:spacing w:val="-2"/>
        </w:rPr>
        <w:t xml:space="preserve">TC noted </w:t>
      </w:r>
      <w:r w:rsidRPr="005A1077">
        <w:t xml:space="preserve">that comments on document </w:t>
      </w:r>
      <w:proofErr w:type="spellStart"/>
      <w:r w:rsidRPr="005A1077">
        <w:t>UPOV</w:t>
      </w:r>
      <w:proofErr w:type="spellEnd"/>
      <w:r w:rsidRPr="005A1077">
        <w:t xml:space="preserve">/INF/23 </w:t>
      </w:r>
      <w:proofErr w:type="gramStart"/>
      <w:r w:rsidRPr="005A1077">
        <w:t>had been received</w:t>
      </w:r>
      <w:proofErr w:type="gramEnd"/>
      <w:r w:rsidRPr="005A1077">
        <w:t xml:space="preserve"> from the European Union in response to Circular E</w:t>
      </w:r>
      <w:r w:rsidRPr="005A1077">
        <w:noBreakHyphen/>
        <w:t xml:space="preserve">21/122 of August 23, 2021, which had not resulted in a revision of the document. </w:t>
      </w:r>
    </w:p>
    <w:p w:rsidR="005A1077" w:rsidRPr="005A1077" w:rsidRDefault="005A1077" w:rsidP="005A1077"/>
    <w:p w:rsidR="005A1077" w:rsidRPr="005A1077" w:rsidRDefault="005A1077" w:rsidP="00D53FBB">
      <w:pPr>
        <w:keepLines/>
        <w:rPr>
          <w:rFonts w:cs="Arial"/>
        </w:rPr>
      </w:pPr>
      <w:r w:rsidRPr="005A1077">
        <w:lastRenderedPageBreak/>
        <w:fldChar w:fldCharType="begin"/>
      </w:r>
      <w:r w:rsidRPr="005A1077">
        <w:instrText xml:space="preserve"> AUTONUM  </w:instrText>
      </w:r>
      <w:r w:rsidRPr="005A1077">
        <w:fldChar w:fldCharType="end"/>
      </w:r>
      <w:r w:rsidRPr="005A1077">
        <w:tab/>
      </w:r>
      <w:proofErr w:type="gramStart"/>
      <w:r w:rsidRPr="005A1077">
        <w:rPr>
          <w:rFonts w:cs="Arial"/>
        </w:rPr>
        <w:t xml:space="preserve">The TC noted the report from the Office of the Union that the documents above had been approved by the </w:t>
      </w:r>
      <w:proofErr w:type="spellStart"/>
      <w:r w:rsidRPr="005A1077">
        <w:rPr>
          <w:rFonts w:cs="Arial"/>
        </w:rPr>
        <w:t>CAJ</w:t>
      </w:r>
      <w:proofErr w:type="spellEnd"/>
      <w:r w:rsidRPr="005A1077">
        <w:rPr>
          <w:rFonts w:cs="Arial"/>
        </w:rPr>
        <w:t xml:space="preserve"> and adopted by the Council on September 21, 2021, in the procedure by correspondence (see documents </w:t>
      </w:r>
      <w:proofErr w:type="spellStart"/>
      <w:r w:rsidRPr="005A1077">
        <w:rPr>
          <w:rFonts w:cs="Arial"/>
        </w:rPr>
        <w:t>CAJ</w:t>
      </w:r>
      <w:proofErr w:type="spellEnd"/>
      <w:r w:rsidRPr="005A1077">
        <w:rPr>
          <w:rFonts w:cs="Arial"/>
        </w:rPr>
        <w:t>/78/12 “Outcome of consideration of documents by correspondence”, paragraph 35; and C/55/12 “Outcome of consideration of documents by correspondence”, paragraph 32).</w:t>
      </w:r>
      <w:proofErr w:type="gramEnd"/>
      <w:r w:rsidRPr="005A1077">
        <w:rPr>
          <w:rFonts w:cs="Arial"/>
        </w:rPr>
        <w:t xml:space="preserve">  </w:t>
      </w:r>
    </w:p>
    <w:p w:rsidR="005A1077" w:rsidRPr="00CA626D" w:rsidRDefault="005A1077" w:rsidP="005A1077"/>
    <w:p w:rsidR="00EF5D98" w:rsidRPr="005A1077" w:rsidRDefault="00EF5D98" w:rsidP="005A1077"/>
    <w:p w:rsidR="005A1077" w:rsidRPr="00CA626D" w:rsidRDefault="005A1077" w:rsidP="005A1077">
      <w:pPr>
        <w:pStyle w:val="Heading2"/>
        <w:rPr>
          <w:snapToGrid w:val="0"/>
        </w:rPr>
      </w:pPr>
      <w:bookmarkStart w:id="5" w:name="_Toc86170148"/>
      <w:r w:rsidRPr="00CA626D">
        <w:rPr>
          <w:snapToGrid w:val="0"/>
        </w:rPr>
        <w:t>Possible future revisions of guidance and information materials</w:t>
      </w:r>
      <w:bookmarkEnd w:id="5"/>
      <w:r w:rsidRPr="00CA626D">
        <w:rPr>
          <w:snapToGrid w:val="0"/>
        </w:rPr>
        <w:t xml:space="preserve"> </w:t>
      </w:r>
    </w:p>
    <w:p w:rsidR="005A1077" w:rsidRPr="005A1077" w:rsidRDefault="005A1077" w:rsidP="005A1077">
      <w:pPr>
        <w:keepNext/>
        <w:rPr>
          <w:snapToGrid w:val="0"/>
        </w:rPr>
      </w:pPr>
    </w:p>
    <w:p w:rsidR="005A1077" w:rsidRPr="005A1077" w:rsidRDefault="005A1077" w:rsidP="005A1077">
      <w:r w:rsidRPr="005A1077">
        <w:rPr>
          <w:snapToGrid w:val="0"/>
        </w:rPr>
        <w:fldChar w:fldCharType="begin"/>
      </w:r>
      <w:r w:rsidRPr="005A1077">
        <w:rPr>
          <w:snapToGrid w:val="0"/>
        </w:rPr>
        <w:instrText xml:space="preserve"> AUTONUM  </w:instrText>
      </w:r>
      <w:r w:rsidRPr="005A1077">
        <w:rPr>
          <w:snapToGrid w:val="0"/>
        </w:rPr>
        <w:fldChar w:fldCharType="end"/>
      </w:r>
      <w:r w:rsidRPr="005A1077">
        <w:rPr>
          <w:snapToGrid w:val="0"/>
        </w:rPr>
        <w:tab/>
        <w:t xml:space="preserve">The TC considered documents </w:t>
      </w:r>
      <w:r w:rsidRPr="005A1077">
        <w:rPr>
          <w:rFonts w:cs="Arial"/>
        </w:rPr>
        <w:t>TC/57/5 and TC/57/5 Add.</w:t>
      </w:r>
      <w:r w:rsidRPr="00CA626D">
        <w:rPr>
          <w:rFonts w:cs="Arial"/>
        </w:rPr>
        <w:t xml:space="preserve"> </w:t>
      </w:r>
    </w:p>
    <w:p w:rsidR="005A1077" w:rsidRPr="00CA626D" w:rsidRDefault="005A1077" w:rsidP="00EF5D98">
      <w:pPr>
        <w:rPr>
          <w:snapToGrid w:val="0"/>
        </w:rPr>
      </w:pPr>
    </w:p>
    <w:p w:rsidR="005A1077" w:rsidRPr="00CA626D" w:rsidRDefault="005A1077" w:rsidP="00114EB1">
      <w:pPr>
        <w:pStyle w:val="Heading3"/>
        <w:rPr>
          <w:snapToGrid w:val="0"/>
        </w:rPr>
      </w:pPr>
      <w:bookmarkStart w:id="6" w:name="_Toc86170149"/>
      <w:r w:rsidRPr="00CA626D">
        <w:rPr>
          <w:snapToGrid w:val="0"/>
        </w:rPr>
        <w:t>(a)</w:t>
      </w:r>
      <w:r w:rsidRPr="00CA626D">
        <w:rPr>
          <w:snapToGrid w:val="0"/>
        </w:rPr>
        <w:tab/>
        <w:t>Information document</w:t>
      </w:r>
      <w:r w:rsidR="00114EB1" w:rsidRPr="00CA626D">
        <w:rPr>
          <w:snapToGrid w:val="0"/>
        </w:rPr>
        <w:t>s</w:t>
      </w:r>
      <w:bookmarkEnd w:id="6"/>
    </w:p>
    <w:p w:rsidR="005A1077" w:rsidRPr="005A1077" w:rsidRDefault="005A1077" w:rsidP="005A1077">
      <w:pPr>
        <w:keepNext/>
        <w:rPr>
          <w:snapToGrid w:val="0"/>
        </w:rPr>
      </w:pPr>
    </w:p>
    <w:p w:rsidR="005A1077" w:rsidRPr="00CA626D" w:rsidRDefault="005A1077" w:rsidP="00114EB1">
      <w:pPr>
        <w:pStyle w:val="Heading4"/>
      </w:pPr>
      <w:bookmarkStart w:id="7" w:name="_Toc82293086"/>
      <w:bookmarkStart w:id="8" w:name="_Toc86170150"/>
      <w:r w:rsidRPr="00CA626D">
        <w:t xml:space="preserve">Document </w:t>
      </w:r>
      <w:proofErr w:type="spellStart"/>
      <w:r w:rsidRPr="00CA626D">
        <w:t>UPOV</w:t>
      </w:r>
      <w:proofErr w:type="spellEnd"/>
      <w:r w:rsidRPr="00CA626D">
        <w:t xml:space="preserve">/INF/12 “Explanatory Notes on Variety Denominations under the </w:t>
      </w:r>
      <w:proofErr w:type="spellStart"/>
      <w:r w:rsidRPr="00CA626D">
        <w:t>UPOV</w:t>
      </w:r>
      <w:proofErr w:type="spellEnd"/>
      <w:r w:rsidRPr="00CA626D">
        <w:t xml:space="preserve"> Convention”</w:t>
      </w:r>
      <w:bookmarkEnd w:id="7"/>
      <w:bookmarkEnd w:id="8"/>
    </w:p>
    <w:p w:rsidR="005A1077" w:rsidRPr="005A1077" w:rsidRDefault="005A1077" w:rsidP="005A1077">
      <w:pPr>
        <w:keepNext/>
      </w:pPr>
    </w:p>
    <w:p w:rsidR="005A1077" w:rsidRPr="00CA626D" w:rsidRDefault="005A1077" w:rsidP="00114EB1">
      <w:pPr>
        <w:pStyle w:val="Heading5"/>
      </w:pPr>
      <w:bookmarkStart w:id="9" w:name="_Toc68863749"/>
      <w:bookmarkStart w:id="10" w:name="_Toc82293087"/>
      <w:r w:rsidRPr="00CA626D">
        <w:t>Proposal to revise the denomination Class 201</w:t>
      </w:r>
      <w:bookmarkEnd w:id="9"/>
      <w:bookmarkEnd w:id="10"/>
      <w:r w:rsidRPr="00CA626D">
        <w:t xml:space="preserve"> </w:t>
      </w:r>
    </w:p>
    <w:p w:rsidR="005A1077" w:rsidRPr="005A1077" w:rsidRDefault="005A1077" w:rsidP="005A1077"/>
    <w:p w:rsidR="005A1077" w:rsidRPr="005A1077" w:rsidRDefault="005A1077" w:rsidP="005A1077">
      <w:r w:rsidRPr="005A1077">
        <w:fldChar w:fldCharType="begin"/>
      </w:r>
      <w:r w:rsidRPr="005A1077">
        <w:instrText xml:space="preserve"> AUTONUM  </w:instrText>
      </w:r>
      <w:r w:rsidRPr="005A1077">
        <w:fldChar w:fldCharType="end"/>
      </w:r>
      <w:r w:rsidRPr="005A1077">
        <w:tab/>
        <w:t xml:space="preserve">The TC considered a proposal to revise document </w:t>
      </w:r>
      <w:proofErr w:type="spellStart"/>
      <w:r w:rsidRPr="005A1077">
        <w:t>UPOV</w:t>
      </w:r>
      <w:proofErr w:type="spellEnd"/>
      <w:r w:rsidRPr="005A1077">
        <w:t>/INF/12/5, Annex I, Part II “Classes encompassing more than one genus” and agreed to propose the inclusion of genus ×</w:t>
      </w:r>
      <w:proofErr w:type="spellStart"/>
      <w:r w:rsidRPr="005A1077">
        <w:rPr>
          <w:i/>
        </w:rPr>
        <w:t>Trititrigia</w:t>
      </w:r>
      <w:proofErr w:type="spellEnd"/>
      <w:r w:rsidRPr="005A1077">
        <w:t xml:space="preserve"> in the variety denomination Class 201, as follows</w:t>
      </w:r>
      <w:r w:rsidR="000C604A" w:rsidRPr="00CA626D">
        <w:t xml:space="preserve"> (see document TC/57/25 “Report”, paragraph 34)</w:t>
      </w:r>
      <w:r w:rsidRPr="005A1077">
        <w:t>:</w:t>
      </w:r>
    </w:p>
    <w:p w:rsidR="005A1077" w:rsidRPr="005A1077" w:rsidRDefault="005A1077" w:rsidP="005A1077">
      <w:pPr>
        <w:rPr>
          <w:rFonts w:cs="Arial"/>
          <w:highlight w:val="cyan"/>
        </w:rPr>
      </w:pPr>
    </w:p>
    <w:p w:rsidR="005A1077" w:rsidRPr="005A1077" w:rsidRDefault="005A1077" w:rsidP="005A1077">
      <w:pPr>
        <w:jc w:val="center"/>
        <w:rPr>
          <w:u w:val="single"/>
        </w:rPr>
      </w:pPr>
      <w:r w:rsidRPr="005A1077">
        <w:t>LIST OF CLASSES (Part II)</w:t>
      </w:r>
    </w:p>
    <w:p w:rsidR="005A1077" w:rsidRPr="005A1077" w:rsidRDefault="005A1077" w:rsidP="005A1077"/>
    <w:p w:rsidR="005A1077" w:rsidRPr="005A1077" w:rsidRDefault="005A1077" w:rsidP="005A1077">
      <w:pPr>
        <w:jc w:val="center"/>
        <w:rPr>
          <w:i/>
        </w:rPr>
      </w:pPr>
      <w:r w:rsidRPr="005A1077">
        <w:rPr>
          <w:i/>
        </w:rPr>
        <w:t>Classes encompassing more than one genus</w:t>
      </w:r>
      <w:r w:rsidRPr="005A1077">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5A1077" w:rsidRPr="005A1077" w:rsidTr="00BB6BA6">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1077" w:rsidRPr="005A1077" w:rsidRDefault="005A1077" w:rsidP="00BB6BA6">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077" w:rsidRPr="005A1077" w:rsidRDefault="005A1077" w:rsidP="00BB6BA6">
            <w:pPr>
              <w:spacing w:before="40" w:after="40"/>
              <w:jc w:val="center"/>
              <w:rPr>
                <w:sz w:val="18"/>
                <w:szCs w:val="18"/>
              </w:rPr>
            </w:pPr>
            <w:r w:rsidRPr="005A1077">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077" w:rsidRPr="005A1077" w:rsidRDefault="005A1077" w:rsidP="00BB6BA6">
            <w:pPr>
              <w:spacing w:before="40" w:after="40"/>
              <w:jc w:val="center"/>
              <w:rPr>
                <w:sz w:val="18"/>
                <w:szCs w:val="18"/>
              </w:rPr>
            </w:pPr>
            <w:proofErr w:type="spellStart"/>
            <w:r w:rsidRPr="005A1077">
              <w:rPr>
                <w:sz w:val="18"/>
                <w:szCs w:val="18"/>
              </w:rPr>
              <w:t>UPOV</w:t>
            </w:r>
            <w:proofErr w:type="spellEnd"/>
            <w:r w:rsidRPr="005A1077">
              <w:rPr>
                <w:sz w:val="18"/>
                <w:szCs w:val="18"/>
              </w:rPr>
              <w:t xml:space="preserve"> codes</w:t>
            </w:r>
          </w:p>
        </w:tc>
      </w:tr>
      <w:tr w:rsidR="005A1077" w:rsidRPr="005A1077" w:rsidTr="00BB6BA6">
        <w:trPr>
          <w:cantSplit/>
          <w:tblHeader/>
        </w:trPr>
        <w:tc>
          <w:tcPr>
            <w:tcW w:w="1277" w:type="dxa"/>
            <w:tcBorders>
              <w:top w:val="nil"/>
              <w:left w:val="nil"/>
              <w:bottom w:val="nil"/>
              <w:right w:val="nil"/>
            </w:tcBorders>
          </w:tcPr>
          <w:p w:rsidR="005A1077" w:rsidRPr="005A1077" w:rsidRDefault="005A1077" w:rsidP="00BB6BA6">
            <w:pPr>
              <w:keepNext/>
              <w:spacing w:before="40" w:after="40"/>
              <w:jc w:val="left"/>
              <w:rPr>
                <w:sz w:val="10"/>
                <w:szCs w:val="18"/>
              </w:rPr>
            </w:pPr>
          </w:p>
        </w:tc>
        <w:tc>
          <w:tcPr>
            <w:tcW w:w="4473" w:type="dxa"/>
            <w:tcBorders>
              <w:top w:val="nil"/>
              <w:left w:val="nil"/>
              <w:bottom w:val="nil"/>
              <w:right w:val="nil"/>
            </w:tcBorders>
          </w:tcPr>
          <w:p w:rsidR="005A1077" w:rsidRPr="005A1077" w:rsidRDefault="005A1077" w:rsidP="00BB6BA6">
            <w:pPr>
              <w:keepNext/>
              <w:spacing w:before="40" w:after="40"/>
              <w:jc w:val="left"/>
              <w:rPr>
                <w:sz w:val="10"/>
                <w:szCs w:val="18"/>
              </w:rPr>
            </w:pPr>
          </w:p>
        </w:tc>
        <w:tc>
          <w:tcPr>
            <w:tcW w:w="4034" w:type="dxa"/>
            <w:tcBorders>
              <w:top w:val="nil"/>
              <w:left w:val="nil"/>
              <w:bottom w:val="nil"/>
              <w:right w:val="nil"/>
            </w:tcBorders>
          </w:tcPr>
          <w:p w:rsidR="005A1077" w:rsidRPr="005A1077" w:rsidRDefault="005A1077" w:rsidP="00BB6BA6">
            <w:pPr>
              <w:keepNext/>
              <w:spacing w:before="40" w:after="40"/>
              <w:jc w:val="left"/>
              <w:rPr>
                <w:sz w:val="10"/>
                <w:szCs w:val="18"/>
              </w:rPr>
            </w:pPr>
          </w:p>
        </w:tc>
      </w:tr>
      <w:tr w:rsidR="005A1077" w:rsidRPr="005A1077" w:rsidTr="00BB6BA6">
        <w:trPr>
          <w:cantSplit/>
        </w:trPr>
        <w:tc>
          <w:tcPr>
            <w:tcW w:w="1277" w:type="dxa"/>
            <w:tcBorders>
              <w:top w:val="single" w:sz="4" w:space="0" w:color="auto"/>
              <w:left w:val="single" w:sz="4" w:space="0" w:color="auto"/>
              <w:bottom w:val="single" w:sz="4" w:space="0" w:color="auto"/>
              <w:right w:val="single" w:sz="4" w:space="0" w:color="auto"/>
            </w:tcBorders>
            <w:hideMark/>
          </w:tcPr>
          <w:p w:rsidR="005A1077" w:rsidRPr="005A1077" w:rsidRDefault="005A1077" w:rsidP="00BB6BA6">
            <w:pPr>
              <w:spacing w:before="40" w:after="40"/>
              <w:jc w:val="left"/>
              <w:rPr>
                <w:sz w:val="18"/>
                <w:szCs w:val="18"/>
              </w:rPr>
            </w:pPr>
            <w:r w:rsidRPr="005A1077">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5A1077" w:rsidRPr="005A1077" w:rsidRDefault="005A1077" w:rsidP="00BB6BA6">
            <w:pPr>
              <w:keepNext/>
              <w:spacing w:before="40" w:after="40"/>
              <w:jc w:val="left"/>
              <w:rPr>
                <w:sz w:val="18"/>
                <w:szCs w:val="18"/>
              </w:rPr>
            </w:pPr>
            <w:proofErr w:type="spellStart"/>
            <w:r w:rsidRPr="005A1077">
              <w:rPr>
                <w:i/>
                <w:sz w:val="18"/>
                <w:szCs w:val="18"/>
              </w:rPr>
              <w:t>Secale</w:t>
            </w:r>
            <w:proofErr w:type="spellEnd"/>
            <w:r w:rsidRPr="005A1077">
              <w:rPr>
                <w:sz w:val="18"/>
                <w:szCs w:val="18"/>
              </w:rPr>
              <w:t xml:space="preserve">, </w:t>
            </w:r>
            <w:r w:rsidRPr="005A1077">
              <w:rPr>
                <w:i/>
                <w:sz w:val="18"/>
                <w:szCs w:val="18"/>
              </w:rPr>
              <w:t>Triticale</w:t>
            </w:r>
            <w:r w:rsidRPr="005A1077">
              <w:rPr>
                <w:iCs/>
                <w:sz w:val="18"/>
                <w:szCs w:val="18"/>
              </w:rPr>
              <w:t xml:space="preserve">, </w:t>
            </w:r>
            <w:proofErr w:type="spellStart"/>
            <w:r w:rsidRPr="005A1077">
              <w:rPr>
                <w:i/>
                <w:sz w:val="18"/>
                <w:szCs w:val="18"/>
              </w:rPr>
              <w:t>Triticum</w:t>
            </w:r>
            <w:proofErr w:type="spellEnd"/>
            <w:r w:rsidRPr="005A1077">
              <w:rPr>
                <w:i/>
                <w:sz w:val="18"/>
                <w:szCs w:val="18"/>
              </w:rPr>
              <w:t xml:space="preserve">, </w:t>
            </w:r>
            <w:r w:rsidRPr="005A1077">
              <w:rPr>
                <w:rFonts w:cs="Arial"/>
                <w:sz w:val="18"/>
                <w:u w:val="single"/>
                <w:shd w:val="pct15" w:color="auto" w:fill="FFFFFF"/>
              </w:rPr>
              <w:t>×</w:t>
            </w:r>
            <w:proofErr w:type="spellStart"/>
            <w:r w:rsidRPr="005A1077">
              <w:rPr>
                <w:rFonts w:cs="Arial"/>
                <w:i/>
                <w:sz w:val="18"/>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5A1077" w:rsidRPr="005A1077" w:rsidRDefault="005A1077" w:rsidP="00BB6BA6">
            <w:pPr>
              <w:keepNext/>
              <w:spacing w:before="40" w:after="40"/>
              <w:jc w:val="left"/>
              <w:rPr>
                <w:sz w:val="18"/>
                <w:szCs w:val="18"/>
              </w:rPr>
            </w:pPr>
            <w:proofErr w:type="spellStart"/>
            <w:r w:rsidRPr="005A1077">
              <w:rPr>
                <w:sz w:val="18"/>
                <w:szCs w:val="18"/>
              </w:rPr>
              <w:t>SECAL</w:t>
            </w:r>
            <w:proofErr w:type="spellEnd"/>
            <w:r w:rsidRPr="005A1077">
              <w:rPr>
                <w:sz w:val="18"/>
                <w:szCs w:val="18"/>
              </w:rPr>
              <w:t xml:space="preserve">;  </w:t>
            </w:r>
            <w:proofErr w:type="spellStart"/>
            <w:r w:rsidRPr="005A1077">
              <w:rPr>
                <w:sz w:val="18"/>
                <w:szCs w:val="18"/>
              </w:rPr>
              <w:t>TRITL</w:t>
            </w:r>
            <w:proofErr w:type="spellEnd"/>
            <w:r w:rsidRPr="005A1077">
              <w:rPr>
                <w:sz w:val="18"/>
                <w:szCs w:val="18"/>
              </w:rPr>
              <w:t xml:space="preserve">;  </w:t>
            </w:r>
            <w:proofErr w:type="spellStart"/>
            <w:r w:rsidRPr="005A1077">
              <w:rPr>
                <w:sz w:val="18"/>
                <w:szCs w:val="18"/>
              </w:rPr>
              <w:t>TRITI</w:t>
            </w:r>
            <w:proofErr w:type="spellEnd"/>
            <w:r w:rsidRPr="005A1077">
              <w:rPr>
                <w:sz w:val="18"/>
                <w:szCs w:val="18"/>
              </w:rPr>
              <w:t xml:space="preserve">;  </w:t>
            </w:r>
            <w:proofErr w:type="spellStart"/>
            <w:r w:rsidRPr="005A1077">
              <w:rPr>
                <w:sz w:val="18"/>
                <w:szCs w:val="18"/>
                <w:u w:val="single"/>
                <w:shd w:val="pct15" w:color="auto" w:fill="FFFFFF"/>
              </w:rPr>
              <w:t>TRITT</w:t>
            </w:r>
            <w:proofErr w:type="spellEnd"/>
          </w:p>
        </w:tc>
      </w:tr>
    </w:tbl>
    <w:p w:rsidR="00114EB1" w:rsidRPr="00CA626D" w:rsidRDefault="00114EB1" w:rsidP="005A1077">
      <w:pPr>
        <w:jc w:val="left"/>
      </w:pPr>
    </w:p>
    <w:p w:rsidR="00EF5D98" w:rsidRPr="00CA626D" w:rsidRDefault="00EF5D98" w:rsidP="005A1077">
      <w:pPr>
        <w:jc w:val="left"/>
      </w:pPr>
    </w:p>
    <w:p w:rsidR="00EF5D98" w:rsidRPr="00CA626D" w:rsidRDefault="00EF5D98" w:rsidP="00EF5D98">
      <w:pPr>
        <w:pStyle w:val="Heading5"/>
        <w:rPr>
          <w:rFonts w:eastAsiaTheme="minorEastAsia"/>
        </w:rPr>
      </w:pPr>
      <w:bookmarkStart w:id="11" w:name="_Toc82971329"/>
      <w:proofErr w:type="spellStart"/>
      <w:r w:rsidRPr="00CA626D">
        <w:rPr>
          <w:rFonts w:eastAsiaTheme="minorEastAsia"/>
        </w:rPr>
        <w:t>UPOV</w:t>
      </w:r>
      <w:proofErr w:type="spellEnd"/>
      <w:r w:rsidRPr="00CA626D">
        <w:rPr>
          <w:rFonts w:eastAsiaTheme="minorEastAsia"/>
        </w:rPr>
        <w:t xml:space="preserve"> codes for Beta vulgaris</w:t>
      </w:r>
      <w:bookmarkEnd w:id="11"/>
    </w:p>
    <w:p w:rsidR="00EF5D98" w:rsidRPr="00CA626D" w:rsidRDefault="00EF5D98" w:rsidP="00EF5D98"/>
    <w:p w:rsidR="00EF5D98" w:rsidRPr="00CA626D" w:rsidRDefault="00EF5D98" w:rsidP="00EF5D98">
      <w:r w:rsidRPr="00CA626D">
        <w:fldChar w:fldCharType="begin"/>
      </w:r>
      <w:r w:rsidRPr="00CA626D">
        <w:instrText xml:space="preserve"> AUTONUM  </w:instrText>
      </w:r>
      <w:r w:rsidRPr="00CA626D">
        <w:fldChar w:fldCharType="end"/>
      </w:r>
      <w:r w:rsidRPr="00CA626D">
        <w:tab/>
        <w:t xml:space="preserve">The TC agreed to amend the </w:t>
      </w:r>
      <w:proofErr w:type="spellStart"/>
      <w:r w:rsidRPr="00CA626D">
        <w:t>UPOV</w:t>
      </w:r>
      <w:proofErr w:type="spellEnd"/>
      <w:r w:rsidRPr="00CA626D">
        <w:t xml:space="preserve"> codes for </w:t>
      </w:r>
      <w:r w:rsidRPr="00CA626D">
        <w:rPr>
          <w:i/>
        </w:rPr>
        <w:t>Beta vulgaris</w:t>
      </w:r>
      <w:r w:rsidRPr="00CA626D">
        <w:t xml:space="preserve"> L. subsp. </w:t>
      </w:r>
      <w:r w:rsidRPr="00CA626D">
        <w:rPr>
          <w:i/>
        </w:rPr>
        <w:t>vulgaris</w:t>
      </w:r>
      <w:r w:rsidRPr="00CA626D">
        <w:t>, as reproduced in Annex I to document TC/57/11 (see document TC/57/25 “Report”, paragraphs 71 to 73).</w:t>
      </w:r>
    </w:p>
    <w:p w:rsidR="00EF5D98" w:rsidRPr="00CA626D" w:rsidRDefault="00EF5D98" w:rsidP="00EF5D98"/>
    <w:p w:rsidR="00EF5D98" w:rsidRPr="00CA626D" w:rsidRDefault="00EF5D98" w:rsidP="00EF5D98">
      <w:r w:rsidRPr="00CA626D">
        <w:fldChar w:fldCharType="begin"/>
      </w:r>
      <w:r w:rsidRPr="00CA626D">
        <w:instrText xml:space="preserve"> AUTONUM  </w:instrText>
      </w:r>
      <w:r w:rsidRPr="00CA626D">
        <w:fldChar w:fldCharType="end"/>
      </w:r>
      <w:r w:rsidRPr="00CA626D">
        <w:tab/>
        <w:t xml:space="preserve">The TC agreed to append information to </w:t>
      </w:r>
      <w:proofErr w:type="spellStart"/>
      <w:r w:rsidRPr="00CA626D">
        <w:t>UPOV</w:t>
      </w:r>
      <w:proofErr w:type="spellEnd"/>
      <w:r w:rsidRPr="00CA626D">
        <w:t xml:space="preserve"> codes for </w:t>
      </w:r>
      <w:r w:rsidRPr="00CA626D">
        <w:rPr>
          <w:i/>
        </w:rPr>
        <w:t>Beta vulgaris</w:t>
      </w:r>
      <w:r w:rsidRPr="00CA626D">
        <w:t xml:space="preserve"> L. subsp. </w:t>
      </w:r>
      <w:r w:rsidRPr="00CA626D">
        <w:rPr>
          <w:i/>
        </w:rPr>
        <w:t>vulgaris</w:t>
      </w:r>
      <w:r w:rsidRPr="00CA626D">
        <w:t xml:space="preserve"> to establish the following groups: </w:t>
      </w:r>
    </w:p>
    <w:p w:rsidR="00EF5D98" w:rsidRPr="00CA626D" w:rsidRDefault="00EF5D98" w:rsidP="00EF5D98"/>
    <w:p w:rsidR="00EF5D98" w:rsidRPr="00CA626D" w:rsidRDefault="00EF5D98" w:rsidP="00EF5D98">
      <w:pPr>
        <w:ind w:left="567"/>
      </w:pPr>
      <w:r w:rsidRPr="00CA626D">
        <w:t>(</w:t>
      </w:r>
      <w:proofErr w:type="spellStart"/>
      <w:r w:rsidRPr="00CA626D">
        <w:t>i</w:t>
      </w:r>
      <w:proofErr w:type="spellEnd"/>
      <w:r w:rsidRPr="00CA626D">
        <w:t>)</w:t>
      </w:r>
      <w:r w:rsidRPr="00CA626D">
        <w:tab/>
        <w:t xml:space="preserve">Fodder beet group: Class 2.1 (“21FB”),  </w:t>
      </w:r>
    </w:p>
    <w:p w:rsidR="00EF5D98" w:rsidRPr="00CA626D" w:rsidRDefault="00EF5D98" w:rsidP="00EF5D98">
      <w:pPr>
        <w:ind w:left="567"/>
      </w:pPr>
      <w:r w:rsidRPr="00CA626D">
        <w:t>(ii)</w:t>
      </w:r>
      <w:r w:rsidRPr="00CA626D">
        <w:tab/>
        <w:t xml:space="preserve">Sugar beet group: Class 2.1 (“21SB”),  </w:t>
      </w:r>
    </w:p>
    <w:p w:rsidR="00EF5D98" w:rsidRPr="00CA626D" w:rsidRDefault="00EF5D98" w:rsidP="00EF5D98">
      <w:pPr>
        <w:ind w:left="567"/>
      </w:pPr>
      <w:r w:rsidRPr="00CA626D">
        <w:t>(iii)</w:t>
      </w:r>
      <w:r w:rsidRPr="00CA626D">
        <w:tab/>
        <w:t xml:space="preserve">Beetroot group: Class 2.2 (“22BR”),  </w:t>
      </w:r>
    </w:p>
    <w:p w:rsidR="00EF5D98" w:rsidRPr="00CA626D" w:rsidRDefault="00EF5D98" w:rsidP="00EF5D98">
      <w:pPr>
        <w:ind w:left="567"/>
      </w:pPr>
      <w:proofErr w:type="gramStart"/>
      <w:r w:rsidRPr="00CA626D">
        <w:t>(iv)</w:t>
      </w:r>
      <w:r w:rsidRPr="00CA626D">
        <w:tab/>
        <w:t>Leaf</w:t>
      </w:r>
      <w:proofErr w:type="gramEnd"/>
      <w:r w:rsidRPr="00CA626D">
        <w:t xml:space="preserve"> beet group: Class 2.2 (“22LB”).</w:t>
      </w:r>
    </w:p>
    <w:p w:rsidR="00EF5D98" w:rsidRPr="00CA626D" w:rsidRDefault="00EF5D98" w:rsidP="00EF5D98"/>
    <w:p w:rsidR="00EF5D98" w:rsidRPr="00CA626D" w:rsidRDefault="00EF5D98" w:rsidP="00EF5D98">
      <w:pPr>
        <w:keepNext/>
        <w:rPr>
          <w:rFonts w:eastAsiaTheme="minorEastAsia"/>
        </w:rPr>
      </w:pPr>
      <w:r w:rsidRPr="00CA626D">
        <w:rPr>
          <w:rFonts w:eastAsiaTheme="minorEastAsia"/>
        </w:rPr>
        <w:fldChar w:fldCharType="begin"/>
      </w:r>
      <w:r w:rsidRPr="00CA626D">
        <w:rPr>
          <w:rFonts w:eastAsiaTheme="minorEastAsia"/>
        </w:rPr>
        <w:instrText xml:space="preserve"> AUTONUM  </w:instrText>
      </w:r>
      <w:r w:rsidRPr="00CA626D">
        <w:rPr>
          <w:rFonts w:eastAsiaTheme="minorEastAsia"/>
        </w:rPr>
        <w:fldChar w:fldCharType="end"/>
      </w:r>
      <w:r w:rsidRPr="00CA626D">
        <w:rPr>
          <w:rFonts w:eastAsiaTheme="minorEastAsia"/>
        </w:rPr>
        <w:tab/>
        <w:t xml:space="preserve">The TC agreed that information on denomination classes in document </w:t>
      </w:r>
      <w:proofErr w:type="spellStart"/>
      <w:r w:rsidRPr="00CA626D">
        <w:rPr>
          <w:rFonts w:eastAsiaTheme="minorEastAsia"/>
        </w:rPr>
        <w:t>UPOV</w:t>
      </w:r>
      <w:proofErr w:type="spellEnd"/>
      <w:r w:rsidRPr="00CA626D">
        <w:rPr>
          <w:rFonts w:eastAsiaTheme="minorEastAsia"/>
        </w:rPr>
        <w:t xml:space="preserve">/INF/12 would need to </w:t>
      </w:r>
      <w:proofErr w:type="gramStart"/>
      <w:r w:rsidRPr="00CA626D">
        <w:rPr>
          <w:rFonts w:eastAsiaTheme="minorEastAsia"/>
        </w:rPr>
        <w:t>be updated</w:t>
      </w:r>
      <w:proofErr w:type="gramEnd"/>
      <w:r w:rsidRPr="00CA626D">
        <w:rPr>
          <w:rFonts w:eastAsiaTheme="minorEastAsia"/>
        </w:rPr>
        <w:t xml:space="preserve"> as follows:</w:t>
      </w:r>
    </w:p>
    <w:p w:rsidR="00EF5D98" w:rsidRPr="00CA626D" w:rsidRDefault="00EF5D98" w:rsidP="00EF5D98">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EF5D98" w:rsidRPr="00CA626D" w:rsidTr="00BB6BA6">
        <w:trPr>
          <w:cantSplit/>
          <w:tblHeader/>
        </w:trPr>
        <w:tc>
          <w:tcPr>
            <w:tcW w:w="1418" w:type="dxa"/>
            <w:vAlign w:val="center"/>
          </w:tcPr>
          <w:p w:rsidR="00EF5D98" w:rsidRPr="00CA626D" w:rsidRDefault="00EF5D98" w:rsidP="00BB6BA6">
            <w:pPr>
              <w:keepNext/>
              <w:spacing w:before="40" w:after="60"/>
              <w:jc w:val="left"/>
              <w:rPr>
                <w:rFonts w:eastAsia="MS Mincho"/>
                <w:u w:val="single"/>
              </w:rPr>
            </w:pPr>
          </w:p>
        </w:tc>
        <w:tc>
          <w:tcPr>
            <w:tcW w:w="5670" w:type="dxa"/>
            <w:vAlign w:val="center"/>
          </w:tcPr>
          <w:p w:rsidR="00EF5D98" w:rsidRPr="00CA626D" w:rsidRDefault="00EF5D98" w:rsidP="00BB6BA6">
            <w:pPr>
              <w:keepNext/>
              <w:spacing w:before="40" w:after="60"/>
              <w:jc w:val="center"/>
              <w:rPr>
                <w:rFonts w:eastAsia="MS Mincho"/>
                <w:u w:val="single"/>
              </w:rPr>
            </w:pPr>
            <w:r w:rsidRPr="00CA626D">
              <w:rPr>
                <w:rFonts w:eastAsia="MS Mincho"/>
                <w:u w:val="single"/>
              </w:rPr>
              <w:t>Botanical names</w:t>
            </w:r>
          </w:p>
        </w:tc>
        <w:tc>
          <w:tcPr>
            <w:tcW w:w="2551" w:type="dxa"/>
            <w:vAlign w:val="center"/>
          </w:tcPr>
          <w:p w:rsidR="00EF5D98" w:rsidRPr="00CA626D" w:rsidRDefault="00EF5D98" w:rsidP="00BB6BA6">
            <w:pPr>
              <w:keepNext/>
              <w:spacing w:before="40" w:after="60"/>
              <w:jc w:val="center"/>
              <w:rPr>
                <w:rFonts w:eastAsia="MS Mincho"/>
                <w:u w:val="single"/>
              </w:rPr>
            </w:pPr>
            <w:proofErr w:type="spellStart"/>
            <w:r w:rsidRPr="00CA626D">
              <w:rPr>
                <w:rFonts w:eastAsia="MS Mincho"/>
                <w:u w:val="single"/>
              </w:rPr>
              <w:t>UPOV</w:t>
            </w:r>
            <w:proofErr w:type="spellEnd"/>
            <w:r w:rsidRPr="00CA626D">
              <w:rPr>
                <w:rFonts w:eastAsia="MS Mincho"/>
                <w:u w:val="single"/>
              </w:rPr>
              <w:t xml:space="preserve"> codes</w:t>
            </w:r>
          </w:p>
        </w:tc>
      </w:tr>
      <w:tr w:rsidR="00EF5D98" w:rsidRPr="00CA626D" w:rsidTr="00BB6BA6">
        <w:trPr>
          <w:cantSplit/>
        </w:trPr>
        <w:tc>
          <w:tcPr>
            <w:tcW w:w="1418" w:type="dxa"/>
          </w:tcPr>
          <w:p w:rsidR="00EF5D98" w:rsidRPr="00CA626D" w:rsidRDefault="00EF5D98" w:rsidP="00BB6BA6">
            <w:pPr>
              <w:keepNext/>
              <w:spacing w:before="40" w:after="40"/>
              <w:jc w:val="left"/>
              <w:rPr>
                <w:rFonts w:eastAsia="MS Mincho"/>
              </w:rPr>
            </w:pPr>
            <w:r w:rsidRPr="00CA626D">
              <w:rPr>
                <w:rFonts w:eastAsia="MS Mincho"/>
              </w:rPr>
              <w:t>Class 2.1</w:t>
            </w:r>
          </w:p>
        </w:tc>
        <w:tc>
          <w:tcPr>
            <w:tcW w:w="5670" w:type="dxa"/>
          </w:tcPr>
          <w:p w:rsidR="00EF5D98" w:rsidRPr="00CA626D" w:rsidRDefault="00EF5D98" w:rsidP="00BB6BA6">
            <w:pPr>
              <w:keepNext/>
              <w:spacing w:before="40" w:after="40"/>
              <w:jc w:val="left"/>
              <w:rPr>
                <w:rFonts w:eastAsia="MS Mincho"/>
              </w:rPr>
            </w:pPr>
            <w:r w:rsidRPr="00CA626D">
              <w:rPr>
                <w:rFonts w:eastAsia="MS Mincho"/>
                <w:i/>
              </w:rPr>
              <w:t xml:space="preserve">B. vulgaris </w:t>
            </w:r>
            <w:r w:rsidRPr="00CA626D">
              <w:rPr>
                <w:rFonts w:eastAsia="MS Mincho"/>
              </w:rPr>
              <w:t xml:space="preserve">L. ssp. </w:t>
            </w:r>
            <w:r w:rsidRPr="00CA626D">
              <w:rPr>
                <w:rFonts w:eastAsia="MS Mincho"/>
                <w:i/>
              </w:rPr>
              <w:t>vulgaris</w:t>
            </w:r>
            <w:r w:rsidRPr="00CA626D">
              <w:rPr>
                <w:rFonts w:eastAsia="MS Mincho"/>
              </w:rPr>
              <w:t xml:space="preserve"> (synonym to </w:t>
            </w:r>
            <w:r w:rsidRPr="00CA626D">
              <w:rPr>
                <w:rFonts w:eastAsia="MS Mincho"/>
                <w:i/>
              </w:rPr>
              <w:t>B. vulgaris</w:t>
            </w:r>
            <w:r w:rsidRPr="00CA626D">
              <w:rPr>
                <w:rFonts w:eastAsia="MS Mincho"/>
              </w:rPr>
              <w:t xml:space="preserve"> L. var. </w:t>
            </w:r>
            <w:r w:rsidRPr="00CA626D">
              <w:rPr>
                <w:rFonts w:eastAsia="MS Mincho"/>
                <w:i/>
              </w:rPr>
              <w:t>alba</w:t>
            </w:r>
            <w:r w:rsidRPr="00CA626D">
              <w:rPr>
                <w:rFonts w:eastAsia="MS Mincho"/>
              </w:rPr>
              <w:t xml:space="preserve"> DC.),  </w:t>
            </w:r>
            <w:r w:rsidRPr="00CA626D">
              <w:rPr>
                <w:rFonts w:eastAsia="MS Mincho"/>
                <w:i/>
              </w:rPr>
              <w:t xml:space="preserve">B. vulgaris </w:t>
            </w:r>
            <w:r w:rsidRPr="00CA626D">
              <w:rPr>
                <w:rFonts w:eastAsia="MS Mincho"/>
              </w:rPr>
              <w:t xml:space="preserve">L. ssp. </w:t>
            </w:r>
            <w:r w:rsidRPr="00CA626D">
              <w:rPr>
                <w:rFonts w:eastAsia="MS Mincho"/>
                <w:i/>
              </w:rPr>
              <w:t>vulgaris</w:t>
            </w:r>
            <w:r w:rsidRPr="00CA626D">
              <w:rPr>
                <w:rFonts w:eastAsia="MS Mincho"/>
              </w:rPr>
              <w:t xml:space="preserve"> (synonym to </w:t>
            </w:r>
            <w:r w:rsidRPr="00CA626D">
              <w:rPr>
                <w:rFonts w:eastAsia="MS Mincho"/>
                <w:i/>
              </w:rPr>
              <w:t>B. vulgaris</w:t>
            </w:r>
            <w:r w:rsidRPr="00CA626D">
              <w:rPr>
                <w:rFonts w:eastAsia="MS Mincho"/>
              </w:rPr>
              <w:t xml:space="preserve"> L. var. </w:t>
            </w:r>
            <w:proofErr w:type="spellStart"/>
            <w:r w:rsidRPr="00CA626D">
              <w:rPr>
                <w:rFonts w:eastAsia="MS Mincho"/>
                <w:i/>
              </w:rPr>
              <w:t>altissima</w:t>
            </w:r>
            <w:proofErr w:type="spellEnd"/>
            <w:r w:rsidRPr="00CA626D">
              <w:rPr>
                <w:rFonts w:eastAsia="MS Mincho"/>
                <w:i/>
              </w:rPr>
              <w:t>)</w:t>
            </w:r>
          </w:p>
        </w:tc>
        <w:tc>
          <w:tcPr>
            <w:tcW w:w="2551" w:type="dxa"/>
          </w:tcPr>
          <w:p w:rsidR="00EF5D98" w:rsidRPr="00CA626D" w:rsidRDefault="00EF5D98" w:rsidP="00BB6BA6">
            <w:pPr>
              <w:keepNext/>
              <w:spacing w:before="40" w:after="40"/>
              <w:jc w:val="left"/>
              <w:rPr>
                <w:rFonts w:eastAsia="MS Mincho"/>
              </w:rPr>
            </w:pPr>
            <w:r w:rsidRPr="00CA626D">
              <w:rPr>
                <w:rFonts w:eastAsia="MS Mincho"/>
              </w:rPr>
              <w:t xml:space="preserve">BETAA_VUL_VUL_21FB; </w:t>
            </w:r>
          </w:p>
          <w:p w:rsidR="00EF5D98" w:rsidRPr="00CA626D" w:rsidRDefault="00EF5D98" w:rsidP="00BB6BA6">
            <w:pPr>
              <w:keepNext/>
              <w:spacing w:before="40" w:after="40"/>
              <w:jc w:val="left"/>
              <w:rPr>
                <w:rFonts w:eastAsia="MS Mincho"/>
              </w:rPr>
            </w:pPr>
            <w:r w:rsidRPr="00CA626D">
              <w:rPr>
                <w:rFonts w:eastAsia="MS Mincho"/>
              </w:rPr>
              <w:t>BETAA_VUL_VUL_21SB</w:t>
            </w:r>
          </w:p>
        </w:tc>
      </w:tr>
      <w:tr w:rsidR="00EF5D98" w:rsidRPr="00CF211A" w:rsidTr="00BB6BA6">
        <w:trPr>
          <w:cantSplit/>
        </w:trPr>
        <w:tc>
          <w:tcPr>
            <w:tcW w:w="1418" w:type="dxa"/>
            <w:tcBorders>
              <w:bottom w:val="single" w:sz="4" w:space="0" w:color="auto"/>
            </w:tcBorders>
          </w:tcPr>
          <w:p w:rsidR="00EF5D98" w:rsidRPr="00CA626D" w:rsidRDefault="00EF5D98" w:rsidP="00BB6BA6">
            <w:pPr>
              <w:keepNext/>
              <w:spacing w:before="40" w:after="40"/>
              <w:jc w:val="left"/>
              <w:rPr>
                <w:rFonts w:eastAsia="MS Mincho"/>
              </w:rPr>
            </w:pPr>
            <w:r w:rsidRPr="00CA626D">
              <w:rPr>
                <w:rFonts w:eastAsia="MS Mincho"/>
              </w:rPr>
              <w:t>Class 2.2</w:t>
            </w:r>
          </w:p>
        </w:tc>
        <w:tc>
          <w:tcPr>
            <w:tcW w:w="5670" w:type="dxa"/>
            <w:tcBorders>
              <w:bottom w:val="single" w:sz="4" w:space="0" w:color="auto"/>
            </w:tcBorders>
          </w:tcPr>
          <w:p w:rsidR="00EF5D98" w:rsidRPr="00D53FBB" w:rsidRDefault="00EF5D98" w:rsidP="00BB6BA6">
            <w:pPr>
              <w:keepNext/>
              <w:spacing w:before="40" w:after="40"/>
              <w:jc w:val="left"/>
              <w:rPr>
                <w:rFonts w:eastAsia="MS Mincho"/>
                <w:lang w:val="pt-PT"/>
              </w:rPr>
            </w:pPr>
            <w:r w:rsidRPr="00D53FBB">
              <w:rPr>
                <w:rFonts w:eastAsia="MS Mincho"/>
                <w:i/>
                <w:lang w:val="pt-PT"/>
              </w:rPr>
              <w:t xml:space="preserve">Beta vulgaris </w:t>
            </w:r>
            <w:r w:rsidRPr="00D53FBB">
              <w:rPr>
                <w:rFonts w:eastAsia="MS Mincho"/>
                <w:lang w:val="pt-PT"/>
              </w:rPr>
              <w:t xml:space="preserve">ssp. </w:t>
            </w:r>
            <w:r w:rsidRPr="00D53FBB">
              <w:rPr>
                <w:rFonts w:eastAsia="MS Mincho"/>
                <w:i/>
                <w:lang w:val="pt-PT"/>
              </w:rPr>
              <w:t>vulgaris</w:t>
            </w:r>
            <w:r w:rsidRPr="00D53FBB">
              <w:rPr>
                <w:rFonts w:eastAsia="MS Mincho"/>
                <w:lang w:val="pt-PT"/>
              </w:rPr>
              <w:t xml:space="preserve"> var. </w:t>
            </w:r>
            <w:r w:rsidRPr="00D53FBB">
              <w:rPr>
                <w:rFonts w:eastAsia="MS Mincho"/>
                <w:i/>
                <w:lang w:val="pt-PT"/>
              </w:rPr>
              <w:t>conditiva</w:t>
            </w:r>
            <w:r w:rsidRPr="00D53FBB">
              <w:rPr>
                <w:rFonts w:eastAsia="MS Mincho"/>
                <w:lang w:val="pt-PT"/>
              </w:rPr>
              <w:t xml:space="preserve"> Alef. (synonym to </w:t>
            </w:r>
            <w:r w:rsidRPr="00D53FBB">
              <w:rPr>
                <w:rFonts w:eastAsia="MS Mincho"/>
                <w:i/>
                <w:lang w:val="pt-PT"/>
              </w:rPr>
              <w:t>B. vulgaris</w:t>
            </w:r>
            <w:r w:rsidRPr="00D53FBB">
              <w:rPr>
                <w:rFonts w:eastAsia="MS Mincho"/>
                <w:lang w:val="pt-PT"/>
              </w:rPr>
              <w:t xml:space="preserve"> L. var. </w:t>
            </w:r>
            <w:r w:rsidRPr="00D53FBB">
              <w:rPr>
                <w:rFonts w:eastAsia="MS Mincho"/>
                <w:i/>
                <w:lang w:val="pt-PT"/>
              </w:rPr>
              <w:t>rubra</w:t>
            </w:r>
            <w:r w:rsidRPr="00D53FBB">
              <w:rPr>
                <w:rFonts w:eastAsia="MS Mincho"/>
                <w:lang w:val="pt-PT"/>
              </w:rPr>
              <w:t xml:space="preserve"> L.), B. </w:t>
            </w:r>
            <w:r w:rsidRPr="00D53FBB">
              <w:rPr>
                <w:rFonts w:eastAsia="MS Mincho"/>
                <w:i/>
                <w:lang w:val="pt-PT"/>
              </w:rPr>
              <w:t>vulgaris</w:t>
            </w:r>
            <w:r w:rsidRPr="00D53FBB">
              <w:rPr>
                <w:rFonts w:eastAsia="MS Mincho"/>
                <w:lang w:val="pt-PT"/>
              </w:rPr>
              <w:t xml:space="preserve"> L. var. </w:t>
            </w:r>
            <w:r w:rsidRPr="00D53FBB">
              <w:rPr>
                <w:rFonts w:eastAsia="MS Mincho"/>
                <w:i/>
                <w:lang w:val="pt-PT"/>
              </w:rPr>
              <w:t>cicla</w:t>
            </w:r>
            <w:r w:rsidRPr="00D53FBB">
              <w:rPr>
                <w:rFonts w:eastAsia="MS Mincho"/>
                <w:lang w:val="pt-PT"/>
              </w:rPr>
              <w:t xml:space="preserve"> L., </w:t>
            </w:r>
            <w:r w:rsidRPr="00D53FBB">
              <w:rPr>
                <w:rFonts w:eastAsia="MS Mincho"/>
                <w:i/>
                <w:lang w:val="pt-PT"/>
              </w:rPr>
              <w:t xml:space="preserve">B. vulgaris </w:t>
            </w:r>
            <w:r w:rsidRPr="00D53FBB">
              <w:rPr>
                <w:rFonts w:eastAsia="MS Mincho"/>
                <w:lang w:val="pt-PT"/>
              </w:rPr>
              <w:t xml:space="preserve">L. ssp. </w:t>
            </w:r>
            <w:r w:rsidRPr="00D53FBB">
              <w:rPr>
                <w:rFonts w:eastAsia="MS Mincho"/>
                <w:i/>
                <w:lang w:val="pt-PT"/>
              </w:rPr>
              <w:t>vulgaris</w:t>
            </w:r>
            <w:r w:rsidRPr="00D53FBB">
              <w:rPr>
                <w:rFonts w:eastAsia="MS Mincho"/>
                <w:lang w:val="pt-PT"/>
              </w:rPr>
              <w:t xml:space="preserve"> var. </w:t>
            </w:r>
            <w:r w:rsidRPr="00D53FBB">
              <w:rPr>
                <w:rFonts w:eastAsia="MS Mincho"/>
                <w:i/>
                <w:lang w:val="pt-PT"/>
              </w:rPr>
              <w:t>vulgaris</w:t>
            </w:r>
          </w:p>
        </w:tc>
        <w:tc>
          <w:tcPr>
            <w:tcW w:w="2551" w:type="dxa"/>
            <w:tcBorders>
              <w:bottom w:val="single" w:sz="4" w:space="0" w:color="auto"/>
            </w:tcBorders>
          </w:tcPr>
          <w:p w:rsidR="00EF5D98" w:rsidRPr="00D53FBB" w:rsidRDefault="00EF5D98" w:rsidP="00BB6BA6">
            <w:pPr>
              <w:keepNext/>
              <w:spacing w:before="40" w:after="40"/>
              <w:jc w:val="left"/>
              <w:rPr>
                <w:rFonts w:eastAsia="MS Mincho"/>
                <w:lang w:val="pt-PT"/>
              </w:rPr>
            </w:pPr>
            <w:r w:rsidRPr="00D53FBB">
              <w:rPr>
                <w:rFonts w:eastAsia="MS Mincho"/>
                <w:lang w:val="pt-PT"/>
              </w:rPr>
              <w:t xml:space="preserve">BETAA_VUL_VUL_22BR; </w:t>
            </w:r>
          </w:p>
          <w:p w:rsidR="00EF5D98" w:rsidRPr="00D53FBB" w:rsidRDefault="00EF5D98" w:rsidP="00BB6BA6">
            <w:pPr>
              <w:keepNext/>
              <w:spacing w:before="40" w:after="40"/>
              <w:jc w:val="left"/>
              <w:rPr>
                <w:rFonts w:eastAsia="MS Mincho"/>
                <w:lang w:val="pt-PT"/>
              </w:rPr>
            </w:pPr>
            <w:r w:rsidRPr="00D53FBB">
              <w:rPr>
                <w:rFonts w:eastAsia="MS Mincho"/>
                <w:lang w:val="pt-PT"/>
              </w:rPr>
              <w:t>BETAA_VUL_VUL_22LB</w:t>
            </w:r>
          </w:p>
        </w:tc>
      </w:tr>
      <w:tr w:rsidR="00EF5D98" w:rsidRPr="00CA626D" w:rsidTr="00BB6BA6">
        <w:trPr>
          <w:cantSplit/>
        </w:trPr>
        <w:tc>
          <w:tcPr>
            <w:tcW w:w="1418" w:type="dxa"/>
            <w:tcBorders>
              <w:bottom w:val="single" w:sz="4" w:space="0" w:color="auto"/>
            </w:tcBorders>
          </w:tcPr>
          <w:p w:rsidR="00EF5D98" w:rsidRPr="00CA626D" w:rsidRDefault="00EF5D98" w:rsidP="00BB6BA6">
            <w:pPr>
              <w:keepNext/>
              <w:spacing w:before="40" w:after="40"/>
              <w:jc w:val="left"/>
              <w:rPr>
                <w:rFonts w:eastAsia="MS Mincho"/>
              </w:rPr>
            </w:pPr>
            <w:r w:rsidRPr="00CA626D">
              <w:rPr>
                <w:rFonts w:eastAsia="MS Mincho"/>
              </w:rPr>
              <w:t>Class 2.3</w:t>
            </w:r>
          </w:p>
        </w:tc>
        <w:tc>
          <w:tcPr>
            <w:tcW w:w="5670" w:type="dxa"/>
            <w:tcBorders>
              <w:bottom w:val="single" w:sz="4" w:space="0" w:color="auto"/>
            </w:tcBorders>
          </w:tcPr>
          <w:p w:rsidR="00EF5D98" w:rsidRPr="00CA626D" w:rsidRDefault="00EF5D98" w:rsidP="00BB6BA6">
            <w:pPr>
              <w:keepNext/>
              <w:spacing w:before="40" w:after="40"/>
              <w:jc w:val="left"/>
              <w:rPr>
                <w:rFonts w:eastAsia="MS Mincho"/>
              </w:rPr>
            </w:pPr>
            <w:r w:rsidRPr="00CA626D">
              <w:rPr>
                <w:rFonts w:eastAsia="MS Mincho"/>
                <w:i/>
              </w:rPr>
              <w:t>Beta</w:t>
            </w:r>
            <w:r w:rsidRPr="00CA626D">
              <w:rPr>
                <w:rFonts w:eastAsia="MS Mincho"/>
              </w:rPr>
              <w:t xml:space="preserve"> other than classes 2.1 and 2.2.</w:t>
            </w:r>
          </w:p>
        </w:tc>
        <w:tc>
          <w:tcPr>
            <w:tcW w:w="2551" w:type="dxa"/>
            <w:tcBorders>
              <w:bottom w:val="single" w:sz="4" w:space="0" w:color="auto"/>
            </w:tcBorders>
          </w:tcPr>
          <w:p w:rsidR="00EF5D98" w:rsidRPr="00CA626D" w:rsidRDefault="00EF5D98" w:rsidP="00BB6BA6">
            <w:pPr>
              <w:keepNext/>
              <w:spacing w:before="40" w:after="40"/>
              <w:jc w:val="left"/>
              <w:rPr>
                <w:rFonts w:eastAsia="MS Mincho"/>
              </w:rPr>
            </w:pPr>
            <w:r w:rsidRPr="00CA626D">
              <w:rPr>
                <w:rFonts w:eastAsia="MS Mincho"/>
              </w:rPr>
              <w:t>other than classes 2.1</w:t>
            </w:r>
            <w:r w:rsidRPr="00CA626D">
              <w:rPr>
                <w:rFonts w:eastAsia="MS Mincho"/>
              </w:rPr>
              <w:br/>
              <w:t>and 2.2</w:t>
            </w:r>
          </w:p>
        </w:tc>
      </w:tr>
    </w:tbl>
    <w:p w:rsidR="00EF5D98" w:rsidRPr="005A1077" w:rsidRDefault="00EF5D98" w:rsidP="005A1077">
      <w:pPr>
        <w:jc w:val="left"/>
      </w:pPr>
    </w:p>
    <w:p w:rsidR="005A1077" w:rsidRPr="00CA626D" w:rsidRDefault="005A1077" w:rsidP="00114EB1">
      <w:pPr>
        <w:pStyle w:val="Heading4"/>
      </w:pPr>
      <w:bookmarkStart w:id="12" w:name="_Toc82293088"/>
      <w:bookmarkStart w:id="13" w:name="_Toc86170151"/>
      <w:r w:rsidRPr="00CA626D">
        <w:rPr>
          <w:snapToGrid w:val="0"/>
        </w:rPr>
        <w:lastRenderedPageBreak/>
        <w:t xml:space="preserve">Document </w:t>
      </w:r>
      <w:proofErr w:type="spellStart"/>
      <w:r w:rsidRPr="00CA626D">
        <w:rPr>
          <w:snapToGrid w:val="0"/>
        </w:rPr>
        <w:t>UPOV</w:t>
      </w:r>
      <w:proofErr w:type="spellEnd"/>
      <w:r w:rsidRPr="00CA626D">
        <w:rPr>
          <w:snapToGrid w:val="0"/>
        </w:rPr>
        <w:t>/INF/23 “</w:t>
      </w:r>
      <w:proofErr w:type="spellStart"/>
      <w:r w:rsidRPr="00CA626D">
        <w:t>UPOV</w:t>
      </w:r>
      <w:proofErr w:type="spellEnd"/>
      <w:r w:rsidRPr="00CA626D">
        <w:t xml:space="preserve"> Code System”</w:t>
      </w:r>
      <w:bookmarkEnd w:id="12"/>
      <w:bookmarkEnd w:id="13"/>
      <w:r w:rsidRPr="00CA626D">
        <w:t xml:space="preserve"> </w:t>
      </w:r>
    </w:p>
    <w:p w:rsidR="005A1077" w:rsidRPr="005A1077" w:rsidRDefault="005A1077" w:rsidP="005A1077">
      <w:pPr>
        <w:keepNext/>
      </w:pPr>
    </w:p>
    <w:p w:rsidR="005A1077" w:rsidRPr="005A1077" w:rsidRDefault="005A1077" w:rsidP="00D53FBB">
      <w:pPr>
        <w:keepLines/>
      </w:pPr>
      <w:r w:rsidRPr="005A1077">
        <w:fldChar w:fldCharType="begin"/>
      </w:r>
      <w:r w:rsidRPr="005A1077">
        <w:instrText xml:space="preserve"> AUTONUM  </w:instrText>
      </w:r>
      <w:r w:rsidRPr="005A1077">
        <w:fldChar w:fldCharType="end"/>
      </w:r>
      <w:r w:rsidRPr="005A1077">
        <w:tab/>
      </w:r>
      <w:proofErr w:type="gramStart"/>
      <w:r w:rsidRPr="005A1077">
        <w:t xml:space="preserve">The TC considered a proposal to clarify the maximum number of characters to be used in the appended element to </w:t>
      </w:r>
      <w:proofErr w:type="spellStart"/>
      <w:r w:rsidRPr="005A1077">
        <w:t>UPOV</w:t>
      </w:r>
      <w:proofErr w:type="spellEnd"/>
      <w:r w:rsidRPr="005A1077">
        <w:t xml:space="preserve"> codes, as set out in document </w:t>
      </w:r>
      <w:proofErr w:type="spellStart"/>
      <w:r w:rsidRPr="005A1077">
        <w:t>UPOV</w:t>
      </w:r>
      <w:proofErr w:type="spellEnd"/>
      <w:r w:rsidRPr="005A1077">
        <w:t>/INF/23 “</w:t>
      </w:r>
      <w:proofErr w:type="spellStart"/>
      <w:r w:rsidRPr="005A1077">
        <w:t>UPOV</w:t>
      </w:r>
      <w:proofErr w:type="spellEnd"/>
      <w:r w:rsidRPr="005A1077">
        <w:t xml:space="preserve"> Code System”, and agreed to request the Office of the Union to develop a proposal for consideration by the </w:t>
      </w:r>
      <w:proofErr w:type="spellStart"/>
      <w:r w:rsidRPr="005A1077">
        <w:t>TWPs</w:t>
      </w:r>
      <w:proofErr w:type="spellEnd"/>
      <w:r w:rsidRPr="005A1077">
        <w:t xml:space="preserve"> and the TC, at their sessions in 2022</w:t>
      </w:r>
      <w:r w:rsidR="000C604A" w:rsidRPr="00CA626D">
        <w:t xml:space="preserve"> (see document TC/57/25 “Report”, paragraphs 35)</w:t>
      </w:r>
      <w:r w:rsidRPr="005A1077">
        <w:t>.</w:t>
      </w:r>
      <w:proofErr w:type="gramEnd"/>
    </w:p>
    <w:p w:rsidR="005A1077" w:rsidRPr="005A1077" w:rsidRDefault="005A1077" w:rsidP="005A1077">
      <w:pPr>
        <w:rPr>
          <w:snapToGrid w:val="0"/>
        </w:rPr>
      </w:pPr>
    </w:p>
    <w:p w:rsidR="005A1077" w:rsidRPr="00CA626D" w:rsidRDefault="005A1077" w:rsidP="005612AA">
      <w:pPr>
        <w:pStyle w:val="Heading3"/>
        <w:keepLines/>
        <w:rPr>
          <w:snapToGrid w:val="0"/>
        </w:rPr>
      </w:pPr>
      <w:bookmarkStart w:id="14" w:name="_Toc86170152"/>
      <w:r w:rsidRPr="00CA626D">
        <w:rPr>
          <w:snapToGrid w:val="0"/>
        </w:rPr>
        <w:t>(b)</w:t>
      </w:r>
      <w:r w:rsidRPr="00CA626D">
        <w:rPr>
          <w:snapToGrid w:val="0"/>
        </w:rPr>
        <w:tab/>
      </w:r>
      <w:proofErr w:type="spellStart"/>
      <w:r w:rsidRPr="00CA626D">
        <w:rPr>
          <w:snapToGrid w:val="0"/>
        </w:rPr>
        <w:t>TGP</w:t>
      </w:r>
      <w:proofErr w:type="spellEnd"/>
      <w:r w:rsidRPr="00CA626D">
        <w:rPr>
          <w:snapToGrid w:val="0"/>
        </w:rPr>
        <w:t xml:space="preserve"> documents</w:t>
      </w:r>
      <w:bookmarkEnd w:id="14"/>
    </w:p>
    <w:p w:rsidR="005A1077" w:rsidRPr="005A1077" w:rsidRDefault="005A1077" w:rsidP="005612AA">
      <w:pPr>
        <w:keepNext/>
        <w:keepLines/>
        <w:rPr>
          <w:snapToGrid w:val="0"/>
        </w:rPr>
      </w:pPr>
    </w:p>
    <w:p w:rsidR="005A1077" w:rsidRPr="00CA626D" w:rsidRDefault="00AA4A51" w:rsidP="005612AA">
      <w:pPr>
        <w:pStyle w:val="Heading4"/>
        <w:keepLines/>
      </w:pPr>
      <w:bookmarkStart w:id="15" w:name="_Toc82293079"/>
      <w:bookmarkStart w:id="16" w:name="_Toc86170153"/>
      <w:r>
        <w:t xml:space="preserve">Document </w:t>
      </w:r>
      <w:proofErr w:type="spellStart"/>
      <w:r w:rsidR="005A1077" w:rsidRPr="00CA626D">
        <w:t>TGP</w:t>
      </w:r>
      <w:proofErr w:type="spellEnd"/>
      <w:r w:rsidR="005A1077" w:rsidRPr="00CA626D">
        <w:t xml:space="preserve">/5 Section 6:  </w:t>
      </w:r>
      <w:proofErr w:type="spellStart"/>
      <w:r w:rsidR="005A1077" w:rsidRPr="00CA626D">
        <w:t>UPOV</w:t>
      </w:r>
      <w:proofErr w:type="spellEnd"/>
      <w:r w:rsidR="005A1077" w:rsidRPr="00CA626D">
        <w:t xml:space="preserve"> Report on Technical Examination and </w:t>
      </w:r>
      <w:proofErr w:type="spellStart"/>
      <w:r w:rsidR="005A1077" w:rsidRPr="00CA626D">
        <w:t>UPOV</w:t>
      </w:r>
      <w:proofErr w:type="spellEnd"/>
      <w:r w:rsidR="005A1077" w:rsidRPr="00CA626D">
        <w:t xml:space="preserve"> Variety Description</w:t>
      </w:r>
      <w:bookmarkEnd w:id="15"/>
      <w:bookmarkEnd w:id="16"/>
    </w:p>
    <w:p w:rsidR="005A1077" w:rsidRPr="005A1077" w:rsidRDefault="005A1077" w:rsidP="005612AA">
      <w:pPr>
        <w:keepNext/>
        <w:keepLines/>
        <w:rPr>
          <w:snapToGrid w:val="0"/>
        </w:rPr>
      </w:pPr>
    </w:p>
    <w:p w:rsidR="005A1077" w:rsidRPr="00CA626D" w:rsidRDefault="005A1077" w:rsidP="005612AA">
      <w:pPr>
        <w:pStyle w:val="Heading5"/>
        <w:keepLines/>
      </w:pPr>
      <w:bookmarkStart w:id="17" w:name="_Toc69828443"/>
      <w:bookmarkStart w:id="18" w:name="_Toc64558674"/>
      <w:bookmarkStart w:id="19" w:name="_Toc82293080"/>
      <w:r w:rsidRPr="00CA626D">
        <w:t>Testing facility and location</w:t>
      </w:r>
      <w:bookmarkEnd w:id="17"/>
      <w:bookmarkEnd w:id="18"/>
      <w:bookmarkEnd w:id="19"/>
      <w:r w:rsidRPr="00CA626D">
        <w:t xml:space="preserve"> </w:t>
      </w:r>
    </w:p>
    <w:p w:rsidR="005A1077" w:rsidRPr="005A1077" w:rsidRDefault="005A1077" w:rsidP="005612AA">
      <w:pPr>
        <w:keepNext/>
        <w:keepLines/>
      </w:pPr>
    </w:p>
    <w:p w:rsidR="005A1077" w:rsidRPr="005A1077" w:rsidRDefault="005A1077" w:rsidP="005612AA">
      <w:pPr>
        <w:keepNext/>
        <w:keepLines/>
      </w:pPr>
      <w:r w:rsidRPr="005A1077">
        <w:fldChar w:fldCharType="begin"/>
      </w:r>
      <w:r w:rsidRPr="005A1077">
        <w:instrText xml:space="preserve"> AUTONUM  </w:instrText>
      </w:r>
      <w:r w:rsidRPr="005A1077">
        <w:fldChar w:fldCharType="end"/>
      </w:r>
      <w:r w:rsidRPr="005A1077">
        <w:tab/>
        <w:t>The TC agreed to revise document </w:t>
      </w:r>
      <w:proofErr w:type="spellStart"/>
      <w:r w:rsidRPr="005A1077">
        <w:t>TGP</w:t>
      </w:r>
      <w:proofErr w:type="spellEnd"/>
      <w:r w:rsidRPr="005A1077">
        <w:t>/5 Section 6, chapters “</w:t>
      </w:r>
      <w:proofErr w:type="spellStart"/>
      <w:r w:rsidRPr="005A1077">
        <w:t>UPOV</w:t>
      </w:r>
      <w:proofErr w:type="spellEnd"/>
      <w:r w:rsidRPr="005A1077">
        <w:t xml:space="preserve"> Report on Technical Examination” and “</w:t>
      </w:r>
      <w:proofErr w:type="spellStart"/>
      <w:r w:rsidRPr="005A1077">
        <w:t>UPOV</w:t>
      </w:r>
      <w:proofErr w:type="spellEnd"/>
      <w:r w:rsidRPr="005A1077">
        <w:t xml:space="preserve"> Variety Description”, to read as follows</w:t>
      </w:r>
      <w:r w:rsidR="00F2535C" w:rsidRPr="00CA626D">
        <w:t xml:space="preserve"> (see document TC/57/25 “Report”, paragraph 22)</w:t>
      </w:r>
      <w:r w:rsidRPr="005A1077">
        <w:t>:</w:t>
      </w:r>
    </w:p>
    <w:p w:rsidR="005A1077" w:rsidRPr="005A1077" w:rsidRDefault="005A1077" w:rsidP="005612AA">
      <w:pPr>
        <w:keepNext/>
        <w:keepLines/>
      </w:pPr>
    </w:p>
    <w:p w:rsidR="005A1077" w:rsidRPr="005A1077" w:rsidRDefault="005A1077" w:rsidP="005612AA">
      <w:pPr>
        <w:keepNext/>
        <w:keepLines/>
        <w:ind w:left="1134" w:hanging="567"/>
      </w:pPr>
      <w:r w:rsidRPr="005A1077">
        <w:t>-</w:t>
      </w:r>
      <w:r w:rsidRPr="005A1077">
        <w:tab/>
        <w:t xml:space="preserve">Chapter: </w:t>
      </w:r>
      <w:proofErr w:type="spellStart"/>
      <w:r w:rsidRPr="005A1077">
        <w:t>UPOV</w:t>
      </w:r>
      <w:proofErr w:type="spellEnd"/>
      <w:r w:rsidRPr="005A1077">
        <w:t xml:space="preserve"> Report on Technical Examination</w:t>
      </w:r>
    </w:p>
    <w:p w:rsidR="005A1077" w:rsidRPr="005A1077" w:rsidRDefault="005A1077" w:rsidP="005A1077">
      <w:pPr>
        <w:keepNext/>
        <w:ind w:left="1134" w:hanging="567"/>
      </w:pPr>
    </w:p>
    <w:p w:rsidR="005A1077" w:rsidRPr="005A1077" w:rsidRDefault="005A1077" w:rsidP="005A1077">
      <w:pPr>
        <w:keepNext/>
        <w:tabs>
          <w:tab w:val="left" w:pos="567"/>
          <w:tab w:val="left" w:pos="1134"/>
          <w:tab w:val="left" w:pos="5103"/>
          <w:tab w:val="left" w:leader="dot" w:pos="9639"/>
        </w:tabs>
        <w:ind w:left="567"/>
        <w:rPr>
          <w:rFonts w:cs="Arial"/>
        </w:rPr>
      </w:pPr>
      <w:r w:rsidRPr="005A1077">
        <w:rPr>
          <w:rFonts w:cs="Arial"/>
        </w:rPr>
        <w:t>13.</w:t>
      </w:r>
      <w:r w:rsidRPr="005A1077">
        <w:rPr>
          <w:rFonts w:cs="Arial"/>
        </w:rPr>
        <w:tab/>
      </w:r>
      <w:r w:rsidRPr="005A1077">
        <w:rPr>
          <w:rFonts w:eastAsiaTheme="minorEastAsia" w:cs="Arial"/>
          <w:szCs w:val="22"/>
        </w:rPr>
        <w:t xml:space="preserve">Testing </w:t>
      </w:r>
      <w:r w:rsidRPr="005A1077">
        <w:rPr>
          <w:rFonts w:eastAsiaTheme="minorEastAsia" w:cs="Arial"/>
          <w:strike/>
          <w:szCs w:val="22"/>
          <w:highlight w:val="lightGray"/>
        </w:rPr>
        <w:t>station</w:t>
      </w:r>
      <w:r w:rsidRPr="005A1077">
        <w:rPr>
          <w:rFonts w:eastAsiaTheme="minorEastAsia" w:cs="Arial"/>
          <w:szCs w:val="22"/>
        </w:rPr>
        <w:t xml:space="preserve"> </w:t>
      </w:r>
      <w:proofErr w:type="gramStart"/>
      <w:r w:rsidRPr="005A1077">
        <w:rPr>
          <w:rFonts w:eastAsiaTheme="minorEastAsia" w:cs="Arial"/>
          <w:szCs w:val="22"/>
          <w:highlight w:val="lightGray"/>
          <w:u w:val="single"/>
        </w:rPr>
        <w:t>facility</w:t>
      </w:r>
      <w:r w:rsidRPr="005A1077">
        <w:rPr>
          <w:rFonts w:eastAsiaTheme="minorEastAsia" w:cs="Arial"/>
          <w:szCs w:val="22"/>
        </w:rPr>
        <w:t>(</w:t>
      </w:r>
      <w:proofErr w:type="spellStart"/>
      <w:proofErr w:type="gramEnd"/>
      <w:r w:rsidRPr="005A1077">
        <w:rPr>
          <w:rFonts w:eastAsiaTheme="minorEastAsia" w:cs="Arial"/>
          <w:szCs w:val="22"/>
          <w:highlight w:val="lightGray"/>
          <w:u w:val="single"/>
        </w:rPr>
        <w:t>ie</w:t>
      </w:r>
      <w:r w:rsidRPr="005A1077">
        <w:rPr>
          <w:rFonts w:eastAsiaTheme="minorEastAsia" w:cs="Arial"/>
          <w:szCs w:val="22"/>
        </w:rPr>
        <w:t>s</w:t>
      </w:r>
      <w:proofErr w:type="spellEnd"/>
      <w:r w:rsidRPr="005A1077">
        <w:rPr>
          <w:rFonts w:eastAsiaTheme="minorEastAsia" w:cs="Arial"/>
          <w:szCs w:val="22"/>
        </w:rPr>
        <w:t xml:space="preserve">) and </w:t>
      </w:r>
      <w:r w:rsidRPr="005A1077">
        <w:rPr>
          <w:rFonts w:eastAsiaTheme="minorEastAsia" w:cs="Arial"/>
          <w:strike/>
          <w:szCs w:val="22"/>
          <w:highlight w:val="lightGray"/>
        </w:rPr>
        <w:t>place</w:t>
      </w:r>
      <w:r w:rsidRPr="005A1077">
        <w:rPr>
          <w:rFonts w:eastAsiaTheme="minorEastAsia" w:cs="Arial"/>
          <w:szCs w:val="22"/>
          <w:highlight w:val="lightGray"/>
        </w:rPr>
        <w:t xml:space="preserve"> </w:t>
      </w:r>
      <w:r w:rsidRPr="005A1077">
        <w:rPr>
          <w:rFonts w:eastAsiaTheme="minorEastAsia" w:cs="Arial"/>
          <w:szCs w:val="22"/>
          <w:highlight w:val="lightGray"/>
          <w:u w:val="single"/>
        </w:rPr>
        <w:t>location</w:t>
      </w:r>
      <w:r w:rsidRPr="005A1077">
        <w:rPr>
          <w:rFonts w:eastAsiaTheme="minorEastAsia" w:cs="Arial"/>
          <w:szCs w:val="22"/>
        </w:rPr>
        <w:t>(s)</w:t>
      </w:r>
    </w:p>
    <w:p w:rsidR="005A1077" w:rsidRPr="005A1077" w:rsidRDefault="005A1077" w:rsidP="005A1077">
      <w:pPr>
        <w:keepNext/>
        <w:tabs>
          <w:tab w:val="left" w:pos="567"/>
          <w:tab w:val="left" w:pos="1134"/>
          <w:tab w:val="left" w:pos="5103"/>
          <w:tab w:val="left" w:leader="dot" w:pos="9639"/>
        </w:tabs>
        <w:ind w:left="567"/>
        <w:rPr>
          <w:rFonts w:cs="Arial"/>
        </w:rPr>
      </w:pPr>
      <w:r w:rsidRPr="005A1077">
        <w:rPr>
          <w:rFonts w:cs="Arial"/>
        </w:rPr>
        <w:t>[…]</w:t>
      </w:r>
    </w:p>
    <w:p w:rsidR="005A1077" w:rsidRPr="005A1077" w:rsidRDefault="005A1077" w:rsidP="005A1077">
      <w:pPr>
        <w:keepNext/>
        <w:tabs>
          <w:tab w:val="left" w:pos="567"/>
          <w:tab w:val="left" w:pos="1134"/>
          <w:tab w:val="left" w:pos="5670"/>
          <w:tab w:val="left" w:leader="dot" w:pos="9639"/>
        </w:tabs>
        <w:ind w:left="567"/>
        <w:jc w:val="left"/>
        <w:rPr>
          <w:rFonts w:cs="Arial"/>
          <w:highlight w:val="lightGray"/>
          <w:u w:val="single"/>
        </w:rPr>
      </w:pPr>
      <w:r w:rsidRPr="005A1077">
        <w:rPr>
          <w:rFonts w:cs="Arial"/>
          <w:highlight w:val="lightGray"/>
          <w:u w:val="single"/>
        </w:rPr>
        <w:t>16.</w:t>
      </w:r>
      <w:r w:rsidRPr="005A1077">
        <w:rPr>
          <w:rFonts w:cs="Arial"/>
          <w:highlight w:val="lightGray"/>
          <w:u w:val="single"/>
        </w:rPr>
        <w:tab/>
        <w:t xml:space="preserve">Date and document number of </w:t>
      </w:r>
      <w:proofErr w:type="spellStart"/>
      <w:r w:rsidRPr="005A1077">
        <w:rPr>
          <w:rFonts w:cs="Arial"/>
          <w:highlight w:val="lightGray"/>
          <w:u w:val="single"/>
        </w:rPr>
        <w:t>UPOV</w:t>
      </w:r>
      <w:proofErr w:type="spellEnd"/>
      <w:r w:rsidRPr="005A1077">
        <w:rPr>
          <w:rFonts w:cs="Arial"/>
          <w:highlight w:val="lightGray"/>
          <w:u w:val="single"/>
        </w:rPr>
        <w:t xml:space="preserve"> Test Guidelines</w:t>
      </w:r>
    </w:p>
    <w:p w:rsidR="005A1077" w:rsidRPr="005A1077" w:rsidRDefault="005A1077" w:rsidP="005A1077">
      <w:pPr>
        <w:tabs>
          <w:tab w:val="left" w:pos="567"/>
          <w:tab w:val="left" w:pos="1134"/>
          <w:tab w:val="left" w:pos="6804"/>
          <w:tab w:val="left" w:leader="dot" w:pos="9639"/>
        </w:tabs>
        <w:ind w:left="567"/>
        <w:jc w:val="left"/>
        <w:rPr>
          <w:rFonts w:cs="Arial"/>
          <w:u w:val="single"/>
        </w:rPr>
      </w:pPr>
      <w:r w:rsidRPr="005A1077">
        <w:rPr>
          <w:rFonts w:cs="Arial"/>
          <w:highlight w:val="lightGray"/>
          <w:u w:val="single"/>
        </w:rPr>
        <w:t>17.</w:t>
      </w:r>
      <w:r w:rsidRPr="005A1077">
        <w:rPr>
          <w:rFonts w:cs="Arial"/>
          <w:highlight w:val="lightGray"/>
          <w:u w:val="single"/>
        </w:rPr>
        <w:tab/>
        <w:t>Date and/or document number of Reporting Authority’s test guidelines</w:t>
      </w:r>
    </w:p>
    <w:p w:rsidR="005A1077" w:rsidRPr="005A1077" w:rsidRDefault="005A1077" w:rsidP="005A1077"/>
    <w:p w:rsidR="005A1077" w:rsidRPr="005A1077" w:rsidRDefault="005A1077" w:rsidP="005A1077">
      <w:pPr>
        <w:ind w:left="1134" w:hanging="567"/>
      </w:pPr>
      <w:r w:rsidRPr="005A1077">
        <w:t>-</w:t>
      </w:r>
      <w:r w:rsidRPr="005A1077">
        <w:tab/>
        <w:t xml:space="preserve">Chapter: </w:t>
      </w:r>
      <w:proofErr w:type="spellStart"/>
      <w:r w:rsidRPr="005A1077">
        <w:t>UPOV</w:t>
      </w:r>
      <w:proofErr w:type="spellEnd"/>
      <w:r w:rsidRPr="005A1077">
        <w:t xml:space="preserve"> Variety Description</w:t>
      </w:r>
    </w:p>
    <w:p w:rsidR="005A1077" w:rsidRPr="005A1077" w:rsidRDefault="005A1077" w:rsidP="005A1077">
      <w:pPr>
        <w:ind w:left="1134" w:hanging="567"/>
      </w:pPr>
    </w:p>
    <w:p w:rsidR="005A1077" w:rsidRPr="005A1077" w:rsidRDefault="005A1077" w:rsidP="005A1077">
      <w:pPr>
        <w:spacing w:after="200" w:line="276" w:lineRule="auto"/>
        <w:ind w:firstLine="567"/>
        <w:contextualSpacing/>
        <w:jc w:val="left"/>
        <w:rPr>
          <w:rFonts w:eastAsiaTheme="minorEastAsia" w:cstheme="minorBidi"/>
          <w:szCs w:val="22"/>
        </w:rPr>
      </w:pPr>
      <w:r w:rsidRPr="005A1077">
        <w:rPr>
          <w:rFonts w:eastAsiaTheme="minorEastAsia" w:cs="Arial"/>
          <w:szCs w:val="22"/>
        </w:rPr>
        <w:t xml:space="preserve">Item 11 to read “Testing </w:t>
      </w:r>
      <w:r w:rsidRPr="005A1077">
        <w:rPr>
          <w:rFonts w:eastAsiaTheme="minorEastAsia" w:cs="Arial"/>
          <w:strike/>
          <w:szCs w:val="22"/>
          <w:highlight w:val="lightGray"/>
        </w:rPr>
        <w:t>station</w:t>
      </w:r>
      <w:r w:rsidRPr="005A1077">
        <w:rPr>
          <w:rFonts w:eastAsiaTheme="minorEastAsia" w:cs="Arial"/>
          <w:szCs w:val="22"/>
        </w:rPr>
        <w:t xml:space="preserve"> </w:t>
      </w:r>
      <w:proofErr w:type="gramStart"/>
      <w:r w:rsidRPr="005A1077">
        <w:rPr>
          <w:rFonts w:eastAsiaTheme="minorEastAsia" w:cs="Arial"/>
          <w:szCs w:val="22"/>
          <w:highlight w:val="lightGray"/>
          <w:u w:val="single"/>
        </w:rPr>
        <w:t>facility</w:t>
      </w:r>
      <w:r w:rsidRPr="005A1077">
        <w:rPr>
          <w:rFonts w:eastAsiaTheme="minorEastAsia" w:cs="Arial"/>
          <w:szCs w:val="22"/>
        </w:rPr>
        <w:t>(</w:t>
      </w:r>
      <w:proofErr w:type="spellStart"/>
      <w:proofErr w:type="gramEnd"/>
      <w:r w:rsidRPr="005A1077">
        <w:rPr>
          <w:rFonts w:eastAsiaTheme="minorEastAsia" w:cs="Arial"/>
          <w:szCs w:val="22"/>
          <w:highlight w:val="lightGray"/>
          <w:u w:val="single"/>
        </w:rPr>
        <w:t>ie</w:t>
      </w:r>
      <w:r w:rsidRPr="005A1077">
        <w:rPr>
          <w:rFonts w:eastAsiaTheme="minorEastAsia" w:cs="Arial"/>
          <w:szCs w:val="22"/>
        </w:rPr>
        <w:t>s</w:t>
      </w:r>
      <w:proofErr w:type="spellEnd"/>
      <w:r w:rsidRPr="005A1077">
        <w:rPr>
          <w:rFonts w:eastAsiaTheme="minorEastAsia" w:cs="Arial"/>
          <w:szCs w:val="22"/>
        </w:rPr>
        <w:t xml:space="preserve">) and </w:t>
      </w:r>
      <w:r w:rsidRPr="005A1077">
        <w:rPr>
          <w:rFonts w:eastAsiaTheme="minorEastAsia" w:cs="Arial"/>
          <w:strike/>
          <w:szCs w:val="22"/>
          <w:highlight w:val="lightGray"/>
        </w:rPr>
        <w:t>place</w:t>
      </w:r>
      <w:r w:rsidRPr="005A1077">
        <w:rPr>
          <w:rFonts w:eastAsiaTheme="minorEastAsia" w:cs="Arial"/>
          <w:szCs w:val="22"/>
          <w:highlight w:val="lightGray"/>
        </w:rPr>
        <w:t xml:space="preserve"> </w:t>
      </w:r>
      <w:r w:rsidRPr="005A1077">
        <w:rPr>
          <w:rFonts w:eastAsiaTheme="minorEastAsia" w:cs="Arial"/>
          <w:szCs w:val="22"/>
          <w:highlight w:val="lightGray"/>
          <w:u w:val="single"/>
        </w:rPr>
        <w:t>location</w:t>
      </w:r>
      <w:r w:rsidRPr="005A1077">
        <w:rPr>
          <w:rFonts w:eastAsiaTheme="minorEastAsia" w:cs="Arial"/>
          <w:szCs w:val="22"/>
        </w:rPr>
        <w:t>(s)”</w:t>
      </w:r>
    </w:p>
    <w:p w:rsidR="005A1077" w:rsidRPr="005A1077" w:rsidRDefault="005A1077" w:rsidP="005A1077">
      <w:pPr>
        <w:rPr>
          <w:snapToGrid w:val="0"/>
        </w:rPr>
      </w:pPr>
    </w:p>
    <w:p w:rsidR="005A1077" w:rsidRPr="00CA626D" w:rsidRDefault="005A1077" w:rsidP="00114EB1">
      <w:pPr>
        <w:pStyle w:val="Heading4"/>
      </w:pPr>
      <w:bookmarkStart w:id="20" w:name="_Toc82293082"/>
      <w:bookmarkStart w:id="21" w:name="_Toc86170154"/>
      <w:r w:rsidRPr="00CA626D">
        <w:t xml:space="preserve">Document </w:t>
      </w:r>
      <w:proofErr w:type="spellStart"/>
      <w:r w:rsidRPr="00CA626D">
        <w:t>TGP</w:t>
      </w:r>
      <w:proofErr w:type="spellEnd"/>
      <w:r w:rsidRPr="00CA626D">
        <w:t>/8:  Trial Design and Techniques Used in the Examination of Distinctness, Uniformity and Stability (Revision)</w:t>
      </w:r>
      <w:bookmarkEnd w:id="20"/>
      <w:bookmarkEnd w:id="21"/>
    </w:p>
    <w:p w:rsidR="005A1077" w:rsidRPr="005A1077" w:rsidRDefault="005A1077" w:rsidP="005A1077">
      <w:pPr>
        <w:keepNext/>
      </w:pPr>
    </w:p>
    <w:p w:rsidR="005A1077" w:rsidRPr="00CA626D" w:rsidRDefault="005A1077" w:rsidP="00114EB1">
      <w:pPr>
        <w:pStyle w:val="Heading5"/>
        <w:rPr>
          <w:rFonts w:eastAsia="MS Mincho"/>
        </w:rPr>
      </w:pPr>
      <w:bookmarkStart w:id="22" w:name="_Toc82293083"/>
      <w:r w:rsidRPr="00CA626D">
        <w:rPr>
          <w:rFonts w:eastAsia="MS Mincho"/>
        </w:rPr>
        <w:t>Data processing for the production of variety descriptions for measured quantitative characteristics</w:t>
      </w:r>
      <w:bookmarkEnd w:id="22"/>
      <w:r w:rsidRPr="00CA626D">
        <w:rPr>
          <w:rFonts w:eastAsia="MS Mincho"/>
        </w:rPr>
        <w:t xml:space="preserve"> </w:t>
      </w:r>
    </w:p>
    <w:p w:rsidR="005A1077" w:rsidRPr="005A1077" w:rsidRDefault="005A1077" w:rsidP="005A1077"/>
    <w:p w:rsidR="005A1077" w:rsidRPr="005A1077" w:rsidRDefault="005A1077" w:rsidP="005A1077">
      <w:r w:rsidRPr="005A1077">
        <w:fldChar w:fldCharType="begin"/>
      </w:r>
      <w:r w:rsidRPr="005A1077">
        <w:instrText xml:space="preserve"> AUTONUM  </w:instrText>
      </w:r>
      <w:r w:rsidRPr="005A1077">
        <w:fldChar w:fldCharType="end"/>
      </w:r>
      <w:r w:rsidRPr="005A1077">
        <w:tab/>
        <w:t>The TC considered documents TC/57/6 and TC/57/6 Add.</w:t>
      </w:r>
      <w:r w:rsidR="00F2535C" w:rsidRPr="00CA626D">
        <w:t xml:space="preserve"> (</w:t>
      </w:r>
      <w:proofErr w:type="gramStart"/>
      <w:r w:rsidR="00F2535C" w:rsidRPr="00CA626D">
        <w:t>see</w:t>
      </w:r>
      <w:proofErr w:type="gramEnd"/>
      <w:r w:rsidR="00F2535C" w:rsidRPr="00CA626D">
        <w:t xml:space="preserve"> document TC/57/25 “Report”, paragraphs 26 to 28)</w:t>
      </w:r>
      <w:r w:rsidR="00F2535C" w:rsidRPr="005A1077">
        <w:t>.</w:t>
      </w:r>
    </w:p>
    <w:p w:rsidR="005A1077" w:rsidRPr="005A1077" w:rsidRDefault="005A1077" w:rsidP="005A1077">
      <w:pPr>
        <w:jc w:val="left"/>
      </w:pPr>
    </w:p>
    <w:p w:rsidR="005A1077" w:rsidRPr="005A1077" w:rsidRDefault="005A1077" w:rsidP="005A1077">
      <w:pPr>
        <w:rPr>
          <w:rFonts w:cs="Arial"/>
        </w:rPr>
      </w:pPr>
      <w:r w:rsidRPr="005A1077">
        <w:fldChar w:fldCharType="begin"/>
      </w:r>
      <w:r w:rsidRPr="005A1077">
        <w:instrText xml:space="preserve"> AUTONUM  </w:instrText>
      </w:r>
      <w:r w:rsidRPr="005A1077">
        <w:fldChar w:fldCharType="end"/>
      </w:r>
      <w:r w:rsidRPr="005A1077">
        <w:tab/>
        <w:t xml:space="preserve">The TC agreed to include guidance on “Different forms that variety descriptions could take and the relevance of scale levels” in document </w:t>
      </w:r>
      <w:proofErr w:type="spellStart"/>
      <w:r w:rsidRPr="005A1077">
        <w:t>TGP</w:t>
      </w:r>
      <w:proofErr w:type="spellEnd"/>
      <w:r w:rsidRPr="005A1077">
        <w:t xml:space="preserve">/8 </w:t>
      </w:r>
      <w:r w:rsidRPr="005A1077">
        <w:rPr>
          <w:rFonts w:cs="Arial"/>
        </w:rPr>
        <w:t xml:space="preserve">Part I Section 2 “Data to be recorded” as new Section 2.5, </w:t>
      </w:r>
      <w:r w:rsidRPr="005A1077">
        <w:t xml:space="preserve">as set out in the Annex to document </w:t>
      </w:r>
      <w:r w:rsidRPr="005A1077">
        <w:rPr>
          <w:rFonts w:cs="Arial"/>
        </w:rPr>
        <w:t>TC/57/6.</w:t>
      </w:r>
    </w:p>
    <w:p w:rsidR="005A1077" w:rsidRPr="005A1077" w:rsidRDefault="005A1077" w:rsidP="005A1077">
      <w:pPr>
        <w:jc w:val="left"/>
        <w:rPr>
          <w:rFonts w:cs="Arial"/>
        </w:rPr>
      </w:pPr>
    </w:p>
    <w:p w:rsidR="005A1077" w:rsidRPr="005A1077" w:rsidRDefault="005A1077" w:rsidP="005A1077">
      <w:r w:rsidRPr="005A1077">
        <w:fldChar w:fldCharType="begin"/>
      </w:r>
      <w:r w:rsidRPr="005A1077">
        <w:instrText xml:space="preserve"> AUTONUM  </w:instrText>
      </w:r>
      <w:r w:rsidRPr="005A1077">
        <w:fldChar w:fldCharType="end"/>
      </w:r>
      <w:r w:rsidRPr="005A1077">
        <w:tab/>
        <w:t xml:space="preserve">The TC agreed to invite members of the Union to propose the inclusion of software incorporating their methods for converting observations into notes in document </w:t>
      </w:r>
      <w:proofErr w:type="spellStart"/>
      <w:r w:rsidRPr="005A1077">
        <w:t>UPOV</w:t>
      </w:r>
      <w:proofErr w:type="spellEnd"/>
      <w:r w:rsidRPr="005A1077">
        <w:t>/INF/16 or document </w:t>
      </w:r>
      <w:proofErr w:type="spellStart"/>
      <w:r w:rsidRPr="005A1077">
        <w:t>UPOV</w:t>
      </w:r>
      <w:proofErr w:type="spellEnd"/>
      <w:r w:rsidRPr="005A1077">
        <w:t>/INF/22, as appropriate, with a reference to the availability of such methods in document </w:t>
      </w:r>
      <w:proofErr w:type="spellStart"/>
      <w:r w:rsidRPr="005A1077">
        <w:t>TGP</w:t>
      </w:r>
      <w:proofErr w:type="spellEnd"/>
      <w:r w:rsidRPr="005A1077">
        <w:t>/8 Part I, new Section 2.5.</w:t>
      </w:r>
    </w:p>
    <w:p w:rsidR="005A1077" w:rsidRPr="005A1077" w:rsidRDefault="005A1077" w:rsidP="005A1077">
      <w:pPr>
        <w:keepNext/>
      </w:pPr>
    </w:p>
    <w:p w:rsidR="005A1077" w:rsidRPr="00CA626D" w:rsidRDefault="005A1077" w:rsidP="00114EB1">
      <w:pPr>
        <w:pStyle w:val="Heading4"/>
      </w:pPr>
      <w:bookmarkStart w:id="23" w:name="_Toc82293095"/>
      <w:bookmarkStart w:id="24" w:name="_Toc86170155"/>
      <w:r w:rsidRPr="00CA626D">
        <w:t xml:space="preserve">Document </w:t>
      </w:r>
      <w:proofErr w:type="spellStart"/>
      <w:r w:rsidRPr="00CA626D">
        <w:t>TGP</w:t>
      </w:r>
      <w:proofErr w:type="spellEnd"/>
      <w:r w:rsidRPr="00CA626D">
        <w:t>/12 ‘Guidance on certain physiological characteristics’</w:t>
      </w:r>
      <w:bookmarkEnd w:id="23"/>
      <w:bookmarkEnd w:id="24"/>
      <w:r w:rsidRPr="00CA626D">
        <w:t xml:space="preserve"> </w:t>
      </w:r>
    </w:p>
    <w:p w:rsidR="005A1077" w:rsidRPr="005A1077" w:rsidRDefault="005A1077" w:rsidP="005A1077">
      <w:pPr>
        <w:keepNext/>
      </w:pPr>
    </w:p>
    <w:p w:rsidR="005A1077" w:rsidRPr="00CA626D" w:rsidRDefault="005A1077" w:rsidP="00114EB1">
      <w:pPr>
        <w:pStyle w:val="Heading5"/>
      </w:pPr>
      <w:bookmarkStart w:id="25" w:name="_Toc79508489"/>
      <w:bookmarkStart w:id="26" w:name="_Toc82293096"/>
      <w:r w:rsidRPr="00CA626D">
        <w:t>Use of disease resistance characteristics</w:t>
      </w:r>
      <w:bookmarkEnd w:id="25"/>
      <w:bookmarkEnd w:id="26"/>
    </w:p>
    <w:p w:rsidR="005A1077" w:rsidRPr="005A1077" w:rsidRDefault="005A1077" w:rsidP="005A1077">
      <w:pPr>
        <w:keepNext/>
      </w:pPr>
    </w:p>
    <w:p w:rsidR="005A1077" w:rsidRPr="005A1077" w:rsidRDefault="005A1077" w:rsidP="005A1077">
      <w:pPr>
        <w:rPr>
          <w:snapToGrid w:val="0"/>
        </w:rPr>
      </w:pPr>
      <w:r w:rsidRPr="005A1077">
        <w:fldChar w:fldCharType="begin"/>
      </w:r>
      <w:r w:rsidRPr="005A1077">
        <w:instrText xml:space="preserve"> AUTONUM  </w:instrText>
      </w:r>
      <w:r w:rsidRPr="005A1077">
        <w:fldChar w:fldCharType="end"/>
      </w:r>
      <w:r w:rsidRPr="005A1077">
        <w:tab/>
        <w:t xml:space="preserve">The TC agreed to amend document </w:t>
      </w:r>
      <w:proofErr w:type="spellStart"/>
      <w:r w:rsidRPr="005A1077">
        <w:t>TGP</w:t>
      </w:r>
      <w:proofErr w:type="spellEnd"/>
      <w:r w:rsidRPr="005A1077">
        <w:t xml:space="preserve">/12/2, Section 2.3.2, </w:t>
      </w:r>
      <w:r w:rsidRPr="005A1077">
        <w:rPr>
          <w:snapToGrid w:val="0"/>
        </w:rPr>
        <w:t>to replace state of expression “moderately resistant” by “intermediate” in the example of disease resistance characteristic with ‘1-3’ scale, to read as follows</w:t>
      </w:r>
      <w:r w:rsidR="00F2535C" w:rsidRPr="00CA626D">
        <w:rPr>
          <w:snapToGrid w:val="0"/>
        </w:rPr>
        <w:t xml:space="preserve"> </w:t>
      </w:r>
      <w:r w:rsidR="00F2535C" w:rsidRPr="00CA626D">
        <w:t>(see document TC/57/25 “Report”, paragraphs 44 and 45)</w:t>
      </w:r>
      <w:r w:rsidRPr="005A1077">
        <w:rPr>
          <w:snapToGrid w:val="0"/>
        </w:rPr>
        <w:t>:</w:t>
      </w:r>
    </w:p>
    <w:p w:rsidR="005A1077" w:rsidRPr="005A1077" w:rsidRDefault="005A1077" w:rsidP="005A1077">
      <w:pPr>
        <w:rPr>
          <w:snapToGrid w:val="0"/>
        </w:rPr>
      </w:pPr>
    </w:p>
    <w:p w:rsidR="005A1077" w:rsidRPr="005A1077" w:rsidRDefault="005A1077" w:rsidP="005A1077">
      <w:pPr>
        <w:keepNext/>
        <w:keepLines/>
        <w:ind w:left="567"/>
        <w:jc w:val="left"/>
      </w:pPr>
      <w:r w:rsidRPr="005A1077">
        <w:rPr>
          <w:u w:val="single"/>
        </w:rPr>
        <w:lastRenderedPageBreak/>
        <w:t>“Example with “1–3” scale</w:t>
      </w:r>
      <w:r w:rsidRPr="005A1077">
        <w:t>:</w:t>
      </w:r>
      <w:r w:rsidRPr="005A1077">
        <w:tab/>
        <w:t xml:space="preserve">Resistance to </w:t>
      </w:r>
      <w:proofErr w:type="spellStart"/>
      <w:r w:rsidRPr="005A1077">
        <w:rPr>
          <w:i/>
          <w:iCs/>
        </w:rPr>
        <w:t>Sphaerotheca</w:t>
      </w:r>
      <w:proofErr w:type="spellEnd"/>
      <w:r w:rsidRPr="005A1077">
        <w:rPr>
          <w:i/>
          <w:iCs/>
        </w:rPr>
        <w:t xml:space="preserve"> </w:t>
      </w:r>
      <w:proofErr w:type="spellStart"/>
      <w:r w:rsidRPr="005A1077">
        <w:rPr>
          <w:i/>
          <w:iCs/>
        </w:rPr>
        <w:t>fuliginea</w:t>
      </w:r>
      <w:proofErr w:type="spellEnd"/>
      <w:r w:rsidRPr="005A1077">
        <w:t xml:space="preserve"> (</w:t>
      </w:r>
      <w:proofErr w:type="spellStart"/>
      <w:r w:rsidRPr="005A1077">
        <w:rPr>
          <w:i/>
          <w:iCs/>
        </w:rPr>
        <w:t>Podosphaera</w:t>
      </w:r>
      <w:proofErr w:type="spellEnd"/>
      <w:r w:rsidRPr="005A1077">
        <w:rPr>
          <w:i/>
          <w:iCs/>
        </w:rPr>
        <w:t xml:space="preserve"> </w:t>
      </w:r>
      <w:proofErr w:type="spellStart"/>
      <w:r w:rsidRPr="005A1077">
        <w:rPr>
          <w:i/>
          <w:iCs/>
        </w:rPr>
        <w:t>xanthii</w:t>
      </w:r>
      <w:proofErr w:type="spellEnd"/>
      <w:r w:rsidRPr="005A1077">
        <w:t>) “(Powdery mildew) in Melon (</w:t>
      </w:r>
      <w:proofErr w:type="spellStart"/>
      <w:r w:rsidRPr="005A1077">
        <w:t>UPOV</w:t>
      </w:r>
      <w:proofErr w:type="spellEnd"/>
      <w:r w:rsidRPr="005A1077">
        <w:t xml:space="preserve"> Test Guidelines:  TG/104/5)</w:t>
      </w:r>
    </w:p>
    <w:p w:rsidR="005A1077" w:rsidRPr="005A1077" w:rsidRDefault="005A1077" w:rsidP="005A1077">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5A1077" w:rsidRPr="005A1077" w:rsidTr="00BB6BA6">
        <w:trPr>
          <w:cantSplit/>
          <w:tblHeader/>
          <w:jc w:val="center"/>
        </w:trPr>
        <w:tc>
          <w:tcPr>
            <w:tcW w:w="578"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r w:rsidRPr="005A1077">
              <w:rPr>
                <w:sz w:val="16"/>
              </w:rPr>
              <w:t>English</w:t>
            </w:r>
          </w:p>
        </w:tc>
        <w:tc>
          <w:tcPr>
            <w:tcW w:w="1734"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r w:rsidRPr="005A1077">
              <w:rPr>
                <w:sz w:val="16"/>
              </w:rPr>
              <w:t>Example Varieties</w:t>
            </w:r>
          </w:p>
        </w:tc>
        <w:tc>
          <w:tcPr>
            <w:tcW w:w="567" w:type="dxa"/>
            <w:tcBorders>
              <w:top w:val="single" w:sz="6" w:space="0" w:color="auto"/>
              <w:left w:val="nil"/>
              <w:bottom w:val="single" w:sz="4" w:space="0" w:color="auto"/>
              <w:right w:val="nil"/>
            </w:tcBorders>
            <w:vAlign w:val="center"/>
          </w:tcPr>
          <w:p w:rsidR="005A1077" w:rsidRPr="005A1077" w:rsidRDefault="005A1077" w:rsidP="005A1077">
            <w:pPr>
              <w:keepNext/>
              <w:keepLines/>
              <w:spacing w:before="120" w:after="120"/>
              <w:jc w:val="left"/>
              <w:rPr>
                <w:sz w:val="16"/>
              </w:rPr>
            </w:pPr>
            <w:r w:rsidRPr="005A1077">
              <w:rPr>
                <w:sz w:val="16"/>
              </w:rPr>
              <w:t>Note</w:t>
            </w:r>
          </w:p>
        </w:tc>
      </w:tr>
      <w:tr w:rsidR="005A1077" w:rsidRPr="005A1077" w:rsidTr="00BB6BA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5A1077" w:rsidRPr="005A1077" w:rsidRDefault="005A1077" w:rsidP="005A1077">
            <w:pPr>
              <w:keepNext/>
              <w:keepLines/>
              <w:spacing w:before="120" w:after="120"/>
              <w:jc w:val="left"/>
              <w:rPr>
                <w:b/>
                <w:bCs/>
                <w:sz w:val="16"/>
              </w:rPr>
            </w:pPr>
            <w:r w:rsidRPr="005A1077">
              <w:rPr>
                <w:b/>
                <w:bCs/>
                <w:sz w:val="16"/>
              </w:rPr>
              <w:t>70.</w:t>
            </w:r>
            <w:r w:rsidRPr="005A1077">
              <w:rPr>
                <w:b/>
                <w:bCs/>
                <w:sz w:val="16"/>
              </w:rPr>
              <w:br/>
            </w:r>
            <w:r w:rsidRPr="005A1077">
              <w:rPr>
                <w:b/>
                <w:bCs/>
                <w:sz w:val="16"/>
              </w:rPr>
              <w:br/>
              <w:t>(+)</w:t>
            </w:r>
          </w:p>
        </w:tc>
        <w:tc>
          <w:tcPr>
            <w:tcW w:w="425" w:type="dxa"/>
            <w:tcBorders>
              <w:top w:val="single" w:sz="4" w:space="0" w:color="auto"/>
              <w:bottom w:val="nil"/>
            </w:tcBorders>
          </w:tcPr>
          <w:p w:rsidR="005A1077" w:rsidRPr="005A1077" w:rsidRDefault="005A1077" w:rsidP="005A1077">
            <w:pPr>
              <w:keepNext/>
              <w:keepLines/>
              <w:spacing w:before="120" w:after="120"/>
              <w:jc w:val="left"/>
              <w:rPr>
                <w:b/>
                <w:bCs/>
                <w:sz w:val="16"/>
              </w:rPr>
            </w:pPr>
            <w:r w:rsidRPr="005A1077">
              <w:rPr>
                <w:b/>
                <w:bCs/>
                <w:sz w:val="16"/>
              </w:rPr>
              <w:t>VG</w:t>
            </w:r>
            <w:r w:rsidRPr="005A1077">
              <w:rPr>
                <w:b/>
                <w:bCs/>
                <w:sz w:val="16"/>
              </w:rPr>
              <w:br/>
            </w:r>
            <w:r w:rsidRPr="005A1077">
              <w:rPr>
                <w:b/>
                <w:bCs/>
                <w:sz w:val="16"/>
              </w:rPr>
              <w:br/>
            </w:r>
            <w:r w:rsidRPr="005A1077">
              <w:rPr>
                <w:b/>
                <w:bCs/>
                <w:sz w:val="16"/>
              </w:rPr>
              <w:br/>
            </w:r>
            <w:r w:rsidRPr="005A1077">
              <w:rPr>
                <w:b/>
                <w:bCs/>
                <w:sz w:val="16"/>
              </w:rPr>
              <w:br/>
            </w:r>
            <w:r w:rsidRPr="005A1077">
              <w:rPr>
                <w:b/>
                <w:bCs/>
                <w:sz w:val="16"/>
              </w:rPr>
              <w:br/>
            </w:r>
          </w:p>
        </w:tc>
        <w:tc>
          <w:tcPr>
            <w:tcW w:w="1733" w:type="dxa"/>
            <w:tcBorders>
              <w:top w:val="single" w:sz="4" w:space="0" w:color="auto"/>
              <w:bottom w:val="nil"/>
            </w:tcBorders>
          </w:tcPr>
          <w:p w:rsidR="005A1077" w:rsidRPr="005A1077" w:rsidRDefault="005A1077" w:rsidP="005A1077">
            <w:pPr>
              <w:keepNext/>
              <w:keepLines/>
              <w:spacing w:before="120" w:after="120"/>
              <w:jc w:val="left"/>
              <w:rPr>
                <w:b/>
                <w:bCs/>
                <w:sz w:val="16"/>
              </w:rPr>
            </w:pPr>
            <w:r w:rsidRPr="005A1077">
              <w:rPr>
                <w:b/>
                <w:bCs/>
                <w:sz w:val="16"/>
              </w:rPr>
              <w:t xml:space="preserve">Resistance to </w:t>
            </w:r>
            <w:proofErr w:type="spellStart"/>
            <w:r w:rsidRPr="005A1077">
              <w:rPr>
                <w:b/>
                <w:bCs/>
                <w:sz w:val="16"/>
              </w:rPr>
              <w:t>Sphaerotheca</w:t>
            </w:r>
            <w:proofErr w:type="spellEnd"/>
            <w:r w:rsidRPr="005A1077">
              <w:rPr>
                <w:b/>
                <w:bCs/>
                <w:sz w:val="16"/>
              </w:rPr>
              <w:t xml:space="preserve"> </w:t>
            </w:r>
            <w:proofErr w:type="spellStart"/>
            <w:r w:rsidRPr="005A1077">
              <w:rPr>
                <w:b/>
                <w:bCs/>
                <w:sz w:val="16"/>
              </w:rPr>
              <w:t>fuliginea</w:t>
            </w:r>
            <w:proofErr w:type="spellEnd"/>
            <w:r w:rsidRPr="005A1077">
              <w:rPr>
                <w:b/>
                <w:bCs/>
                <w:sz w:val="16"/>
              </w:rPr>
              <w:t xml:space="preserve"> (</w:t>
            </w:r>
            <w:proofErr w:type="spellStart"/>
            <w:r w:rsidRPr="005A1077">
              <w:rPr>
                <w:b/>
                <w:bCs/>
                <w:snapToGrid w:val="0"/>
                <w:sz w:val="16"/>
              </w:rPr>
              <w:t>Podosphaera</w:t>
            </w:r>
            <w:proofErr w:type="spellEnd"/>
            <w:r w:rsidRPr="005A1077">
              <w:rPr>
                <w:b/>
                <w:bCs/>
                <w:snapToGrid w:val="0"/>
                <w:sz w:val="16"/>
              </w:rPr>
              <w:t xml:space="preserve"> </w:t>
            </w:r>
            <w:proofErr w:type="spellStart"/>
            <w:r w:rsidRPr="005A1077">
              <w:rPr>
                <w:b/>
                <w:bCs/>
                <w:snapToGrid w:val="0"/>
                <w:sz w:val="16"/>
              </w:rPr>
              <w:t>xanthii</w:t>
            </w:r>
            <w:proofErr w:type="spellEnd"/>
            <w:r w:rsidRPr="005A1077">
              <w:rPr>
                <w:b/>
                <w:bCs/>
                <w:snapToGrid w:val="0"/>
                <w:sz w:val="16"/>
              </w:rPr>
              <w:t>)</w:t>
            </w:r>
            <w:r w:rsidRPr="005A1077">
              <w:rPr>
                <w:b/>
                <w:bCs/>
                <w:sz w:val="16"/>
              </w:rPr>
              <w:t xml:space="preserve"> </w:t>
            </w:r>
            <w:r w:rsidRPr="005A1077">
              <w:rPr>
                <w:b/>
                <w:bCs/>
                <w:sz w:val="16"/>
              </w:rPr>
              <w:br/>
              <w:t>(Powdery mildew)</w:t>
            </w:r>
          </w:p>
        </w:tc>
        <w:tc>
          <w:tcPr>
            <w:tcW w:w="1734" w:type="dxa"/>
            <w:tcBorders>
              <w:top w:val="single" w:sz="4" w:space="0" w:color="auto"/>
              <w:bottom w:val="nil"/>
            </w:tcBorders>
          </w:tcPr>
          <w:p w:rsidR="005A1077" w:rsidRPr="005A1077" w:rsidRDefault="005A1077" w:rsidP="005A1077">
            <w:pPr>
              <w:keepNext/>
              <w:keepLines/>
              <w:spacing w:before="120" w:after="120"/>
              <w:jc w:val="left"/>
              <w:rPr>
                <w:b/>
                <w:bCs/>
                <w:sz w:val="16"/>
              </w:rPr>
            </w:pPr>
          </w:p>
        </w:tc>
        <w:tc>
          <w:tcPr>
            <w:tcW w:w="1734" w:type="dxa"/>
            <w:tcBorders>
              <w:top w:val="single" w:sz="4" w:space="0" w:color="auto"/>
              <w:bottom w:val="nil"/>
            </w:tcBorders>
          </w:tcPr>
          <w:p w:rsidR="005A1077" w:rsidRPr="005A1077" w:rsidRDefault="005A1077" w:rsidP="005A1077">
            <w:pPr>
              <w:keepNext/>
              <w:keepLines/>
              <w:spacing w:before="120" w:after="120"/>
              <w:jc w:val="left"/>
              <w:rPr>
                <w:b/>
                <w:bCs/>
                <w:sz w:val="16"/>
              </w:rPr>
            </w:pPr>
          </w:p>
        </w:tc>
        <w:tc>
          <w:tcPr>
            <w:tcW w:w="851" w:type="dxa"/>
            <w:tcBorders>
              <w:top w:val="single" w:sz="4" w:space="0" w:color="auto"/>
              <w:bottom w:val="nil"/>
            </w:tcBorders>
          </w:tcPr>
          <w:p w:rsidR="005A1077" w:rsidRPr="005A1077" w:rsidRDefault="005A1077" w:rsidP="005A1077">
            <w:pPr>
              <w:keepNext/>
              <w:keepLines/>
              <w:spacing w:before="120" w:after="120"/>
              <w:jc w:val="left"/>
              <w:rPr>
                <w:b/>
                <w:bCs/>
                <w:sz w:val="16"/>
              </w:rPr>
            </w:pPr>
          </w:p>
        </w:tc>
        <w:tc>
          <w:tcPr>
            <w:tcW w:w="567" w:type="dxa"/>
            <w:tcBorders>
              <w:top w:val="single" w:sz="4" w:space="0" w:color="auto"/>
              <w:bottom w:val="nil"/>
              <w:right w:val="nil"/>
            </w:tcBorders>
          </w:tcPr>
          <w:p w:rsidR="005A1077" w:rsidRPr="005A1077" w:rsidRDefault="005A1077" w:rsidP="005A1077">
            <w:pPr>
              <w:keepNext/>
              <w:keepLines/>
              <w:spacing w:before="120" w:after="120"/>
              <w:jc w:val="left"/>
              <w:rPr>
                <w:b/>
                <w:bCs/>
                <w:sz w:val="16"/>
              </w:rPr>
            </w:pPr>
          </w:p>
        </w:tc>
      </w:tr>
      <w:tr w:rsidR="005A1077" w:rsidRPr="005A1077" w:rsidTr="00BB6BA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5A1077" w:rsidRPr="005A1077" w:rsidRDefault="005A1077" w:rsidP="005A1077">
            <w:pPr>
              <w:keepNext/>
              <w:keepLines/>
              <w:spacing w:before="120" w:after="120"/>
              <w:jc w:val="left"/>
              <w:rPr>
                <w:b/>
                <w:sz w:val="16"/>
              </w:rPr>
            </w:pPr>
            <w:r w:rsidRPr="005A1077">
              <w:rPr>
                <w:b/>
                <w:sz w:val="16"/>
              </w:rPr>
              <w:t>70.1</w:t>
            </w:r>
          </w:p>
        </w:tc>
        <w:tc>
          <w:tcPr>
            <w:tcW w:w="425" w:type="dxa"/>
            <w:tcBorders>
              <w:top w:val="nil"/>
              <w:bottom w:val="nil"/>
            </w:tcBorders>
          </w:tcPr>
          <w:p w:rsidR="005A1077" w:rsidRPr="005A1077" w:rsidRDefault="005A1077" w:rsidP="005A1077">
            <w:pPr>
              <w:keepNext/>
              <w:keepLines/>
              <w:spacing w:before="120" w:after="120"/>
              <w:jc w:val="left"/>
              <w:rPr>
                <w:b/>
                <w:sz w:val="16"/>
              </w:rPr>
            </w:pPr>
          </w:p>
        </w:tc>
        <w:tc>
          <w:tcPr>
            <w:tcW w:w="1733" w:type="dxa"/>
            <w:tcBorders>
              <w:top w:val="nil"/>
              <w:bottom w:val="nil"/>
            </w:tcBorders>
          </w:tcPr>
          <w:p w:rsidR="005A1077" w:rsidRPr="005A1077" w:rsidRDefault="005A1077" w:rsidP="005A1077">
            <w:pPr>
              <w:keepNext/>
              <w:keepLines/>
              <w:spacing w:before="120" w:after="120"/>
              <w:jc w:val="left"/>
              <w:rPr>
                <w:b/>
                <w:sz w:val="16"/>
              </w:rPr>
            </w:pPr>
            <w:r w:rsidRPr="005A1077">
              <w:rPr>
                <w:b/>
                <w:sz w:val="16"/>
              </w:rPr>
              <w:t>Race 1</w:t>
            </w:r>
          </w:p>
        </w:tc>
        <w:tc>
          <w:tcPr>
            <w:tcW w:w="1734" w:type="dxa"/>
            <w:tcBorders>
              <w:top w:val="nil"/>
              <w:bottom w:val="nil"/>
            </w:tcBorders>
          </w:tcPr>
          <w:p w:rsidR="005A1077" w:rsidRPr="005A1077" w:rsidRDefault="005A1077" w:rsidP="005A1077">
            <w:pPr>
              <w:keepNext/>
              <w:keepLines/>
              <w:spacing w:before="120" w:after="120"/>
              <w:jc w:val="left"/>
              <w:rPr>
                <w:b/>
                <w:sz w:val="16"/>
              </w:rPr>
            </w:pPr>
          </w:p>
        </w:tc>
        <w:tc>
          <w:tcPr>
            <w:tcW w:w="1734" w:type="dxa"/>
            <w:tcBorders>
              <w:top w:val="nil"/>
              <w:bottom w:val="nil"/>
            </w:tcBorders>
          </w:tcPr>
          <w:p w:rsidR="005A1077" w:rsidRPr="005A1077" w:rsidRDefault="005A1077" w:rsidP="005A1077">
            <w:pPr>
              <w:keepNext/>
              <w:keepLines/>
              <w:spacing w:before="120" w:after="120"/>
              <w:jc w:val="left"/>
              <w:rPr>
                <w:b/>
                <w:sz w:val="16"/>
              </w:rPr>
            </w:pPr>
          </w:p>
        </w:tc>
        <w:tc>
          <w:tcPr>
            <w:tcW w:w="851" w:type="dxa"/>
            <w:tcBorders>
              <w:top w:val="nil"/>
              <w:bottom w:val="nil"/>
            </w:tcBorders>
          </w:tcPr>
          <w:p w:rsidR="005A1077" w:rsidRPr="005A1077" w:rsidRDefault="005A1077" w:rsidP="005A1077">
            <w:pPr>
              <w:keepNext/>
              <w:keepLines/>
              <w:spacing w:before="120" w:after="120"/>
              <w:jc w:val="left"/>
              <w:rPr>
                <w:sz w:val="16"/>
              </w:rPr>
            </w:pPr>
          </w:p>
        </w:tc>
        <w:tc>
          <w:tcPr>
            <w:tcW w:w="567" w:type="dxa"/>
            <w:tcBorders>
              <w:top w:val="nil"/>
              <w:bottom w:val="nil"/>
              <w:right w:val="nil"/>
            </w:tcBorders>
          </w:tcPr>
          <w:p w:rsidR="005A1077" w:rsidRPr="005A1077" w:rsidRDefault="005A1077" w:rsidP="005A1077">
            <w:pPr>
              <w:keepNext/>
              <w:keepLines/>
              <w:spacing w:before="120" w:after="120"/>
              <w:jc w:val="left"/>
              <w:rPr>
                <w:sz w:val="16"/>
              </w:rPr>
            </w:pPr>
          </w:p>
        </w:tc>
      </w:tr>
      <w:tr w:rsidR="005A1077" w:rsidRPr="005A1077" w:rsidTr="00BB6BA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5A1077" w:rsidRPr="005A1077" w:rsidRDefault="005A1077" w:rsidP="005A1077">
            <w:pPr>
              <w:keepNext/>
              <w:keepLines/>
              <w:spacing w:before="120" w:after="120"/>
              <w:jc w:val="left"/>
              <w:rPr>
                <w:sz w:val="16"/>
              </w:rPr>
            </w:pPr>
            <w:proofErr w:type="spellStart"/>
            <w:r w:rsidRPr="005A1077">
              <w:rPr>
                <w:sz w:val="16"/>
              </w:rPr>
              <w:t>QN</w:t>
            </w:r>
            <w:proofErr w:type="spellEnd"/>
          </w:p>
        </w:tc>
        <w:tc>
          <w:tcPr>
            <w:tcW w:w="425" w:type="dxa"/>
            <w:tcBorders>
              <w:top w:val="nil"/>
              <w:bottom w:val="nil"/>
            </w:tcBorders>
          </w:tcPr>
          <w:p w:rsidR="005A1077" w:rsidRPr="005A1077" w:rsidRDefault="005A1077" w:rsidP="005A1077">
            <w:pPr>
              <w:keepNext/>
              <w:keepLines/>
              <w:spacing w:before="120" w:after="120"/>
              <w:jc w:val="left"/>
              <w:rPr>
                <w:sz w:val="16"/>
              </w:rPr>
            </w:pPr>
          </w:p>
        </w:tc>
        <w:tc>
          <w:tcPr>
            <w:tcW w:w="1733" w:type="dxa"/>
            <w:tcBorders>
              <w:top w:val="nil"/>
              <w:bottom w:val="nil"/>
            </w:tcBorders>
          </w:tcPr>
          <w:p w:rsidR="005A1077" w:rsidRPr="005A1077" w:rsidRDefault="005A1077" w:rsidP="005A1077">
            <w:pPr>
              <w:keepNext/>
              <w:keepLines/>
              <w:spacing w:before="120" w:after="120"/>
              <w:jc w:val="left"/>
              <w:rPr>
                <w:sz w:val="16"/>
              </w:rPr>
            </w:pPr>
            <w:r w:rsidRPr="005A1077">
              <w:rPr>
                <w:sz w:val="16"/>
              </w:rPr>
              <w:t>susceptible</w:t>
            </w:r>
          </w:p>
        </w:tc>
        <w:tc>
          <w:tcPr>
            <w:tcW w:w="1734" w:type="dxa"/>
            <w:tcBorders>
              <w:top w:val="nil"/>
              <w:bottom w:val="nil"/>
            </w:tcBorders>
          </w:tcPr>
          <w:p w:rsidR="005A1077" w:rsidRPr="005A1077" w:rsidRDefault="005A1077" w:rsidP="005A1077">
            <w:pPr>
              <w:keepNext/>
              <w:keepLines/>
              <w:spacing w:before="120" w:after="120"/>
              <w:jc w:val="left"/>
              <w:rPr>
                <w:sz w:val="16"/>
              </w:rPr>
            </w:pPr>
          </w:p>
        </w:tc>
        <w:tc>
          <w:tcPr>
            <w:tcW w:w="1734" w:type="dxa"/>
            <w:tcBorders>
              <w:top w:val="nil"/>
              <w:bottom w:val="nil"/>
            </w:tcBorders>
          </w:tcPr>
          <w:p w:rsidR="005A1077" w:rsidRPr="005A1077" w:rsidRDefault="005A1077" w:rsidP="005A1077">
            <w:pPr>
              <w:keepNext/>
              <w:keepLines/>
              <w:spacing w:before="120" w:after="120"/>
              <w:jc w:val="left"/>
              <w:rPr>
                <w:sz w:val="16"/>
              </w:rPr>
            </w:pPr>
          </w:p>
        </w:tc>
        <w:tc>
          <w:tcPr>
            <w:tcW w:w="851" w:type="dxa"/>
            <w:tcBorders>
              <w:top w:val="nil"/>
              <w:bottom w:val="nil"/>
            </w:tcBorders>
          </w:tcPr>
          <w:p w:rsidR="005A1077" w:rsidRPr="005A1077" w:rsidRDefault="005A1077" w:rsidP="005A1077">
            <w:pPr>
              <w:keepNext/>
              <w:keepLines/>
              <w:spacing w:before="120" w:after="120"/>
              <w:jc w:val="left"/>
              <w:rPr>
                <w:sz w:val="16"/>
              </w:rPr>
            </w:pPr>
            <w:r w:rsidRPr="005A1077">
              <w:rPr>
                <w:sz w:val="16"/>
              </w:rPr>
              <w:t>[…]</w:t>
            </w:r>
          </w:p>
        </w:tc>
        <w:tc>
          <w:tcPr>
            <w:tcW w:w="567" w:type="dxa"/>
            <w:tcBorders>
              <w:top w:val="nil"/>
              <w:bottom w:val="nil"/>
              <w:right w:val="nil"/>
            </w:tcBorders>
          </w:tcPr>
          <w:p w:rsidR="005A1077" w:rsidRPr="005A1077" w:rsidRDefault="005A1077" w:rsidP="005A1077">
            <w:pPr>
              <w:keepNext/>
              <w:keepLines/>
              <w:spacing w:before="120" w:after="120"/>
              <w:jc w:val="left"/>
              <w:rPr>
                <w:sz w:val="16"/>
              </w:rPr>
            </w:pPr>
            <w:r w:rsidRPr="005A1077">
              <w:rPr>
                <w:sz w:val="16"/>
              </w:rPr>
              <w:t>1</w:t>
            </w:r>
          </w:p>
        </w:tc>
      </w:tr>
      <w:tr w:rsidR="005A1077" w:rsidRPr="005A1077" w:rsidTr="00BB6BA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5A1077" w:rsidRPr="005A1077" w:rsidRDefault="005A1077" w:rsidP="005A1077">
            <w:pPr>
              <w:keepNext/>
              <w:keepLines/>
              <w:spacing w:before="120" w:after="120"/>
              <w:jc w:val="left"/>
              <w:rPr>
                <w:sz w:val="16"/>
              </w:rPr>
            </w:pPr>
          </w:p>
        </w:tc>
        <w:tc>
          <w:tcPr>
            <w:tcW w:w="425" w:type="dxa"/>
            <w:tcBorders>
              <w:top w:val="nil"/>
              <w:bottom w:val="nil"/>
            </w:tcBorders>
          </w:tcPr>
          <w:p w:rsidR="005A1077" w:rsidRPr="005A1077" w:rsidRDefault="005A1077" w:rsidP="005A1077">
            <w:pPr>
              <w:keepNext/>
              <w:keepLines/>
              <w:spacing w:before="120" w:after="120"/>
              <w:jc w:val="left"/>
              <w:rPr>
                <w:sz w:val="16"/>
              </w:rPr>
            </w:pPr>
          </w:p>
        </w:tc>
        <w:tc>
          <w:tcPr>
            <w:tcW w:w="3467" w:type="dxa"/>
            <w:gridSpan w:val="2"/>
            <w:tcBorders>
              <w:top w:val="nil"/>
              <w:bottom w:val="nil"/>
            </w:tcBorders>
          </w:tcPr>
          <w:p w:rsidR="005A1077" w:rsidRPr="005A1077" w:rsidRDefault="005A1077" w:rsidP="005A1077">
            <w:pPr>
              <w:keepNext/>
              <w:keepLines/>
              <w:spacing w:before="120" w:after="120"/>
              <w:jc w:val="left"/>
              <w:rPr>
                <w:sz w:val="16"/>
              </w:rPr>
            </w:pPr>
            <w:r w:rsidRPr="005A1077">
              <w:rPr>
                <w:strike/>
                <w:sz w:val="16"/>
                <w:highlight w:val="lightGray"/>
              </w:rPr>
              <w:t>moderately resistant</w:t>
            </w:r>
            <w:r w:rsidRPr="005A1077">
              <w:rPr>
                <w:sz w:val="16"/>
              </w:rPr>
              <w:t xml:space="preserve"> </w:t>
            </w:r>
            <w:r w:rsidRPr="005A1077">
              <w:rPr>
                <w:sz w:val="16"/>
                <w:highlight w:val="lightGray"/>
                <w:u w:val="single"/>
              </w:rPr>
              <w:t>intermediate</w:t>
            </w:r>
          </w:p>
        </w:tc>
        <w:tc>
          <w:tcPr>
            <w:tcW w:w="1734" w:type="dxa"/>
            <w:tcBorders>
              <w:top w:val="nil"/>
              <w:bottom w:val="nil"/>
            </w:tcBorders>
          </w:tcPr>
          <w:p w:rsidR="005A1077" w:rsidRPr="005A1077" w:rsidRDefault="005A1077" w:rsidP="005A1077">
            <w:pPr>
              <w:keepNext/>
              <w:keepLines/>
              <w:spacing w:before="120" w:after="120"/>
              <w:jc w:val="left"/>
              <w:rPr>
                <w:sz w:val="16"/>
              </w:rPr>
            </w:pPr>
          </w:p>
        </w:tc>
        <w:tc>
          <w:tcPr>
            <w:tcW w:w="851" w:type="dxa"/>
            <w:tcBorders>
              <w:top w:val="nil"/>
              <w:bottom w:val="nil"/>
            </w:tcBorders>
          </w:tcPr>
          <w:p w:rsidR="005A1077" w:rsidRPr="005A1077" w:rsidRDefault="005A1077" w:rsidP="005A1077">
            <w:pPr>
              <w:keepNext/>
              <w:keepLines/>
              <w:spacing w:before="120" w:after="120"/>
              <w:jc w:val="left"/>
              <w:rPr>
                <w:sz w:val="16"/>
              </w:rPr>
            </w:pPr>
            <w:r w:rsidRPr="005A1077">
              <w:rPr>
                <w:sz w:val="16"/>
              </w:rPr>
              <w:t>[…]</w:t>
            </w:r>
          </w:p>
        </w:tc>
        <w:tc>
          <w:tcPr>
            <w:tcW w:w="567" w:type="dxa"/>
            <w:tcBorders>
              <w:top w:val="nil"/>
              <w:bottom w:val="nil"/>
              <w:right w:val="nil"/>
            </w:tcBorders>
          </w:tcPr>
          <w:p w:rsidR="005A1077" w:rsidRPr="005A1077" w:rsidRDefault="005A1077" w:rsidP="005A1077">
            <w:pPr>
              <w:keepNext/>
              <w:keepLines/>
              <w:spacing w:before="120" w:after="120"/>
              <w:jc w:val="left"/>
              <w:rPr>
                <w:sz w:val="16"/>
              </w:rPr>
            </w:pPr>
            <w:r w:rsidRPr="005A1077">
              <w:rPr>
                <w:sz w:val="16"/>
              </w:rPr>
              <w:t>2</w:t>
            </w:r>
          </w:p>
        </w:tc>
      </w:tr>
      <w:tr w:rsidR="005A1077" w:rsidRPr="005A1077" w:rsidTr="00BB6BA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5A1077" w:rsidRPr="005A1077" w:rsidRDefault="005A1077" w:rsidP="005A1077">
            <w:pPr>
              <w:keepNext/>
              <w:keepLines/>
              <w:spacing w:before="120" w:after="120"/>
              <w:jc w:val="left"/>
              <w:rPr>
                <w:sz w:val="16"/>
              </w:rPr>
            </w:pPr>
          </w:p>
        </w:tc>
        <w:tc>
          <w:tcPr>
            <w:tcW w:w="425" w:type="dxa"/>
            <w:tcBorders>
              <w:top w:val="nil"/>
              <w:bottom w:val="single" w:sz="4" w:space="0" w:color="auto"/>
            </w:tcBorders>
          </w:tcPr>
          <w:p w:rsidR="005A1077" w:rsidRPr="005A1077" w:rsidRDefault="005A1077" w:rsidP="005A1077">
            <w:pPr>
              <w:keepNext/>
              <w:keepLines/>
              <w:spacing w:before="120" w:after="120"/>
              <w:jc w:val="left"/>
              <w:rPr>
                <w:sz w:val="16"/>
              </w:rPr>
            </w:pPr>
          </w:p>
        </w:tc>
        <w:tc>
          <w:tcPr>
            <w:tcW w:w="1733" w:type="dxa"/>
            <w:tcBorders>
              <w:top w:val="nil"/>
              <w:bottom w:val="single" w:sz="4" w:space="0" w:color="auto"/>
            </w:tcBorders>
          </w:tcPr>
          <w:p w:rsidR="005A1077" w:rsidRPr="005A1077" w:rsidRDefault="005A1077" w:rsidP="005A1077">
            <w:pPr>
              <w:keepNext/>
              <w:keepLines/>
              <w:spacing w:before="120" w:after="120"/>
              <w:jc w:val="left"/>
              <w:rPr>
                <w:sz w:val="16"/>
              </w:rPr>
            </w:pPr>
            <w:r w:rsidRPr="005A1077">
              <w:rPr>
                <w:sz w:val="16"/>
              </w:rPr>
              <w:t>highly resistant</w:t>
            </w:r>
          </w:p>
        </w:tc>
        <w:tc>
          <w:tcPr>
            <w:tcW w:w="1734" w:type="dxa"/>
            <w:tcBorders>
              <w:top w:val="nil"/>
              <w:bottom w:val="single" w:sz="4" w:space="0" w:color="auto"/>
            </w:tcBorders>
          </w:tcPr>
          <w:p w:rsidR="005A1077" w:rsidRPr="005A1077" w:rsidRDefault="005A1077" w:rsidP="005A1077">
            <w:pPr>
              <w:keepNext/>
              <w:keepLines/>
              <w:spacing w:before="120" w:after="120"/>
              <w:jc w:val="left"/>
              <w:rPr>
                <w:sz w:val="16"/>
              </w:rPr>
            </w:pPr>
          </w:p>
        </w:tc>
        <w:tc>
          <w:tcPr>
            <w:tcW w:w="1734" w:type="dxa"/>
            <w:tcBorders>
              <w:top w:val="nil"/>
              <w:bottom w:val="single" w:sz="4" w:space="0" w:color="auto"/>
            </w:tcBorders>
          </w:tcPr>
          <w:p w:rsidR="005A1077" w:rsidRPr="005A1077" w:rsidRDefault="005A1077" w:rsidP="005A1077">
            <w:pPr>
              <w:keepNext/>
              <w:keepLines/>
              <w:spacing w:before="120" w:after="120"/>
              <w:jc w:val="left"/>
              <w:rPr>
                <w:sz w:val="16"/>
              </w:rPr>
            </w:pPr>
          </w:p>
        </w:tc>
        <w:tc>
          <w:tcPr>
            <w:tcW w:w="851" w:type="dxa"/>
            <w:tcBorders>
              <w:top w:val="nil"/>
              <w:bottom w:val="single" w:sz="4" w:space="0" w:color="auto"/>
            </w:tcBorders>
          </w:tcPr>
          <w:p w:rsidR="005A1077" w:rsidRPr="005A1077" w:rsidRDefault="005A1077" w:rsidP="005A1077">
            <w:pPr>
              <w:keepNext/>
              <w:keepLines/>
              <w:spacing w:before="120" w:after="120"/>
              <w:jc w:val="left"/>
              <w:rPr>
                <w:sz w:val="16"/>
              </w:rPr>
            </w:pPr>
            <w:r w:rsidRPr="005A1077">
              <w:rPr>
                <w:sz w:val="16"/>
              </w:rPr>
              <w:t>[…]</w:t>
            </w:r>
          </w:p>
        </w:tc>
        <w:tc>
          <w:tcPr>
            <w:tcW w:w="567" w:type="dxa"/>
            <w:tcBorders>
              <w:top w:val="nil"/>
              <w:bottom w:val="single" w:sz="4" w:space="0" w:color="auto"/>
              <w:right w:val="nil"/>
            </w:tcBorders>
          </w:tcPr>
          <w:p w:rsidR="005A1077" w:rsidRPr="005A1077" w:rsidRDefault="005A1077" w:rsidP="005A1077">
            <w:pPr>
              <w:keepNext/>
              <w:keepLines/>
              <w:spacing w:before="120" w:after="120"/>
              <w:jc w:val="left"/>
              <w:rPr>
                <w:sz w:val="16"/>
              </w:rPr>
            </w:pPr>
            <w:r w:rsidRPr="005A1077">
              <w:rPr>
                <w:sz w:val="16"/>
              </w:rPr>
              <w:t>3</w:t>
            </w:r>
          </w:p>
        </w:tc>
      </w:tr>
    </w:tbl>
    <w:p w:rsidR="005A1077" w:rsidRPr="005A1077" w:rsidRDefault="005A1077" w:rsidP="005A1077">
      <w:pPr>
        <w:rPr>
          <w:snapToGrid w:val="0"/>
        </w:rPr>
      </w:pPr>
    </w:p>
    <w:p w:rsidR="005A1077" w:rsidRPr="005A1077" w:rsidRDefault="005A1077" w:rsidP="005A1077">
      <w:pPr>
        <w:rPr>
          <w:snapToGrid w:val="0"/>
        </w:rPr>
      </w:pPr>
      <w:r w:rsidRPr="005A1077">
        <w:rPr>
          <w:snapToGrid w:val="0"/>
        </w:rPr>
        <w:fldChar w:fldCharType="begin"/>
      </w:r>
      <w:r w:rsidRPr="005A1077">
        <w:rPr>
          <w:snapToGrid w:val="0"/>
        </w:rPr>
        <w:instrText xml:space="preserve"> AUTONUM  </w:instrText>
      </w:r>
      <w:r w:rsidRPr="005A1077">
        <w:rPr>
          <w:snapToGrid w:val="0"/>
        </w:rPr>
        <w:fldChar w:fldCharType="end"/>
      </w:r>
      <w:r w:rsidRPr="005A1077">
        <w:rPr>
          <w:snapToGrid w:val="0"/>
        </w:rPr>
        <w:tab/>
        <w:t xml:space="preserve">The TC noted that the word </w:t>
      </w:r>
      <w:proofErr w:type="gramStart"/>
      <w:r w:rsidRPr="005A1077">
        <w:rPr>
          <w:snapToGrid w:val="0"/>
        </w:rPr>
        <w:t xml:space="preserve">“highly” was only used for the resistant state of expression and agreed to invite the </w:t>
      </w:r>
      <w:proofErr w:type="spellStart"/>
      <w:r w:rsidRPr="005A1077">
        <w:rPr>
          <w:snapToGrid w:val="0"/>
        </w:rPr>
        <w:t>TWV</w:t>
      </w:r>
      <w:proofErr w:type="spellEnd"/>
      <w:r w:rsidRPr="005A1077">
        <w:rPr>
          <w:snapToGrid w:val="0"/>
        </w:rPr>
        <w:t xml:space="preserve"> to consider the example further</w:t>
      </w:r>
      <w:proofErr w:type="gramEnd"/>
      <w:r w:rsidRPr="005A1077">
        <w:rPr>
          <w:snapToGrid w:val="0"/>
        </w:rPr>
        <w:t>.</w:t>
      </w:r>
    </w:p>
    <w:p w:rsidR="005A1077" w:rsidRPr="00CA626D" w:rsidRDefault="005A1077" w:rsidP="005A1077">
      <w:pPr>
        <w:jc w:val="left"/>
      </w:pPr>
    </w:p>
    <w:p w:rsidR="00114EB1" w:rsidRPr="005A1077" w:rsidRDefault="00114EB1" w:rsidP="005A1077">
      <w:pPr>
        <w:jc w:val="left"/>
      </w:pPr>
    </w:p>
    <w:p w:rsidR="005A1077" w:rsidRPr="00CA626D" w:rsidRDefault="005A1077" w:rsidP="00114EB1">
      <w:pPr>
        <w:pStyle w:val="Heading2"/>
      </w:pPr>
      <w:bookmarkStart w:id="27" w:name="_Toc53000331"/>
      <w:bookmarkStart w:id="28" w:name="_Toc82293098"/>
      <w:bookmarkStart w:id="29" w:name="_Toc86170156"/>
      <w:r w:rsidRPr="00CA626D">
        <w:t>Program for the development of relevant information materials</w:t>
      </w:r>
      <w:bookmarkEnd w:id="27"/>
      <w:bookmarkEnd w:id="28"/>
      <w:bookmarkEnd w:id="29"/>
      <w:r w:rsidRPr="00CA626D">
        <w:t xml:space="preserve"> </w:t>
      </w:r>
    </w:p>
    <w:p w:rsidR="005A1077" w:rsidRPr="005A1077" w:rsidRDefault="005A1077" w:rsidP="005A1077">
      <w:pPr>
        <w:keepNext/>
      </w:pPr>
    </w:p>
    <w:p w:rsidR="005A1077" w:rsidRPr="005A1077" w:rsidRDefault="005A1077" w:rsidP="005A1077">
      <w:r w:rsidRPr="005A1077">
        <w:fldChar w:fldCharType="begin"/>
      </w:r>
      <w:r w:rsidRPr="005A1077">
        <w:instrText xml:space="preserve"> AUTONUM  </w:instrText>
      </w:r>
      <w:r w:rsidRPr="005A1077">
        <w:fldChar w:fldCharType="end"/>
      </w:r>
      <w:r w:rsidRPr="005A1077">
        <w:tab/>
        <w:t xml:space="preserve">The TC agreed the program for the development of </w:t>
      </w:r>
      <w:proofErr w:type="spellStart"/>
      <w:r w:rsidRPr="005A1077">
        <w:t>TGP</w:t>
      </w:r>
      <w:proofErr w:type="spellEnd"/>
      <w:r w:rsidRPr="005A1077">
        <w:t xml:space="preserve"> documents and relevant information materials, </w:t>
      </w:r>
      <w:proofErr w:type="gramStart"/>
      <w:r w:rsidRPr="005A1077">
        <w:t>on the basis of</w:t>
      </w:r>
      <w:proofErr w:type="gramEnd"/>
      <w:r w:rsidRPr="005A1077">
        <w:t xml:space="preserve"> Annexes I and II to document TC/57/5 and its conclusions at the session</w:t>
      </w:r>
      <w:r w:rsidR="00801056" w:rsidRPr="00CA626D">
        <w:t xml:space="preserve"> (see document TC/57/25 “Report”, paragraphs 46 and 47)</w:t>
      </w:r>
      <w:r w:rsidRPr="005A1077">
        <w:t>.</w:t>
      </w:r>
    </w:p>
    <w:p w:rsidR="005A1077" w:rsidRPr="005A1077" w:rsidRDefault="005A1077" w:rsidP="005A1077"/>
    <w:p w:rsidR="005A1077" w:rsidRPr="005A1077" w:rsidRDefault="005A1077" w:rsidP="005A1077">
      <w:r w:rsidRPr="005A1077">
        <w:fldChar w:fldCharType="begin"/>
      </w:r>
      <w:r w:rsidRPr="005A1077">
        <w:instrText xml:space="preserve"> AUTONUM  </w:instrText>
      </w:r>
      <w:r w:rsidRPr="005A1077">
        <w:fldChar w:fldCharType="end"/>
      </w:r>
      <w:r w:rsidRPr="005A1077">
        <w:tab/>
        <w:t xml:space="preserve">The TC noted that the </w:t>
      </w:r>
      <w:proofErr w:type="gramStart"/>
      <w:r w:rsidRPr="005A1077">
        <w:t xml:space="preserve">program for the development of </w:t>
      </w:r>
      <w:proofErr w:type="spellStart"/>
      <w:r w:rsidRPr="005A1077">
        <w:t>TGP</w:t>
      </w:r>
      <w:proofErr w:type="spellEnd"/>
      <w:r w:rsidRPr="005A1077">
        <w:t xml:space="preserve"> documents and information materials would be considered by the Administrative and Legal Committee</w:t>
      </w:r>
      <w:proofErr w:type="gramEnd"/>
      <w:r w:rsidRPr="005A1077">
        <w:t>, at its seventy-eighth session, to be held in Geneva on October 27, 2021, in conjunction with the conclusions of the TC at its fifty-seventh session.</w:t>
      </w:r>
    </w:p>
    <w:p w:rsidR="005A1077" w:rsidRDefault="005A1077" w:rsidP="005A1077">
      <w:pPr>
        <w:jc w:val="left"/>
      </w:pPr>
    </w:p>
    <w:p w:rsidR="00D53FBB" w:rsidRPr="005A1077" w:rsidRDefault="00D53FBB" w:rsidP="005A1077">
      <w:pPr>
        <w:jc w:val="left"/>
      </w:pPr>
    </w:p>
    <w:p w:rsidR="00544581" w:rsidRDefault="00544581">
      <w:pPr>
        <w:jc w:val="left"/>
      </w:pPr>
    </w:p>
    <w:p w:rsidR="00922826" w:rsidRPr="00EF37B9" w:rsidRDefault="00922826" w:rsidP="00BA7F67">
      <w:pPr>
        <w:pStyle w:val="Heading1"/>
      </w:pPr>
      <w:bookmarkStart w:id="30" w:name="_Toc86170157"/>
      <w:r w:rsidRPr="00EF37B9">
        <w:t>Cooperation in examination</w:t>
      </w:r>
      <w:bookmarkEnd w:id="30"/>
    </w:p>
    <w:p w:rsidR="00922826" w:rsidRPr="00EF37B9" w:rsidRDefault="00922826" w:rsidP="00922826">
      <w:pPr>
        <w:keepNext/>
        <w:jc w:val="left"/>
      </w:pPr>
    </w:p>
    <w:p w:rsidR="00922826" w:rsidRPr="00EF37B9" w:rsidRDefault="00922826" w:rsidP="00922826">
      <w:pPr>
        <w:jc w:val="left"/>
      </w:pPr>
      <w:r w:rsidRPr="00EF37B9">
        <w:fldChar w:fldCharType="begin"/>
      </w:r>
      <w:r w:rsidRPr="00EF37B9">
        <w:instrText xml:space="preserve"> AUTONUM  </w:instrText>
      </w:r>
      <w:r w:rsidRPr="00EF37B9">
        <w:fldChar w:fldCharType="end"/>
      </w:r>
      <w:r w:rsidRPr="00EF37B9">
        <w:tab/>
        <w:t>The TC considered document TC/57/9</w:t>
      </w:r>
      <w:r>
        <w:t xml:space="preserve"> (</w:t>
      </w:r>
      <w:r w:rsidRPr="00CA626D">
        <w:rPr>
          <w:spacing w:val="-2"/>
        </w:rPr>
        <w:t xml:space="preserve">see document TC/57/25 “Report”, paragraphs </w:t>
      </w:r>
      <w:r>
        <w:rPr>
          <w:spacing w:val="-2"/>
        </w:rPr>
        <w:t>54 to 60</w:t>
      </w:r>
      <w:r w:rsidRPr="00CA626D">
        <w:rPr>
          <w:spacing w:val="-2"/>
        </w:rPr>
        <w:t>)</w:t>
      </w:r>
      <w:r w:rsidRPr="00EF37B9">
        <w:t>.</w:t>
      </w:r>
    </w:p>
    <w:p w:rsidR="00922826" w:rsidRPr="00EF37B9" w:rsidRDefault="00922826" w:rsidP="00922826">
      <w:pPr>
        <w:jc w:val="left"/>
      </w:pPr>
    </w:p>
    <w:p w:rsidR="00922826" w:rsidRPr="00EF37B9" w:rsidRDefault="00922826" w:rsidP="00922826">
      <w:r w:rsidRPr="00EF37B9">
        <w:fldChar w:fldCharType="begin"/>
      </w:r>
      <w:r w:rsidRPr="00EF37B9">
        <w:instrText xml:space="preserve"> AUTONUM  </w:instrText>
      </w:r>
      <w:r w:rsidRPr="00EF37B9">
        <w:fldChar w:fldCharType="end"/>
      </w:r>
      <w:r w:rsidRPr="00EF37B9">
        <w:tab/>
        <w:t xml:space="preserve">The TC noted that members of the Union had the possibility to update information on a person(s) to </w:t>
      </w:r>
      <w:proofErr w:type="gramStart"/>
      <w:r w:rsidRPr="00EF37B9">
        <w:t>be contacted</w:t>
      </w:r>
      <w:proofErr w:type="gramEnd"/>
      <w:r w:rsidRPr="00EF37B9">
        <w:t xml:space="preserve"> for matters concerning international cooperation in </w:t>
      </w:r>
      <w:proofErr w:type="spellStart"/>
      <w:r w:rsidRPr="00EF37B9">
        <w:t>DUS</w:t>
      </w:r>
      <w:proofErr w:type="spellEnd"/>
      <w:r w:rsidRPr="00EF37B9">
        <w:t xml:space="preserve"> examination by:</w:t>
      </w:r>
    </w:p>
    <w:p w:rsidR="00922826" w:rsidRPr="00D53FBB" w:rsidRDefault="00922826" w:rsidP="00D53FBB"/>
    <w:p w:rsidR="00922826" w:rsidRPr="00EF37B9" w:rsidRDefault="00922826" w:rsidP="00922826">
      <w:pPr>
        <w:tabs>
          <w:tab w:val="left" w:pos="567"/>
          <w:tab w:val="left" w:pos="1134"/>
          <w:tab w:val="left" w:pos="1701"/>
          <w:tab w:val="left" w:pos="5954"/>
          <w:tab w:val="left" w:pos="6521"/>
        </w:tabs>
      </w:pPr>
      <w:r w:rsidRPr="00EF37B9">
        <w:tab/>
        <w:t>(</w:t>
      </w:r>
      <w:proofErr w:type="spellStart"/>
      <w:r w:rsidRPr="00EF37B9">
        <w:t>i</w:t>
      </w:r>
      <w:proofErr w:type="spellEnd"/>
      <w:r w:rsidRPr="00EF37B9">
        <w:t>)</w:t>
      </w:r>
      <w:r w:rsidRPr="00EF37B9">
        <w:tab/>
        <w:t>updating information when invited to provide information for document TC/[xx]/4 “List of genera and species for which authorities have practical experience in the examination of distinctness, uniformity and stability”; and/or</w:t>
      </w:r>
    </w:p>
    <w:p w:rsidR="00922826" w:rsidRPr="00EF37B9" w:rsidRDefault="00922826" w:rsidP="00922826">
      <w:pPr>
        <w:tabs>
          <w:tab w:val="left" w:pos="567"/>
          <w:tab w:val="left" w:pos="1134"/>
          <w:tab w:val="left" w:pos="1701"/>
          <w:tab w:val="left" w:pos="5954"/>
          <w:tab w:val="left" w:pos="6521"/>
        </w:tabs>
      </w:pPr>
    </w:p>
    <w:p w:rsidR="00922826" w:rsidRPr="00EF37B9" w:rsidRDefault="00922826" w:rsidP="00922826">
      <w:pPr>
        <w:tabs>
          <w:tab w:val="left" w:pos="567"/>
          <w:tab w:val="left" w:pos="1134"/>
          <w:tab w:val="left" w:pos="1701"/>
          <w:tab w:val="left" w:pos="5954"/>
          <w:tab w:val="left" w:pos="6521"/>
        </w:tabs>
      </w:pPr>
      <w:r w:rsidRPr="00EF37B9">
        <w:tab/>
        <w:t>(ii)</w:t>
      </w:r>
      <w:r w:rsidRPr="00EF37B9">
        <w:tab/>
      </w:r>
      <w:proofErr w:type="gramStart"/>
      <w:r w:rsidRPr="00EF37B9">
        <w:t>notifying</w:t>
      </w:r>
      <w:proofErr w:type="gramEnd"/>
      <w:r w:rsidRPr="00EF37B9">
        <w:t xml:space="preserve"> the Office of the Union by sending an e-mail to upov.mail@upov.int</w:t>
      </w:r>
    </w:p>
    <w:p w:rsidR="00922826" w:rsidRPr="00EF37B9" w:rsidRDefault="00922826" w:rsidP="00922826"/>
    <w:p w:rsidR="00922826" w:rsidRPr="00EF37B9" w:rsidRDefault="00922826" w:rsidP="00922826">
      <w:r w:rsidRPr="00EF37B9">
        <w:fldChar w:fldCharType="begin"/>
      </w:r>
      <w:r w:rsidRPr="00EF37B9">
        <w:instrText xml:space="preserve"> AUTONUM  </w:instrText>
      </w:r>
      <w:r w:rsidRPr="00EF37B9">
        <w:fldChar w:fldCharType="end"/>
      </w:r>
      <w:r w:rsidRPr="00EF37B9">
        <w:tab/>
        <w:t xml:space="preserve">The TC noted the development of a package of compatible IT tools to address the technical and related administrative concerns that prevent cooperation in </w:t>
      </w:r>
      <w:proofErr w:type="spellStart"/>
      <w:r w:rsidRPr="00EF37B9">
        <w:t>DUS</w:t>
      </w:r>
      <w:proofErr w:type="spellEnd"/>
      <w:r w:rsidRPr="00EF37B9">
        <w:t xml:space="preserve"> examination, as reported in paragraphs 9 to 14 of document TC/57/9.</w:t>
      </w:r>
    </w:p>
    <w:p w:rsidR="00922826" w:rsidRPr="00EF37B9" w:rsidRDefault="00922826" w:rsidP="00922826"/>
    <w:p w:rsidR="00922826" w:rsidRPr="00EF37B9" w:rsidRDefault="00922826" w:rsidP="00922826">
      <w:r w:rsidRPr="00EF37B9">
        <w:fldChar w:fldCharType="begin"/>
      </w:r>
      <w:r w:rsidRPr="00EF37B9">
        <w:instrText xml:space="preserve"> AUTONUM  </w:instrText>
      </w:r>
      <w:r w:rsidRPr="00EF37B9">
        <w:fldChar w:fldCharType="end"/>
      </w:r>
      <w:r w:rsidRPr="00EF37B9">
        <w:tab/>
        <w:t xml:space="preserve">The TC noted that the development of a platform for </w:t>
      </w:r>
      <w:proofErr w:type="spellStart"/>
      <w:r w:rsidRPr="00EF37B9">
        <w:t>UPOV</w:t>
      </w:r>
      <w:proofErr w:type="spellEnd"/>
      <w:r w:rsidRPr="00EF37B9">
        <w:t xml:space="preserve"> member databases containing variety description information would depend on </w:t>
      </w:r>
      <w:proofErr w:type="spellStart"/>
      <w:r w:rsidRPr="00EF37B9">
        <w:t>UPOV</w:t>
      </w:r>
      <w:proofErr w:type="spellEnd"/>
      <w:r w:rsidRPr="00EF37B9">
        <w:t xml:space="preserve"> members indicating which databases they would wish to share.</w:t>
      </w:r>
    </w:p>
    <w:p w:rsidR="00922826" w:rsidRPr="00EF37B9" w:rsidRDefault="00922826" w:rsidP="00922826"/>
    <w:p w:rsidR="00922826" w:rsidRPr="00EF37B9" w:rsidRDefault="00922826" w:rsidP="00922826">
      <w:r w:rsidRPr="00EF37B9">
        <w:fldChar w:fldCharType="begin"/>
      </w:r>
      <w:r w:rsidRPr="00EF37B9">
        <w:instrText xml:space="preserve"> AUTONUM  </w:instrText>
      </w:r>
      <w:r w:rsidRPr="00EF37B9">
        <w:fldChar w:fldCharType="end"/>
      </w:r>
      <w:r w:rsidRPr="00EF37B9">
        <w:tab/>
        <w:t xml:space="preserve">The TC noted that the use of machine translation technology </w:t>
      </w:r>
      <w:proofErr w:type="gramStart"/>
      <w:r w:rsidRPr="00EF37B9">
        <w:t>would be considered</w:t>
      </w:r>
      <w:proofErr w:type="gramEnd"/>
      <w:r w:rsidRPr="00EF37B9">
        <w:t xml:space="preserve"> within a review of </w:t>
      </w:r>
      <w:proofErr w:type="spellStart"/>
      <w:r w:rsidRPr="00EF37B9">
        <w:t>UPOV’s</w:t>
      </w:r>
      <w:proofErr w:type="spellEnd"/>
      <w:r w:rsidRPr="00EF37B9">
        <w:t xml:space="preserve"> policy on translation.</w:t>
      </w:r>
    </w:p>
    <w:p w:rsidR="00922826" w:rsidRPr="00EF37B9" w:rsidRDefault="00922826" w:rsidP="00922826"/>
    <w:p w:rsidR="00922826" w:rsidRPr="00EF37B9" w:rsidRDefault="00922826" w:rsidP="00D53FBB">
      <w:pPr>
        <w:keepNext/>
      </w:pPr>
      <w:r w:rsidRPr="00EF37B9">
        <w:lastRenderedPageBreak/>
        <w:fldChar w:fldCharType="begin"/>
      </w:r>
      <w:r w:rsidRPr="00EF37B9">
        <w:instrText xml:space="preserve"> AUTONUM  </w:instrText>
      </w:r>
      <w:r w:rsidRPr="00EF37B9">
        <w:fldChar w:fldCharType="end"/>
      </w:r>
      <w:r w:rsidRPr="00EF37B9">
        <w:tab/>
        <w:t xml:space="preserve">The TC noted that the </w:t>
      </w:r>
      <w:proofErr w:type="spellStart"/>
      <w:r w:rsidRPr="00EF37B9">
        <w:t>CAJ</w:t>
      </w:r>
      <w:proofErr w:type="spellEnd"/>
      <w:r w:rsidRPr="00EF37B9">
        <w:t>, at its seventy-eighth session would consider:</w:t>
      </w:r>
    </w:p>
    <w:p w:rsidR="00922826" w:rsidRPr="00EF37B9" w:rsidRDefault="00922826" w:rsidP="00D53FBB">
      <w:pPr>
        <w:keepNext/>
      </w:pPr>
    </w:p>
    <w:p w:rsidR="00922826" w:rsidRPr="00EF37B9" w:rsidRDefault="00922826" w:rsidP="00922826">
      <w:r w:rsidRPr="00EF37B9">
        <w:tab/>
        <w:t>(</w:t>
      </w:r>
      <w:proofErr w:type="spellStart"/>
      <w:r w:rsidRPr="00EF37B9">
        <w:t>i</w:t>
      </w:r>
      <w:proofErr w:type="spellEnd"/>
      <w:r w:rsidRPr="00EF37B9">
        <w:t>)</w:t>
      </w:r>
      <w:r w:rsidRPr="00EF37B9">
        <w:tab/>
      </w:r>
      <w:proofErr w:type="gramStart"/>
      <w:r w:rsidRPr="00EF37B9">
        <w:t>the</w:t>
      </w:r>
      <w:proofErr w:type="gramEnd"/>
      <w:r w:rsidRPr="00EF37B9">
        <w:t xml:space="preserve"> policy or legal barriers identified by the TC as preventing international cooperation in </w:t>
      </w:r>
      <w:proofErr w:type="spellStart"/>
      <w:r w:rsidRPr="00EF37B9">
        <w:t>DUS</w:t>
      </w:r>
      <w:proofErr w:type="spellEnd"/>
      <w:r w:rsidRPr="00EF37B9">
        <w:t> examination and possible measures to address those barriers; and</w:t>
      </w:r>
    </w:p>
    <w:p w:rsidR="00922826" w:rsidRPr="00EF37B9" w:rsidRDefault="00922826" w:rsidP="00922826"/>
    <w:p w:rsidR="00922826" w:rsidRPr="00EF37B9" w:rsidRDefault="00922826" w:rsidP="00922826">
      <w:r w:rsidRPr="00EF37B9">
        <w:tab/>
        <w:t>(ii)</w:t>
      </w:r>
      <w:r w:rsidRPr="00EF37B9">
        <w:tab/>
      </w:r>
      <w:proofErr w:type="gramStart"/>
      <w:r w:rsidRPr="00EF37B9">
        <w:t>proposals</w:t>
      </w:r>
      <w:proofErr w:type="gramEnd"/>
      <w:r w:rsidRPr="00EF37B9">
        <w:t xml:space="preserve"> for developing guidance to encourage members of the Union, on a voluntary basis, to take-over </w:t>
      </w:r>
      <w:proofErr w:type="spellStart"/>
      <w:r w:rsidRPr="00EF37B9">
        <w:t>DUS</w:t>
      </w:r>
      <w:proofErr w:type="spellEnd"/>
      <w:r w:rsidRPr="00EF37B9">
        <w:t xml:space="preserve"> test reports when the applicants could not submit plant material due to </w:t>
      </w:r>
      <w:proofErr w:type="spellStart"/>
      <w:r w:rsidRPr="00EF37B9">
        <w:t>phytosanitary</w:t>
      </w:r>
      <w:proofErr w:type="spellEnd"/>
      <w:r w:rsidRPr="00EF37B9">
        <w:t xml:space="preserve"> or other related issues.</w:t>
      </w:r>
    </w:p>
    <w:p w:rsidR="00922826" w:rsidRPr="00EF37B9" w:rsidRDefault="00922826" w:rsidP="00922826"/>
    <w:p w:rsidR="00922826" w:rsidRPr="00EF37B9" w:rsidRDefault="00922826" w:rsidP="00922826">
      <w:r w:rsidRPr="00EF37B9">
        <w:fldChar w:fldCharType="begin"/>
      </w:r>
      <w:r w:rsidRPr="00EF37B9">
        <w:instrText xml:space="preserve"> AUTONUM  </w:instrText>
      </w:r>
      <w:r w:rsidRPr="00EF37B9">
        <w:fldChar w:fldCharType="end"/>
      </w:r>
      <w:r w:rsidRPr="00EF37B9">
        <w:tab/>
        <w:t>The TC noted that the impact of the proposed measures would be assessed on the basis of the number of cooperation agreements reported by members of the Union, as presented in document C</w:t>
      </w:r>
      <w:proofErr w:type="gramStart"/>
      <w:r w:rsidRPr="00EF37B9">
        <w:t>/[</w:t>
      </w:r>
      <w:proofErr w:type="gramEnd"/>
      <w:r w:rsidRPr="00EF37B9">
        <w:t>xx]/INF/5 “Cooperation in examination”.</w:t>
      </w:r>
    </w:p>
    <w:p w:rsidR="00922826" w:rsidRDefault="00922826">
      <w:pPr>
        <w:jc w:val="left"/>
      </w:pPr>
    </w:p>
    <w:p w:rsidR="00D53FBB" w:rsidRDefault="00D53FBB">
      <w:pPr>
        <w:jc w:val="left"/>
      </w:pPr>
    </w:p>
    <w:p w:rsidR="00922826" w:rsidRPr="00CA626D" w:rsidRDefault="00922826">
      <w:pPr>
        <w:jc w:val="left"/>
      </w:pPr>
    </w:p>
    <w:p w:rsidR="00CA626D" w:rsidRPr="00CA626D" w:rsidRDefault="00CA626D" w:rsidP="00BA7F67">
      <w:pPr>
        <w:pStyle w:val="Heading1"/>
      </w:pPr>
      <w:bookmarkStart w:id="31" w:name="_Toc86170158"/>
      <w:proofErr w:type="spellStart"/>
      <w:r w:rsidRPr="00CA626D">
        <w:t>UPOV</w:t>
      </w:r>
      <w:proofErr w:type="spellEnd"/>
      <w:r w:rsidRPr="00CA626D">
        <w:t xml:space="preserve"> information databases</w:t>
      </w:r>
      <w:bookmarkEnd w:id="31"/>
      <w:r w:rsidRPr="00CA626D">
        <w:t xml:space="preserve"> </w:t>
      </w:r>
    </w:p>
    <w:p w:rsidR="00CA626D" w:rsidRPr="00CA626D" w:rsidRDefault="00CA626D">
      <w:pPr>
        <w:jc w:val="left"/>
      </w:pPr>
    </w:p>
    <w:p w:rsidR="00CA626D" w:rsidRDefault="00CA626D" w:rsidP="00CA626D">
      <w:r>
        <w:fldChar w:fldCharType="begin"/>
      </w:r>
      <w:r>
        <w:instrText xml:space="preserve"> AUTONUM  </w:instrText>
      </w:r>
      <w:r>
        <w:fldChar w:fldCharType="end"/>
      </w:r>
      <w:r>
        <w:tab/>
        <w:t xml:space="preserve">The TC considered </w:t>
      </w:r>
      <w:r w:rsidRPr="00B735FD">
        <w:rPr>
          <w:rFonts w:cs="Arial"/>
        </w:rPr>
        <w:t>document TC/5</w:t>
      </w:r>
      <w:r>
        <w:rPr>
          <w:rFonts w:cs="Arial"/>
        </w:rPr>
        <w:t>7</w:t>
      </w:r>
      <w:r w:rsidRPr="00B735FD">
        <w:rPr>
          <w:rFonts w:cs="Arial"/>
        </w:rPr>
        <w:t>/</w:t>
      </w:r>
      <w:r>
        <w:rPr>
          <w:rFonts w:cs="Arial"/>
        </w:rPr>
        <w:t>11 (see document TC/57/25 “Report”, paragraphs 67 to 70 and 74 to 82).</w:t>
      </w:r>
    </w:p>
    <w:p w:rsidR="00CA626D" w:rsidRDefault="00CA626D" w:rsidP="00CA626D">
      <w:pPr>
        <w:keepNext/>
      </w:pPr>
    </w:p>
    <w:p w:rsidR="00D53FBB" w:rsidRDefault="00D53FBB" w:rsidP="00CA626D">
      <w:pPr>
        <w:keepNext/>
      </w:pPr>
    </w:p>
    <w:p w:rsidR="00CA626D" w:rsidRPr="00BA7810" w:rsidRDefault="00CA626D" w:rsidP="00BA7F67">
      <w:pPr>
        <w:pStyle w:val="Heading2"/>
      </w:pPr>
      <w:bookmarkStart w:id="32" w:name="_Toc86170159"/>
      <w:r w:rsidRPr="00BA7810">
        <w:t xml:space="preserve">Amending the </w:t>
      </w:r>
      <w:proofErr w:type="spellStart"/>
      <w:r w:rsidRPr="00BA7810">
        <w:t>UPOV</w:t>
      </w:r>
      <w:proofErr w:type="spellEnd"/>
      <w:r w:rsidRPr="00BA7810">
        <w:t xml:space="preserve"> code system to provide information on variety groups or types</w:t>
      </w:r>
      <w:bookmarkEnd w:id="32"/>
    </w:p>
    <w:p w:rsidR="00CA626D" w:rsidRDefault="00CA626D" w:rsidP="00CA626D"/>
    <w:p w:rsidR="00CA626D" w:rsidRDefault="00CA626D" w:rsidP="00CA626D">
      <w:r w:rsidRPr="008D0013">
        <w:fldChar w:fldCharType="begin"/>
      </w:r>
      <w:r w:rsidRPr="008D0013">
        <w:instrText xml:space="preserve"> AUTONUM  </w:instrText>
      </w:r>
      <w:r w:rsidRPr="008D0013">
        <w:fldChar w:fldCharType="end"/>
      </w:r>
      <w:r w:rsidRPr="008D0013">
        <w:tab/>
        <w:t>The TC noted</w:t>
      </w:r>
      <w:r>
        <w:t xml:space="preserve"> that </w:t>
      </w:r>
      <w:r w:rsidRPr="0015712A">
        <w:t xml:space="preserve">the </w:t>
      </w:r>
      <w:proofErr w:type="spellStart"/>
      <w:r w:rsidRPr="0015712A">
        <w:t>TWPs</w:t>
      </w:r>
      <w:proofErr w:type="spellEnd"/>
      <w:r w:rsidRPr="0015712A">
        <w:t xml:space="preserve">, at their sessions in 2021, </w:t>
      </w:r>
      <w:r>
        <w:t xml:space="preserve">had </w:t>
      </w:r>
      <w:r w:rsidRPr="0015712A">
        <w:t xml:space="preserve">agreed with the proposal for amending the </w:t>
      </w:r>
      <w:proofErr w:type="spellStart"/>
      <w:r w:rsidRPr="0015712A">
        <w:t>UPOV</w:t>
      </w:r>
      <w:proofErr w:type="spellEnd"/>
      <w:r w:rsidRPr="0015712A">
        <w:t xml:space="preserve"> code system, as set out in document </w:t>
      </w:r>
      <w:proofErr w:type="spellStart"/>
      <w:r w:rsidRPr="0015712A">
        <w:t>UPOV</w:t>
      </w:r>
      <w:proofErr w:type="spellEnd"/>
      <w:r w:rsidRPr="0015712A">
        <w:t>/INF/23/1 Draft 2</w:t>
      </w:r>
      <w:r>
        <w:t>.</w:t>
      </w:r>
    </w:p>
    <w:p w:rsidR="00CA626D" w:rsidRDefault="00CA626D" w:rsidP="00CA626D"/>
    <w:p w:rsidR="00D53FBB" w:rsidRDefault="00D53FBB" w:rsidP="00CA626D"/>
    <w:p w:rsidR="00CA626D" w:rsidRPr="00CA626D" w:rsidRDefault="00CA626D" w:rsidP="00BA7F67">
      <w:pPr>
        <w:pStyle w:val="Heading2"/>
        <w:rPr>
          <w:rFonts w:eastAsiaTheme="minorEastAsia"/>
        </w:rPr>
      </w:pPr>
      <w:bookmarkStart w:id="33" w:name="_Toc82971328"/>
      <w:bookmarkStart w:id="34" w:name="_Toc86170160"/>
      <w:r w:rsidRPr="00CA626D">
        <w:rPr>
          <w:rFonts w:eastAsiaTheme="minorEastAsia"/>
        </w:rPr>
        <w:t xml:space="preserve">Proposals for amending </w:t>
      </w:r>
      <w:proofErr w:type="spellStart"/>
      <w:r w:rsidRPr="00CA626D">
        <w:rPr>
          <w:rFonts w:eastAsiaTheme="minorEastAsia"/>
        </w:rPr>
        <w:t>UPOV</w:t>
      </w:r>
      <w:proofErr w:type="spellEnd"/>
      <w:r w:rsidRPr="00CA626D">
        <w:rPr>
          <w:rFonts w:eastAsiaTheme="minorEastAsia"/>
        </w:rPr>
        <w:t xml:space="preserve"> codes</w:t>
      </w:r>
      <w:bookmarkEnd w:id="33"/>
      <w:bookmarkEnd w:id="34"/>
      <w:r w:rsidRPr="00CA626D">
        <w:rPr>
          <w:rFonts w:eastAsiaTheme="minorEastAsia"/>
        </w:rPr>
        <w:t xml:space="preserve"> </w:t>
      </w:r>
    </w:p>
    <w:p w:rsidR="00CA626D" w:rsidRDefault="00CA626D" w:rsidP="00CA626D">
      <w:pPr>
        <w:keepNext/>
      </w:pPr>
    </w:p>
    <w:p w:rsidR="00CA626D" w:rsidRDefault="00CA626D" w:rsidP="00CA626D">
      <w:r w:rsidRPr="008D0013">
        <w:fldChar w:fldCharType="begin"/>
      </w:r>
      <w:r w:rsidRPr="008D0013">
        <w:instrText xml:space="preserve"> AUTONUM  </w:instrText>
      </w:r>
      <w:r w:rsidRPr="008D0013">
        <w:fldChar w:fldCharType="end"/>
      </w:r>
      <w:r w:rsidRPr="008D0013">
        <w:tab/>
        <w:t>The TC noted</w:t>
      </w:r>
      <w:r>
        <w:t xml:space="preserve"> </w:t>
      </w:r>
      <w:r w:rsidRPr="00930E62">
        <w:t xml:space="preserve">that the proposals for amending </w:t>
      </w:r>
      <w:proofErr w:type="spellStart"/>
      <w:r w:rsidRPr="00930E62">
        <w:t>UPOV</w:t>
      </w:r>
      <w:proofErr w:type="spellEnd"/>
      <w:r w:rsidRPr="00930E62">
        <w:t xml:space="preserve"> codes presented in </w:t>
      </w:r>
      <w:r w:rsidRPr="00B735FD">
        <w:rPr>
          <w:rFonts w:cs="Arial"/>
        </w:rPr>
        <w:t>document TC/5</w:t>
      </w:r>
      <w:r>
        <w:rPr>
          <w:rFonts w:cs="Arial"/>
        </w:rPr>
        <w:t>7</w:t>
      </w:r>
      <w:r w:rsidRPr="00B735FD">
        <w:rPr>
          <w:rFonts w:cs="Arial"/>
        </w:rPr>
        <w:t>/</w:t>
      </w:r>
      <w:r>
        <w:rPr>
          <w:rFonts w:cs="Arial"/>
        </w:rPr>
        <w:t xml:space="preserve">11 </w:t>
      </w:r>
      <w:proofErr w:type="gramStart"/>
      <w:r>
        <w:t>were</w:t>
      </w:r>
      <w:r w:rsidRPr="00930E62">
        <w:t xml:space="preserve"> made</w:t>
      </w:r>
      <w:proofErr w:type="gramEnd"/>
      <w:r w:rsidRPr="00930E62">
        <w:t xml:space="preserve"> on the basis that they would be made in conjunction with the adoption of document</w:t>
      </w:r>
      <w:r>
        <w:t> </w:t>
      </w:r>
      <w:proofErr w:type="spellStart"/>
      <w:r w:rsidRPr="00930E62">
        <w:t>UPOV</w:t>
      </w:r>
      <w:proofErr w:type="spellEnd"/>
      <w:r w:rsidRPr="00930E62">
        <w:t>/INF/23/1</w:t>
      </w:r>
      <w:r>
        <w:t>.</w:t>
      </w:r>
    </w:p>
    <w:p w:rsidR="00CA626D" w:rsidRDefault="00CA626D" w:rsidP="00CA626D"/>
    <w:p w:rsidR="00CA626D" w:rsidRDefault="00CA626D" w:rsidP="00CA626D">
      <w:r w:rsidRPr="008D0013">
        <w:fldChar w:fldCharType="begin"/>
      </w:r>
      <w:r w:rsidRPr="008D0013">
        <w:instrText xml:space="preserve"> AUTONUM  </w:instrText>
      </w:r>
      <w:r w:rsidRPr="008D0013">
        <w:fldChar w:fldCharType="end"/>
      </w:r>
      <w:r w:rsidRPr="008D0013">
        <w:tab/>
        <w:t>The TC noted</w:t>
      </w:r>
      <w:r>
        <w:t xml:space="preserve"> </w:t>
      </w:r>
      <w:r w:rsidRPr="00930E62">
        <w:t xml:space="preserve">that members of the Union and contributors of data to the PLUTO database </w:t>
      </w:r>
      <w:proofErr w:type="gramStart"/>
      <w:r>
        <w:t>would</w:t>
      </w:r>
      <w:r w:rsidRPr="00930E62">
        <w:t xml:space="preserve"> be informed</w:t>
      </w:r>
      <w:proofErr w:type="gramEnd"/>
      <w:r w:rsidRPr="00930E62">
        <w:t xml:space="preserve"> of the changes to </w:t>
      </w:r>
      <w:proofErr w:type="spellStart"/>
      <w:r w:rsidRPr="00930E62">
        <w:t>UPOV</w:t>
      </w:r>
      <w:proofErr w:type="spellEnd"/>
      <w:r w:rsidRPr="00930E62">
        <w:t xml:space="preserve"> codes and the date of the changes by means of a circular in advance</w:t>
      </w:r>
      <w:r>
        <w:t>.</w:t>
      </w:r>
    </w:p>
    <w:p w:rsidR="00CA626D" w:rsidRDefault="00CA626D" w:rsidP="00CA626D"/>
    <w:p w:rsidR="00CA626D" w:rsidRPr="00D53FBB" w:rsidRDefault="00CA626D" w:rsidP="00BA7F67">
      <w:pPr>
        <w:pStyle w:val="Heading3"/>
        <w:rPr>
          <w:rFonts w:eastAsia="MS Mincho"/>
        </w:rPr>
      </w:pPr>
      <w:bookmarkStart w:id="35" w:name="_Toc82971330"/>
      <w:bookmarkStart w:id="36" w:name="_Toc86153814"/>
      <w:bookmarkStart w:id="37" w:name="_Toc86158644"/>
      <w:bookmarkStart w:id="38" w:name="_Toc86170161"/>
      <w:proofErr w:type="spellStart"/>
      <w:r w:rsidRPr="00D53FBB">
        <w:rPr>
          <w:rFonts w:eastAsia="MS Mincho"/>
        </w:rPr>
        <w:t>UPOV</w:t>
      </w:r>
      <w:proofErr w:type="spellEnd"/>
      <w:r w:rsidRPr="00D53FBB">
        <w:rPr>
          <w:rFonts w:eastAsia="MS Mincho"/>
        </w:rPr>
        <w:t xml:space="preserve"> codes for Brassica </w:t>
      </w:r>
      <w:proofErr w:type="spellStart"/>
      <w:r w:rsidRPr="00D53FBB">
        <w:rPr>
          <w:rFonts w:eastAsia="MS Mincho"/>
        </w:rPr>
        <w:t>oleracea</w:t>
      </w:r>
      <w:bookmarkEnd w:id="35"/>
      <w:bookmarkEnd w:id="36"/>
      <w:bookmarkEnd w:id="37"/>
      <w:bookmarkEnd w:id="38"/>
      <w:proofErr w:type="spellEnd"/>
      <w:r w:rsidRPr="00D53FBB">
        <w:rPr>
          <w:rFonts w:eastAsia="MS Mincho"/>
        </w:rPr>
        <w:t xml:space="preserve"> </w:t>
      </w:r>
    </w:p>
    <w:p w:rsidR="00CA626D" w:rsidRPr="00D53FBB" w:rsidRDefault="00CA626D" w:rsidP="00CA626D">
      <w:pPr>
        <w:keepNext/>
      </w:pPr>
    </w:p>
    <w:p w:rsidR="00CA626D" w:rsidRDefault="00CA626D" w:rsidP="00CA626D">
      <w:r>
        <w:fldChar w:fldCharType="begin"/>
      </w:r>
      <w:r>
        <w:instrText xml:space="preserve"> AUTONUM  </w:instrText>
      </w:r>
      <w:r>
        <w:fldChar w:fldCharType="end"/>
      </w:r>
      <w:r>
        <w:tab/>
        <w:t>The TC agreed to amend</w:t>
      </w:r>
      <w:r w:rsidRPr="003D7EBC">
        <w:t xml:space="preserve"> the botanical names </w:t>
      </w:r>
      <w:proofErr w:type="gramStart"/>
      <w:r w:rsidRPr="003D7EBC">
        <w:t xml:space="preserve">for </w:t>
      </w:r>
      <w:r w:rsidRPr="003D7EBC">
        <w:rPr>
          <w:i/>
        </w:rPr>
        <w:t xml:space="preserve">Brassica </w:t>
      </w:r>
      <w:proofErr w:type="spellStart"/>
      <w:r w:rsidRPr="003D7EBC">
        <w:rPr>
          <w:i/>
        </w:rPr>
        <w:t>oleracea</w:t>
      </w:r>
      <w:proofErr w:type="spellEnd"/>
      <w:r w:rsidRPr="003D7EBC">
        <w:t xml:space="preserve"> in accordance with GRIN, with the consequent changes to the </w:t>
      </w:r>
      <w:proofErr w:type="spellStart"/>
      <w:r w:rsidRPr="003D7EBC">
        <w:t>UPOV</w:t>
      </w:r>
      <w:proofErr w:type="spellEnd"/>
      <w:r w:rsidRPr="003D7EBC">
        <w:t xml:space="preserve"> codes in relation to groups,</w:t>
      </w:r>
      <w:proofErr w:type="gramEnd"/>
      <w:r w:rsidRPr="003D7EBC">
        <w:t xml:space="preserve"> as provided in the Appendix to Annex II of </w:t>
      </w:r>
      <w:r>
        <w:t>document </w:t>
      </w:r>
      <w:r w:rsidRPr="00C55783">
        <w:t>TC/57/11</w:t>
      </w:r>
      <w:r>
        <w:t>.</w:t>
      </w:r>
    </w:p>
    <w:p w:rsidR="00CA626D" w:rsidRDefault="00CA626D" w:rsidP="00CA626D"/>
    <w:p w:rsidR="00CA626D" w:rsidRDefault="00CA626D" w:rsidP="00CA626D">
      <w:r>
        <w:fldChar w:fldCharType="begin"/>
      </w:r>
      <w:r>
        <w:instrText xml:space="preserve"> AUTONUM  </w:instrText>
      </w:r>
      <w:r>
        <w:fldChar w:fldCharType="end"/>
      </w:r>
      <w:r>
        <w:tab/>
        <w:t xml:space="preserve">The TC agreed appending information to the </w:t>
      </w:r>
      <w:proofErr w:type="spellStart"/>
      <w:r>
        <w:t>UPOV</w:t>
      </w:r>
      <w:proofErr w:type="spellEnd"/>
      <w:r>
        <w:t xml:space="preserve"> code for </w:t>
      </w:r>
      <w:r w:rsidRPr="00907570">
        <w:rPr>
          <w:i/>
        </w:rPr>
        <w:t xml:space="preserve">Brassica </w:t>
      </w:r>
      <w:proofErr w:type="spellStart"/>
      <w:r w:rsidRPr="00907570">
        <w:rPr>
          <w:i/>
        </w:rPr>
        <w:t>oleracea</w:t>
      </w:r>
      <w:proofErr w:type="spellEnd"/>
      <w:r>
        <w:t xml:space="preserve"> L. var. </w:t>
      </w:r>
      <w:proofErr w:type="spellStart"/>
      <w:r w:rsidRPr="00907570">
        <w:rPr>
          <w:i/>
        </w:rPr>
        <w:t>capitata</w:t>
      </w:r>
      <w:proofErr w:type="spellEnd"/>
      <w:r>
        <w:t xml:space="preserve"> L. (</w:t>
      </w:r>
      <w:proofErr w:type="spellStart"/>
      <w:r>
        <w:t>BRASS_OLE_GC</w:t>
      </w:r>
      <w:proofErr w:type="spellEnd"/>
      <w:r>
        <w:t xml:space="preserve">) to create variety groups or types for White and Red Cabbage, as follows: </w:t>
      </w:r>
    </w:p>
    <w:p w:rsidR="00CA626D" w:rsidRDefault="00CA626D" w:rsidP="00CA626D"/>
    <w:p w:rsidR="00CA626D" w:rsidRDefault="00CA626D" w:rsidP="00CA626D">
      <w:pPr>
        <w:ind w:left="567"/>
      </w:pPr>
      <w:r>
        <w:t>(</w:t>
      </w:r>
      <w:proofErr w:type="spellStart"/>
      <w:r>
        <w:t>i</w:t>
      </w:r>
      <w:proofErr w:type="spellEnd"/>
      <w:r>
        <w:t>)</w:t>
      </w:r>
      <w:r>
        <w:tab/>
        <w:t>White Cabbage: 1W (e.g. BRASS_OLE_GC_1W)</w:t>
      </w:r>
    </w:p>
    <w:p w:rsidR="00CA626D" w:rsidRDefault="00CA626D" w:rsidP="00CA626D">
      <w:pPr>
        <w:ind w:left="567"/>
      </w:pPr>
      <w:r>
        <w:t>(ii)</w:t>
      </w:r>
      <w:r>
        <w:tab/>
        <w:t>Red Cabbage: 2R (e.g. BRASS_OLE_GC_2R)</w:t>
      </w:r>
    </w:p>
    <w:p w:rsidR="00CA626D" w:rsidRDefault="00CA626D" w:rsidP="00CA626D"/>
    <w:p w:rsidR="00CA626D" w:rsidRPr="007C5589" w:rsidRDefault="00CA626D" w:rsidP="00BA7F67">
      <w:pPr>
        <w:pStyle w:val="Heading3"/>
      </w:pPr>
      <w:bookmarkStart w:id="39" w:name="_Toc82971331"/>
      <w:bookmarkStart w:id="40" w:name="_Toc86153815"/>
      <w:bookmarkStart w:id="41" w:name="_Toc86158645"/>
      <w:bookmarkStart w:id="42" w:name="_Toc86170162"/>
      <w:proofErr w:type="spellStart"/>
      <w:r w:rsidRPr="007C5589">
        <w:t>UPOV</w:t>
      </w:r>
      <w:proofErr w:type="spellEnd"/>
      <w:r w:rsidRPr="007C5589">
        <w:t xml:space="preserve"> codes for Citrus</w:t>
      </w:r>
      <w:bookmarkEnd w:id="39"/>
      <w:bookmarkEnd w:id="40"/>
      <w:bookmarkEnd w:id="41"/>
      <w:bookmarkEnd w:id="42"/>
    </w:p>
    <w:p w:rsidR="00CA626D" w:rsidRDefault="00CA626D" w:rsidP="00CA626D">
      <w:pPr>
        <w:keepNext/>
      </w:pPr>
    </w:p>
    <w:p w:rsidR="00CA626D" w:rsidRDefault="00CA626D" w:rsidP="00CA626D">
      <w:r>
        <w:fldChar w:fldCharType="begin"/>
      </w:r>
      <w:r>
        <w:instrText xml:space="preserve"> AUTONUM  </w:instrText>
      </w:r>
      <w:r>
        <w:fldChar w:fldCharType="end"/>
      </w:r>
      <w:r>
        <w:tab/>
        <w:t>The TC agreed to append</w:t>
      </w:r>
      <w:r w:rsidRPr="00907570">
        <w:t xml:space="preserve"> information to </w:t>
      </w:r>
      <w:proofErr w:type="spellStart"/>
      <w:r w:rsidRPr="00907570">
        <w:t>UPOV</w:t>
      </w:r>
      <w:proofErr w:type="spellEnd"/>
      <w:r w:rsidRPr="00907570">
        <w:t xml:space="preserve"> code </w:t>
      </w:r>
      <w:proofErr w:type="spellStart"/>
      <w:r w:rsidRPr="00907570">
        <w:t>CITRU_AUM</w:t>
      </w:r>
      <w:proofErr w:type="spellEnd"/>
      <w:r w:rsidRPr="00907570">
        <w:t xml:space="preserve"> to create groups “1MA” for mandarins</w:t>
      </w:r>
      <w:proofErr w:type="gramStart"/>
      <w:r w:rsidRPr="00907570">
        <w:t>;</w:t>
      </w:r>
      <w:proofErr w:type="gramEnd"/>
      <w:r w:rsidRPr="00907570">
        <w:t xml:space="preserve"> and “2OR” for oranges</w:t>
      </w:r>
      <w:r>
        <w:t>.</w:t>
      </w:r>
    </w:p>
    <w:p w:rsidR="00CA626D" w:rsidRDefault="00CA626D" w:rsidP="00CA626D"/>
    <w:p w:rsidR="00CA626D" w:rsidRDefault="00CA626D" w:rsidP="00CA626D">
      <w:r>
        <w:fldChar w:fldCharType="begin"/>
      </w:r>
      <w:r>
        <w:instrText xml:space="preserve"> AUTONUM  </w:instrText>
      </w:r>
      <w:r>
        <w:fldChar w:fldCharType="end"/>
      </w:r>
      <w:r>
        <w:tab/>
        <w:t>The TC agreed to amend</w:t>
      </w:r>
      <w:r w:rsidRPr="00907570">
        <w:t xml:space="preserve"> the </w:t>
      </w:r>
      <w:proofErr w:type="spellStart"/>
      <w:r w:rsidRPr="00907570">
        <w:t>UPOV</w:t>
      </w:r>
      <w:proofErr w:type="spellEnd"/>
      <w:r w:rsidRPr="00907570">
        <w:t xml:space="preserve"> code </w:t>
      </w:r>
      <w:proofErr w:type="spellStart"/>
      <w:r w:rsidRPr="00907570">
        <w:t>CITRU_AUM</w:t>
      </w:r>
      <w:proofErr w:type="spellEnd"/>
      <w:r w:rsidRPr="00907570">
        <w:t>, following</w:t>
      </w:r>
      <w:r>
        <w:t xml:space="preserve"> the reclassification of </w:t>
      </w:r>
      <w:r w:rsidRPr="00907570">
        <w:rPr>
          <w:i/>
        </w:rPr>
        <w:t>Citrus </w:t>
      </w:r>
      <w:proofErr w:type="spellStart"/>
      <w:r w:rsidRPr="00907570">
        <w:rPr>
          <w:i/>
        </w:rPr>
        <w:t>clementina</w:t>
      </w:r>
      <w:proofErr w:type="spellEnd"/>
      <w:r w:rsidRPr="00907570">
        <w:t xml:space="preserve"> hort. ex </w:t>
      </w:r>
      <w:r w:rsidRPr="00907570">
        <w:rPr>
          <w:i/>
        </w:rPr>
        <w:t>Tanaka</w:t>
      </w:r>
      <w:r w:rsidRPr="00907570">
        <w:t xml:space="preserve"> (</w:t>
      </w:r>
      <w:proofErr w:type="spellStart"/>
      <w:r w:rsidRPr="00907570">
        <w:t>UPOV</w:t>
      </w:r>
      <w:proofErr w:type="spellEnd"/>
      <w:r w:rsidRPr="00907570">
        <w:t xml:space="preserve"> code: </w:t>
      </w:r>
      <w:proofErr w:type="spellStart"/>
      <w:r w:rsidRPr="00907570">
        <w:t>CITRU_CLE</w:t>
      </w:r>
      <w:proofErr w:type="spellEnd"/>
      <w:r w:rsidRPr="00907570">
        <w:t xml:space="preserve">) as a synonym of </w:t>
      </w:r>
      <w:r w:rsidRPr="00907570">
        <w:rPr>
          <w:i/>
        </w:rPr>
        <w:t xml:space="preserve">Citrus </w:t>
      </w:r>
      <w:proofErr w:type="spellStart"/>
      <w:r w:rsidRPr="00907570">
        <w:rPr>
          <w:i/>
        </w:rPr>
        <w:t>aurantium</w:t>
      </w:r>
      <w:proofErr w:type="spellEnd"/>
      <w:r>
        <w:t xml:space="preserve"> L. (</w:t>
      </w:r>
      <w:proofErr w:type="spellStart"/>
      <w:r>
        <w:t>UPOV</w:t>
      </w:r>
      <w:proofErr w:type="spellEnd"/>
      <w:r>
        <w:t> </w:t>
      </w:r>
      <w:r w:rsidRPr="00907570">
        <w:t xml:space="preserve">code: </w:t>
      </w:r>
      <w:proofErr w:type="spellStart"/>
      <w:r w:rsidRPr="00907570">
        <w:t>CITRU_AUM</w:t>
      </w:r>
      <w:proofErr w:type="spellEnd"/>
      <w:r w:rsidRPr="00907570">
        <w:t>), as set out in Annex III to document TC/57/1</w:t>
      </w:r>
      <w:r>
        <w:t>1.</w:t>
      </w:r>
    </w:p>
    <w:p w:rsidR="00CA626D" w:rsidRDefault="00CA626D" w:rsidP="00CA626D"/>
    <w:p w:rsidR="00CA626D" w:rsidRPr="000454F9" w:rsidRDefault="00CA626D" w:rsidP="00CA626D">
      <w:pPr>
        <w:rPr>
          <w:rFonts w:eastAsiaTheme="minorEastAsia"/>
        </w:rPr>
      </w:pPr>
      <w:r>
        <w:fldChar w:fldCharType="begin"/>
      </w:r>
      <w:r>
        <w:instrText xml:space="preserve"> AUTONUM  </w:instrText>
      </w:r>
      <w:r>
        <w:fldChar w:fldCharType="end"/>
      </w:r>
      <w:r>
        <w:tab/>
        <w:t xml:space="preserve">The TC agreed with </w:t>
      </w:r>
      <w:r>
        <w:rPr>
          <w:rFonts w:eastAsiaTheme="minorEastAsia"/>
        </w:rPr>
        <w:t xml:space="preserve">the proposal from the </w:t>
      </w:r>
      <w:proofErr w:type="spellStart"/>
      <w:r>
        <w:rPr>
          <w:rFonts w:eastAsiaTheme="minorEastAsia"/>
        </w:rPr>
        <w:t>TWF</w:t>
      </w:r>
      <w:proofErr w:type="spellEnd"/>
      <w:r w:rsidRPr="000454F9">
        <w:rPr>
          <w:rFonts w:eastAsiaTheme="minorEastAsia"/>
        </w:rPr>
        <w:t xml:space="preserve"> </w:t>
      </w:r>
      <w:r>
        <w:rPr>
          <w:rFonts w:eastAsiaTheme="minorEastAsia"/>
        </w:rPr>
        <w:t>for</w:t>
      </w:r>
      <w:r w:rsidRPr="000454F9">
        <w:rPr>
          <w:rFonts w:eastAsiaTheme="minorEastAsia"/>
        </w:rPr>
        <w:t xml:space="preserve"> partial revision of the Test Guidelines for Citrus to move obsolete species from the “principle botanical names” box to th</w:t>
      </w:r>
      <w:r>
        <w:rPr>
          <w:rFonts w:eastAsiaTheme="minorEastAsia"/>
        </w:rPr>
        <w:t>e “alternative botanical names”.</w:t>
      </w:r>
    </w:p>
    <w:p w:rsidR="00CA626D" w:rsidRDefault="00CA626D" w:rsidP="00CA626D"/>
    <w:p w:rsidR="00CA626D" w:rsidRPr="00BA7810" w:rsidRDefault="00CA626D" w:rsidP="00BA7F67">
      <w:pPr>
        <w:pStyle w:val="Heading3"/>
      </w:pPr>
      <w:bookmarkStart w:id="43" w:name="_Toc513813512"/>
      <w:bookmarkStart w:id="44" w:name="_Toc82971332"/>
      <w:bookmarkStart w:id="45" w:name="_Toc86153816"/>
      <w:bookmarkStart w:id="46" w:name="_Toc86158646"/>
      <w:bookmarkStart w:id="47" w:name="_Toc86170163"/>
      <w:proofErr w:type="spellStart"/>
      <w:r w:rsidRPr="00BA7810">
        <w:rPr>
          <w:rFonts w:eastAsia="MS Mincho"/>
        </w:rPr>
        <w:t>UPOV</w:t>
      </w:r>
      <w:proofErr w:type="spellEnd"/>
      <w:r w:rsidRPr="00BA7810">
        <w:rPr>
          <w:rFonts w:eastAsia="MS Mincho"/>
        </w:rPr>
        <w:t xml:space="preserve"> codes </w:t>
      </w:r>
      <w:proofErr w:type="spellStart"/>
      <w:r w:rsidRPr="00BA7810">
        <w:rPr>
          <w:rFonts w:eastAsia="MS Mincho"/>
        </w:rPr>
        <w:t>ZEAAA_MAY_SAC</w:t>
      </w:r>
      <w:proofErr w:type="spellEnd"/>
      <w:r w:rsidRPr="00BA7810">
        <w:rPr>
          <w:rFonts w:eastAsia="MS Mincho"/>
        </w:rPr>
        <w:t xml:space="preserve">, </w:t>
      </w:r>
      <w:proofErr w:type="spellStart"/>
      <w:r w:rsidRPr="00BA7810">
        <w:rPr>
          <w:rFonts w:eastAsia="MS Mincho"/>
        </w:rPr>
        <w:t>ZEAAA_MAY_EVE</w:t>
      </w:r>
      <w:proofErr w:type="spellEnd"/>
      <w:r w:rsidRPr="00BA7810">
        <w:rPr>
          <w:rFonts w:eastAsia="MS Mincho"/>
        </w:rPr>
        <w:t xml:space="preserve"> and </w:t>
      </w:r>
      <w:proofErr w:type="spellStart"/>
      <w:r w:rsidRPr="00BA7810">
        <w:rPr>
          <w:rFonts w:eastAsia="MS Mincho"/>
        </w:rPr>
        <w:t>ZEAAA_MAY_MIC</w:t>
      </w:r>
      <w:bookmarkEnd w:id="43"/>
      <w:bookmarkEnd w:id="44"/>
      <w:bookmarkEnd w:id="45"/>
      <w:bookmarkEnd w:id="46"/>
      <w:bookmarkEnd w:id="47"/>
      <w:proofErr w:type="spellEnd"/>
    </w:p>
    <w:p w:rsidR="00CA626D" w:rsidRDefault="00CA626D" w:rsidP="00CA626D">
      <w:pPr>
        <w:keepNext/>
      </w:pPr>
    </w:p>
    <w:p w:rsidR="00CA626D" w:rsidRDefault="00CA626D" w:rsidP="00D53FBB">
      <w:pPr>
        <w:spacing w:after="160"/>
        <w:rPr>
          <w:rFonts w:eastAsia="MS Mincho"/>
          <w:snapToGrid w:val="0"/>
        </w:rPr>
      </w:pPr>
      <w:r>
        <w:fldChar w:fldCharType="begin"/>
      </w:r>
      <w:r>
        <w:instrText xml:space="preserve"> AUTONUM  </w:instrText>
      </w:r>
      <w:r>
        <w:fldChar w:fldCharType="end"/>
      </w:r>
      <w:r>
        <w:tab/>
        <w:t>The TC agreed</w:t>
      </w:r>
      <w:r w:rsidRPr="00B330CC">
        <w:rPr>
          <w:rFonts w:eastAsia="MS Mincho"/>
        </w:rPr>
        <w:t xml:space="preserve"> to </w:t>
      </w:r>
      <w:r w:rsidRPr="00B330CC">
        <w:rPr>
          <w:snapToGrid w:val="0"/>
        </w:rPr>
        <w:t xml:space="preserve">delete the </w:t>
      </w:r>
      <w:proofErr w:type="spellStart"/>
      <w:r w:rsidRPr="00B330CC">
        <w:t>UPOV</w:t>
      </w:r>
      <w:proofErr w:type="spellEnd"/>
      <w:r w:rsidRPr="00B330CC">
        <w:t xml:space="preserve"> Codes </w:t>
      </w:r>
      <w:proofErr w:type="spellStart"/>
      <w:r w:rsidRPr="00B330CC">
        <w:t>ZEAAA_MAY_SAC</w:t>
      </w:r>
      <w:proofErr w:type="spellEnd"/>
      <w:r w:rsidRPr="00B330CC">
        <w:t xml:space="preserve">, </w:t>
      </w:r>
      <w:proofErr w:type="spellStart"/>
      <w:r w:rsidRPr="00B330CC">
        <w:t>ZEAAA_MAY_EVE</w:t>
      </w:r>
      <w:proofErr w:type="spellEnd"/>
      <w:r w:rsidRPr="00B330CC">
        <w:t xml:space="preserve"> and </w:t>
      </w:r>
      <w:proofErr w:type="spellStart"/>
      <w:r w:rsidRPr="00B330CC">
        <w:t>ZEAAA_MAY_MIC</w:t>
      </w:r>
      <w:proofErr w:type="spellEnd"/>
      <w:r w:rsidRPr="00B330CC">
        <w:t>, that</w:t>
      </w:r>
      <w:r w:rsidRPr="00B330CC">
        <w:rPr>
          <w:rFonts w:cs="Arial"/>
        </w:rPr>
        <w:t xml:space="preserve"> </w:t>
      </w:r>
      <w:proofErr w:type="gramStart"/>
      <w:r w:rsidRPr="00B330CC">
        <w:rPr>
          <w:rFonts w:cs="Arial"/>
        </w:rPr>
        <w:t>would be covered</w:t>
      </w:r>
      <w:proofErr w:type="gramEnd"/>
      <w:r w:rsidRPr="00B330CC">
        <w:rPr>
          <w:rFonts w:cs="Arial"/>
        </w:rPr>
        <w:t xml:space="preserve"> by the </w:t>
      </w:r>
      <w:proofErr w:type="spellStart"/>
      <w:r w:rsidRPr="00B330CC">
        <w:rPr>
          <w:rFonts w:cs="Arial"/>
        </w:rPr>
        <w:t>UPOV</w:t>
      </w:r>
      <w:proofErr w:type="spellEnd"/>
      <w:r w:rsidRPr="00B330CC">
        <w:rPr>
          <w:rFonts w:cs="Arial"/>
        </w:rPr>
        <w:t xml:space="preserve"> code </w:t>
      </w:r>
      <w:proofErr w:type="spellStart"/>
      <w:r w:rsidRPr="00B330CC">
        <w:rPr>
          <w:rFonts w:cs="Arial"/>
        </w:rPr>
        <w:t>ZEAAA_MAY_MAY</w:t>
      </w:r>
      <w:proofErr w:type="spellEnd"/>
      <w:r>
        <w:rPr>
          <w:rFonts w:cs="Arial"/>
        </w:rPr>
        <w:t>.</w:t>
      </w:r>
    </w:p>
    <w:p w:rsidR="00CA626D" w:rsidRDefault="00CA626D" w:rsidP="00CA626D">
      <w:r>
        <w:lastRenderedPageBreak/>
        <w:fldChar w:fldCharType="begin"/>
      </w:r>
      <w:r>
        <w:instrText xml:space="preserve"> AUTONUM  </w:instrText>
      </w:r>
      <w:r>
        <w:fldChar w:fldCharType="end"/>
      </w:r>
      <w:r>
        <w:tab/>
        <w:t xml:space="preserve">The TC agreed to append information on variety types or groups to the </w:t>
      </w:r>
      <w:proofErr w:type="spellStart"/>
      <w:r>
        <w:t>UPOV</w:t>
      </w:r>
      <w:proofErr w:type="spellEnd"/>
      <w:r>
        <w:t xml:space="preserve"> code </w:t>
      </w:r>
      <w:proofErr w:type="spellStart"/>
      <w:r>
        <w:t>ZEAAA_MAY_MAY</w:t>
      </w:r>
      <w:proofErr w:type="spellEnd"/>
      <w:r>
        <w:t xml:space="preserve"> to establish the following variety types or groups: </w:t>
      </w:r>
    </w:p>
    <w:p w:rsidR="00CA626D" w:rsidRDefault="00CA626D" w:rsidP="00CA626D"/>
    <w:p w:rsidR="00CA626D" w:rsidRDefault="00CA626D" w:rsidP="00CA626D">
      <w:pPr>
        <w:ind w:left="567"/>
      </w:pPr>
      <w:r>
        <w:t>(</w:t>
      </w:r>
      <w:proofErr w:type="spellStart"/>
      <w:r>
        <w:t>i</w:t>
      </w:r>
      <w:proofErr w:type="spellEnd"/>
      <w:r>
        <w:t>)</w:t>
      </w:r>
      <w:r>
        <w:tab/>
        <w:t>Corn; Maize:  “1MA”,</w:t>
      </w:r>
    </w:p>
    <w:p w:rsidR="00CA626D" w:rsidRDefault="00CA626D" w:rsidP="00CA626D">
      <w:pPr>
        <w:ind w:left="567"/>
      </w:pPr>
      <w:r>
        <w:t>(ii)</w:t>
      </w:r>
      <w:r>
        <w:tab/>
        <w:t xml:space="preserve">Sweet Corn:  “2SW”,  </w:t>
      </w:r>
    </w:p>
    <w:p w:rsidR="00CA626D" w:rsidRDefault="00CA626D" w:rsidP="00CA626D">
      <w:pPr>
        <w:ind w:left="567"/>
        <w:rPr>
          <w:rFonts w:eastAsia="MS Mincho"/>
          <w:snapToGrid w:val="0"/>
        </w:rPr>
      </w:pPr>
      <w:r>
        <w:t>(iii)</w:t>
      </w:r>
      <w:r>
        <w:tab/>
        <w:t>Popcorn:  “3PO”.</w:t>
      </w:r>
    </w:p>
    <w:p w:rsidR="00CA626D" w:rsidRPr="00264FFE" w:rsidRDefault="00CA626D" w:rsidP="00CA626D">
      <w:pPr>
        <w:rPr>
          <w:rFonts w:eastAsia="MS Mincho"/>
          <w:snapToGrid w:val="0"/>
        </w:rPr>
      </w:pPr>
    </w:p>
    <w:p w:rsidR="00CA626D" w:rsidRPr="007C5589" w:rsidRDefault="00CA626D" w:rsidP="00BA7F67">
      <w:pPr>
        <w:pStyle w:val="Heading3"/>
      </w:pPr>
      <w:bookmarkStart w:id="48" w:name="_Toc82971333"/>
      <w:bookmarkStart w:id="49" w:name="_Toc86153817"/>
      <w:bookmarkStart w:id="50" w:name="_Toc86158647"/>
      <w:bookmarkStart w:id="51" w:name="_Toc86170164"/>
      <w:r w:rsidRPr="007C5589">
        <w:rPr>
          <w:rFonts w:eastAsia="MS Mincho"/>
        </w:rPr>
        <w:t xml:space="preserve">Additional proposals for amending </w:t>
      </w:r>
      <w:proofErr w:type="spellStart"/>
      <w:r w:rsidRPr="007C5589">
        <w:rPr>
          <w:rFonts w:eastAsia="MS Mincho"/>
        </w:rPr>
        <w:t>UPOV</w:t>
      </w:r>
      <w:proofErr w:type="spellEnd"/>
      <w:r w:rsidRPr="007C5589">
        <w:rPr>
          <w:rFonts w:eastAsia="MS Mincho"/>
        </w:rPr>
        <w:t xml:space="preserve"> codes considered by the </w:t>
      </w:r>
      <w:proofErr w:type="spellStart"/>
      <w:r w:rsidRPr="007C5589">
        <w:rPr>
          <w:rFonts w:eastAsia="MS Mincho"/>
        </w:rPr>
        <w:t>TWPs</w:t>
      </w:r>
      <w:proofErr w:type="spellEnd"/>
      <w:r w:rsidRPr="007C5589">
        <w:rPr>
          <w:rFonts w:eastAsia="MS Mincho"/>
        </w:rPr>
        <w:t xml:space="preserve"> in 2021</w:t>
      </w:r>
      <w:bookmarkEnd w:id="48"/>
      <w:bookmarkEnd w:id="49"/>
      <w:bookmarkEnd w:id="50"/>
      <w:bookmarkEnd w:id="51"/>
    </w:p>
    <w:p w:rsidR="00CA626D" w:rsidRDefault="00CA626D" w:rsidP="00CA626D">
      <w:pPr>
        <w:keepNext/>
      </w:pPr>
    </w:p>
    <w:p w:rsidR="00CA626D" w:rsidRPr="000454F9" w:rsidRDefault="00CA626D" w:rsidP="00BA7F67">
      <w:pPr>
        <w:pStyle w:val="Heading4"/>
        <w:rPr>
          <w:rFonts w:eastAsia="MS Mincho"/>
        </w:rPr>
      </w:pPr>
      <w:bookmarkStart w:id="52" w:name="_Toc82971334"/>
      <w:bookmarkStart w:id="53" w:name="_Toc86162695"/>
      <w:bookmarkStart w:id="54" w:name="_Toc86170165"/>
      <w:proofErr w:type="spellStart"/>
      <w:r w:rsidRPr="000454F9">
        <w:rPr>
          <w:rFonts w:eastAsia="MS Mincho"/>
        </w:rPr>
        <w:t>UPOV</w:t>
      </w:r>
      <w:proofErr w:type="spellEnd"/>
      <w:r w:rsidRPr="000454F9">
        <w:rPr>
          <w:rFonts w:eastAsia="MS Mincho"/>
        </w:rPr>
        <w:t xml:space="preserve"> code for </w:t>
      </w:r>
      <w:r w:rsidRPr="00FC6B70">
        <w:rPr>
          <w:rFonts w:eastAsia="MS Mincho"/>
        </w:rPr>
        <w:t xml:space="preserve">Aloe </w:t>
      </w:r>
      <w:proofErr w:type="spellStart"/>
      <w:r w:rsidRPr="00FC6B70">
        <w:rPr>
          <w:rFonts w:eastAsia="MS Mincho"/>
        </w:rPr>
        <w:t>aristata</w:t>
      </w:r>
      <w:bookmarkEnd w:id="52"/>
      <w:bookmarkEnd w:id="53"/>
      <w:bookmarkEnd w:id="54"/>
      <w:proofErr w:type="spellEnd"/>
    </w:p>
    <w:p w:rsidR="00CA626D" w:rsidRDefault="00CA626D" w:rsidP="00CA626D">
      <w:pPr>
        <w:keepNext/>
      </w:pPr>
    </w:p>
    <w:p w:rsidR="00CA626D" w:rsidRPr="00942B49" w:rsidRDefault="00CA626D" w:rsidP="00CA626D">
      <w:pPr>
        <w:tabs>
          <w:tab w:val="left" w:pos="0"/>
        </w:tabs>
        <w:rPr>
          <w:rFonts w:eastAsia="MS Mincho"/>
        </w:rPr>
      </w:pPr>
      <w:r>
        <w:fldChar w:fldCharType="begin"/>
      </w:r>
      <w:r>
        <w:instrText xml:space="preserve"> AUTONUM  </w:instrText>
      </w:r>
      <w:r>
        <w:fldChar w:fldCharType="end"/>
      </w:r>
      <w:r>
        <w:tab/>
        <w:t xml:space="preserve">The TC agreed </w:t>
      </w:r>
      <w:r w:rsidRPr="000454F9">
        <w:rPr>
          <w:rFonts w:eastAsia="MS Mincho"/>
        </w:rPr>
        <w:t xml:space="preserve">to delete the </w:t>
      </w:r>
      <w:proofErr w:type="spellStart"/>
      <w:r w:rsidRPr="000454F9">
        <w:rPr>
          <w:rFonts w:eastAsia="MS Mincho"/>
        </w:rPr>
        <w:t>UPOV</w:t>
      </w:r>
      <w:proofErr w:type="spellEnd"/>
      <w:r w:rsidRPr="000454F9">
        <w:rPr>
          <w:rFonts w:eastAsia="MS Mincho"/>
        </w:rPr>
        <w:t xml:space="preserve"> Code </w:t>
      </w:r>
      <w:proofErr w:type="spellStart"/>
      <w:r w:rsidRPr="000454F9">
        <w:rPr>
          <w:rFonts w:eastAsia="MS Mincho"/>
        </w:rPr>
        <w:t>ALOEE_ARI</w:t>
      </w:r>
      <w:proofErr w:type="spellEnd"/>
      <w:r w:rsidRPr="000454F9">
        <w:rPr>
          <w:rFonts w:eastAsia="MS Mincho"/>
        </w:rPr>
        <w:t xml:space="preserve">, as set out </w:t>
      </w:r>
      <w:r w:rsidRPr="00942B49">
        <w:rPr>
          <w:rFonts w:eastAsia="MS Mincho"/>
        </w:rPr>
        <w:t>in paragraph 37 of document TC/57/11.</w:t>
      </w:r>
      <w:r w:rsidRPr="00942B49">
        <w:rPr>
          <w:snapToGrid w:val="0"/>
        </w:rPr>
        <w:t xml:space="preserve"> </w:t>
      </w:r>
    </w:p>
    <w:p w:rsidR="00CA626D" w:rsidRPr="00942B49" w:rsidRDefault="00CA626D" w:rsidP="00CA626D"/>
    <w:p w:rsidR="00CA626D" w:rsidRPr="00942B49" w:rsidRDefault="00CA626D" w:rsidP="00BA7F67">
      <w:pPr>
        <w:pStyle w:val="Heading4"/>
        <w:rPr>
          <w:rFonts w:eastAsia="MS Mincho"/>
        </w:rPr>
      </w:pPr>
      <w:bookmarkStart w:id="55" w:name="_Toc82971335"/>
      <w:bookmarkStart w:id="56" w:name="_Toc86162696"/>
      <w:bookmarkStart w:id="57" w:name="_Toc86170166"/>
      <w:proofErr w:type="spellStart"/>
      <w:r w:rsidRPr="00942B49">
        <w:rPr>
          <w:rFonts w:eastAsia="MS Mincho"/>
        </w:rPr>
        <w:t>UPOV</w:t>
      </w:r>
      <w:proofErr w:type="spellEnd"/>
      <w:r w:rsidRPr="00942B49">
        <w:rPr>
          <w:rFonts w:eastAsia="MS Mincho"/>
        </w:rPr>
        <w:t xml:space="preserve"> code for Dicentra species</w:t>
      </w:r>
      <w:bookmarkEnd w:id="55"/>
      <w:bookmarkEnd w:id="56"/>
      <w:bookmarkEnd w:id="57"/>
    </w:p>
    <w:p w:rsidR="00CA626D" w:rsidRPr="00942B49" w:rsidRDefault="00CA626D" w:rsidP="00CA626D"/>
    <w:p w:rsidR="00CA626D" w:rsidRPr="000454F9" w:rsidRDefault="00CA626D" w:rsidP="00CA626D">
      <w:pPr>
        <w:rPr>
          <w:rFonts w:eastAsia="MS Mincho"/>
        </w:rPr>
      </w:pPr>
      <w:r w:rsidRPr="00942B49">
        <w:fldChar w:fldCharType="begin"/>
      </w:r>
      <w:r w:rsidRPr="00942B49">
        <w:instrText xml:space="preserve"> AUTONUM  </w:instrText>
      </w:r>
      <w:r w:rsidRPr="00942B49">
        <w:fldChar w:fldCharType="end"/>
      </w:r>
      <w:r w:rsidRPr="00942B49">
        <w:tab/>
        <w:t>The TC agree to</w:t>
      </w:r>
      <w:r w:rsidRPr="00942B49">
        <w:rPr>
          <w:rFonts w:eastAsia="MS Mincho"/>
        </w:rPr>
        <w:t xml:space="preserve"> delete the </w:t>
      </w:r>
      <w:proofErr w:type="spellStart"/>
      <w:r w:rsidRPr="00942B49">
        <w:rPr>
          <w:rFonts w:eastAsia="MS Mincho"/>
        </w:rPr>
        <w:t>UPOV</w:t>
      </w:r>
      <w:proofErr w:type="spellEnd"/>
      <w:r w:rsidRPr="00942B49">
        <w:rPr>
          <w:rFonts w:eastAsia="MS Mincho"/>
        </w:rPr>
        <w:t xml:space="preserve"> Code </w:t>
      </w:r>
      <w:proofErr w:type="spellStart"/>
      <w:r w:rsidRPr="00942B49">
        <w:rPr>
          <w:rFonts w:eastAsia="MS Mincho"/>
        </w:rPr>
        <w:t>DICEN_SPE</w:t>
      </w:r>
      <w:proofErr w:type="spellEnd"/>
      <w:r w:rsidRPr="00942B49">
        <w:rPr>
          <w:rFonts w:eastAsia="MS Mincho"/>
        </w:rPr>
        <w:t>, as set out in paragraph 41 of document TC/57/11.</w:t>
      </w:r>
    </w:p>
    <w:p w:rsidR="00CA626D" w:rsidRDefault="00CA626D">
      <w:pPr>
        <w:jc w:val="left"/>
      </w:pPr>
    </w:p>
    <w:p w:rsidR="00D53FBB" w:rsidRPr="00CA626D" w:rsidRDefault="00D53FBB">
      <w:pPr>
        <w:jc w:val="left"/>
      </w:pPr>
    </w:p>
    <w:p w:rsidR="00CA626D" w:rsidRPr="00CA626D" w:rsidRDefault="00CA626D">
      <w:pPr>
        <w:jc w:val="left"/>
      </w:pPr>
    </w:p>
    <w:p w:rsidR="00050E16" w:rsidRPr="00D53FBB" w:rsidRDefault="00C87BF0" w:rsidP="00BA7F67">
      <w:pPr>
        <w:pStyle w:val="Heading1"/>
      </w:pPr>
      <w:bookmarkStart w:id="58" w:name="_Toc86170167"/>
      <w:r w:rsidRPr="00D53FBB">
        <w:t>Molecular techniques</w:t>
      </w:r>
      <w:bookmarkEnd w:id="58"/>
    </w:p>
    <w:p w:rsidR="00C87BF0" w:rsidRPr="00D53FBB" w:rsidRDefault="00C87BF0" w:rsidP="00050E16"/>
    <w:p w:rsidR="00C87BF0" w:rsidRPr="00C87BF0" w:rsidRDefault="00C87BF0" w:rsidP="00C87BF0">
      <w:pPr>
        <w:keepNext/>
        <w:keepLines/>
        <w:rPr>
          <w:spacing w:val="-2"/>
        </w:rPr>
      </w:pPr>
      <w:r w:rsidRPr="00C87BF0">
        <w:fldChar w:fldCharType="begin"/>
      </w:r>
      <w:r w:rsidRPr="00C87BF0">
        <w:instrText xml:space="preserve"> AUTONUM  </w:instrText>
      </w:r>
      <w:r w:rsidRPr="00C87BF0">
        <w:fldChar w:fldCharType="end"/>
      </w:r>
      <w:r w:rsidRPr="00C87BF0">
        <w:tab/>
        <w:t>The TC considered document TC/57/8 by correspondence.  The TC noted</w:t>
      </w:r>
      <w:r w:rsidRPr="00C87BF0">
        <w:rPr>
          <w:spacing w:val="-2"/>
        </w:rPr>
        <w:t xml:space="preserve"> that decisions on document TC/57/8 had been taken by the TC by correspondence as provided in document TC/57/14, paragraphs 21 to 24, and reproduced below</w:t>
      </w:r>
      <w:r w:rsidRPr="00CA626D">
        <w:rPr>
          <w:spacing w:val="-2"/>
        </w:rPr>
        <w:t xml:space="preserve"> (see document TC/57/25 “Report”, paragraphs 48 to 53)</w:t>
      </w:r>
      <w:r w:rsidRPr="00C87BF0">
        <w:rPr>
          <w:spacing w:val="-2"/>
        </w:rPr>
        <w:t xml:space="preserve">: </w:t>
      </w:r>
    </w:p>
    <w:p w:rsidR="00C87BF0" w:rsidRPr="00C87BF0" w:rsidRDefault="00C87BF0" w:rsidP="00C87BF0">
      <w:pPr>
        <w:keepNext/>
        <w:keepLines/>
        <w:rPr>
          <w:spacing w:val="-2"/>
        </w:rPr>
      </w:pPr>
    </w:p>
    <w:p w:rsidR="00C87BF0" w:rsidRPr="00C87BF0" w:rsidRDefault="00C87BF0" w:rsidP="00C87BF0">
      <w:pPr>
        <w:ind w:left="567"/>
        <w:jc w:val="left"/>
        <w:rPr>
          <w:sz w:val="18"/>
        </w:rPr>
      </w:pPr>
      <w:r w:rsidRPr="00C87BF0">
        <w:rPr>
          <w:sz w:val="18"/>
        </w:rPr>
        <w:t>“21.</w:t>
      </w:r>
      <w:r w:rsidRPr="00C87BF0">
        <w:rPr>
          <w:sz w:val="18"/>
        </w:rPr>
        <w:tab/>
        <w:t>The TC considered document TC/57/8.</w:t>
      </w:r>
    </w:p>
    <w:p w:rsidR="00C87BF0" w:rsidRPr="00C87BF0" w:rsidRDefault="00C87BF0" w:rsidP="00C87BF0">
      <w:pPr>
        <w:jc w:val="left"/>
      </w:pPr>
    </w:p>
    <w:p w:rsidR="00C87BF0" w:rsidRPr="00C87BF0" w:rsidRDefault="00C87BF0" w:rsidP="00C87BF0">
      <w:pPr>
        <w:ind w:left="567" w:right="567"/>
        <w:rPr>
          <w:sz w:val="18"/>
        </w:rPr>
      </w:pPr>
      <w:proofErr w:type="gramStart"/>
      <w:r w:rsidRPr="00C87BF0">
        <w:rPr>
          <w:sz w:val="18"/>
        </w:rPr>
        <w:t>“22.</w:t>
      </w:r>
      <w:r w:rsidRPr="00C87BF0">
        <w:rPr>
          <w:sz w:val="18"/>
        </w:rPr>
        <w:tab/>
        <w:t>The TC noted that on October 16, 2020, the Office of the Union issued Circular E-20/189 inviting members to complete the survey on the use of molecular marker techniques, by December 15, 2020, and noted the results of the survey on the use of molecular marker techniques by members, per crop as set out in the Annex I to document TC/57/8.</w:t>
      </w:r>
      <w:proofErr w:type="gramEnd"/>
    </w:p>
    <w:p w:rsidR="00C87BF0" w:rsidRPr="00C87BF0" w:rsidRDefault="00C87BF0" w:rsidP="00C87BF0">
      <w:pPr>
        <w:ind w:left="567" w:right="567"/>
        <w:rPr>
          <w:sz w:val="18"/>
        </w:rPr>
      </w:pPr>
    </w:p>
    <w:p w:rsidR="00C87BF0" w:rsidRPr="00C87BF0" w:rsidRDefault="00C87BF0" w:rsidP="00C87BF0">
      <w:pPr>
        <w:ind w:left="567" w:right="567"/>
        <w:rPr>
          <w:sz w:val="18"/>
        </w:rPr>
      </w:pPr>
      <w:r w:rsidRPr="00C87BF0">
        <w:rPr>
          <w:sz w:val="18"/>
        </w:rPr>
        <w:t>“23.</w:t>
      </w:r>
      <w:r w:rsidRPr="00C87BF0">
        <w:rPr>
          <w:sz w:val="18"/>
        </w:rPr>
        <w:tab/>
        <w:t>The TC requested the Office of Union to inform OECD of the result of the survey and to report on the developments at the TC, at its fifty-eighth session.</w:t>
      </w:r>
    </w:p>
    <w:p w:rsidR="00C87BF0" w:rsidRPr="00C87BF0" w:rsidRDefault="00C87BF0" w:rsidP="00C87BF0">
      <w:pPr>
        <w:ind w:left="567" w:right="567"/>
        <w:rPr>
          <w:sz w:val="18"/>
        </w:rPr>
      </w:pPr>
    </w:p>
    <w:p w:rsidR="00C87BF0" w:rsidRPr="00C87BF0" w:rsidRDefault="00C87BF0" w:rsidP="00C87BF0">
      <w:pPr>
        <w:ind w:left="567" w:right="567"/>
        <w:rPr>
          <w:sz w:val="18"/>
        </w:rPr>
      </w:pPr>
      <w:r w:rsidRPr="00C87BF0">
        <w:rPr>
          <w:sz w:val="18"/>
        </w:rPr>
        <w:t>“24.</w:t>
      </w:r>
      <w:r w:rsidRPr="00C87BF0">
        <w:rPr>
          <w:sz w:val="18"/>
        </w:rPr>
        <w:tab/>
        <w:t xml:space="preserve">The TC approved the draft joint document explaining the principal features of the systems of OECD, </w:t>
      </w:r>
      <w:proofErr w:type="spellStart"/>
      <w:r w:rsidRPr="00C87BF0">
        <w:rPr>
          <w:sz w:val="18"/>
        </w:rPr>
        <w:t>UPOV</w:t>
      </w:r>
      <w:proofErr w:type="spellEnd"/>
      <w:r w:rsidRPr="00C87BF0">
        <w:rPr>
          <w:sz w:val="18"/>
        </w:rPr>
        <w:t xml:space="preserve"> and </w:t>
      </w:r>
      <w:proofErr w:type="spellStart"/>
      <w:r w:rsidRPr="00C87BF0">
        <w:rPr>
          <w:sz w:val="18"/>
        </w:rPr>
        <w:t>ISTA</w:t>
      </w:r>
      <w:proofErr w:type="spellEnd"/>
      <w:r w:rsidRPr="00C87BF0">
        <w:rPr>
          <w:sz w:val="18"/>
        </w:rPr>
        <w:t xml:space="preserve">, as set out in Annex II to document TC/57/8 and to inform OECD and </w:t>
      </w:r>
      <w:proofErr w:type="spellStart"/>
      <w:r w:rsidRPr="00C87BF0">
        <w:rPr>
          <w:sz w:val="18"/>
        </w:rPr>
        <w:t>ISTA</w:t>
      </w:r>
      <w:proofErr w:type="spellEnd"/>
      <w:r w:rsidRPr="00C87BF0">
        <w:rPr>
          <w:sz w:val="18"/>
        </w:rPr>
        <w:t xml:space="preserve"> accordingly.”</w:t>
      </w:r>
    </w:p>
    <w:p w:rsidR="00C87BF0" w:rsidRPr="00C87BF0" w:rsidRDefault="00C87BF0" w:rsidP="00C87BF0">
      <w:pPr>
        <w:jc w:val="left"/>
      </w:pPr>
    </w:p>
    <w:p w:rsidR="00C87BF0" w:rsidRPr="00C87BF0" w:rsidRDefault="00C87BF0" w:rsidP="00C87BF0">
      <w:r w:rsidRPr="00C87BF0">
        <w:fldChar w:fldCharType="begin"/>
      </w:r>
      <w:r w:rsidRPr="00C87BF0">
        <w:instrText xml:space="preserve"> AUTONUM  </w:instrText>
      </w:r>
      <w:r w:rsidRPr="00C87BF0">
        <w:fldChar w:fldCharType="end"/>
      </w:r>
      <w:r w:rsidRPr="00C87BF0">
        <w:tab/>
      </w:r>
      <w:r w:rsidRPr="00C87BF0">
        <w:rPr>
          <w:spacing w:val="-2"/>
        </w:rPr>
        <w:t xml:space="preserve">The </w:t>
      </w:r>
      <w:r w:rsidRPr="00C87BF0">
        <w:rPr>
          <w:snapToGrid w:val="0"/>
          <w:spacing w:val="-2"/>
        </w:rPr>
        <w:t xml:space="preserve">TC noted </w:t>
      </w:r>
      <w:r w:rsidRPr="00C87BF0">
        <w:t xml:space="preserve">that comments </w:t>
      </w:r>
      <w:proofErr w:type="gramStart"/>
      <w:r w:rsidRPr="00C87BF0">
        <w:t>had been received</w:t>
      </w:r>
      <w:proofErr w:type="gramEnd"/>
      <w:r w:rsidRPr="00C87BF0">
        <w:t xml:space="preserve"> from the European Union in response to Circular E</w:t>
      </w:r>
      <w:r w:rsidRPr="00C87BF0">
        <w:noBreakHyphen/>
        <w:t xml:space="preserve">21/122 of August 23, 2021, that had not resulted in a revision of the document </w:t>
      </w:r>
    </w:p>
    <w:p w:rsidR="00C87BF0" w:rsidRPr="00C87BF0" w:rsidRDefault="00C87BF0" w:rsidP="00C87BF0">
      <w:pPr>
        <w:jc w:val="left"/>
      </w:pPr>
    </w:p>
    <w:p w:rsidR="00C87BF0" w:rsidRPr="00C87BF0" w:rsidRDefault="00C87BF0" w:rsidP="00C87BF0">
      <w:pPr>
        <w:jc w:val="left"/>
      </w:pPr>
      <w:r w:rsidRPr="00C87BF0">
        <w:fldChar w:fldCharType="begin"/>
      </w:r>
      <w:r w:rsidRPr="00C87BF0">
        <w:instrText xml:space="preserve"> AUTONUM  </w:instrText>
      </w:r>
      <w:r w:rsidRPr="00C87BF0">
        <w:fldChar w:fldCharType="end"/>
      </w:r>
      <w:r w:rsidRPr="00C87BF0">
        <w:tab/>
        <w:t xml:space="preserve">The TC considered document TC/57/8 </w:t>
      </w:r>
      <w:proofErr w:type="gramStart"/>
      <w:r w:rsidRPr="00C87BF0">
        <w:t>Add..</w:t>
      </w:r>
      <w:proofErr w:type="gramEnd"/>
    </w:p>
    <w:p w:rsidR="00C87BF0" w:rsidRDefault="00C87BF0" w:rsidP="00C87BF0">
      <w:pPr>
        <w:jc w:val="left"/>
      </w:pPr>
    </w:p>
    <w:p w:rsidR="00D53FBB" w:rsidRPr="00C87BF0" w:rsidRDefault="00D53FBB" w:rsidP="00C87BF0">
      <w:pPr>
        <w:jc w:val="left"/>
      </w:pPr>
    </w:p>
    <w:p w:rsidR="00C87BF0" w:rsidRPr="00CA626D" w:rsidRDefault="00C87BF0" w:rsidP="00BA7F67">
      <w:pPr>
        <w:pStyle w:val="Heading2"/>
        <w:rPr>
          <w:snapToGrid w:val="0"/>
          <w:lang w:eastAsia="ja-JP"/>
        </w:rPr>
      </w:pPr>
      <w:bookmarkStart w:id="59" w:name="_Toc525647214"/>
      <w:bookmarkStart w:id="60" w:name="_Toc526175654"/>
      <w:bookmarkStart w:id="61" w:name="_Toc69722875"/>
      <w:bookmarkStart w:id="62" w:name="_Toc84364036"/>
      <w:bookmarkStart w:id="63" w:name="_Toc84415952"/>
      <w:bookmarkStart w:id="64" w:name="_Toc86170168"/>
      <w:r w:rsidRPr="00CA626D">
        <w:rPr>
          <w:snapToGrid w:val="0"/>
          <w:lang w:eastAsia="ja-JP"/>
        </w:rPr>
        <w:t>Cooperation between international organizations</w:t>
      </w:r>
      <w:bookmarkEnd w:id="59"/>
      <w:bookmarkEnd w:id="60"/>
      <w:bookmarkEnd w:id="61"/>
      <w:bookmarkEnd w:id="62"/>
      <w:bookmarkEnd w:id="63"/>
      <w:bookmarkEnd w:id="64"/>
    </w:p>
    <w:p w:rsidR="00C87BF0" w:rsidRPr="00C87BF0" w:rsidRDefault="00C87BF0" w:rsidP="00C87BF0">
      <w:pPr>
        <w:keepNext/>
        <w:jc w:val="left"/>
      </w:pPr>
    </w:p>
    <w:p w:rsidR="00C87BF0" w:rsidRPr="00CA626D" w:rsidRDefault="00C87BF0" w:rsidP="00BA7F67">
      <w:pPr>
        <w:pStyle w:val="Heading3"/>
      </w:pPr>
      <w:bookmarkStart w:id="65" w:name="_Toc14980929"/>
      <w:bookmarkStart w:id="66" w:name="_Toc15059500"/>
      <w:bookmarkStart w:id="67" w:name="_Toc15295345"/>
      <w:bookmarkStart w:id="68" w:name="_Toc22564624"/>
      <w:bookmarkStart w:id="69" w:name="_Toc27663378"/>
      <w:bookmarkStart w:id="70" w:name="_Toc69722878"/>
      <w:bookmarkStart w:id="71" w:name="_Toc84364038"/>
      <w:bookmarkStart w:id="72" w:name="_Toc84415953"/>
      <w:bookmarkStart w:id="73" w:name="_Toc86170169"/>
      <w:r w:rsidRPr="00CA626D">
        <w:t xml:space="preserve">Lists of possible joint initiatives with OECD and </w:t>
      </w:r>
      <w:proofErr w:type="spellStart"/>
      <w:r w:rsidRPr="00CA626D">
        <w:t>ISTA</w:t>
      </w:r>
      <w:proofErr w:type="spellEnd"/>
      <w:r w:rsidRPr="00CA626D">
        <w:t xml:space="preserve"> in relation to molecular techniques</w:t>
      </w:r>
      <w:bookmarkEnd w:id="65"/>
      <w:bookmarkEnd w:id="66"/>
      <w:bookmarkEnd w:id="67"/>
      <w:bookmarkEnd w:id="68"/>
      <w:bookmarkEnd w:id="69"/>
      <w:bookmarkEnd w:id="70"/>
      <w:bookmarkEnd w:id="71"/>
      <w:bookmarkEnd w:id="72"/>
      <w:bookmarkEnd w:id="73"/>
    </w:p>
    <w:p w:rsidR="00C87BF0" w:rsidRPr="00C87BF0" w:rsidRDefault="00C87BF0" w:rsidP="00C87BF0">
      <w:pPr>
        <w:keepNext/>
        <w:jc w:val="left"/>
      </w:pPr>
    </w:p>
    <w:p w:rsidR="00C87BF0" w:rsidRPr="00C87BF0" w:rsidRDefault="00C87BF0" w:rsidP="00C87BF0">
      <w:pPr>
        <w:jc w:val="left"/>
      </w:pPr>
      <w:r w:rsidRPr="00C87BF0">
        <w:fldChar w:fldCharType="begin"/>
      </w:r>
      <w:r w:rsidRPr="00C87BF0">
        <w:instrText xml:space="preserve"> AUTONUM  </w:instrText>
      </w:r>
      <w:r w:rsidRPr="00C87BF0">
        <w:fldChar w:fldCharType="end"/>
      </w:r>
      <w:r w:rsidRPr="00C87BF0">
        <w:tab/>
        <w:t xml:space="preserve">The TC agreed to propose the following topics for a future joint </w:t>
      </w:r>
      <w:proofErr w:type="spellStart"/>
      <w:r w:rsidRPr="00C87BF0">
        <w:t>UPOV</w:t>
      </w:r>
      <w:proofErr w:type="spellEnd"/>
      <w:r w:rsidRPr="00C87BF0">
        <w:t>/OECD/</w:t>
      </w:r>
      <w:proofErr w:type="spellStart"/>
      <w:r w:rsidRPr="00C87BF0">
        <w:t>ISTA</w:t>
      </w:r>
      <w:proofErr w:type="spellEnd"/>
      <w:r w:rsidRPr="00C87BF0">
        <w:t xml:space="preserve"> workshop:</w:t>
      </w:r>
    </w:p>
    <w:p w:rsidR="00C87BF0" w:rsidRPr="00C87BF0" w:rsidRDefault="00C87BF0" w:rsidP="00C87BF0">
      <w:pPr>
        <w:jc w:val="left"/>
      </w:pPr>
    </w:p>
    <w:p w:rsidR="00C87BF0" w:rsidRPr="00C87BF0" w:rsidRDefault="00C87BF0" w:rsidP="00C87BF0">
      <w:pPr>
        <w:jc w:val="left"/>
      </w:pPr>
      <w:r w:rsidRPr="00C87BF0">
        <w:tab/>
        <w:t>(</w:t>
      </w:r>
      <w:proofErr w:type="spellStart"/>
      <w:r w:rsidRPr="00C87BF0">
        <w:t>i</w:t>
      </w:r>
      <w:proofErr w:type="spellEnd"/>
      <w:r w:rsidRPr="00C87BF0">
        <w:t>)</w:t>
      </w:r>
      <w:r w:rsidRPr="00C87BF0">
        <w:tab/>
      </w:r>
      <w:proofErr w:type="gramStart"/>
      <w:r w:rsidRPr="00C87BF0">
        <w:t>providing</w:t>
      </w:r>
      <w:proofErr w:type="gramEnd"/>
      <w:r w:rsidRPr="00C87BF0">
        <w:t xml:space="preserve"> information on the use of molecular techniques in each organization;</w:t>
      </w:r>
    </w:p>
    <w:p w:rsidR="00C87BF0" w:rsidRPr="00C87BF0" w:rsidRDefault="00C87BF0" w:rsidP="00C87BF0">
      <w:pPr>
        <w:jc w:val="left"/>
      </w:pPr>
      <w:r w:rsidRPr="00C87BF0">
        <w:tab/>
        <w:t>(ii)</w:t>
      </w:r>
      <w:r w:rsidRPr="00C87BF0">
        <w:tab/>
      </w:r>
      <w:proofErr w:type="gramStart"/>
      <w:r w:rsidRPr="00C87BF0">
        <w:t>procedure</w:t>
      </w:r>
      <w:proofErr w:type="gramEnd"/>
      <w:r w:rsidRPr="00C87BF0">
        <w:t xml:space="preserve"> for approval of biochemical and molecular methods in each organization; and</w:t>
      </w:r>
    </w:p>
    <w:p w:rsidR="00C87BF0" w:rsidRPr="00C87BF0" w:rsidRDefault="00C87BF0" w:rsidP="00C87BF0">
      <w:pPr>
        <w:jc w:val="left"/>
      </w:pPr>
      <w:r w:rsidRPr="00C87BF0">
        <w:tab/>
        <w:t>(iii)</w:t>
      </w:r>
      <w:r w:rsidRPr="00C87BF0">
        <w:tab/>
      </w:r>
      <w:proofErr w:type="gramStart"/>
      <w:r w:rsidRPr="00C87BF0">
        <w:t>possibilities</w:t>
      </w:r>
      <w:proofErr w:type="gramEnd"/>
      <w:r w:rsidRPr="00C87BF0">
        <w:t xml:space="preserve"> for harmonizing terms, definitions and methods between </w:t>
      </w:r>
      <w:proofErr w:type="spellStart"/>
      <w:r w:rsidRPr="00C87BF0">
        <w:t>UPOV</w:t>
      </w:r>
      <w:proofErr w:type="spellEnd"/>
      <w:r w:rsidRPr="00C87BF0">
        <w:t xml:space="preserve">, OECD and </w:t>
      </w:r>
      <w:proofErr w:type="spellStart"/>
      <w:r w:rsidRPr="00C87BF0">
        <w:t>ISTA</w:t>
      </w:r>
      <w:proofErr w:type="spellEnd"/>
      <w:r w:rsidRPr="00C87BF0">
        <w:t xml:space="preserve">. </w:t>
      </w:r>
    </w:p>
    <w:p w:rsidR="00C87BF0" w:rsidRPr="00C87BF0" w:rsidRDefault="00C87BF0" w:rsidP="00C87BF0">
      <w:pPr>
        <w:jc w:val="left"/>
      </w:pPr>
    </w:p>
    <w:p w:rsidR="00C87BF0" w:rsidRPr="00C87BF0" w:rsidRDefault="00C87BF0" w:rsidP="00C87BF0">
      <w:r w:rsidRPr="00C87BF0">
        <w:fldChar w:fldCharType="begin"/>
      </w:r>
      <w:r w:rsidRPr="00C87BF0">
        <w:instrText xml:space="preserve"> AUTONUM  </w:instrText>
      </w:r>
      <w:r w:rsidRPr="00C87BF0">
        <w:fldChar w:fldCharType="end"/>
      </w:r>
      <w:r w:rsidRPr="00C87BF0">
        <w:tab/>
        <w:t xml:space="preserve">The TC agreed to request the Office of the Union to contact OECD and </w:t>
      </w:r>
      <w:proofErr w:type="spellStart"/>
      <w:r w:rsidRPr="00C87BF0">
        <w:t>ISTA</w:t>
      </w:r>
      <w:proofErr w:type="spellEnd"/>
      <w:r w:rsidRPr="00C87BF0">
        <w:t xml:space="preserve"> to explore suitable dates for a future joint workshop, such as in conjunction with the first session on the </w:t>
      </w:r>
      <w:proofErr w:type="spellStart"/>
      <w:r w:rsidRPr="00C87BF0">
        <w:t>TWM</w:t>
      </w:r>
      <w:proofErr w:type="spellEnd"/>
      <w:r w:rsidRPr="00C87BF0">
        <w:t xml:space="preserve">, to </w:t>
      </w:r>
      <w:proofErr w:type="gramStart"/>
      <w:r w:rsidRPr="00C87BF0">
        <w:t>be held</w:t>
      </w:r>
      <w:proofErr w:type="gramEnd"/>
      <w:r w:rsidRPr="00C87BF0">
        <w:t xml:space="preserve"> in September 2022.</w:t>
      </w:r>
    </w:p>
    <w:p w:rsidR="00C87BF0" w:rsidRPr="00C87BF0" w:rsidRDefault="00C87BF0" w:rsidP="00C87BF0"/>
    <w:p w:rsidR="00C87BF0" w:rsidRPr="00C87BF0" w:rsidRDefault="00C87BF0" w:rsidP="00C87BF0">
      <w:r w:rsidRPr="00C87BF0">
        <w:fldChar w:fldCharType="begin"/>
      </w:r>
      <w:r w:rsidRPr="00C87BF0">
        <w:instrText xml:space="preserve"> AUTONUM  </w:instrText>
      </w:r>
      <w:r w:rsidRPr="00C87BF0">
        <w:fldChar w:fldCharType="end"/>
      </w:r>
      <w:r w:rsidRPr="00C87BF0">
        <w:tab/>
        <w:t>The TC agreed to continue the survey on the use of molecular markers to obtain information from a greater number of members and to investigate the reasons for members not responding to the first survey.</w:t>
      </w:r>
    </w:p>
    <w:p w:rsidR="00C87BF0" w:rsidRDefault="00C87BF0" w:rsidP="00C87BF0">
      <w:pPr>
        <w:jc w:val="left"/>
      </w:pPr>
    </w:p>
    <w:p w:rsidR="00D53FBB" w:rsidRPr="00C87BF0" w:rsidRDefault="00D53FBB" w:rsidP="00C87BF0">
      <w:pPr>
        <w:jc w:val="left"/>
      </w:pPr>
    </w:p>
    <w:p w:rsidR="00C87BF0" w:rsidRPr="00CA626D" w:rsidRDefault="00C87BF0" w:rsidP="00050E16"/>
    <w:p w:rsidR="00EF37B9" w:rsidRPr="00EF37B9" w:rsidRDefault="00EF37B9" w:rsidP="00BA7F67">
      <w:pPr>
        <w:pStyle w:val="Heading1"/>
      </w:pPr>
      <w:bookmarkStart w:id="74" w:name="_Toc86170170"/>
      <w:r w:rsidRPr="00EF37B9">
        <w:lastRenderedPageBreak/>
        <w:t xml:space="preserve">Increasing participation in the work of the TC and the </w:t>
      </w:r>
      <w:proofErr w:type="spellStart"/>
      <w:r w:rsidRPr="00EF37B9">
        <w:t>TWPs</w:t>
      </w:r>
      <w:bookmarkEnd w:id="74"/>
      <w:proofErr w:type="spellEnd"/>
    </w:p>
    <w:p w:rsidR="00EF37B9" w:rsidRPr="00EF37B9" w:rsidRDefault="00EF37B9" w:rsidP="00EF37B9">
      <w:pPr>
        <w:keepNext/>
        <w:jc w:val="left"/>
      </w:pPr>
    </w:p>
    <w:p w:rsidR="00EF37B9" w:rsidRPr="00EF37B9" w:rsidRDefault="00EF37B9" w:rsidP="00EF37B9">
      <w:pPr>
        <w:jc w:val="left"/>
      </w:pPr>
      <w:r w:rsidRPr="00EF37B9">
        <w:fldChar w:fldCharType="begin"/>
      </w:r>
      <w:r w:rsidRPr="00EF37B9">
        <w:instrText xml:space="preserve"> AUTONUM  </w:instrText>
      </w:r>
      <w:r w:rsidRPr="00EF37B9">
        <w:fldChar w:fldCharType="end"/>
      </w:r>
      <w:r w:rsidRPr="00EF37B9">
        <w:tab/>
        <w:t>The TC considered document TC/57/10</w:t>
      </w:r>
      <w:r>
        <w:t xml:space="preserve"> (</w:t>
      </w:r>
      <w:r w:rsidRPr="00CA626D">
        <w:rPr>
          <w:spacing w:val="-2"/>
        </w:rPr>
        <w:t xml:space="preserve">see document TC/57/25 “Report”, paragraphs </w:t>
      </w:r>
      <w:r>
        <w:rPr>
          <w:spacing w:val="-2"/>
        </w:rPr>
        <w:t>61</w:t>
      </w:r>
      <w:r w:rsidRPr="00CA626D">
        <w:rPr>
          <w:spacing w:val="-2"/>
        </w:rPr>
        <w:t xml:space="preserve"> to </w:t>
      </w:r>
      <w:r>
        <w:rPr>
          <w:spacing w:val="-2"/>
        </w:rPr>
        <w:t>66</w:t>
      </w:r>
      <w:r w:rsidRPr="00CA626D">
        <w:rPr>
          <w:spacing w:val="-2"/>
        </w:rPr>
        <w:t>)</w:t>
      </w:r>
      <w:r w:rsidRPr="00EF37B9">
        <w:t>.</w:t>
      </w:r>
    </w:p>
    <w:p w:rsidR="00EF37B9" w:rsidRDefault="00EF37B9" w:rsidP="00EF37B9">
      <w:pPr>
        <w:jc w:val="left"/>
      </w:pPr>
    </w:p>
    <w:p w:rsidR="00D53FBB" w:rsidRPr="00EF37B9" w:rsidRDefault="00D53FBB" w:rsidP="00EF37B9">
      <w:pPr>
        <w:jc w:val="left"/>
      </w:pPr>
    </w:p>
    <w:p w:rsidR="00EF37B9" w:rsidRPr="00EF37B9" w:rsidRDefault="00EF37B9" w:rsidP="00BA7F67">
      <w:pPr>
        <w:pStyle w:val="Heading2"/>
        <w:rPr>
          <w:snapToGrid w:val="0"/>
        </w:rPr>
      </w:pPr>
      <w:bookmarkStart w:id="75" w:name="_Toc84594393"/>
      <w:bookmarkStart w:id="76" w:name="_Toc86170171"/>
      <w:r w:rsidRPr="00EF37B9">
        <w:rPr>
          <w:snapToGrid w:val="0"/>
        </w:rPr>
        <w:t xml:space="preserve">Participation at the TC and </w:t>
      </w:r>
      <w:proofErr w:type="spellStart"/>
      <w:r w:rsidRPr="00EF37B9">
        <w:rPr>
          <w:snapToGrid w:val="0"/>
        </w:rPr>
        <w:t>TWP</w:t>
      </w:r>
      <w:proofErr w:type="spellEnd"/>
      <w:r w:rsidRPr="00EF37B9">
        <w:rPr>
          <w:snapToGrid w:val="0"/>
        </w:rPr>
        <w:t xml:space="preserve"> meetings by electronic means</w:t>
      </w:r>
      <w:bookmarkEnd w:id="75"/>
      <w:bookmarkEnd w:id="76"/>
    </w:p>
    <w:p w:rsidR="00EF37B9" w:rsidRPr="00EF37B9" w:rsidRDefault="00EF37B9" w:rsidP="00EF37B9">
      <w:pPr>
        <w:keepNext/>
        <w:jc w:val="left"/>
      </w:pPr>
    </w:p>
    <w:p w:rsidR="00EF37B9" w:rsidRPr="00EF37B9" w:rsidRDefault="00EF37B9" w:rsidP="00EF37B9">
      <w:r w:rsidRPr="00EF37B9">
        <w:fldChar w:fldCharType="begin"/>
      </w:r>
      <w:r w:rsidRPr="00EF37B9">
        <w:instrText xml:space="preserve"> AUTONUM  </w:instrText>
      </w:r>
      <w:r w:rsidRPr="00EF37B9">
        <w:fldChar w:fldCharType="end"/>
      </w:r>
      <w:r w:rsidRPr="00EF37B9">
        <w:tab/>
        <w:t xml:space="preserve">The TC noted the participation at the </w:t>
      </w:r>
      <w:proofErr w:type="spellStart"/>
      <w:r w:rsidRPr="00EF37B9">
        <w:t>TWP</w:t>
      </w:r>
      <w:proofErr w:type="spellEnd"/>
      <w:r w:rsidRPr="00EF37B9">
        <w:t xml:space="preserve"> sessions in 2021, as presented in Annex I to document TC/57/10.</w:t>
      </w:r>
    </w:p>
    <w:p w:rsidR="00EF37B9" w:rsidRDefault="00EF37B9" w:rsidP="00EF37B9"/>
    <w:p w:rsidR="00D53FBB" w:rsidRPr="00EF37B9" w:rsidRDefault="00D53FBB" w:rsidP="00EF37B9"/>
    <w:p w:rsidR="00EF37B9" w:rsidRPr="00EF37B9" w:rsidRDefault="00EF37B9" w:rsidP="00BA7F67">
      <w:pPr>
        <w:pStyle w:val="Heading2"/>
        <w:rPr>
          <w:snapToGrid w:val="0"/>
        </w:rPr>
      </w:pPr>
      <w:bookmarkStart w:id="77" w:name="_Toc84594394"/>
      <w:bookmarkStart w:id="78" w:name="_Toc86170172"/>
      <w:r w:rsidRPr="00EF37B9">
        <w:rPr>
          <w:snapToGrid w:val="0"/>
        </w:rPr>
        <w:t xml:space="preserve">Possible measures for physical and virtual participation at </w:t>
      </w:r>
      <w:proofErr w:type="spellStart"/>
      <w:r w:rsidRPr="00EF37B9">
        <w:rPr>
          <w:snapToGrid w:val="0"/>
        </w:rPr>
        <w:t>TWP</w:t>
      </w:r>
      <w:proofErr w:type="spellEnd"/>
      <w:r w:rsidRPr="00EF37B9">
        <w:rPr>
          <w:snapToGrid w:val="0"/>
        </w:rPr>
        <w:t xml:space="preserve"> meetings</w:t>
      </w:r>
      <w:bookmarkEnd w:id="77"/>
      <w:bookmarkEnd w:id="78"/>
    </w:p>
    <w:p w:rsidR="00EF37B9" w:rsidRPr="00EF37B9" w:rsidRDefault="00EF37B9" w:rsidP="00EF37B9">
      <w:pPr>
        <w:keepNext/>
      </w:pPr>
    </w:p>
    <w:p w:rsidR="00EF37B9" w:rsidRPr="00EF37B9" w:rsidRDefault="00EF37B9" w:rsidP="00EF37B9">
      <w:r w:rsidRPr="00EF37B9">
        <w:fldChar w:fldCharType="begin"/>
      </w:r>
      <w:r w:rsidRPr="00EF37B9">
        <w:instrText xml:space="preserve"> AUTONUM  </w:instrText>
      </w:r>
      <w:r w:rsidRPr="00EF37B9">
        <w:fldChar w:fldCharType="end"/>
      </w:r>
      <w:r w:rsidRPr="00EF37B9">
        <w:tab/>
        <w:t xml:space="preserve">The TC noted the comments by the </w:t>
      </w:r>
      <w:proofErr w:type="spellStart"/>
      <w:r w:rsidRPr="00EF37B9">
        <w:t>TWPs</w:t>
      </w:r>
      <w:proofErr w:type="spellEnd"/>
      <w:r w:rsidRPr="00EF37B9">
        <w:t xml:space="preserve">, at their sessions in 2021, on possible measures for physical and virtual participation at </w:t>
      </w:r>
      <w:proofErr w:type="spellStart"/>
      <w:r w:rsidRPr="00EF37B9">
        <w:t>TWP</w:t>
      </w:r>
      <w:proofErr w:type="spellEnd"/>
      <w:r w:rsidRPr="00EF37B9">
        <w:t xml:space="preserve"> meetings, as presented in Annex II to document TC/57/10.</w:t>
      </w:r>
    </w:p>
    <w:p w:rsidR="00EF37B9" w:rsidRDefault="00EF37B9" w:rsidP="00EF37B9"/>
    <w:p w:rsidR="00D53FBB" w:rsidRPr="00EF37B9" w:rsidRDefault="00D53FBB" w:rsidP="00EF37B9"/>
    <w:p w:rsidR="00EF37B9" w:rsidRPr="00EF37B9" w:rsidRDefault="00EF37B9" w:rsidP="00BA7F67">
      <w:pPr>
        <w:pStyle w:val="Heading2"/>
        <w:rPr>
          <w:snapToGrid w:val="0"/>
        </w:rPr>
      </w:pPr>
      <w:bookmarkStart w:id="79" w:name="_Toc52462068"/>
      <w:bookmarkStart w:id="80" w:name="_Toc84594395"/>
      <w:bookmarkStart w:id="81" w:name="_Toc86170173"/>
      <w:r w:rsidRPr="00EF37B9">
        <w:rPr>
          <w:snapToGrid w:val="0"/>
        </w:rPr>
        <w:t>Proposals for increasing participation in the work of the Technical Working Parties</w:t>
      </w:r>
      <w:bookmarkEnd w:id="79"/>
      <w:bookmarkEnd w:id="80"/>
      <w:bookmarkEnd w:id="81"/>
    </w:p>
    <w:p w:rsidR="00EF37B9" w:rsidRPr="00EF37B9" w:rsidRDefault="00EF37B9" w:rsidP="00EF37B9">
      <w:pPr>
        <w:keepNext/>
      </w:pPr>
    </w:p>
    <w:p w:rsidR="00EF37B9" w:rsidRPr="00EF37B9" w:rsidRDefault="00EF37B9" w:rsidP="00EF37B9">
      <w:r w:rsidRPr="00EF37B9">
        <w:fldChar w:fldCharType="begin"/>
      </w:r>
      <w:r w:rsidRPr="00EF37B9">
        <w:instrText xml:space="preserve"> AUTONUM  </w:instrText>
      </w:r>
      <w:r w:rsidRPr="00EF37B9">
        <w:fldChar w:fldCharType="end"/>
      </w:r>
      <w:r w:rsidRPr="00EF37B9">
        <w:tab/>
        <w:t xml:space="preserve">The TC agreed the following measures for physical and virtual participation at </w:t>
      </w:r>
      <w:proofErr w:type="spellStart"/>
      <w:r w:rsidRPr="00EF37B9">
        <w:t>TWP</w:t>
      </w:r>
      <w:proofErr w:type="spellEnd"/>
      <w:r w:rsidRPr="00EF37B9">
        <w:t xml:space="preserve"> meetings, as set out in paragraphs 11 to 13 of document TC/57/10:</w:t>
      </w:r>
    </w:p>
    <w:p w:rsidR="00EF37B9" w:rsidRPr="00EF37B9" w:rsidRDefault="00EF37B9" w:rsidP="00EF37B9">
      <w:pPr>
        <w:tabs>
          <w:tab w:val="left" w:pos="864"/>
        </w:tabs>
      </w:pPr>
    </w:p>
    <w:p w:rsidR="00EF37B9" w:rsidRPr="00EF37B9" w:rsidRDefault="00EF37B9" w:rsidP="00EF37B9">
      <w:pPr>
        <w:keepNext/>
        <w:ind w:left="567"/>
        <w:outlineLvl w:val="3"/>
        <w:rPr>
          <w:u w:val="single"/>
        </w:rPr>
      </w:pPr>
      <w:bookmarkStart w:id="82" w:name="_Toc84594396"/>
      <w:bookmarkStart w:id="83" w:name="_Toc86153827"/>
      <w:bookmarkStart w:id="84" w:name="_Toc86158656"/>
      <w:bookmarkStart w:id="85" w:name="_Toc86162704"/>
      <w:bookmarkStart w:id="86" w:name="_Toc86170174"/>
      <w:r w:rsidRPr="00EF37B9">
        <w:rPr>
          <w:u w:val="single"/>
        </w:rPr>
        <w:t>(a)</w:t>
      </w:r>
      <w:r w:rsidRPr="00EF37B9">
        <w:rPr>
          <w:u w:val="single"/>
        </w:rPr>
        <w:tab/>
        <w:t xml:space="preserve">Virtual preparatory workshops prior to the </w:t>
      </w:r>
      <w:proofErr w:type="spellStart"/>
      <w:r w:rsidRPr="00EF37B9">
        <w:rPr>
          <w:u w:val="single"/>
        </w:rPr>
        <w:t>TWPs</w:t>
      </w:r>
      <w:bookmarkEnd w:id="82"/>
      <w:bookmarkEnd w:id="83"/>
      <w:bookmarkEnd w:id="84"/>
      <w:bookmarkEnd w:id="85"/>
      <w:bookmarkEnd w:id="86"/>
      <w:proofErr w:type="spellEnd"/>
    </w:p>
    <w:p w:rsidR="00EF37B9" w:rsidRPr="00EF37B9" w:rsidRDefault="00EF37B9" w:rsidP="00EF37B9">
      <w:pPr>
        <w:keepNext/>
        <w:tabs>
          <w:tab w:val="left" w:pos="567"/>
        </w:tabs>
      </w:pPr>
    </w:p>
    <w:p w:rsidR="00EF37B9" w:rsidRPr="00EF37B9" w:rsidRDefault="00EF37B9" w:rsidP="00EF37B9">
      <w:pPr>
        <w:keepNext/>
        <w:numPr>
          <w:ilvl w:val="0"/>
          <w:numId w:val="6"/>
        </w:numPr>
        <w:contextualSpacing/>
        <w:rPr>
          <w:rFonts w:cs="Arial"/>
          <w:snapToGrid w:val="0"/>
        </w:rPr>
      </w:pPr>
      <w:r w:rsidRPr="00EF37B9">
        <w:rPr>
          <w:rFonts w:cs="Arial"/>
          <w:snapToGrid w:val="0"/>
        </w:rPr>
        <w:t xml:space="preserve">The virtual preparatory workshops </w:t>
      </w:r>
      <w:proofErr w:type="gramStart"/>
      <w:r w:rsidRPr="00EF37B9">
        <w:rPr>
          <w:rFonts w:cs="Arial"/>
          <w:snapToGrid w:val="0"/>
        </w:rPr>
        <w:t>would be organized</w:t>
      </w:r>
      <w:proofErr w:type="gramEnd"/>
      <w:r w:rsidRPr="00EF37B9">
        <w:rPr>
          <w:rFonts w:cs="Arial"/>
          <w:snapToGrid w:val="0"/>
        </w:rPr>
        <w:t xml:space="preserve"> as a series of webinars.</w:t>
      </w:r>
    </w:p>
    <w:p w:rsidR="00EF37B9" w:rsidRPr="00EF37B9" w:rsidRDefault="00EF37B9" w:rsidP="00EF37B9">
      <w:pPr>
        <w:rPr>
          <w:snapToGrid w:val="0"/>
        </w:rPr>
      </w:pPr>
    </w:p>
    <w:p w:rsidR="00EF37B9" w:rsidRPr="00EF37B9" w:rsidRDefault="00EF37B9" w:rsidP="00EF37B9">
      <w:pPr>
        <w:numPr>
          <w:ilvl w:val="0"/>
          <w:numId w:val="2"/>
        </w:numPr>
        <w:contextualSpacing/>
        <w:rPr>
          <w:rFonts w:cs="Arial"/>
          <w:snapToGrid w:val="0"/>
        </w:rPr>
      </w:pPr>
      <w:r w:rsidRPr="00EF37B9">
        <w:rPr>
          <w:rFonts w:cs="Arial"/>
          <w:snapToGrid w:val="0"/>
        </w:rPr>
        <w:t xml:space="preserve">The </w:t>
      </w:r>
      <w:proofErr w:type="gramStart"/>
      <w:r w:rsidRPr="00EF37B9">
        <w:rPr>
          <w:rFonts w:cs="Arial"/>
          <w:snapToGrid w:val="0"/>
        </w:rPr>
        <w:t>content of the virtual preparatory workshops would be agreed by the TC under agenda item “Preparatory Workshops”</w:t>
      </w:r>
      <w:proofErr w:type="gramEnd"/>
      <w:r w:rsidRPr="00EF37B9">
        <w:rPr>
          <w:rFonts w:cs="Arial"/>
          <w:snapToGrid w:val="0"/>
        </w:rPr>
        <w:t>.</w:t>
      </w:r>
    </w:p>
    <w:p w:rsidR="00EF37B9" w:rsidRPr="00EF37B9" w:rsidRDefault="00EF37B9" w:rsidP="00EF37B9">
      <w:pPr>
        <w:ind w:left="720"/>
        <w:contextualSpacing/>
        <w:rPr>
          <w:rFonts w:cs="Arial"/>
          <w:snapToGrid w:val="0"/>
        </w:rPr>
      </w:pPr>
    </w:p>
    <w:p w:rsidR="00EF37B9" w:rsidRPr="00EF37B9" w:rsidRDefault="00EF37B9" w:rsidP="00EF37B9">
      <w:pPr>
        <w:numPr>
          <w:ilvl w:val="0"/>
          <w:numId w:val="2"/>
        </w:numPr>
        <w:contextualSpacing/>
        <w:rPr>
          <w:rFonts w:cs="Arial"/>
          <w:snapToGrid w:val="0"/>
        </w:rPr>
      </w:pPr>
      <w:r w:rsidRPr="00EF37B9">
        <w:rPr>
          <w:rFonts w:cs="Arial"/>
          <w:snapToGrid w:val="0"/>
        </w:rPr>
        <w:t xml:space="preserve">The content </w:t>
      </w:r>
      <w:proofErr w:type="gramStart"/>
      <w:r w:rsidRPr="00EF37B9">
        <w:rPr>
          <w:rFonts w:cs="Arial"/>
          <w:snapToGrid w:val="0"/>
        </w:rPr>
        <w:t>would be organized</w:t>
      </w:r>
      <w:proofErr w:type="gramEnd"/>
      <w:r w:rsidRPr="00EF37B9">
        <w:rPr>
          <w:rFonts w:cs="Arial"/>
          <w:snapToGrid w:val="0"/>
        </w:rPr>
        <w:t xml:space="preserve"> according to themes (e.g. drafting of Test Guidelines, molecular techniques in </w:t>
      </w:r>
      <w:proofErr w:type="spellStart"/>
      <w:r w:rsidRPr="00EF37B9">
        <w:rPr>
          <w:rFonts w:cs="Arial"/>
          <w:snapToGrid w:val="0"/>
        </w:rPr>
        <w:t>DUS</w:t>
      </w:r>
      <w:proofErr w:type="spellEnd"/>
      <w:r w:rsidRPr="00EF37B9">
        <w:rPr>
          <w:rFonts w:cs="Arial"/>
          <w:snapToGrid w:val="0"/>
        </w:rPr>
        <w:t xml:space="preserve"> testing, </w:t>
      </w:r>
      <w:proofErr w:type="spellStart"/>
      <w:r w:rsidRPr="00EF37B9">
        <w:rPr>
          <w:rFonts w:cs="Arial"/>
          <w:snapToGrid w:val="0"/>
        </w:rPr>
        <w:t>DUS</w:t>
      </w:r>
      <w:proofErr w:type="spellEnd"/>
      <w:r w:rsidRPr="00EF37B9">
        <w:rPr>
          <w:rFonts w:cs="Arial"/>
          <w:snapToGrid w:val="0"/>
        </w:rPr>
        <w:t xml:space="preserve"> testing methods, image analysis).</w:t>
      </w:r>
    </w:p>
    <w:p w:rsidR="00EF37B9" w:rsidRPr="00EF37B9" w:rsidRDefault="00EF37B9" w:rsidP="00EF37B9">
      <w:pPr>
        <w:ind w:left="720"/>
        <w:contextualSpacing/>
        <w:rPr>
          <w:rFonts w:cs="Arial"/>
          <w:snapToGrid w:val="0"/>
        </w:rPr>
      </w:pPr>
    </w:p>
    <w:p w:rsidR="00EF37B9" w:rsidRPr="00EF37B9" w:rsidRDefault="00EF37B9" w:rsidP="00EF37B9">
      <w:pPr>
        <w:numPr>
          <w:ilvl w:val="0"/>
          <w:numId w:val="2"/>
        </w:numPr>
        <w:contextualSpacing/>
        <w:rPr>
          <w:rFonts w:cs="Arial"/>
          <w:snapToGrid w:val="0"/>
        </w:rPr>
      </w:pPr>
      <w:proofErr w:type="gramStart"/>
      <w:r w:rsidRPr="00EF37B9">
        <w:rPr>
          <w:rFonts w:cs="Arial"/>
          <w:snapToGrid w:val="0"/>
        </w:rPr>
        <w:t xml:space="preserve">Arrangements for the webinars would be finalized by the Office of the Union in coordination with the chairpersons of the TC and </w:t>
      </w:r>
      <w:proofErr w:type="spellStart"/>
      <w:r w:rsidRPr="00EF37B9">
        <w:rPr>
          <w:rFonts w:cs="Arial"/>
          <w:snapToGrid w:val="0"/>
        </w:rPr>
        <w:t>TWPs</w:t>
      </w:r>
      <w:proofErr w:type="spellEnd"/>
      <w:r w:rsidRPr="00EF37B9">
        <w:rPr>
          <w:rFonts w:cs="Arial"/>
          <w:snapToGrid w:val="0"/>
        </w:rPr>
        <w:t xml:space="preserve"> (e.g. dates, number of webinars required to cover content, speakers and panelists)</w:t>
      </w:r>
      <w:proofErr w:type="gramEnd"/>
      <w:r w:rsidRPr="00EF37B9">
        <w:rPr>
          <w:rFonts w:cs="Arial"/>
          <w:snapToGrid w:val="0"/>
        </w:rPr>
        <w:t>.</w:t>
      </w:r>
    </w:p>
    <w:p w:rsidR="00EF37B9" w:rsidRPr="00EF37B9" w:rsidRDefault="00EF37B9" w:rsidP="00EF37B9">
      <w:pPr>
        <w:ind w:left="720"/>
        <w:contextualSpacing/>
        <w:rPr>
          <w:rFonts w:cs="Arial"/>
          <w:snapToGrid w:val="0"/>
        </w:rPr>
      </w:pPr>
    </w:p>
    <w:p w:rsidR="00EF37B9" w:rsidRPr="00EF37B9" w:rsidRDefault="00EF37B9" w:rsidP="00EF37B9">
      <w:pPr>
        <w:numPr>
          <w:ilvl w:val="0"/>
          <w:numId w:val="2"/>
        </w:numPr>
        <w:contextualSpacing/>
        <w:rPr>
          <w:rFonts w:cs="Arial"/>
          <w:snapToGrid w:val="0"/>
        </w:rPr>
      </w:pPr>
      <w:r w:rsidRPr="00EF37B9">
        <w:rPr>
          <w:rFonts w:cs="Arial"/>
          <w:snapToGrid w:val="0"/>
        </w:rPr>
        <w:t xml:space="preserve">The virtual preparatory workshops would replace the preparatory workshops held before each individual TWP.  The series of webinars would open for experts from all </w:t>
      </w:r>
      <w:proofErr w:type="spellStart"/>
      <w:r w:rsidRPr="00EF37B9">
        <w:rPr>
          <w:rFonts w:cs="Arial"/>
          <w:snapToGrid w:val="0"/>
        </w:rPr>
        <w:t>TWPs.</w:t>
      </w:r>
      <w:proofErr w:type="spellEnd"/>
    </w:p>
    <w:p w:rsidR="00EF37B9" w:rsidRPr="00EF37B9" w:rsidRDefault="00EF37B9" w:rsidP="00EF37B9">
      <w:pPr>
        <w:ind w:left="720"/>
        <w:contextualSpacing/>
        <w:rPr>
          <w:rFonts w:cs="Arial"/>
          <w:snapToGrid w:val="0"/>
        </w:rPr>
      </w:pPr>
    </w:p>
    <w:p w:rsidR="00EF37B9" w:rsidRPr="00EF37B9" w:rsidRDefault="00EF37B9" w:rsidP="00EF37B9">
      <w:pPr>
        <w:keepNext/>
        <w:numPr>
          <w:ilvl w:val="0"/>
          <w:numId w:val="2"/>
        </w:numPr>
        <w:contextualSpacing/>
        <w:rPr>
          <w:rFonts w:cs="Arial"/>
          <w:snapToGrid w:val="0"/>
        </w:rPr>
      </w:pPr>
      <w:r w:rsidRPr="00EF37B9">
        <w:rPr>
          <w:rFonts w:cs="Arial"/>
          <w:snapToGrid w:val="0"/>
        </w:rPr>
        <w:t xml:space="preserve">The webinars </w:t>
      </w:r>
      <w:proofErr w:type="gramStart"/>
      <w:r w:rsidRPr="00EF37B9">
        <w:rPr>
          <w:rFonts w:cs="Arial"/>
          <w:snapToGrid w:val="0"/>
        </w:rPr>
        <w:t>would be recorded and maintained online until replaced by an updated version</w:t>
      </w:r>
      <w:proofErr w:type="gramEnd"/>
      <w:r w:rsidRPr="00EF37B9">
        <w:rPr>
          <w:rFonts w:cs="Arial"/>
          <w:snapToGrid w:val="0"/>
        </w:rPr>
        <w:t xml:space="preserve">.  The Office of the Union would organize a webpage to host the videos (e.g. </w:t>
      </w:r>
      <w:proofErr w:type="spellStart"/>
      <w:r w:rsidRPr="00EF37B9">
        <w:rPr>
          <w:rFonts w:cs="Arial"/>
          <w:snapToGrid w:val="0"/>
        </w:rPr>
        <w:t>UPOV</w:t>
      </w:r>
      <w:proofErr w:type="spellEnd"/>
      <w:r w:rsidRPr="00EF37B9">
        <w:rPr>
          <w:rFonts w:cs="Arial"/>
          <w:snapToGrid w:val="0"/>
        </w:rPr>
        <w:t xml:space="preserve"> YouTube channel).</w:t>
      </w:r>
    </w:p>
    <w:p w:rsidR="00EF37B9" w:rsidRPr="00EF37B9" w:rsidRDefault="00EF37B9" w:rsidP="00EF37B9">
      <w:pPr>
        <w:jc w:val="center"/>
        <w:rPr>
          <w:rFonts w:cs="Arial"/>
          <w:snapToGrid w:val="0"/>
        </w:rPr>
      </w:pPr>
    </w:p>
    <w:p w:rsidR="00EF37B9" w:rsidRPr="00EF37B9" w:rsidRDefault="00EF37B9" w:rsidP="00EF37B9">
      <w:pPr>
        <w:keepNext/>
        <w:ind w:left="567"/>
        <w:outlineLvl w:val="3"/>
        <w:rPr>
          <w:u w:val="single"/>
        </w:rPr>
      </w:pPr>
      <w:bookmarkStart w:id="87" w:name="_Toc84594397"/>
      <w:bookmarkStart w:id="88" w:name="_Toc86153828"/>
      <w:bookmarkStart w:id="89" w:name="_Toc86158657"/>
      <w:bookmarkStart w:id="90" w:name="_Toc86162705"/>
      <w:bookmarkStart w:id="91" w:name="_Toc86170175"/>
      <w:r w:rsidRPr="00EF37B9">
        <w:rPr>
          <w:u w:val="single"/>
        </w:rPr>
        <w:t>(b)</w:t>
      </w:r>
      <w:r w:rsidRPr="00EF37B9">
        <w:rPr>
          <w:u w:val="single"/>
        </w:rPr>
        <w:tab/>
        <w:t xml:space="preserve">Comments and questions on </w:t>
      </w:r>
      <w:proofErr w:type="spellStart"/>
      <w:r w:rsidRPr="00EF37B9">
        <w:rPr>
          <w:u w:val="single"/>
        </w:rPr>
        <w:t>TWP</w:t>
      </w:r>
      <w:proofErr w:type="spellEnd"/>
      <w:r w:rsidRPr="00EF37B9">
        <w:rPr>
          <w:u w:val="single"/>
        </w:rPr>
        <w:t xml:space="preserve"> meeting documents to </w:t>
      </w:r>
      <w:proofErr w:type="gramStart"/>
      <w:r w:rsidRPr="00EF37B9">
        <w:rPr>
          <w:u w:val="single"/>
        </w:rPr>
        <w:t>be provided</w:t>
      </w:r>
      <w:proofErr w:type="gramEnd"/>
      <w:r w:rsidRPr="00EF37B9">
        <w:rPr>
          <w:u w:val="single"/>
        </w:rPr>
        <w:t xml:space="preserve"> in advance of the sessions</w:t>
      </w:r>
      <w:bookmarkEnd w:id="87"/>
      <w:bookmarkEnd w:id="88"/>
      <w:bookmarkEnd w:id="89"/>
      <w:bookmarkEnd w:id="90"/>
      <w:bookmarkEnd w:id="91"/>
    </w:p>
    <w:p w:rsidR="00EF37B9" w:rsidRPr="00EF37B9" w:rsidRDefault="00EF37B9" w:rsidP="00EF37B9">
      <w:pPr>
        <w:rPr>
          <w:rFonts w:cs="Arial"/>
          <w:snapToGrid w:val="0"/>
        </w:rPr>
      </w:pPr>
    </w:p>
    <w:p w:rsidR="00EF37B9" w:rsidRPr="00EF37B9" w:rsidRDefault="00EF37B9" w:rsidP="00EF37B9">
      <w:pPr>
        <w:numPr>
          <w:ilvl w:val="0"/>
          <w:numId w:val="7"/>
        </w:numPr>
        <w:contextualSpacing/>
        <w:rPr>
          <w:rFonts w:cs="Arial"/>
          <w:snapToGrid w:val="0"/>
        </w:rPr>
      </w:pPr>
      <w:r w:rsidRPr="00EF37B9">
        <w:rPr>
          <w:rFonts w:cs="Arial"/>
          <w:snapToGrid w:val="0"/>
        </w:rPr>
        <w:t xml:space="preserve">Participants </w:t>
      </w:r>
      <w:proofErr w:type="gramStart"/>
      <w:r w:rsidRPr="00EF37B9">
        <w:rPr>
          <w:rFonts w:cs="Arial"/>
          <w:snapToGrid w:val="0"/>
        </w:rPr>
        <w:t>would be invited</w:t>
      </w:r>
      <w:proofErr w:type="gramEnd"/>
      <w:r w:rsidRPr="00EF37B9">
        <w:rPr>
          <w:rFonts w:cs="Arial"/>
          <w:snapToGrid w:val="0"/>
        </w:rPr>
        <w:t xml:space="preserve"> to provide written comments on meeting documents in advance of the sessions, in the same way as in 2020 and 2021.</w:t>
      </w:r>
    </w:p>
    <w:p w:rsidR="00EF37B9" w:rsidRPr="00EF37B9" w:rsidRDefault="00EF37B9" w:rsidP="00EF37B9">
      <w:pPr>
        <w:rPr>
          <w:rFonts w:cs="Arial"/>
          <w:snapToGrid w:val="0"/>
        </w:rPr>
      </w:pPr>
    </w:p>
    <w:p w:rsidR="00EF37B9" w:rsidRPr="00EF37B9" w:rsidRDefault="00EF37B9" w:rsidP="00EF37B9">
      <w:pPr>
        <w:numPr>
          <w:ilvl w:val="0"/>
          <w:numId w:val="5"/>
        </w:numPr>
        <w:contextualSpacing/>
        <w:rPr>
          <w:rFonts w:cs="Arial"/>
          <w:snapToGrid w:val="0"/>
        </w:rPr>
      </w:pPr>
      <w:r w:rsidRPr="00EF37B9">
        <w:rPr>
          <w:rFonts w:cs="Arial"/>
          <w:snapToGrid w:val="0"/>
        </w:rPr>
        <w:t xml:space="preserve">The compilation of written comments </w:t>
      </w:r>
      <w:proofErr w:type="gramStart"/>
      <w:r w:rsidRPr="00EF37B9">
        <w:rPr>
          <w:rFonts w:cs="Arial"/>
          <w:snapToGrid w:val="0"/>
        </w:rPr>
        <w:t>would be circulated</w:t>
      </w:r>
      <w:proofErr w:type="gramEnd"/>
      <w:r w:rsidRPr="00EF37B9">
        <w:rPr>
          <w:rFonts w:cs="Arial"/>
          <w:snapToGrid w:val="0"/>
        </w:rPr>
        <w:t xml:space="preserve"> to registered participants one week prior to the session.</w:t>
      </w:r>
    </w:p>
    <w:p w:rsidR="00EF37B9" w:rsidRPr="00EF37B9" w:rsidRDefault="00EF37B9" w:rsidP="00EF37B9">
      <w:pPr>
        <w:rPr>
          <w:rFonts w:cs="Arial"/>
          <w:snapToGrid w:val="0"/>
        </w:rPr>
      </w:pPr>
    </w:p>
    <w:p w:rsidR="00EF37B9" w:rsidRPr="00EF37B9" w:rsidRDefault="00EF37B9" w:rsidP="00EF37B9">
      <w:pPr>
        <w:numPr>
          <w:ilvl w:val="0"/>
          <w:numId w:val="5"/>
        </w:numPr>
        <w:contextualSpacing/>
        <w:rPr>
          <w:rFonts w:cs="Arial"/>
          <w:snapToGrid w:val="0"/>
        </w:rPr>
      </w:pPr>
      <w:r w:rsidRPr="00EF37B9">
        <w:rPr>
          <w:rFonts w:cs="Arial"/>
          <w:snapToGrid w:val="0"/>
        </w:rPr>
        <w:t>Comments received in advance would be included in the discussions on the respective agenda item during the session.</w:t>
      </w:r>
    </w:p>
    <w:p w:rsidR="00EF37B9" w:rsidRPr="00EF37B9" w:rsidRDefault="00EF37B9" w:rsidP="00EF37B9">
      <w:pPr>
        <w:rPr>
          <w:snapToGrid w:val="0"/>
        </w:rPr>
      </w:pPr>
    </w:p>
    <w:p w:rsidR="00EF37B9" w:rsidRPr="00EF37B9" w:rsidRDefault="00EF37B9" w:rsidP="00EF37B9">
      <w:pPr>
        <w:keepNext/>
        <w:ind w:left="567"/>
        <w:outlineLvl w:val="3"/>
        <w:rPr>
          <w:u w:val="single"/>
        </w:rPr>
      </w:pPr>
      <w:bookmarkStart w:id="92" w:name="_Toc84594398"/>
      <w:bookmarkStart w:id="93" w:name="_Toc86153829"/>
      <w:bookmarkStart w:id="94" w:name="_Toc86158658"/>
      <w:bookmarkStart w:id="95" w:name="_Toc86162706"/>
      <w:bookmarkStart w:id="96" w:name="_Toc86170176"/>
      <w:r w:rsidRPr="00EF37B9">
        <w:rPr>
          <w:u w:val="single"/>
        </w:rPr>
        <w:t>(c)</w:t>
      </w:r>
      <w:r w:rsidRPr="00EF37B9">
        <w:rPr>
          <w:u w:val="single"/>
        </w:rPr>
        <w:tab/>
        <w:t>Alternating one year of physical meeting with one year of virtual meeting</w:t>
      </w:r>
      <w:bookmarkEnd w:id="92"/>
      <w:bookmarkEnd w:id="93"/>
      <w:bookmarkEnd w:id="94"/>
      <w:bookmarkEnd w:id="95"/>
      <w:bookmarkEnd w:id="96"/>
    </w:p>
    <w:p w:rsidR="00EF37B9" w:rsidRPr="00EF37B9" w:rsidRDefault="00EF37B9" w:rsidP="00EF37B9"/>
    <w:p w:rsidR="00EF37B9" w:rsidRPr="00EF37B9" w:rsidRDefault="00EF37B9" w:rsidP="00EF37B9">
      <w:pPr>
        <w:numPr>
          <w:ilvl w:val="0"/>
          <w:numId w:val="8"/>
        </w:numPr>
        <w:contextualSpacing/>
      </w:pPr>
      <w:r w:rsidRPr="00EF37B9">
        <w:t xml:space="preserve">The </w:t>
      </w:r>
      <w:proofErr w:type="spellStart"/>
      <w:r w:rsidRPr="00EF37B9">
        <w:t>TWP</w:t>
      </w:r>
      <w:proofErr w:type="spellEnd"/>
      <w:r w:rsidRPr="00EF37B9">
        <w:t xml:space="preserve"> sessions would be scheduled one year as a virtual meeting and the following year as a physical meeting (e.g. 2023: virtual; 2024: physical).</w:t>
      </w:r>
    </w:p>
    <w:p w:rsidR="00EF37B9" w:rsidRPr="00EF37B9" w:rsidRDefault="00EF37B9" w:rsidP="00EF37B9">
      <w:pPr>
        <w:ind w:left="720"/>
        <w:contextualSpacing/>
      </w:pPr>
    </w:p>
    <w:p w:rsidR="00EF37B9" w:rsidRPr="00D53FBB" w:rsidRDefault="00EF37B9" w:rsidP="00EF37B9">
      <w:pPr>
        <w:numPr>
          <w:ilvl w:val="0"/>
          <w:numId w:val="8"/>
        </w:numPr>
        <w:contextualSpacing/>
        <w:rPr>
          <w:spacing w:val="-4"/>
        </w:rPr>
      </w:pPr>
      <w:r w:rsidRPr="00D53FBB">
        <w:rPr>
          <w:spacing w:val="-4"/>
        </w:rPr>
        <w:t xml:space="preserve">There would be at least two virtual </w:t>
      </w:r>
      <w:proofErr w:type="spellStart"/>
      <w:r w:rsidRPr="00D53FBB">
        <w:rPr>
          <w:spacing w:val="-4"/>
        </w:rPr>
        <w:t>TWP</w:t>
      </w:r>
      <w:proofErr w:type="spellEnd"/>
      <w:r w:rsidRPr="00D53FBB">
        <w:rPr>
          <w:spacing w:val="-4"/>
        </w:rPr>
        <w:t xml:space="preserve"> meetings in a calendar year, thereby ensuring that experts would be able to participate electronically in all discussions on Test Guidelines, </w:t>
      </w:r>
      <w:proofErr w:type="spellStart"/>
      <w:r w:rsidRPr="00D53FBB">
        <w:rPr>
          <w:spacing w:val="-4"/>
        </w:rPr>
        <w:t>TGP</w:t>
      </w:r>
      <w:proofErr w:type="spellEnd"/>
      <w:r w:rsidRPr="00D53FBB">
        <w:rPr>
          <w:spacing w:val="-4"/>
        </w:rPr>
        <w:t xml:space="preserve"> and </w:t>
      </w:r>
      <w:proofErr w:type="spellStart"/>
      <w:r w:rsidRPr="00D53FBB">
        <w:rPr>
          <w:spacing w:val="-4"/>
        </w:rPr>
        <w:t>TWP</w:t>
      </w:r>
      <w:proofErr w:type="spellEnd"/>
      <w:r w:rsidRPr="00D53FBB">
        <w:rPr>
          <w:spacing w:val="-4"/>
        </w:rPr>
        <w:t xml:space="preserve"> documents.</w:t>
      </w:r>
    </w:p>
    <w:p w:rsidR="00EF37B9" w:rsidRPr="00EF37B9" w:rsidRDefault="00EF37B9" w:rsidP="00EF37B9">
      <w:pPr>
        <w:ind w:left="720"/>
        <w:contextualSpacing/>
      </w:pPr>
    </w:p>
    <w:p w:rsidR="00EF37B9" w:rsidRPr="00D53FBB" w:rsidRDefault="00EF37B9" w:rsidP="00EF37B9">
      <w:pPr>
        <w:numPr>
          <w:ilvl w:val="0"/>
          <w:numId w:val="4"/>
        </w:numPr>
        <w:contextualSpacing/>
        <w:rPr>
          <w:spacing w:val="-4"/>
        </w:rPr>
      </w:pPr>
      <w:r w:rsidRPr="00D53FBB">
        <w:rPr>
          <w:spacing w:val="-4"/>
        </w:rPr>
        <w:lastRenderedPageBreak/>
        <w:t xml:space="preserve">Technical visits via virtual means:  there would be an open invitation for any </w:t>
      </w:r>
      <w:proofErr w:type="spellStart"/>
      <w:r w:rsidRPr="00D53FBB">
        <w:rPr>
          <w:spacing w:val="-4"/>
        </w:rPr>
        <w:t>UPOV</w:t>
      </w:r>
      <w:proofErr w:type="spellEnd"/>
      <w:r w:rsidRPr="00D53FBB">
        <w:rPr>
          <w:spacing w:val="-4"/>
        </w:rPr>
        <w:t xml:space="preserve"> member to make a presentation on aspects of their testing systems through presentations, videos or live online demonstrations (e.g. </w:t>
      </w:r>
      <w:proofErr w:type="spellStart"/>
      <w:r w:rsidRPr="00D53FBB">
        <w:rPr>
          <w:spacing w:val="-4"/>
        </w:rPr>
        <w:t>DUS</w:t>
      </w:r>
      <w:proofErr w:type="spellEnd"/>
      <w:r w:rsidRPr="00D53FBB">
        <w:rPr>
          <w:spacing w:val="-4"/>
        </w:rPr>
        <w:t xml:space="preserve"> examination for particular crops, testing procedures, image analysis, </w:t>
      </w:r>
      <w:proofErr w:type="gramStart"/>
      <w:r w:rsidRPr="00D53FBB">
        <w:rPr>
          <w:spacing w:val="-4"/>
        </w:rPr>
        <w:t>trial</w:t>
      </w:r>
      <w:proofErr w:type="gramEnd"/>
      <w:r w:rsidRPr="00D53FBB">
        <w:rPr>
          <w:spacing w:val="-4"/>
        </w:rPr>
        <w:t xml:space="preserve"> layout).</w:t>
      </w:r>
    </w:p>
    <w:p w:rsidR="00EF37B9" w:rsidRPr="00EF37B9" w:rsidRDefault="00EF37B9" w:rsidP="00EF37B9">
      <w:pPr>
        <w:ind w:left="720"/>
        <w:contextualSpacing/>
      </w:pPr>
    </w:p>
    <w:p w:rsidR="00EF37B9" w:rsidRPr="00EF37B9" w:rsidRDefault="00EF37B9" w:rsidP="00EF37B9">
      <w:pPr>
        <w:numPr>
          <w:ilvl w:val="0"/>
          <w:numId w:val="4"/>
        </w:numPr>
        <w:contextualSpacing/>
      </w:pPr>
      <w:r w:rsidRPr="00EF37B9">
        <w:rPr>
          <w:rFonts w:cs="Arial"/>
        </w:rPr>
        <w:t xml:space="preserve">The timing of a particular virtual </w:t>
      </w:r>
      <w:proofErr w:type="spellStart"/>
      <w:r w:rsidRPr="00EF37B9">
        <w:rPr>
          <w:rFonts w:cs="Arial"/>
        </w:rPr>
        <w:t>TWP</w:t>
      </w:r>
      <w:proofErr w:type="spellEnd"/>
      <w:r w:rsidRPr="00EF37B9">
        <w:rPr>
          <w:rFonts w:cs="Arial"/>
        </w:rPr>
        <w:t xml:space="preserve"> session </w:t>
      </w:r>
      <w:proofErr w:type="gramStart"/>
      <w:r w:rsidRPr="00EF37B9">
        <w:rPr>
          <w:rFonts w:cs="Arial"/>
        </w:rPr>
        <w:t>would be discussed</w:t>
      </w:r>
      <w:proofErr w:type="gramEnd"/>
      <w:r w:rsidRPr="00EF37B9">
        <w:rPr>
          <w:rFonts w:cs="Arial"/>
        </w:rPr>
        <w:t xml:space="preserve"> by the </w:t>
      </w:r>
      <w:proofErr w:type="spellStart"/>
      <w:r w:rsidRPr="00EF37B9">
        <w:rPr>
          <w:rFonts w:cs="Arial"/>
        </w:rPr>
        <w:t>TWP</w:t>
      </w:r>
      <w:proofErr w:type="spellEnd"/>
      <w:r w:rsidRPr="00EF37B9">
        <w:rPr>
          <w:rFonts w:cs="Arial"/>
        </w:rPr>
        <w:t xml:space="preserve"> when planning the agenda for the forthcoming session.</w:t>
      </w:r>
    </w:p>
    <w:p w:rsidR="00EF37B9" w:rsidRPr="00EF37B9" w:rsidRDefault="00EF37B9" w:rsidP="00EF37B9"/>
    <w:p w:rsidR="00EF37B9" w:rsidRPr="00EF37B9" w:rsidRDefault="00EF37B9" w:rsidP="00EF37B9">
      <w:pPr>
        <w:keepNext/>
        <w:ind w:left="567"/>
        <w:outlineLvl w:val="3"/>
        <w:rPr>
          <w:u w:val="single"/>
        </w:rPr>
      </w:pPr>
      <w:bookmarkStart w:id="97" w:name="_Toc84594399"/>
      <w:bookmarkStart w:id="98" w:name="_Toc86153830"/>
      <w:bookmarkStart w:id="99" w:name="_Toc86158659"/>
      <w:bookmarkStart w:id="100" w:name="_Toc86162707"/>
      <w:bookmarkStart w:id="101" w:name="_Toc86170177"/>
      <w:r w:rsidRPr="00EF37B9">
        <w:rPr>
          <w:u w:val="single"/>
        </w:rPr>
        <w:t>(d)</w:t>
      </w:r>
      <w:r w:rsidRPr="00EF37B9">
        <w:rPr>
          <w:u w:val="single"/>
        </w:rPr>
        <w:tab/>
        <w:t xml:space="preserve">Electronic participation at physical </w:t>
      </w:r>
      <w:proofErr w:type="spellStart"/>
      <w:r w:rsidRPr="00EF37B9">
        <w:rPr>
          <w:u w:val="single"/>
        </w:rPr>
        <w:t>TWP</w:t>
      </w:r>
      <w:proofErr w:type="spellEnd"/>
      <w:r w:rsidRPr="00EF37B9">
        <w:rPr>
          <w:u w:val="single"/>
        </w:rPr>
        <w:t xml:space="preserve"> sessions</w:t>
      </w:r>
      <w:bookmarkEnd w:id="97"/>
      <w:bookmarkEnd w:id="98"/>
      <w:bookmarkEnd w:id="99"/>
      <w:bookmarkEnd w:id="100"/>
      <w:bookmarkEnd w:id="101"/>
    </w:p>
    <w:p w:rsidR="00EF37B9" w:rsidRPr="00EF37B9" w:rsidRDefault="00EF37B9" w:rsidP="00EF37B9">
      <w:pPr>
        <w:keepNext/>
        <w:ind w:left="720"/>
        <w:contextualSpacing/>
        <w:rPr>
          <w:snapToGrid w:val="0"/>
        </w:rPr>
      </w:pPr>
    </w:p>
    <w:p w:rsidR="00EF37B9" w:rsidRPr="00EF37B9" w:rsidRDefault="00EF37B9" w:rsidP="00EF37B9">
      <w:pPr>
        <w:keepNext/>
        <w:numPr>
          <w:ilvl w:val="0"/>
          <w:numId w:val="4"/>
        </w:numPr>
        <w:contextualSpacing/>
        <w:rPr>
          <w:rFonts w:cs="Arial"/>
          <w:snapToGrid w:val="0"/>
        </w:rPr>
      </w:pPr>
      <w:r w:rsidRPr="00EF37B9">
        <w:rPr>
          <w:snapToGrid w:val="0"/>
        </w:rPr>
        <w:t xml:space="preserve">The </w:t>
      </w:r>
      <w:proofErr w:type="spellStart"/>
      <w:r w:rsidRPr="00EF37B9">
        <w:rPr>
          <w:snapToGrid w:val="0"/>
        </w:rPr>
        <w:t>TWP</w:t>
      </w:r>
      <w:proofErr w:type="spellEnd"/>
      <w:r w:rsidRPr="00EF37B9">
        <w:rPr>
          <w:snapToGrid w:val="0"/>
        </w:rPr>
        <w:t xml:space="preserve"> host or the Office of the Union should provide a meeting platform for electronic participation in Test Guidelines subgroup meetings at physical </w:t>
      </w:r>
      <w:proofErr w:type="spellStart"/>
      <w:r w:rsidRPr="00EF37B9">
        <w:rPr>
          <w:snapToGrid w:val="0"/>
        </w:rPr>
        <w:t>TWP</w:t>
      </w:r>
      <w:proofErr w:type="spellEnd"/>
      <w:r w:rsidRPr="00EF37B9">
        <w:rPr>
          <w:snapToGrid w:val="0"/>
        </w:rPr>
        <w:t xml:space="preserve"> sessions.  This measure s</w:t>
      </w:r>
      <w:r w:rsidRPr="00EF37B9">
        <w:rPr>
          <w:rFonts w:cs="Arial"/>
          <w:snapToGrid w:val="0"/>
        </w:rPr>
        <w:t xml:space="preserve">hould enable participation of crop experts otherwise not attending </w:t>
      </w:r>
      <w:proofErr w:type="spellStart"/>
      <w:r w:rsidRPr="00EF37B9">
        <w:rPr>
          <w:rFonts w:cs="Arial"/>
          <w:snapToGrid w:val="0"/>
        </w:rPr>
        <w:t>TWP</w:t>
      </w:r>
      <w:proofErr w:type="spellEnd"/>
      <w:r w:rsidRPr="00EF37B9">
        <w:rPr>
          <w:rFonts w:cs="Arial"/>
          <w:snapToGrid w:val="0"/>
        </w:rPr>
        <w:t xml:space="preserve"> sessions.  </w:t>
      </w:r>
    </w:p>
    <w:p w:rsidR="00EF37B9" w:rsidRPr="00EF37B9" w:rsidRDefault="00EF37B9" w:rsidP="00EF37B9">
      <w:pPr>
        <w:keepNext/>
        <w:ind w:left="720"/>
        <w:contextualSpacing/>
        <w:rPr>
          <w:rFonts w:cs="Arial"/>
          <w:snapToGrid w:val="0"/>
        </w:rPr>
      </w:pPr>
    </w:p>
    <w:p w:rsidR="00EF37B9" w:rsidRPr="00EF37B9" w:rsidRDefault="00EF37B9" w:rsidP="00EF37B9">
      <w:pPr>
        <w:numPr>
          <w:ilvl w:val="0"/>
          <w:numId w:val="4"/>
        </w:numPr>
        <w:contextualSpacing/>
        <w:rPr>
          <w:rFonts w:cs="Arial"/>
          <w:snapToGrid w:val="0"/>
        </w:rPr>
      </w:pPr>
      <w:r w:rsidRPr="00EF37B9">
        <w:rPr>
          <w:rFonts w:cs="Arial"/>
          <w:snapToGrid w:val="0"/>
        </w:rPr>
        <w:t xml:space="preserve">The hosts of </w:t>
      </w:r>
      <w:proofErr w:type="spellStart"/>
      <w:r w:rsidRPr="00EF37B9">
        <w:rPr>
          <w:rFonts w:cs="Arial"/>
          <w:snapToGrid w:val="0"/>
        </w:rPr>
        <w:t>TWP</w:t>
      </w:r>
      <w:proofErr w:type="spellEnd"/>
      <w:r w:rsidRPr="00EF37B9">
        <w:rPr>
          <w:rFonts w:cs="Arial"/>
          <w:snapToGrid w:val="0"/>
        </w:rPr>
        <w:t xml:space="preserve"> physical meetings should participate in deciding how to organize virtual participation in Test Guidelines subgroup discussions.</w:t>
      </w:r>
    </w:p>
    <w:p w:rsidR="00EF37B9" w:rsidRPr="00EF37B9" w:rsidRDefault="00EF37B9" w:rsidP="00EF37B9">
      <w:pPr>
        <w:ind w:left="709"/>
        <w:contextualSpacing/>
      </w:pPr>
    </w:p>
    <w:p w:rsidR="00EF37B9" w:rsidRPr="00EF37B9" w:rsidRDefault="00EF37B9" w:rsidP="00EF37B9">
      <w:pPr>
        <w:keepNext/>
        <w:ind w:left="567"/>
        <w:outlineLvl w:val="3"/>
        <w:rPr>
          <w:u w:val="single"/>
        </w:rPr>
      </w:pPr>
      <w:bookmarkStart w:id="102" w:name="_Toc86153831"/>
      <w:bookmarkStart w:id="103" w:name="_Toc86158660"/>
      <w:bookmarkStart w:id="104" w:name="_Toc86162708"/>
      <w:bookmarkStart w:id="105" w:name="_Toc86170178"/>
      <w:r w:rsidRPr="00EF37B9">
        <w:rPr>
          <w:u w:val="single"/>
        </w:rPr>
        <w:t>(e)</w:t>
      </w:r>
      <w:r w:rsidRPr="00EF37B9">
        <w:rPr>
          <w:u w:val="single"/>
        </w:rPr>
        <w:tab/>
        <w:t>Technical Working Party on Testing Methods and Techniques (</w:t>
      </w:r>
      <w:proofErr w:type="spellStart"/>
      <w:r w:rsidRPr="00EF37B9">
        <w:rPr>
          <w:u w:val="single"/>
        </w:rPr>
        <w:t>TWM</w:t>
      </w:r>
      <w:proofErr w:type="spellEnd"/>
      <w:r w:rsidRPr="00EF37B9">
        <w:rPr>
          <w:u w:val="single"/>
        </w:rPr>
        <w:t>)</w:t>
      </w:r>
      <w:bookmarkEnd w:id="102"/>
      <w:bookmarkEnd w:id="103"/>
      <w:bookmarkEnd w:id="104"/>
      <w:bookmarkEnd w:id="105"/>
    </w:p>
    <w:p w:rsidR="00EF37B9" w:rsidRPr="00EF37B9" w:rsidRDefault="00EF37B9" w:rsidP="00EF37B9">
      <w:pPr>
        <w:ind w:left="720"/>
        <w:contextualSpacing/>
        <w:rPr>
          <w:i/>
        </w:rPr>
      </w:pPr>
    </w:p>
    <w:p w:rsidR="00EF37B9" w:rsidRPr="00EF37B9" w:rsidRDefault="00EF37B9" w:rsidP="00EF37B9">
      <w:pPr>
        <w:numPr>
          <w:ilvl w:val="0"/>
          <w:numId w:val="3"/>
        </w:numPr>
        <w:contextualSpacing/>
      </w:pPr>
      <w:r w:rsidRPr="00EF37B9">
        <w:rPr>
          <w:snapToGrid w:val="0"/>
        </w:rPr>
        <w:t xml:space="preserve">The </w:t>
      </w:r>
      <w:proofErr w:type="spellStart"/>
      <w:r w:rsidRPr="00EF37B9">
        <w:rPr>
          <w:snapToGrid w:val="0"/>
        </w:rPr>
        <w:t>TWM</w:t>
      </w:r>
      <w:proofErr w:type="spellEnd"/>
      <w:r w:rsidRPr="00EF37B9">
        <w:rPr>
          <w:snapToGrid w:val="0"/>
        </w:rPr>
        <w:t xml:space="preserve"> will meet electronically in 2022 and will assess the need to meet physically in the future, according to the range of topics to be covered.</w:t>
      </w:r>
    </w:p>
    <w:p w:rsidR="00EF37B9" w:rsidRPr="00EF37B9" w:rsidRDefault="00EF37B9" w:rsidP="00EF37B9"/>
    <w:p w:rsidR="00EF37B9" w:rsidRPr="00EF37B9" w:rsidRDefault="00EF37B9" w:rsidP="00EF37B9">
      <w:pPr>
        <w:keepNext/>
        <w:ind w:left="567"/>
        <w:outlineLvl w:val="3"/>
        <w:rPr>
          <w:rFonts w:cs="Arial"/>
          <w:u w:val="single"/>
        </w:rPr>
      </w:pPr>
      <w:bookmarkStart w:id="106" w:name="_Toc86153832"/>
      <w:bookmarkStart w:id="107" w:name="_Toc86158661"/>
      <w:bookmarkStart w:id="108" w:name="_Toc86162709"/>
      <w:bookmarkStart w:id="109" w:name="_Toc86170179"/>
      <w:r w:rsidRPr="00EF37B9">
        <w:rPr>
          <w:u w:val="single"/>
        </w:rPr>
        <w:t>(f)</w:t>
      </w:r>
      <w:r w:rsidRPr="00EF37B9">
        <w:rPr>
          <w:u w:val="single"/>
        </w:rPr>
        <w:tab/>
        <w:t>Reporting and r</w:t>
      </w:r>
      <w:r w:rsidRPr="00EF37B9">
        <w:rPr>
          <w:rFonts w:cs="Arial"/>
          <w:u w:val="single"/>
        </w:rPr>
        <w:t>eview of measures</w:t>
      </w:r>
      <w:bookmarkEnd w:id="106"/>
      <w:bookmarkEnd w:id="107"/>
      <w:bookmarkEnd w:id="108"/>
      <w:bookmarkEnd w:id="109"/>
      <w:r w:rsidRPr="00EF37B9">
        <w:rPr>
          <w:rFonts w:cs="Arial"/>
          <w:u w:val="single"/>
        </w:rPr>
        <w:t xml:space="preserve"> </w:t>
      </w:r>
    </w:p>
    <w:p w:rsidR="00EF37B9" w:rsidRPr="00EF37B9" w:rsidRDefault="00EF37B9" w:rsidP="00EF37B9">
      <w:pPr>
        <w:rPr>
          <w:rFonts w:cs="Arial"/>
          <w:i/>
        </w:rPr>
      </w:pPr>
    </w:p>
    <w:p w:rsidR="00EF37B9" w:rsidRPr="00EF37B9" w:rsidRDefault="00EF37B9" w:rsidP="00EF37B9">
      <w:r w:rsidRPr="00EF37B9">
        <w:fldChar w:fldCharType="begin"/>
      </w:r>
      <w:r w:rsidRPr="00EF37B9">
        <w:instrText xml:space="preserve"> AUTONUM  </w:instrText>
      </w:r>
      <w:r w:rsidRPr="00EF37B9">
        <w:fldChar w:fldCharType="end"/>
      </w:r>
      <w:r w:rsidRPr="00EF37B9">
        <w:tab/>
        <w:t>The TC agreed to invite the Office of the Union to report on the measures adopted for review and consideration by the TC, at its fifty-eighth session.</w:t>
      </w:r>
    </w:p>
    <w:p w:rsidR="00EF37B9" w:rsidRPr="00EF37B9" w:rsidRDefault="00EF37B9" w:rsidP="00EF37B9"/>
    <w:p w:rsidR="00EF37B9" w:rsidRPr="00EF37B9" w:rsidRDefault="00EF37B9" w:rsidP="00EF37B9">
      <w:r w:rsidRPr="00EF37B9">
        <w:fldChar w:fldCharType="begin"/>
      </w:r>
      <w:r w:rsidRPr="00EF37B9">
        <w:instrText xml:space="preserve"> AUTONUM  </w:instrText>
      </w:r>
      <w:r w:rsidRPr="00EF37B9">
        <w:fldChar w:fldCharType="end"/>
      </w:r>
      <w:r w:rsidRPr="00EF37B9">
        <w:tab/>
        <w:t xml:space="preserve">The TC agreed to request the Office of the Union to conduct a survey on the needs of members and observers in relation to </w:t>
      </w:r>
      <w:proofErr w:type="spellStart"/>
      <w:r w:rsidRPr="00EF37B9">
        <w:t>TWPs</w:t>
      </w:r>
      <w:proofErr w:type="spellEnd"/>
      <w:r w:rsidRPr="00EF37B9">
        <w:t xml:space="preserve"> and report to the TC at its fifty-eighth session.</w:t>
      </w:r>
    </w:p>
    <w:p w:rsidR="00C87BF0" w:rsidRPr="00CA626D" w:rsidRDefault="00C87BF0" w:rsidP="00050E16"/>
    <w:p w:rsidR="005612AA" w:rsidRPr="00F3609E" w:rsidRDefault="005612AA" w:rsidP="005612AA">
      <w:pPr>
        <w:tabs>
          <w:tab w:val="left" w:pos="567"/>
          <w:tab w:val="left" w:pos="1134"/>
          <w:tab w:val="left" w:pos="1701"/>
          <w:tab w:val="left" w:pos="5387"/>
          <w:tab w:val="left" w:pos="5954"/>
        </w:tabs>
        <w:ind w:left="4820"/>
        <w:rPr>
          <w:i/>
        </w:rPr>
      </w:pPr>
      <w:r w:rsidRPr="00F3609E">
        <w:rPr>
          <w:i/>
        </w:rPr>
        <w:fldChar w:fldCharType="begin"/>
      </w:r>
      <w:r w:rsidRPr="00F3609E">
        <w:rPr>
          <w:i/>
        </w:rPr>
        <w:instrText xml:space="preserve"> AUTONUM  </w:instrText>
      </w:r>
      <w:r w:rsidRPr="00F3609E">
        <w:rPr>
          <w:i/>
        </w:rPr>
        <w:fldChar w:fldCharType="end"/>
      </w:r>
      <w:r w:rsidRPr="00F3609E">
        <w:rPr>
          <w:i/>
        </w:rPr>
        <w:tab/>
        <w:t xml:space="preserve">The </w:t>
      </w:r>
      <w:proofErr w:type="spellStart"/>
      <w:r w:rsidRPr="00F3609E">
        <w:rPr>
          <w:i/>
        </w:rPr>
        <w:t>CAJ</w:t>
      </w:r>
      <w:proofErr w:type="spellEnd"/>
      <w:r w:rsidRPr="00F3609E">
        <w:rPr>
          <w:i/>
        </w:rPr>
        <w:t xml:space="preserve"> </w:t>
      </w:r>
      <w:proofErr w:type="gramStart"/>
      <w:r w:rsidRPr="00F3609E">
        <w:rPr>
          <w:i/>
        </w:rPr>
        <w:t>is invited</w:t>
      </w:r>
      <w:proofErr w:type="gramEnd"/>
      <w:r w:rsidRPr="00F3609E">
        <w:rPr>
          <w:i/>
        </w:rPr>
        <w:t xml:space="preserve"> to</w:t>
      </w:r>
      <w:r w:rsidRPr="005612AA">
        <w:rPr>
          <w:i/>
        </w:rPr>
        <w:t xml:space="preserve"> </w:t>
      </w:r>
      <w:r w:rsidRPr="00F3609E">
        <w:rPr>
          <w:i/>
        </w:rPr>
        <w:t xml:space="preserve">note developments at the </w:t>
      </w:r>
      <w:r w:rsidRPr="00F3609E">
        <w:rPr>
          <w:i/>
          <w:spacing w:val="2"/>
        </w:rPr>
        <w:t>fifty-</w:t>
      </w:r>
      <w:r w:rsidRPr="005612AA">
        <w:rPr>
          <w:i/>
          <w:spacing w:val="2"/>
        </w:rPr>
        <w:t>seventh</w:t>
      </w:r>
      <w:r w:rsidRPr="00F3609E">
        <w:rPr>
          <w:i/>
          <w:spacing w:val="2"/>
        </w:rPr>
        <w:t xml:space="preserve"> session</w:t>
      </w:r>
      <w:r w:rsidRPr="00F3609E">
        <w:rPr>
          <w:i/>
        </w:rPr>
        <w:t xml:space="preserve"> of the Technical Committee, as reported in this document.</w:t>
      </w:r>
    </w:p>
    <w:p w:rsidR="00C87BF0" w:rsidRDefault="00C87BF0" w:rsidP="00050E16"/>
    <w:p w:rsidR="005612AA" w:rsidRDefault="005612AA" w:rsidP="00050E16"/>
    <w:p w:rsidR="005612AA" w:rsidRPr="00CA626D" w:rsidRDefault="005612AA" w:rsidP="00050E16"/>
    <w:p w:rsidR="009B440E" w:rsidRPr="00CA626D" w:rsidRDefault="00050E16" w:rsidP="00050E16">
      <w:pPr>
        <w:jc w:val="right"/>
      </w:pPr>
      <w:r w:rsidRPr="00CA626D">
        <w:t>[</w:t>
      </w:r>
      <w:r w:rsidR="005612AA">
        <w:t>Annexes follow</w:t>
      </w:r>
      <w:r w:rsidRPr="00CA626D">
        <w:t>]</w:t>
      </w:r>
    </w:p>
    <w:p w:rsidR="005612AA" w:rsidRDefault="005612AA">
      <w:pPr>
        <w:jc w:val="left"/>
        <w:sectPr w:rsidR="005612AA" w:rsidSect="0004198B">
          <w:headerReference w:type="default" r:id="rId9"/>
          <w:pgSz w:w="11907" w:h="16840" w:code="9"/>
          <w:pgMar w:top="510" w:right="1134" w:bottom="1134" w:left="1134" w:header="510" w:footer="680" w:gutter="0"/>
          <w:pgNumType w:start="1"/>
          <w:cols w:space="720"/>
          <w:titlePg/>
        </w:sectPr>
      </w:pPr>
    </w:p>
    <w:p w:rsidR="00903264" w:rsidRDefault="00AA2048" w:rsidP="00AA2048">
      <w:pPr>
        <w:ind w:left="-142"/>
        <w:jc w:val="left"/>
      </w:pPr>
      <w:r w:rsidRPr="00AA2048">
        <w:rPr>
          <w:noProof/>
        </w:rPr>
        <w:lastRenderedPageBreak/>
        <w:drawing>
          <wp:inline distT="0" distB="0" distL="0" distR="0">
            <wp:extent cx="9649460" cy="539773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9460" cy="5397732"/>
                    </a:xfrm>
                    <a:prstGeom prst="rect">
                      <a:avLst/>
                    </a:prstGeom>
                    <a:noFill/>
                    <a:ln>
                      <a:noFill/>
                    </a:ln>
                  </pic:spPr>
                </pic:pic>
              </a:graphicData>
            </a:graphic>
          </wp:inline>
        </w:drawing>
      </w:r>
    </w:p>
    <w:p w:rsidR="005612AA" w:rsidRDefault="005612AA">
      <w:pPr>
        <w:jc w:val="left"/>
      </w:pPr>
    </w:p>
    <w:p w:rsidR="005612AA" w:rsidRDefault="005612AA">
      <w:pPr>
        <w:jc w:val="left"/>
      </w:pPr>
    </w:p>
    <w:p w:rsidR="005612AA" w:rsidRDefault="00AA2048" w:rsidP="00AA2048">
      <w:pPr>
        <w:ind w:right="170"/>
        <w:jc w:val="right"/>
      </w:pPr>
      <w:r>
        <w:t>[Annex II follows]</w:t>
      </w:r>
    </w:p>
    <w:p w:rsidR="005612AA" w:rsidRDefault="005612AA">
      <w:pPr>
        <w:jc w:val="left"/>
        <w:sectPr w:rsidR="005612AA" w:rsidSect="005612AA">
          <w:headerReference w:type="first" r:id="rId11"/>
          <w:pgSz w:w="16840" w:h="11907" w:orient="landscape" w:code="9"/>
          <w:pgMar w:top="1134" w:right="510" w:bottom="1134" w:left="1134" w:header="510" w:footer="680" w:gutter="0"/>
          <w:pgNumType w:start="1"/>
          <w:cols w:space="720"/>
          <w:titlePg/>
          <w:docGrid w:linePitch="272"/>
        </w:sectPr>
      </w:pPr>
    </w:p>
    <w:p w:rsidR="005612AA" w:rsidRDefault="005612AA">
      <w:pPr>
        <w:jc w:val="left"/>
      </w:pPr>
    </w:p>
    <w:p w:rsidR="005612AA" w:rsidRDefault="003236A0" w:rsidP="003236A0">
      <w:pPr>
        <w:ind w:left="-142"/>
        <w:jc w:val="left"/>
      </w:pPr>
      <w:r w:rsidRPr="003236A0">
        <w:rPr>
          <w:noProof/>
        </w:rPr>
        <w:drawing>
          <wp:inline distT="0" distB="0" distL="0" distR="0">
            <wp:extent cx="9649460" cy="401604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9460" cy="4016045"/>
                    </a:xfrm>
                    <a:prstGeom prst="rect">
                      <a:avLst/>
                    </a:prstGeom>
                    <a:noFill/>
                    <a:ln>
                      <a:noFill/>
                    </a:ln>
                  </pic:spPr>
                </pic:pic>
              </a:graphicData>
            </a:graphic>
          </wp:inline>
        </w:drawing>
      </w:r>
    </w:p>
    <w:p w:rsidR="005612AA" w:rsidRDefault="005612AA">
      <w:pPr>
        <w:jc w:val="left"/>
      </w:pPr>
    </w:p>
    <w:p w:rsidR="005612AA" w:rsidRDefault="005612AA">
      <w:pPr>
        <w:jc w:val="left"/>
      </w:pPr>
    </w:p>
    <w:p w:rsidR="005612AA" w:rsidRDefault="005612AA">
      <w:pPr>
        <w:jc w:val="left"/>
      </w:pPr>
    </w:p>
    <w:p w:rsidR="005612AA" w:rsidRDefault="003236A0" w:rsidP="003236A0">
      <w:pPr>
        <w:jc w:val="right"/>
      </w:pPr>
      <w:r>
        <w:t>[End of Annex II and of document]</w:t>
      </w:r>
    </w:p>
    <w:sectPr w:rsidR="005612AA" w:rsidSect="005612AA">
      <w:headerReference w:type="first" r:id="rId13"/>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A6" w:rsidRDefault="00BB6BA6" w:rsidP="006655D3">
      <w:r>
        <w:separator/>
      </w:r>
    </w:p>
    <w:p w:rsidR="00BB6BA6" w:rsidRDefault="00BB6BA6" w:rsidP="006655D3"/>
    <w:p w:rsidR="00BB6BA6" w:rsidRDefault="00BB6BA6" w:rsidP="006655D3"/>
  </w:endnote>
  <w:endnote w:type="continuationSeparator" w:id="0">
    <w:p w:rsidR="00BB6BA6" w:rsidRDefault="00BB6BA6" w:rsidP="006655D3">
      <w:r>
        <w:separator/>
      </w:r>
    </w:p>
    <w:p w:rsidR="00BB6BA6" w:rsidRPr="00294751" w:rsidRDefault="00BB6BA6">
      <w:pPr>
        <w:pStyle w:val="Footer"/>
        <w:spacing w:after="60"/>
        <w:rPr>
          <w:sz w:val="18"/>
          <w:lang w:val="fr-FR"/>
        </w:rPr>
      </w:pPr>
      <w:r w:rsidRPr="00294751">
        <w:rPr>
          <w:sz w:val="18"/>
          <w:lang w:val="fr-FR"/>
        </w:rPr>
        <w:t>[Suite de la note de la page précédente]</w:t>
      </w:r>
    </w:p>
    <w:p w:rsidR="00BB6BA6" w:rsidRPr="00294751" w:rsidRDefault="00BB6BA6" w:rsidP="006655D3">
      <w:pPr>
        <w:rPr>
          <w:lang w:val="fr-FR"/>
        </w:rPr>
      </w:pPr>
    </w:p>
    <w:p w:rsidR="00BB6BA6" w:rsidRPr="00294751" w:rsidRDefault="00BB6BA6" w:rsidP="006655D3">
      <w:pPr>
        <w:rPr>
          <w:lang w:val="fr-FR"/>
        </w:rPr>
      </w:pPr>
    </w:p>
  </w:endnote>
  <w:endnote w:type="continuationNotice" w:id="1">
    <w:p w:rsidR="00BB6BA6" w:rsidRPr="00294751" w:rsidRDefault="00BB6BA6" w:rsidP="006655D3">
      <w:pPr>
        <w:rPr>
          <w:lang w:val="fr-FR"/>
        </w:rPr>
      </w:pPr>
      <w:r w:rsidRPr="00294751">
        <w:rPr>
          <w:lang w:val="fr-FR"/>
        </w:rPr>
        <w:t>[Suite de la note page suivante]</w:t>
      </w:r>
    </w:p>
    <w:p w:rsidR="00BB6BA6" w:rsidRPr="00294751" w:rsidRDefault="00BB6BA6" w:rsidP="006655D3">
      <w:pPr>
        <w:rPr>
          <w:lang w:val="fr-FR"/>
        </w:rPr>
      </w:pPr>
    </w:p>
    <w:p w:rsidR="00BB6BA6" w:rsidRPr="00294751" w:rsidRDefault="00BB6B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A6" w:rsidRDefault="00BB6BA6" w:rsidP="006655D3">
      <w:r>
        <w:separator/>
      </w:r>
    </w:p>
  </w:footnote>
  <w:footnote w:type="continuationSeparator" w:id="0">
    <w:p w:rsidR="00BB6BA6" w:rsidRDefault="00BB6BA6" w:rsidP="006655D3">
      <w:r>
        <w:separator/>
      </w:r>
    </w:p>
  </w:footnote>
  <w:footnote w:type="continuationNotice" w:id="1">
    <w:p w:rsidR="00BB6BA6" w:rsidRPr="00AB530F" w:rsidRDefault="00BB6BA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A6" w:rsidRPr="00C5280D" w:rsidRDefault="00BB6BA6" w:rsidP="00EB048E">
    <w:pPr>
      <w:pStyle w:val="Header"/>
      <w:rPr>
        <w:rStyle w:val="PageNumber"/>
        <w:lang w:val="en-US"/>
      </w:rPr>
    </w:pPr>
    <w:r>
      <w:rPr>
        <w:rStyle w:val="PageNumber"/>
        <w:lang w:val="en-US"/>
      </w:rPr>
      <w:t>CAJ/78/2</w:t>
    </w:r>
  </w:p>
  <w:p w:rsidR="00BB6BA6" w:rsidRPr="00C5280D" w:rsidRDefault="00BB6BA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211A">
      <w:rPr>
        <w:rStyle w:val="PageNumber"/>
        <w:noProof/>
        <w:lang w:val="en-US"/>
      </w:rPr>
      <w:t>9</w:t>
    </w:r>
    <w:r w:rsidRPr="00C5280D">
      <w:rPr>
        <w:rStyle w:val="PageNumber"/>
        <w:lang w:val="en-US"/>
      </w:rPr>
      <w:fldChar w:fldCharType="end"/>
    </w:r>
  </w:p>
  <w:p w:rsidR="00BB6BA6" w:rsidRPr="00C5280D" w:rsidRDefault="00BB6BA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A6" w:rsidRPr="00C5280D" w:rsidRDefault="00BB6BA6" w:rsidP="005612AA">
    <w:pPr>
      <w:pStyle w:val="Header"/>
      <w:rPr>
        <w:rStyle w:val="PageNumber"/>
        <w:lang w:val="en-US"/>
      </w:rPr>
    </w:pPr>
    <w:proofErr w:type="spellStart"/>
    <w:r>
      <w:rPr>
        <w:rStyle w:val="PageNumber"/>
        <w:lang w:val="en-US"/>
      </w:rPr>
      <w:t>CAJ</w:t>
    </w:r>
    <w:proofErr w:type="spellEnd"/>
    <w:r>
      <w:rPr>
        <w:rStyle w:val="PageNumber"/>
        <w:lang w:val="en-US"/>
      </w:rPr>
      <w:t>/78/2</w:t>
    </w:r>
  </w:p>
  <w:p w:rsidR="00BB6BA6" w:rsidRDefault="00BB6BA6" w:rsidP="0004198B">
    <w:pPr>
      <w:pStyle w:val="Header"/>
      <w:rPr>
        <w:lang w:val="en-US"/>
      </w:rPr>
    </w:pPr>
  </w:p>
  <w:p w:rsidR="00BB6BA6" w:rsidRDefault="00BB6BA6" w:rsidP="0004198B">
    <w:pPr>
      <w:pStyle w:val="Header"/>
      <w:rPr>
        <w:lang w:val="en-US"/>
      </w:rPr>
    </w:pPr>
    <w:r>
      <w:rPr>
        <w:lang w:val="en-US"/>
      </w:rPr>
      <w:t xml:space="preserve">ANNEX I – PROGRAM FOR THE DEVELOPMENT OF </w:t>
    </w:r>
    <w:proofErr w:type="spellStart"/>
    <w:r>
      <w:rPr>
        <w:lang w:val="en-US"/>
      </w:rPr>
      <w:t>TGP</w:t>
    </w:r>
    <w:proofErr w:type="spellEnd"/>
    <w:r>
      <w:rPr>
        <w:lang w:val="en-US"/>
      </w:rPr>
      <w:t xml:space="preserve"> DOCUMENTS </w:t>
    </w:r>
  </w:p>
  <w:p w:rsidR="00AA2048" w:rsidRPr="002269CD" w:rsidRDefault="00AA2048" w:rsidP="000419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224" w:rsidRPr="00C5280D" w:rsidRDefault="00C81224" w:rsidP="005612AA">
    <w:pPr>
      <w:pStyle w:val="Header"/>
      <w:rPr>
        <w:rStyle w:val="PageNumber"/>
        <w:lang w:val="en-US"/>
      </w:rPr>
    </w:pPr>
    <w:proofErr w:type="spellStart"/>
    <w:r>
      <w:rPr>
        <w:rStyle w:val="PageNumber"/>
        <w:lang w:val="en-US"/>
      </w:rPr>
      <w:t>CAJ</w:t>
    </w:r>
    <w:proofErr w:type="spellEnd"/>
    <w:r>
      <w:rPr>
        <w:rStyle w:val="PageNumber"/>
        <w:lang w:val="en-US"/>
      </w:rPr>
      <w:t>/78/2</w:t>
    </w:r>
  </w:p>
  <w:p w:rsidR="00C81224" w:rsidRDefault="00C81224" w:rsidP="0004198B">
    <w:pPr>
      <w:pStyle w:val="Header"/>
      <w:rPr>
        <w:lang w:val="en-US"/>
      </w:rPr>
    </w:pPr>
  </w:p>
  <w:p w:rsidR="00C81224" w:rsidRDefault="00C81224" w:rsidP="0004198B">
    <w:pPr>
      <w:pStyle w:val="Header"/>
      <w:rPr>
        <w:lang w:val="en-US"/>
      </w:rPr>
    </w:pPr>
    <w:r>
      <w:rPr>
        <w:lang w:val="en-US"/>
      </w:rPr>
      <w:t xml:space="preserve">ANNEX II – PROGRAM FOR THE DEVELOPMENT OF RELEVANT INFORMATION MATERIALS </w:t>
    </w:r>
  </w:p>
  <w:p w:rsidR="00C81224" w:rsidRPr="002269CD" w:rsidRDefault="00C81224"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21580"/>
    <w:multiLevelType w:val="hybridMultilevel"/>
    <w:tmpl w:val="EFE22FE2"/>
    <w:lvl w:ilvl="0" w:tplc="2194827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A1"/>
    <w:rsid w:val="0000545E"/>
    <w:rsid w:val="00010CF3"/>
    <w:rsid w:val="00011E27"/>
    <w:rsid w:val="000148BC"/>
    <w:rsid w:val="00024AB8"/>
    <w:rsid w:val="00030854"/>
    <w:rsid w:val="00036028"/>
    <w:rsid w:val="0004198B"/>
    <w:rsid w:val="00044642"/>
    <w:rsid w:val="000446B9"/>
    <w:rsid w:val="00047E21"/>
    <w:rsid w:val="00050E16"/>
    <w:rsid w:val="00073E50"/>
    <w:rsid w:val="00085505"/>
    <w:rsid w:val="000C4E25"/>
    <w:rsid w:val="000C604A"/>
    <w:rsid w:val="000C7021"/>
    <w:rsid w:val="000D6BBC"/>
    <w:rsid w:val="000D7780"/>
    <w:rsid w:val="000E636A"/>
    <w:rsid w:val="000F2F11"/>
    <w:rsid w:val="00100A5F"/>
    <w:rsid w:val="00105929"/>
    <w:rsid w:val="00110BED"/>
    <w:rsid w:val="00110C36"/>
    <w:rsid w:val="001131D5"/>
    <w:rsid w:val="00114EB1"/>
    <w:rsid w:val="00141DB8"/>
    <w:rsid w:val="00172084"/>
    <w:rsid w:val="0017474A"/>
    <w:rsid w:val="001758C6"/>
    <w:rsid w:val="00182B99"/>
    <w:rsid w:val="001B1D39"/>
    <w:rsid w:val="001C1525"/>
    <w:rsid w:val="001F7C08"/>
    <w:rsid w:val="0021332C"/>
    <w:rsid w:val="00213982"/>
    <w:rsid w:val="002269CD"/>
    <w:rsid w:val="0024416D"/>
    <w:rsid w:val="00271911"/>
    <w:rsid w:val="002800A0"/>
    <w:rsid w:val="002801B3"/>
    <w:rsid w:val="00281060"/>
    <w:rsid w:val="00285BD0"/>
    <w:rsid w:val="002940E8"/>
    <w:rsid w:val="00294751"/>
    <w:rsid w:val="002A0233"/>
    <w:rsid w:val="002A6E50"/>
    <w:rsid w:val="002B4298"/>
    <w:rsid w:val="002B7A36"/>
    <w:rsid w:val="002C256A"/>
    <w:rsid w:val="002D5226"/>
    <w:rsid w:val="00305A7F"/>
    <w:rsid w:val="003152FE"/>
    <w:rsid w:val="003236A0"/>
    <w:rsid w:val="00327436"/>
    <w:rsid w:val="00344BD6"/>
    <w:rsid w:val="0035528D"/>
    <w:rsid w:val="00361821"/>
    <w:rsid w:val="00361E9E"/>
    <w:rsid w:val="003753EE"/>
    <w:rsid w:val="003A0835"/>
    <w:rsid w:val="003A5AAF"/>
    <w:rsid w:val="003B700A"/>
    <w:rsid w:val="003C7FBE"/>
    <w:rsid w:val="003D01A1"/>
    <w:rsid w:val="003D227C"/>
    <w:rsid w:val="003D2B4D"/>
    <w:rsid w:val="003F10FB"/>
    <w:rsid w:val="003F37F5"/>
    <w:rsid w:val="00444A88"/>
    <w:rsid w:val="00474DA4"/>
    <w:rsid w:val="00476B4D"/>
    <w:rsid w:val="004805FA"/>
    <w:rsid w:val="004935D2"/>
    <w:rsid w:val="004A1AC8"/>
    <w:rsid w:val="004B1215"/>
    <w:rsid w:val="004D047D"/>
    <w:rsid w:val="004F1E9E"/>
    <w:rsid w:val="004F305A"/>
    <w:rsid w:val="00512164"/>
    <w:rsid w:val="00520297"/>
    <w:rsid w:val="005338F9"/>
    <w:rsid w:val="0054281C"/>
    <w:rsid w:val="00544581"/>
    <w:rsid w:val="0055268D"/>
    <w:rsid w:val="005612AA"/>
    <w:rsid w:val="00575DE2"/>
    <w:rsid w:val="00576BE4"/>
    <w:rsid w:val="005779DB"/>
    <w:rsid w:val="005A1077"/>
    <w:rsid w:val="005A400A"/>
    <w:rsid w:val="005A4D5E"/>
    <w:rsid w:val="005B269D"/>
    <w:rsid w:val="005D1CEB"/>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B71F3"/>
    <w:rsid w:val="007C1D92"/>
    <w:rsid w:val="007C4CB9"/>
    <w:rsid w:val="007C7A40"/>
    <w:rsid w:val="007D0B9D"/>
    <w:rsid w:val="007D19B0"/>
    <w:rsid w:val="007F498F"/>
    <w:rsid w:val="00801056"/>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22826"/>
    <w:rsid w:val="00934E09"/>
    <w:rsid w:val="00936253"/>
    <w:rsid w:val="00940D46"/>
    <w:rsid w:val="009413F1"/>
    <w:rsid w:val="00952DD4"/>
    <w:rsid w:val="0095507E"/>
    <w:rsid w:val="009561F4"/>
    <w:rsid w:val="00965AE7"/>
    <w:rsid w:val="00970FED"/>
    <w:rsid w:val="00992D82"/>
    <w:rsid w:val="00997029"/>
    <w:rsid w:val="009A7339"/>
    <w:rsid w:val="009B440E"/>
    <w:rsid w:val="009B6810"/>
    <w:rsid w:val="009D690D"/>
    <w:rsid w:val="009E65B6"/>
    <w:rsid w:val="009F0A51"/>
    <w:rsid w:val="009F77CF"/>
    <w:rsid w:val="00A24C10"/>
    <w:rsid w:val="00A42AC3"/>
    <w:rsid w:val="00A430CF"/>
    <w:rsid w:val="00A54309"/>
    <w:rsid w:val="00A573B0"/>
    <w:rsid w:val="00A605D5"/>
    <w:rsid w:val="00A610A9"/>
    <w:rsid w:val="00A80F2A"/>
    <w:rsid w:val="00A96C33"/>
    <w:rsid w:val="00AA2048"/>
    <w:rsid w:val="00AA4A51"/>
    <w:rsid w:val="00AB2B93"/>
    <w:rsid w:val="00AB530F"/>
    <w:rsid w:val="00AB7E5B"/>
    <w:rsid w:val="00AC2883"/>
    <w:rsid w:val="00AE0EF1"/>
    <w:rsid w:val="00AE2937"/>
    <w:rsid w:val="00AE7D1C"/>
    <w:rsid w:val="00AF63D8"/>
    <w:rsid w:val="00B07301"/>
    <w:rsid w:val="00B11F3E"/>
    <w:rsid w:val="00B224DE"/>
    <w:rsid w:val="00B324D4"/>
    <w:rsid w:val="00B46575"/>
    <w:rsid w:val="00B61777"/>
    <w:rsid w:val="00B622E6"/>
    <w:rsid w:val="00B83E82"/>
    <w:rsid w:val="00B84BBD"/>
    <w:rsid w:val="00BA43FB"/>
    <w:rsid w:val="00BA7F67"/>
    <w:rsid w:val="00BB6BA6"/>
    <w:rsid w:val="00BC127D"/>
    <w:rsid w:val="00BC1FE6"/>
    <w:rsid w:val="00C061B6"/>
    <w:rsid w:val="00C2446C"/>
    <w:rsid w:val="00C36AE5"/>
    <w:rsid w:val="00C41F17"/>
    <w:rsid w:val="00C527FA"/>
    <w:rsid w:val="00C5280D"/>
    <w:rsid w:val="00C53EB3"/>
    <w:rsid w:val="00C5791C"/>
    <w:rsid w:val="00C66290"/>
    <w:rsid w:val="00C72B7A"/>
    <w:rsid w:val="00C81224"/>
    <w:rsid w:val="00C87BF0"/>
    <w:rsid w:val="00C973F2"/>
    <w:rsid w:val="00CA304C"/>
    <w:rsid w:val="00CA626D"/>
    <w:rsid w:val="00CA774A"/>
    <w:rsid w:val="00CB4921"/>
    <w:rsid w:val="00CC11B0"/>
    <w:rsid w:val="00CC2841"/>
    <w:rsid w:val="00CD4B90"/>
    <w:rsid w:val="00CF1330"/>
    <w:rsid w:val="00CF211A"/>
    <w:rsid w:val="00CF7E36"/>
    <w:rsid w:val="00D3708D"/>
    <w:rsid w:val="00D40426"/>
    <w:rsid w:val="00D53FBB"/>
    <w:rsid w:val="00D566E9"/>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462D"/>
    <w:rsid w:val="00EE34DF"/>
    <w:rsid w:val="00EF2F89"/>
    <w:rsid w:val="00EF37B9"/>
    <w:rsid w:val="00EF5D98"/>
    <w:rsid w:val="00F03E98"/>
    <w:rsid w:val="00F1237A"/>
    <w:rsid w:val="00F22CBD"/>
    <w:rsid w:val="00F2535C"/>
    <w:rsid w:val="00F272F1"/>
    <w:rsid w:val="00F31412"/>
    <w:rsid w:val="00F3609E"/>
    <w:rsid w:val="00F45372"/>
    <w:rsid w:val="00F560F7"/>
    <w:rsid w:val="00F56582"/>
    <w:rsid w:val="00F6334D"/>
    <w:rsid w:val="00F63599"/>
    <w:rsid w:val="00F63FD8"/>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AA791C2-5F48-4293-B12B-C4ECA4A0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CA626D"/>
    <w:pPr>
      <w:keepNext/>
      <w:ind w:left="567"/>
      <w:jc w:val="both"/>
      <w:outlineLvl w:val="3"/>
    </w:pPr>
    <w:rPr>
      <w:rFonts w:ascii="Arial" w:eastAsiaTheme="minorEastAsia" w:hAnsi="Arial"/>
      <w:u w:val="single"/>
      <w:lang w:eastAsia="ja-JP"/>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5A107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53FBB"/>
    <w:pPr>
      <w:tabs>
        <w:tab w:val="right" w:leader="dot" w:pos="9639"/>
      </w:tabs>
      <w:spacing w:before="60" w:after="60"/>
      <w:ind w:left="720" w:right="720"/>
    </w:pPr>
    <w:rPr>
      <w:rFonts w:ascii="Arial" w:hAnsi="Arial"/>
    </w:rPr>
  </w:style>
  <w:style w:type="paragraph" w:styleId="TOC3">
    <w:name w:val="toc 3"/>
    <w:next w:val="Normal"/>
    <w:autoRedefine/>
    <w:uiPriority w:val="39"/>
    <w:rsid w:val="00D53FBB"/>
    <w:pPr>
      <w:tabs>
        <w:tab w:val="left" w:pos="1980"/>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D53FBB"/>
    <w:pPr>
      <w:tabs>
        <w:tab w:val="right" w:leader="dot" w:pos="9639"/>
      </w:tabs>
      <w:spacing w:before="60" w:after="60"/>
      <w:ind w:left="2160" w:right="720"/>
    </w:pPr>
    <w:rPr>
      <w:rFonts w:ascii="Arial" w:hAnsi="Arial"/>
      <w:i/>
      <w:sz w:val="18"/>
      <w:lang w:val="fr-FR"/>
    </w:rPr>
  </w:style>
  <w:style w:type="paragraph" w:styleId="TOC1">
    <w:name w:val="toc 1"/>
    <w:next w:val="Normal"/>
    <w:autoRedefine/>
    <w:uiPriority w:val="39"/>
    <w:rsid w:val="00CF211A"/>
    <w:pPr>
      <w:keepNext/>
      <w:tabs>
        <w:tab w:val="right" w:leader="dot" w:pos="9639"/>
      </w:tabs>
      <w:spacing w:before="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5A1077"/>
    <w:rPr>
      <w:rFonts w:asciiTheme="majorHAnsi" w:eastAsiaTheme="majorEastAsia" w:hAnsiTheme="majorHAnsi" w:cstheme="majorBidi"/>
      <w:color w:val="243F60" w:themeColor="accent1" w:themeShade="7F"/>
    </w:rPr>
  </w:style>
  <w:style w:type="character" w:customStyle="1" w:styleId="Heading4Char">
    <w:name w:val="Heading 4 Char"/>
    <w:link w:val="Heading4"/>
    <w:rsid w:val="00CA626D"/>
    <w:rPr>
      <w:rFonts w:ascii="Arial" w:eastAsiaTheme="minorEastAsia" w:hAnsi="Arial"/>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7883">
      <w:bodyDiv w:val="1"/>
      <w:marLeft w:val="0"/>
      <w:marRight w:val="0"/>
      <w:marTop w:val="0"/>
      <w:marBottom w:val="0"/>
      <w:divBdr>
        <w:top w:val="none" w:sz="0" w:space="0" w:color="auto"/>
        <w:left w:val="none" w:sz="0" w:space="0" w:color="auto"/>
        <w:bottom w:val="none" w:sz="0" w:space="0" w:color="auto"/>
        <w:right w:val="none" w:sz="0" w:space="0" w:color="auto"/>
      </w:divBdr>
    </w:div>
    <w:div w:id="990063749">
      <w:bodyDiv w:val="1"/>
      <w:marLeft w:val="0"/>
      <w:marRight w:val="0"/>
      <w:marTop w:val="0"/>
      <w:marBottom w:val="0"/>
      <w:divBdr>
        <w:top w:val="none" w:sz="0" w:space="0" w:color="auto"/>
        <w:left w:val="none" w:sz="0" w:space="0" w:color="auto"/>
        <w:bottom w:val="none" w:sz="0" w:space="0" w:color="auto"/>
        <w:right w:val="none" w:sz="0" w:space="0" w:color="auto"/>
      </w:divBdr>
    </w:div>
    <w:div w:id="206001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1C16-D633-4422-999C-9E62A5FD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3438</Words>
  <Characters>21321</Characters>
  <Application>Microsoft Office Word</Application>
  <DocSecurity>0</DocSecurity>
  <Lines>349</Lines>
  <Paragraphs>85</Paragraphs>
  <ScaleCrop>false</ScaleCrop>
  <HeadingPairs>
    <vt:vector size="2" baseType="variant">
      <vt:variant>
        <vt:lpstr>Title</vt:lpstr>
      </vt:variant>
      <vt:variant>
        <vt:i4>1</vt:i4>
      </vt:variant>
    </vt:vector>
  </HeadingPairs>
  <TitlesOfParts>
    <vt:vector size="1" baseType="lpstr">
      <vt:lpstr>CAJ/78/2</vt:lpstr>
    </vt:vector>
  </TitlesOfParts>
  <Company>UPOV</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CAJ/78/2</dc:title>
  <dc:creator>SANCHEZ VIZCAINO GOMEZ Rosa Maria</dc:creator>
  <cp:lastModifiedBy>SANTOS Carla Marina</cp:lastModifiedBy>
  <cp:revision>5</cp:revision>
  <cp:lastPrinted>2016-11-22T15:41:00Z</cp:lastPrinted>
  <dcterms:created xsi:type="dcterms:W3CDTF">2021-10-26T15:53:00Z</dcterms:created>
  <dcterms:modified xsi:type="dcterms:W3CDTF">2021-10-26T17:54:00Z</dcterms:modified>
</cp:coreProperties>
</file>