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43467F" w:rsidTr="0043467F">
        <w:tc>
          <w:tcPr>
            <w:tcW w:w="6522" w:type="dxa"/>
            <w:hideMark/>
          </w:tcPr>
          <w:p w:rsidR="0043467F" w:rsidRDefault="0043467F">
            <w:r>
              <w:rPr>
                <w:noProof/>
              </w:rPr>
              <w:drawing>
                <wp:inline distT="0" distB="0" distL="0" distR="0">
                  <wp:extent cx="9525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241300"/>
                          </a:xfrm>
                          <a:prstGeom prst="rect">
                            <a:avLst/>
                          </a:prstGeom>
                          <a:noFill/>
                          <a:ln>
                            <a:noFill/>
                          </a:ln>
                        </pic:spPr>
                      </pic:pic>
                    </a:graphicData>
                  </a:graphic>
                </wp:inline>
              </w:drawing>
            </w:r>
          </w:p>
        </w:tc>
        <w:tc>
          <w:tcPr>
            <w:tcW w:w="3117" w:type="dxa"/>
            <w:hideMark/>
          </w:tcPr>
          <w:p w:rsidR="0043467F" w:rsidRDefault="0043467F">
            <w:pPr>
              <w:pStyle w:val="Lettrine"/>
            </w:pPr>
            <w:r>
              <w:t>E</w:t>
            </w:r>
          </w:p>
        </w:tc>
      </w:tr>
      <w:tr w:rsidR="0043467F" w:rsidTr="0043467F">
        <w:trPr>
          <w:trHeight w:val="219"/>
        </w:trPr>
        <w:tc>
          <w:tcPr>
            <w:tcW w:w="6522" w:type="dxa"/>
            <w:hideMark/>
          </w:tcPr>
          <w:p w:rsidR="0043467F" w:rsidRDefault="0043467F">
            <w:pPr>
              <w:pStyle w:val="upove"/>
            </w:pPr>
            <w:r>
              <w:t>International Union for the Protection of New Varieties of Plants</w:t>
            </w:r>
          </w:p>
        </w:tc>
        <w:tc>
          <w:tcPr>
            <w:tcW w:w="3117" w:type="dxa"/>
          </w:tcPr>
          <w:p w:rsidR="0043467F" w:rsidRDefault="0043467F"/>
        </w:tc>
      </w:tr>
    </w:tbl>
    <w:p w:rsidR="0043467F" w:rsidRDefault="0043467F" w:rsidP="0043467F"/>
    <w:p w:rsidR="0043467F" w:rsidRDefault="0043467F" w:rsidP="0043467F"/>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43467F" w:rsidTr="0043467F">
        <w:tc>
          <w:tcPr>
            <w:tcW w:w="6512" w:type="dxa"/>
            <w:tcBorders>
              <w:top w:val="nil"/>
              <w:left w:val="nil"/>
              <w:bottom w:val="single" w:sz="4" w:space="0" w:color="auto"/>
              <w:right w:val="nil"/>
            </w:tcBorders>
            <w:hideMark/>
          </w:tcPr>
          <w:p w:rsidR="0043467F" w:rsidRDefault="0043467F">
            <w:pPr>
              <w:pStyle w:val="Sessiontc"/>
              <w:spacing w:line="240" w:lineRule="auto"/>
            </w:pPr>
            <w:r>
              <w:t>Administrative and Legal Committee</w:t>
            </w:r>
          </w:p>
          <w:p w:rsidR="0043467F" w:rsidRDefault="0043467F">
            <w:pPr>
              <w:pStyle w:val="Sessiontcplacedate"/>
            </w:pPr>
            <w:r>
              <w:t>Seventy-Eighth Session</w:t>
            </w:r>
          </w:p>
          <w:p w:rsidR="0043467F" w:rsidRDefault="0043467F">
            <w:pPr>
              <w:pStyle w:val="Sessiontcplacedate"/>
              <w:rPr>
                <w:sz w:val="22"/>
              </w:rPr>
            </w:pPr>
            <w:r>
              <w:t>Geneva, October 27, 2021</w:t>
            </w:r>
          </w:p>
        </w:tc>
        <w:tc>
          <w:tcPr>
            <w:tcW w:w="3127" w:type="dxa"/>
            <w:tcBorders>
              <w:top w:val="nil"/>
              <w:left w:val="nil"/>
              <w:bottom w:val="single" w:sz="4" w:space="0" w:color="auto"/>
              <w:right w:val="nil"/>
            </w:tcBorders>
            <w:hideMark/>
          </w:tcPr>
          <w:p w:rsidR="0043467F" w:rsidRDefault="0043467F">
            <w:pPr>
              <w:pStyle w:val="Doccode"/>
            </w:pPr>
            <w:r>
              <w:t>CAJ/78/12</w:t>
            </w:r>
            <w:r w:rsidR="00560BFC">
              <w:t>.</w:t>
            </w:r>
            <w:bookmarkStart w:id="0" w:name="_GoBack"/>
            <w:bookmarkEnd w:id="0"/>
          </w:p>
          <w:p w:rsidR="0043467F" w:rsidRDefault="0043467F">
            <w:pPr>
              <w:pStyle w:val="Docoriginal"/>
            </w:pPr>
            <w:r>
              <w:t>Original:</w:t>
            </w:r>
            <w:r>
              <w:rPr>
                <w:b w:val="0"/>
                <w:spacing w:val="0"/>
              </w:rPr>
              <w:t xml:space="preserve">  English</w:t>
            </w:r>
          </w:p>
          <w:p w:rsidR="0043467F" w:rsidRDefault="0043467F" w:rsidP="000B31AD">
            <w:pPr>
              <w:pStyle w:val="Docoriginal"/>
            </w:pPr>
            <w:r>
              <w:t>Dat</w:t>
            </w:r>
            <w:r w:rsidRPr="00CD7AE6">
              <w:t>e:</w:t>
            </w:r>
            <w:r w:rsidRPr="00CD7AE6">
              <w:rPr>
                <w:b w:val="0"/>
                <w:spacing w:val="0"/>
              </w:rPr>
              <w:t xml:space="preserve">  </w:t>
            </w:r>
            <w:r w:rsidR="00CD7AE6" w:rsidRPr="00CD7AE6">
              <w:rPr>
                <w:b w:val="0"/>
                <w:spacing w:val="0"/>
              </w:rPr>
              <w:t xml:space="preserve">October </w:t>
            </w:r>
            <w:r w:rsidR="000B31AD">
              <w:rPr>
                <w:b w:val="0"/>
                <w:spacing w:val="0"/>
              </w:rPr>
              <w:t>5</w:t>
            </w:r>
            <w:r w:rsidRPr="00CD7AE6">
              <w:rPr>
                <w:b w:val="0"/>
                <w:spacing w:val="0"/>
              </w:rPr>
              <w:t>, 2021</w:t>
            </w:r>
          </w:p>
        </w:tc>
      </w:tr>
    </w:tbl>
    <w:p w:rsidR="0043467F" w:rsidRDefault="0043467F" w:rsidP="0043467F">
      <w:pPr>
        <w:pStyle w:val="Titleofdoc0"/>
      </w:pPr>
      <w:r>
        <w:t>Outcome of the consideration of documents by correspondence</w:t>
      </w:r>
    </w:p>
    <w:p w:rsidR="0043467F" w:rsidRDefault="003D0A5F" w:rsidP="0043467F">
      <w:pPr>
        <w:pStyle w:val="preparedby1"/>
        <w:jc w:val="left"/>
      </w:pPr>
      <w:r w:rsidRPr="003D0A5F">
        <w:t xml:space="preserve">Document </w:t>
      </w:r>
      <w:r w:rsidR="0043467F">
        <w:t>prepared by the Office of the Union</w:t>
      </w:r>
    </w:p>
    <w:p w:rsidR="0043467F" w:rsidRDefault="0043467F" w:rsidP="0043467F">
      <w:pPr>
        <w:pStyle w:val="Disclaimer"/>
      </w:pPr>
      <w:r>
        <w:t>Disclaimer:  this document does not represent UPOV policies or guidance</w:t>
      </w:r>
    </w:p>
    <w:p w:rsidR="00923899" w:rsidRDefault="00923899" w:rsidP="00923899">
      <w:pPr>
        <w:keepNext/>
        <w:outlineLvl w:val="0"/>
        <w:rPr>
          <w:caps/>
          <w:snapToGrid w:val="0"/>
        </w:rPr>
      </w:pPr>
      <w:bookmarkStart w:id="1" w:name="_Toc51935380"/>
      <w:bookmarkStart w:id="2" w:name="_Toc42523410"/>
      <w:bookmarkStart w:id="3" w:name="_Toc522523019"/>
      <w:bookmarkStart w:id="4" w:name="_Toc54097476"/>
      <w:bookmarkStart w:id="5" w:name="_Toc54097589"/>
      <w:bookmarkStart w:id="6" w:name="_Toc54097610"/>
      <w:bookmarkStart w:id="7" w:name="_Toc84268998"/>
      <w:r>
        <w:rPr>
          <w:caps/>
          <w:snapToGrid w:val="0"/>
        </w:rPr>
        <w:t>EXECUTIVE SUMMARY</w:t>
      </w:r>
      <w:bookmarkEnd w:id="1"/>
      <w:bookmarkEnd w:id="2"/>
      <w:bookmarkEnd w:id="3"/>
      <w:bookmarkEnd w:id="4"/>
      <w:bookmarkEnd w:id="5"/>
      <w:bookmarkEnd w:id="6"/>
      <w:bookmarkEnd w:id="7"/>
      <w:r>
        <w:rPr>
          <w:caps/>
          <w:snapToGrid w:val="0"/>
        </w:rPr>
        <w:t xml:space="preserve"> </w:t>
      </w:r>
    </w:p>
    <w:p w:rsidR="00923899" w:rsidRPr="00C972BF" w:rsidRDefault="00923899" w:rsidP="00923899">
      <w:pPr>
        <w:rPr>
          <w:caps/>
          <w:snapToGrid w:val="0"/>
        </w:rPr>
      </w:pPr>
    </w:p>
    <w:p w:rsidR="00923899" w:rsidRPr="00C972BF" w:rsidRDefault="00923899" w:rsidP="00923899">
      <w:r w:rsidRPr="00C972BF">
        <w:fldChar w:fldCharType="begin"/>
      </w:r>
      <w:r w:rsidRPr="00C972BF">
        <w:instrText xml:space="preserve"> AUTONUM  </w:instrText>
      </w:r>
      <w:r w:rsidRPr="00C972BF">
        <w:fldChar w:fldCharType="end"/>
      </w:r>
      <w:r w:rsidRPr="00C972BF">
        <w:tab/>
        <w:t xml:space="preserve">The purpose of this document is to report </w:t>
      </w:r>
      <w:r w:rsidR="002D3619">
        <w:t xml:space="preserve">on </w:t>
      </w:r>
      <w:r w:rsidRPr="00C972BF">
        <w:t xml:space="preserve">the outcome of </w:t>
      </w:r>
      <w:r w:rsidR="005D02F0">
        <w:t xml:space="preserve">the </w:t>
      </w:r>
      <w:r w:rsidRPr="00C972BF">
        <w:t xml:space="preserve">consideration </w:t>
      </w:r>
      <w:r w:rsidR="005D02F0">
        <w:t>by</w:t>
      </w:r>
      <w:r w:rsidRPr="00C972BF">
        <w:t xml:space="preserve"> the </w:t>
      </w:r>
      <w:r w:rsidRPr="00C972BF">
        <w:rPr>
          <w:rFonts w:cs="Arial"/>
        </w:rPr>
        <w:t xml:space="preserve">Administrative and Legal Committee (CAJ) </w:t>
      </w:r>
      <w:r w:rsidR="005D02F0">
        <w:rPr>
          <w:rFonts w:cs="Arial"/>
        </w:rPr>
        <w:t xml:space="preserve">of the </w:t>
      </w:r>
      <w:r w:rsidRPr="00C972BF">
        <w:t xml:space="preserve">documents by correspondence, in accordance with the procedure adopted by the Council </w:t>
      </w:r>
      <w:r w:rsidRPr="00E30364">
        <w:t>in 202</w:t>
      </w:r>
      <w:r w:rsidR="00236679" w:rsidRPr="00E30364">
        <w:t>1</w:t>
      </w:r>
      <w:r w:rsidRPr="00E30364">
        <w:rPr>
          <w:vertAlign w:val="superscript"/>
        </w:rPr>
        <w:footnoteReference w:id="2"/>
      </w:r>
      <w:r w:rsidR="005D02F0" w:rsidRPr="00E30364">
        <w:t>.</w:t>
      </w:r>
      <w:r w:rsidRPr="00C972BF">
        <w:t xml:space="preserve">  </w:t>
      </w:r>
    </w:p>
    <w:p w:rsidR="00923899" w:rsidRPr="00C972BF" w:rsidRDefault="00923899" w:rsidP="00923899"/>
    <w:p w:rsidR="00923899" w:rsidRPr="00C972BF" w:rsidRDefault="00923899" w:rsidP="00923899">
      <w:r w:rsidRPr="00C972BF">
        <w:fldChar w:fldCharType="begin"/>
      </w:r>
      <w:r w:rsidRPr="00C972BF">
        <w:instrText xml:space="preserve"> AUTONUM  </w:instrText>
      </w:r>
      <w:r w:rsidRPr="00C972BF">
        <w:fldChar w:fldCharType="end"/>
      </w:r>
      <w:r w:rsidRPr="00C972BF">
        <w:tab/>
        <w:t xml:space="preserve">The CAJ </w:t>
      </w:r>
      <w:r w:rsidR="00575B90">
        <w:t xml:space="preserve">is invited to note the approval of the CAJ by correspondence on September 21, 2021, of </w:t>
      </w:r>
      <w:r w:rsidRPr="00C972BF">
        <w:t>the decision</w:t>
      </w:r>
      <w:r w:rsidR="00C1693A">
        <w:t xml:space="preserve">s </w:t>
      </w:r>
      <w:r w:rsidRPr="00C972BF">
        <w:t>contained in the following documents:</w:t>
      </w:r>
    </w:p>
    <w:p w:rsidR="00923899" w:rsidRPr="00C972BF" w:rsidRDefault="00923899" w:rsidP="00923899"/>
    <w:p w:rsidR="00923899" w:rsidRDefault="00923899" w:rsidP="00367AE2">
      <w:pPr>
        <w:spacing w:after="120"/>
        <w:ind w:left="562"/>
        <w:rPr>
          <w:rFonts w:cs="Arial"/>
        </w:rPr>
      </w:pPr>
      <w:r w:rsidRPr="00E30364">
        <w:rPr>
          <w:rFonts w:cs="Arial"/>
        </w:rPr>
        <w:t>Development of guidance and information materials (document CAJ/7</w:t>
      </w:r>
      <w:r w:rsidR="00236679" w:rsidRPr="00E30364">
        <w:rPr>
          <w:rFonts w:cs="Arial"/>
        </w:rPr>
        <w:t>8</w:t>
      </w:r>
      <w:r w:rsidRPr="00E30364">
        <w:rPr>
          <w:rFonts w:cs="Arial"/>
        </w:rPr>
        <w:t>/3 Rev.)</w:t>
      </w:r>
    </w:p>
    <w:p w:rsidR="0055137E" w:rsidRPr="00A15D22" w:rsidRDefault="0055137E" w:rsidP="00367AE2">
      <w:pPr>
        <w:pStyle w:val="ListParagraph"/>
        <w:keepNext/>
        <w:spacing w:after="60"/>
        <w:ind w:left="2837" w:hanging="1699"/>
        <w:contextualSpacing w:val="0"/>
        <w:rPr>
          <w:rFonts w:cs="Angsana New"/>
          <w:szCs w:val="24"/>
          <w:lang w:eastAsia="ja-JP" w:bidi="th-TH"/>
        </w:rPr>
      </w:pPr>
      <w:r>
        <w:rPr>
          <w:rFonts w:cs="Angsana New"/>
          <w:szCs w:val="24"/>
          <w:lang w:eastAsia="ja-JP" w:bidi="th-TH"/>
        </w:rPr>
        <w:t>UPOV/INF/16:</w:t>
      </w:r>
      <w:r>
        <w:rPr>
          <w:rFonts w:cs="Angsana New"/>
          <w:szCs w:val="24"/>
          <w:lang w:eastAsia="ja-JP" w:bidi="th-TH"/>
        </w:rPr>
        <w:tab/>
      </w:r>
      <w:r w:rsidRPr="00157E95">
        <w:rPr>
          <w:rFonts w:cs="Angsana New"/>
          <w:szCs w:val="24"/>
          <w:lang w:eastAsia="ja-JP" w:bidi="th-TH"/>
        </w:rPr>
        <w:t xml:space="preserve">Exchangeable </w:t>
      </w:r>
      <w:r w:rsidRPr="00A15D22">
        <w:rPr>
          <w:rFonts w:cs="Angsana New"/>
          <w:szCs w:val="24"/>
          <w:lang w:eastAsia="ja-JP" w:bidi="th-TH"/>
        </w:rPr>
        <w:t xml:space="preserve">Software (Revision) </w:t>
      </w:r>
      <w:r w:rsidRPr="00A15D22">
        <w:rPr>
          <w:rFonts w:cs="Arial"/>
        </w:rPr>
        <w:t xml:space="preserve">(document </w:t>
      </w:r>
      <w:r>
        <w:rPr>
          <w:rFonts w:cs="Angsana New"/>
          <w:szCs w:val="24"/>
          <w:lang w:eastAsia="ja-JP" w:bidi="th-TH"/>
        </w:rPr>
        <w:t>UPOV/INF/16/10 Draft 2</w:t>
      </w:r>
      <w:r w:rsidRPr="00A15D22">
        <w:rPr>
          <w:rFonts w:cs="Arial"/>
        </w:rPr>
        <w:t>)</w:t>
      </w:r>
    </w:p>
    <w:p w:rsidR="0055137E" w:rsidRPr="00A15D22" w:rsidRDefault="0055137E" w:rsidP="00367AE2">
      <w:pPr>
        <w:pStyle w:val="ListParagraph"/>
        <w:keepNext/>
        <w:spacing w:after="60"/>
        <w:ind w:left="2837" w:hanging="1699"/>
        <w:contextualSpacing w:val="0"/>
        <w:jc w:val="left"/>
        <w:rPr>
          <w:rFonts w:cs="Angsana New"/>
          <w:szCs w:val="24"/>
          <w:lang w:eastAsia="ja-JP" w:bidi="th-TH"/>
        </w:rPr>
      </w:pPr>
      <w:r>
        <w:rPr>
          <w:rFonts w:cs="Angsana New"/>
          <w:szCs w:val="24"/>
          <w:lang w:eastAsia="ja-JP" w:bidi="th-TH"/>
        </w:rPr>
        <w:t>UPOV/INF/17:</w:t>
      </w:r>
      <w:r>
        <w:rPr>
          <w:rFonts w:cs="Angsana New"/>
          <w:szCs w:val="24"/>
          <w:lang w:eastAsia="ja-JP" w:bidi="th-TH"/>
        </w:rPr>
        <w:tab/>
      </w:r>
      <w:r w:rsidRPr="00505604">
        <w:rPr>
          <w:rFonts w:cs="Angsana New"/>
          <w:szCs w:val="24"/>
          <w:lang w:eastAsia="ja-JP" w:bidi="th-TH"/>
        </w:rPr>
        <w:t xml:space="preserve">Guidelines for DNA-Profiling: Molecular Marker Selection and Database Construction (“BMT Guidelines”) (Revision) </w:t>
      </w:r>
      <w:r>
        <w:rPr>
          <w:rFonts w:cs="Angsana New"/>
          <w:szCs w:val="24"/>
          <w:lang w:eastAsia="ja-JP" w:bidi="th-TH"/>
        </w:rPr>
        <w:br/>
      </w:r>
      <w:r w:rsidRPr="00A15D22">
        <w:rPr>
          <w:rFonts w:cs="Arial"/>
        </w:rPr>
        <w:t>(document</w:t>
      </w:r>
      <w:r>
        <w:t> </w:t>
      </w:r>
      <w:r>
        <w:rPr>
          <w:rFonts w:cs="Arial"/>
        </w:rPr>
        <w:t>UPOV/INF/17/2 Draft </w:t>
      </w:r>
      <w:r w:rsidRPr="00505604">
        <w:rPr>
          <w:rFonts w:cs="Arial"/>
        </w:rPr>
        <w:t>6</w:t>
      </w:r>
      <w:r w:rsidRPr="00A15D22">
        <w:rPr>
          <w:rFonts w:cs="Arial"/>
        </w:rPr>
        <w:t>)</w:t>
      </w:r>
    </w:p>
    <w:p w:rsidR="0055137E" w:rsidRPr="00A15D22" w:rsidRDefault="0055137E" w:rsidP="00367AE2">
      <w:pPr>
        <w:pStyle w:val="ListParagraph"/>
        <w:keepNext/>
        <w:spacing w:after="60"/>
        <w:ind w:left="2837" w:hanging="1699"/>
        <w:contextualSpacing w:val="0"/>
        <w:rPr>
          <w:rFonts w:cs="Angsana New"/>
          <w:szCs w:val="24"/>
          <w:lang w:eastAsia="ja-JP" w:bidi="th-TH"/>
        </w:rPr>
      </w:pPr>
      <w:r w:rsidRPr="00A15D22">
        <w:rPr>
          <w:rFonts w:cs="Angsana New"/>
          <w:szCs w:val="24"/>
          <w:lang w:eastAsia="ja-JP" w:bidi="th-TH"/>
        </w:rPr>
        <w:t>UPOV/INF/22:</w:t>
      </w:r>
      <w:r>
        <w:rPr>
          <w:rFonts w:cs="Angsana New"/>
          <w:szCs w:val="24"/>
          <w:lang w:eastAsia="ja-JP" w:bidi="th-TH"/>
        </w:rPr>
        <w:tab/>
      </w:r>
      <w:r w:rsidRPr="00A15D22">
        <w:rPr>
          <w:rFonts w:cs="Angsana New"/>
          <w:szCs w:val="24"/>
          <w:lang w:eastAsia="ja-JP" w:bidi="th-TH"/>
        </w:rPr>
        <w:t xml:space="preserve">Software and Equipment Used by Members of the Union (Revision) </w:t>
      </w:r>
      <w:r w:rsidRPr="00A15D22">
        <w:rPr>
          <w:rFonts w:cs="Arial"/>
        </w:rPr>
        <w:t>(document </w:t>
      </w:r>
      <w:r>
        <w:rPr>
          <w:rFonts w:cs="Angsana New"/>
          <w:szCs w:val="24"/>
          <w:lang w:eastAsia="ja-JP" w:bidi="th-TH"/>
        </w:rPr>
        <w:t>UPOV/INF/22/8 Draft 2</w:t>
      </w:r>
      <w:r w:rsidRPr="00A15D22">
        <w:rPr>
          <w:rFonts w:cs="Arial"/>
        </w:rPr>
        <w:t>)</w:t>
      </w:r>
    </w:p>
    <w:p w:rsidR="0055137E" w:rsidRDefault="0055137E" w:rsidP="00575B90">
      <w:pPr>
        <w:pStyle w:val="ListParagraph"/>
        <w:keepNext/>
        <w:spacing w:after="120"/>
        <w:ind w:left="2837" w:hanging="1699"/>
        <w:contextualSpacing w:val="0"/>
        <w:rPr>
          <w:rFonts w:cs="Angsana New"/>
          <w:szCs w:val="24"/>
          <w:lang w:eastAsia="ja-JP" w:bidi="th-TH"/>
        </w:rPr>
      </w:pPr>
      <w:r>
        <w:rPr>
          <w:rFonts w:cs="Angsana New"/>
          <w:szCs w:val="24"/>
          <w:lang w:eastAsia="ja-JP" w:bidi="th-TH"/>
        </w:rPr>
        <w:t>UPOV/INF/23:</w:t>
      </w:r>
      <w:r>
        <w:rPr>
          <w:rFonts w:cs="Angsana New"/>
          <w:szCs w:val="24"/>
          <w:lang w:eastAsia="ja-JP" w:bidi="th-TH"/>
        </w:rPr>
        <w:tab/>
      </w:r>
      <w:r w:rsidRPr="00A15D22">
        <w:rPr>
          <w:rFonts w:cs="Angsana New"/>
          <w:szCs w:val="24"/>
          <w:lang w:eastAsia="ja-JP" w:bidi="th-TH"/>
        </w:rPr>
        <w:t>UPOV Code System</w:t>
      </w:r>
      <w:r>
        <w:rPr>
          <w:rFonts w:cs="Angsana New"/>
          <w:szCs w:val="24"/>
          <w:lang w:eastAsia="ja-JP" w:bidi="th-TH"/>
        </w:rPr>
        <w:t xml:space="preserve"> (document UPOV/INF/23/1 Draft 3</w:t>
      </w:r>
      <w:r w:rsidRPr="00A15D22">
        <w:rPr>
          <w:rFonts w:cs="Angsana New"/>
          <w:szCs w:val="24"/>
          <w:lang w:eastAsia="ja-JP" w:bidi="th-TH"/>
        </w:rPr>
        <w:t>)</w:t>
      </w:r>
    </w:p>
    <w:p w:rsidR="00367AE2" w:rsidRDefault="00367AE2" w:rsidP="00367AE2">
      <w:pPr>
        <w:spacing w:after="120"/>
        <w:ind w:left="562"/>
        <w:rPr>
          <w:rFonts w:cs="Arial"/>
        </w:rPr>
      </w:pPr>
      <w:r w:rsidRPr="001A2D6A">
        <w:rPr>
          <w:rFonts w:cs="Arial"/>
        </w:rPr>
        <w:t>Explanatory Notes on Variety Denominations under the UPOV Convention (document CAJ/78/11)</w:t>
      </w:r>
    </w:p>
    <w:p w:rsidR="00575B90" w:rsidRPr="001A2D6A" w:rsidRDefault="00575B90" w:rsidP="00575B90">
      <w:pPr>
        <w:spacing w:after="120"/>
        <w:ind w:left="2837" w:hanging="1699"/>
        <w:rPr>
          <w:rFonts w:cs="Arial"/>
        </w:rPr>
      </w:pPr>
      <w:r>
        <w:rPr>
          <w:rFonts w:cs="Arial"/>
        </w:rPr>
        <w:t>UPOV/EXN/DEN:</w:t>
      </w:r>
      <w:r>
        <w:rPr>
          <w:rFonts w:cs="Arial"/>
        </w:rPr>
        <w:tab/>
      </w:r>
      <w:r w:rsidRPr="00575B90">
        <w:rPr>
          <w:rFonts w:cs="Arial"/>
        </w:rPr>
        <w:t>Explanatory Notes on Variety Denominations under the UPOV Convention (document UPOV/EXN/DEN/1 Draft 6)</w:t>
      </w:r>
    </w:p>
    <w:p w:rsidR="00E12515" w:rsidRPr="00E30364" w:rsidRDefault="00E12515" w:rsidP="00367AE2">
      <w:pPr>
        <w:ind w:left="562"/>
        <w:rPr>
          <w:rFonts w:cs="Arial"/>
        </w:rPr>
      </w:pPr>
      <w:r w:rsidRPr="00E30364">
        <w:rPr>
          <w:rFonts w:cs="Arial"/>
        </w:rPr>
        <w:t>Harvested material (document CAJ/78/5)</w:t>
      </w:r>
    </w:p>
    <w:p w:rsidR="00923899" w:rsidRDefault="00923899" w:rsidP="00923899"/>
    <w:p w:rsidR="0015228A" w:rsidRDefault="0015228A" w:rsidP="005F3E59">
      <w:r w:rsidRPr="00367AE2">
        <w:fldChar w:fldCharType="begin"/>
      </w:r>
      <w:r w:rsidRPr="00367AE2">
        <w:instrText xml:space="preserve"> AUTONUM  </w:instrText>
      </w:r>
      <w:r w:rsidRPr="00367AE2">
        <w:fldChar w:fldCharType="end"/>
      </w:r>
      <w:r w:rsidRPr="00367AE2">
        <w:tab/>
      </w:r>
      <w:r w:rsidR="00E8202A" w:rsidRPr="00C972BF">
        <w:t xml:space="preserve">The CAJ </w:t>
      </w:r>
      <w:r w:rsidR="00E8202A">
        <w:t xml:space="preserve">is invited to note </w:t>
      </w:r>
      <w:r w:rsidR="004D00DC" w:rsidRPr="00367AE2">
        <w:rPr>
          <w:rFonts w:cs="Arial"/>
        </w:rPr>
        <w:t xml:space="preserve">the </w:t>
      </w:r>
      <w:r w:rsidRPr="00367AE2">
        <w:rPr>
          <w:rFonts w:cs="Arial"/>
        </w:rPr>
        <w:t xml:space="preserve">comments </w:t>
      </w:r>
      <w:r w:rsidR="00E30364" w:rsidRPr="00367AE2">
        <w:rPr>
          <w:rFonts w:cs="Arial"/>
        </w:rPr>
        <w:t>on document CAJ/78/5</w:t>
      </w:r>
      <w:r w:rsidR="004D00DC" w:rsidRPr="00367AE2">
        <w:rPr>
          <w:rFonts w:cs="Arial"/>
        </w:rPr>
        <w:t xml:space="preserve"> “Harvested material”</w:t>
      </w:r>
      <w:r w:rsidR="00C1693A">
        <w:rPr>
          <w:rFonts w:cs="Arial"/>
        </w:rPr>
        <w:t>,</w:t>
      </w:r>
      <w:r w:rsidR="00E30364" w:rsidRPr="00367AE2">
        <w:rPr>
          <w:rFonts w:cs="Arial"/>
        </w:rPr>
        <w:t xml:space="preserve"> </w:t>
      </w:r>
      <w:r w:rsidRPr="00367AE2">
        <w:rPr>
          <w:rFonts w:cs="Arial"/>
        </w:rPr>
        <w:t>received in response to C</w:t>
      </w:r>
      <w:r w:rsidR="00275A3A" w:rsidRPr="00367AE2">
        <w:rPr>
          <w:rFonts w:cs="Arial"/>
        </w:rPr>
        <w:t>ircular</w:t>
      </w:r>
      <w:r w:rsidR="00E30364" w:rsidRPr="00367AE2">
        <w:rPr>
          <w:rFonts w:cs="Arial"/>
        </w:rPr>
        <w:t> </w:t>
      </w:r>
      <w:r w:rsidR="00275A3A" w:rsidRPr="00367AE2">
        <w:rPr>
          <w:rFonts w:cs="Arial"/>
        </w:rPr>
        <w:t>E-21/123</w:t>
      </w:r>
      <w:r w:rsidRPr="00367AE2">
        <w:rPr>
          <w:rFonts w:cs="Arial"/>
        </w:rPr>
        <w:t xml:space="preserve"> of August 2</w:t>
      </w:r>
      <w:r w:rsidR="00D354EC" w:rsidRPr="00367AE2">
        <w:rPr>
          <w:rFonts w:cs="Arial"/>
        </w:rPr>
        <w:t>3</w:t>
      </w:r>
      <w:r w:rsidRPr="00367AE2">
        <w:rPr>
          <w:rFonts w:cs="Arial"/>
        </w:rPr>
        <w:t xml:space="preserve">, 2021, that have not resulted in a revision of </w:t>
      </w:r>
      <w:r w:rsidR="00E30364" w:rsidRPr="00367AE2">
        <w:rPr>
          <w:rFonts w:cs="Arial"/>
        </w:rPr>
        <w:t xml:space="preserve">document CAJ/78/5 </w:t>
      </w:r>
      <w:r w:rsidR="00E8202A">
        <w:rPr>
          <w:rFonts w:cs="Arial"/>
        </w:rPr>
        <w:t>(see p</w:t>
      </w:r>
      <w:r w:rsidR="00E8202A" w:rsidRPr="00082224">
        <w:rPr>
          <w:rFonts w:cs="Arial"/>
        </w:rPr>
        <w:t>aragraph</w:t>
      </w:r>
      <w:r w:rsidR="002576E4" w:rsidRPr="00082224">
        <w:rPr>
          <w:rFonts w:cs="Arial"/>
        </w:rPr>
        <w:t xml:space="preserve"> 33)</w:t>
      </w:r>
      <w:r w:rsidRPr="00082224">
        <w:rPr>
          <w:rFonts w:cs="Arial"/>
        </w:rPr>
        <w:t>.</w:t>
      </w:r>
    </w:p>
    <w:p w:rsidR="00367AE2" w:rsidRDefault="00367AE2">
      <w:pPr>
        <w:jc w:val="left"/>
      </w:pPr>
      <w:r>
        <w:br w:type="page"/>
      </w:r>
    </w:p>
    <w:p w:rsidR="00923899" w:rsidRPr="00157E95" w:rsidRDefault="00923899" w:rsidP="00923899">
      <w:pPr>
        <w:spacing w:after="120"/>
        <w:rPr>
          <w:rFonts w:cs="Arial"/>
        </w:rPr>
      </w:pPr>
      <w:r w:rsidRPr="00157E95">
        <w:rPr>
          <w:rFonts w:cs="Arial"/>
        </w:rPr>
        <w:lastRenderedPageBreak/>
        <w:fldChar w:fldCharType="begin"/>
      </w:r>
      <w:r w:rsidRPr="00157E95">
        <w:rPr>
          <w:rFonts w:cs="Arial"/>
        </w:rPr>
        <w:instrText xml:space="preserve"> AUTONUM  </w:instrText>
      </w:r>
      <w:r w:rsidRPr="00157E95">
        <w:rPr>
          <w:rFonts w:cs="Arial"/>
        </w:rPr>
        <w:fldChar w:fldCharType="end"/>
      </w:r>
      <w:r w:rsidRPr="00157E95">
        <w:rPr>
          <w:rFonts w:cs="Arial"/>
        </w:rPr>
        <w:tab/>
        <w:t>The structure of this document is as follows:</w:t>
      </w:r>
    </w:p>
    <w:p w:rsidR="00AE5426" w:rsidRDefault="008F4317">
      <w:pPr>
        <w:pStyle w:val="TOC1"/>
        <w:rPr>
          <w:rFonts w:asciiTheme="minorHAnsi" w:eastAsiaTheme="minorEastAsia" w:hAnsiTheme="minorHAnsi" w:cstheme="minorBidi"/>
          <w:caps w:val="0"/>
          <w:noProof/>
          <w:sz w:val="22"/>
          <w:szCs w:val="22"/>
        </w:rPr>
      </w:pPr>
      <w:r>
        <w:rPr>
          <w:noProof/>
          <w:spacing w:val="4"/>
        </w:rPr>
        <w:fldChar w:fldCharType="begin"/>
      </w:r>
      <w:r>
        <w:rPr>
          <w:noProof/>
          <w:spacing w:val="4"/>
        </w:rPr>
        <w:instrText xml:space="preserve"> TOC \o "1-4" \h \z \u </w:instrText>
      </w:r>
      <w:r>
        <w:rPr>
          <w:noProof/>
          <w:spacing w:val="4"/>
        </w:rPr>
        <w:fldChar w:fldCharType="separate"/>
      </w:r>
      <w:hyperlink w:anchor="_Toc84268998" w:history="1">
        <w:r w:rsidR="00AE5426" w:rsidRPr="004A7706">
          <w:rPr>
            <w:rStyle w:val="Hyperlink"/>
            <w:snapToGrid w:val="0"/>
          </w:rPr>
          <w:t>EXECUTIVE SUMMARY</w:t>
        </w:r>
        <w:r w:rsidR="00AE5426">
          <w:rPr>
            <w:noProof/>
            <w:webHidden/>
          </w:rPr>
          <w:tab/>
        </w:r>
        <w:r w:rsidR="00AE5426">
          <w:rPr>
            <w:noProof/>
            <w:webHidden/>
          </w:rPr>
          <w:fldChar w:fldCharType="begin"/>
        </w:r>
        <w:r w:rsidR="00AE5426">
          <w:rPr>
            <w:noProof/>
            <w:webHidden/>
          </w:rPr>
          <w:instrText xml:space="preserve"> PAGEREF _Toc84268998 \h </w:instrText>
        </w:r>
        <w:r w:rsidR="00AE5426">
          <w:rPr>
            <w:noProof/>
            <w:webHidden/>
          </w:rPr>
        </w:r>
        <w:r w:rsidR="00AE5426">
          <w:rPr>
            <w:noProof/>
            <w:webHidden/>
          </w:rPr>
          <w:fldChar w:fldCharType="separate"/>
        </w:r>
        <w:r w:rsidR="00AE5426">
          <w:rPr>
            <w:noProof/>
            <w:webHidden/>
          </w:rPr>
          <w:t>1</w:t>
        </w:r>
        <w:r w:rsidR="00AE5426">
          <w:rPr>
            <w:noProof/>
            <w:webHidden/>
          </w:rPr>
          <w:fldChar w:fldCharType="end"/>
        </w:r>
      </w:hyperlink>
    </w:p>
    <w:p w:rsidR="00AE5426" w:rsidRDefault="00560BFC">
      <w:pPr>
        <w:pStyle w:val="TOC1"/>
        <w:rPr>
          <w:rFonts w:asciiTheme="minorHAnsi" w:eastAsiaTheme="minorEastAsia" w:hAnsiTheme="minorHAnsi" w:cstheme="minorBidi"/>
          <w:caps w:val="0"/>
          <w:noProof/>
          <w:sz w:val="22"/>
          <w:szCs w:val="22"/>
        </w:rPr>
      </w:pPr>
      <w:hyperlink w:anchor="_Toc84268999" w:history="1">
        <w:r w:rsidR="00AE5426" w:rsidRPr="004A7706">
          <w:rPr>
            <w:rStyle w:val="Hyperlink"/>
          </w:rPr>
          <w:t>Background</w:t>
        </w:r>
        <w:r w:rsidR="00AE5426">
          <w:rPr>
            <w:noProof/>
            <w:webHidden/>
          </w:rPr>
          <w:tab/>
        </w:r>
        <w:r w:rsidR="00AE5426">
          <w:rPr>
            <w:noProof/>
            <w:webHidden/>
          </w:rPr>
          <w:fldChar w:fldCharType="begin"/>
        </w:r>
        <w:r w:rsidR="00AE5426">
          <w:rPr>
            <w:noProof/>
            <w:webHidden/>
          </w:rPr>
          <w:instrText xml:space="preserve"> PAGEREF _Toc84268999 \h </w:instrText>
        </w:r>
        <w:r w:rsidR="00AE5426">
          <w:rPr>
            <w:noProof/>
            <w:webHidden/>
          </w:rPr>
        </w:r>
        <w:r w:rsidR="00AE5426">
          <w:rPr>
            <w:noProof/>
            <w:webHidden/>
          </w:rPr>
          <w:fldChar w:fldCharType="separate"/>
        </w:r>
        <w:r w:rsidR="00AE5426">
          <w:rPr>
            <w:noProof/>
            <w:webHidden/>
          </w:rPr>
          <w:t>2</w:t>
        </w:r>
        <w:r w:rsidR="00AE5426">
          <w:rPr>
            <w:noProof/>
            <w:webHidden/>
          </w:rPr>
          <w:fldChar w:fldCharType="end"/>
        </w:r>
      </w:hyperlink>
    </w:p>
    <w:p w:rsidR="00AE5426" w:rsidRDefault="00560BFC">
      <w:pPr>
        <w:pStyle w:val="TOC1"/>
        <w:rPr>
          <w:rFonts w:asciiTheme="minorHAnsi" w:eastAsiaTheme="minorEastAsia" w:hAnsiTheme="minorHAnsi" w:cstheme="minorBidi"/>
          <w:caps w:val="0"/>
          <w:noProof/>
          <w:sz w:val="22"/>
          <w:szCs w:val="22"/>
        </w:rPr>
      </w:pPr>
      <w:hyperlink w:anchor="_Toc84269000" w:history="1">
        <w:r w:rsidR="00AE5426" w:rsidRPr="004A7706">
          <w:rPr>
            <w:rStyle w:val="Hyperlink"/>
          </w:rPr>
          <w:t>Agenda item 6:  Development of guidance and information materials (document </w:t>
        </w:r>
        <w:r w:rsidR="00AE5426" w:rsidRPr="004A7706">
          <w:rPr>
            <w:rStyle w:val="Hyperlink"/>
            <w:snapToGrid w:val="0"/>
          </w:rPr>
          <w:t>CAJ/78/3 Rev.)</w:t>
        </w:r>
        <w:r w:rsidR="00AE5426">
          <w:rPr>
            <w:noProof/>
            <w:webHidden/>
          </w:rPr>
          <w:tab/>
        </w:r>
        <w:r w:rsidR="00AE5426">
          <w:rPr>
            <w:noProof/>
            <w:webHidden/>
          </w:rPr>
          <w:fldChar w:fldCharType="begin"/>
        </w:r>
        <w:r w:rsidR="00AE5426">
          <w:rPr>
            <w:noProof/>
            <w:webHidden/>
          </w:rPr>
          <w:instrText xml:space="preserve"> PAGEREF _Toc84269000 \h </w:instrText>
        </w:r>
        <w:r w:rsidR="00AE5426">
          <w:rPr>
            <w:noProof/>
            <w:webHidden/>
          </w:rPr>
        </w:r>
        <w:r w:rsidR="00AE5426">
          <w:rPr>
            <w:noProof/>
            <w:webHidden/>
          </w:rPr>
          <w:fldChar w:fldCharType="separate"/>
        </w:r>
        <w:r w:rsidR="00AE5426">
          <w:rPr>
            <w:noProof/>
            <w:webHidden/>
          </w:rPr>
          <w:t>3</w:t>
        </w:r>
        <w:r w:rsidR="00AE5426">
          <w:rPr>
            <w:noProof/>
            <w:webHidden/>
          </w:rPr>
          <w:fldChar w:fldCharType="end"/>
        </w:r>
      </w:hyperlink>
    </w:p>
    <w:p w:rsidR="00AE5426" w:rsidRDefault="00560BFC">
      <w:pPr>
        <w:pStyle w:val="TOC2"/>
        <w:rPr>
          <w:rFonts w:asciiTheme="minorHAnsi" w:eastAsiaTheme="minorEastAsia" w:hAnsiTheme="minorHAnsi" w:cstheme="minorBidi"/>
          <w:noProof/>
          <w:sz w:val="22"/>
          <w:szCs w:val="22"/>
        </w:rPr>
      </w:pPr>
      <w:hyperlink w:anchor="_Toc84269001" w:history="1">
        <w:r w:rsidR="00AE5426" w:rsidRPr="004A7706">
          <w:rPr>
            <w:rStyle w:val="Hyperlink"/>
            <w:rFonts w:cs="Arial"/>
          </w:rPr>
          <w:t>I</w:t>
        </w:r>
        <w:r w:rsidR="00AE5426" w:rsidRPr="004A7706">
          <w:rPr>
            <w:rStyle w:val="Hyperlink"/>
          </w:rPr>
          <w:t>nformation Materials</w:t>
        </w:r>
        <w:r w:rsidR="00AE5426">
          <w:rPr>
            <w:noProof/>
            <w:webHidden/>
          </w:rPr>
          <w:tab/>
        </w:r>
        <w:r w:rsidR="00AE5426">
          <w:rPr>
            <w:noProof/>
            <w:webHidden/>
          </w:rPr>
          <w:fldChar w:fldCharType="begin"/>
        </w:r>
        <w:r w:rsidR="00AE5426">
          <w:rPr>
            <w:noProof/>
            <w:webHidden/>
          </w:rPr>
          <w:instrText xml:space="preserve"> PAGEREF _Toc84269001 \h </w:instrText>
        </w:r>
        <w:r w:rsidR="00AE5426">
          <w:rPr>
            <w:noProof/>
            <w:webHidden/>
          </w:rPr>
        </w:r>
        <w:r w:rsidR="00AE5426">
          <w:rPr>
            <w:noProof/>
            <w:webHidden/>
          </w:rPr>
          <w:fldChar w:fldCharType="separate"/>
        </w:r>
        <w:r w:rsidR="00AE5426">
          <w:rPr>
            <w:noProof/>
            <w:webHidden/>
          </w:rPr>
          <w:t>3</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02" w:history="1">
        <w:r w:rsidR="00AE5426" w:rsidRPr="004A7706">
          <w:rPr>
            <w:rStyle w:val="Hyperlink"/>
            <w:rFonts w:cs="Arial"/>
          </w:rPr>
          <w:t>UPOV/INF/16:  Exchangeable Software (Revision) (document UPOV/INF/16/10 Draft 2)</w:t>
        </w:r>
        <w:r w:rsidR="00AE5426">
          <w:rPr>
            <w:noProof/>
            <w:webHidden/>
          </w:rPr>
          <w:tab/>
        </w:r>
        <w:r w:rsidR="00AE5426">
          <w:rPr>
            <w:noProof/>
            <w:webHidden/>
          </w:rPr>
          <w:fldChar w:fldCharType="begin"/>
        </w:r>
        <w:r w:rsidR="00AE5426">
          <w:rPr>
            <w:noProof/>
            <w:webHidden/>
          </w:rPr>
          <w:instrText xml:space="preserve"> PAGEREF _Toc84269002 \h </w:instrText>
        </w:r>
        <w:r w:rsidR="00AE5426">
          <w:rPr>
            <w:noProof/>
            <w:webHidden/>
          </w:rPr>
        </w:r>
        <w:r w:rsidR="00AE5426">
          <w:rPr>
            <w:noProof/>
            <w:webHidden/>
          </w:rPr>
          <w:fldChar w:fldCharType="separate"/>
        </w:r>
        <w:r w:rsidR="00AE5426">
          <w:rPr>
            <w:noProof/>
            <w:webHidden/>
          </w:rPr>
          <w:t>3</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03" w:history="1">
        <w:r w:rsidR="00AE5426" w:rsidRPr="004A7706">
          <w:rPr>
            <w:rStyle w:val="Hyperlink"/>
            <w:rFonts w:cs="Arial"/>
          </w:rPr>
          <w:t>UPOV/INF/17:  Guidelines for DNA-Profiling: Molecular Marker Selection and Database Construction (“BMT Guidelines”) (Revision) (document UPOV/INF/17/2 Draft 6)</w:t>
        </w:r>
        <w:r w:rsidR="00AE5426">
          <w:rPr>
            <w:noProof/>
            <w:webHidden/>
          </w:rPr>
          <w:tab/>
        </w:r>
        <w:r w:rsidR="00AE5426">
          <w:rPr>
            <w:noProof/>
            <w:webHidden/>
          </w:rPr>
          <w:fldChar w:fldCharType="begin"/>
        </w:r>
        <w:r w:rsidR="00AE5426">
          <w:rPr>
            <w:noProof/>
            <w:webHidden/>
          </w:rPr>
          <w:instrText xml:space="preserve"> PAGEREF _Toc84269003 \h </w:instrText>
        </w:r>
        <w:r w:rsidR="00AE5426">
          <w:rPr>
            <w:noProof/>
            <w:webHidden/>
          </w:rPr>
        </w:r>
        <w:r w:rsidR="00AE5426">
          <w:rPr>
            <w:noProof/>
            <w:webHidden/>
          </w:rPr>
          <w:fldChar w:fldCharType="separate"/>
        </w:r>
        <w:r w:rsidR="00AE5426">
          <w:rPr>
            <w:noProof/>
            <w:webHidden/>
          </w:rPr>
          <w:t>3</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04" w:history="1">
        <w:r w:rsidR="00AE5426" w:rsidRPr="004A7706">
          <w:rPr>
            <w:rStyle w:val="Hyperlink"/>
            <w:rFonts w:cs="Arial"/>
          </w:rPr>
          <w:t>UPOV/INF/22:  Software and Equipment Used by Members of the Union (Revision) (document UPOV/INF/22/8 Draft 2)</w:t>
        </w:r>
        <w:r w:rsidR="00AE5426">
          <w:rPr>
            <w:noProof/>
            <w:webHidden/>
          </w:rPr>
          <w:tab/>
        </w:r>
        <w:r w:rsidR="00AE5426">
          <w:rPr>
            <w:noProof/>
            <w:webHidden/>
          </w:rPr>
          <w:fldChar w:fldCharType="begin"/>
        </w:r>
        <w:r w:rsidR="00AE5426">
          <w:rPr>
            <w:noProof/>
            <w:webHidden/>
          </w:rPr>
          <w:instrText xml:space="preserve"> PAGEREF _Toc84269004 \h </w:instrText>
        </w:r>
        <w:r w:rsidR="00AE5426">
          <w:rPr>
            <w:noProof/>
            <w:webHidden/>
          </w:rPr>
        </w:r>
        <w:r w:rsidR="00AE5426">
          <w:rPr>
            <w:noProof/>
            <w:webHidden/>
          </w:rPr>
          <w:fldChar w:fldCharType="separate"/>
        </w:r>
        <w:r w:rsidR="00AE5426">
          <w:rPr>
            <w:noProof/>
            <w:webHidden/>
          </w:rPr>
          <w:t>3</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05" w:history="1">
        <w:r w:rsidR="00AE5426" w:rsidRPr="004A7706">
          <w:rPr>
            <w:rStyle w:val="Hyperlink"/>
            <w:rFonts w:cs="Arial"/>
          </w:rPr>
          <w:t>UPOV/INF/23:  UPOV Code System (document UPOV/INF/23/1 Draft 3)</w:t>
        </w:r>
        <w:r w:rsidR="00AE5426">
          <w:rPr>
            <w:noProof/>
            <w:webHidden/>
          </w:rPr>
          <w:tab/>
        </w:r>
        <w:r w:rsidR="00AE5426">
          <w:rPr>
            <w:noProof/>
            <w:webHidden/>
          </w:rPr>
          <w:fldChar w:fldCharType="begin"/>
        </w:r>
        <w:r w:rsidR="00AE5426">
          <w:rPr>
            <w:noProof/>
            <w:webHidden/>
          </w:rPr>
          <w:instrText xml:space="preserve"> PAGEREF _Toc84269005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2"/>
        <w:rPr>
          <w:rFonts w:asciiTheme="minorHAnsi" w:eastAsiaTheme="minorEastAsia" w:hAnsiTheme="minorHAnsi" w:cstheme="minorBidi"/>
          <w:noProof/>
          <w:sz w:val="22"/>
          <w:szCs w:val="22"/>
        </w:rPr>
      </w:pPr>
      <w:hyperlink w:anchor="_Toc84269006" w:history="1">
        <w:r w:rsidR="00AE5426" w:rsidRPr="004A7706">
          <w:rPr>
            <w:rStyle w:val="Hyperlink"/>
            <w:rFonts w:cs="Arial"/>
            <w:snapToGrid w:val="0"/>
          </w:rPr>
          <w:t>Explanatory Notes</w:t>
        </w:r>
        <w:r w:rsidR="00AE5426">
          <w:rPr>
            <w:noProof/>
            <w:webHidden/>
          </w:rPr>
          <w:tab/>
        </w:r>
        <w:r w:rsidR="00AE5426">
          <w:rPr>
            <w:noProof/>
            <w:webHidden/>
          </w:rPr>
          <w:fldChar w:fldCharType="begin"/>
        </w:r>
        <w:r w:rsidR="00AE5426">
          <w:rPr>
            <w:noProof/>
            <w:webHidden/>
          </w:rPr>
          <w:instrText xml:space="preserve"> PAGEREF _Toc84269006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07" w:history="1">
        <w:r w:rsidR="00AE5426" w:rsidRPr="004A7706">
          <w:rPr>
            <w:rStyle w:val="Hyperlink"/>
            <w:rFonts w:cs="Arial"/>
          </w:rPr>
          <w:t>UPOV/EXN/DEN:  Explanatory Notes on Variety Denominations under the UPOV Convention (document UPOV/EXN/DEN/1 Draft 6)</w:t>
        </w:r>
        <w:r w:rsidR="00AE5426">
          <w:rPr>
            <w:noProof/>
            <w:webHidden/>
          </w:rPr>
          <w:tab/>
        </w:r>
        <w:r w:rsidR="00AE5426">
          <w:rPr>
            <w:noProof/>
            <w:webHidden/>
          </w:rPr>
          <w:fldChar w:fldCharType="begin"/>
        </w:r>
        <w:r w:rsidR="00AE5426">
          <w:rPr>
            <w:noProof/>
            <w:webHidden/>
          </w:rPr>
          <w:instrText xml:space="preserve"> PAGEREF _Toc84269007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4"/>
        <w:rPr>
          <w:rFonts w:asciiTheme="minorHAnsi" w:eastAsiaTheme="minorEastAsia" w:hAnsiTheme="minorHAnsi" w:cstheme="minorBidi"/>
          <w:noProof/>
          <w:sz w:val="22"/>
          <w:szCs w:val="22"/>
          <w:lang w:val="en-US"/>
        </w:rPr>
      </w:pPr>
      <w:hyperlink w:anchor="_Toc84269008" w:history="1">
        <w:r w:rsidR="00AE5426" w:rsidRPr="00C1693A">
          <w:rPr>
            <w:rStyle w:val="Hyperlink"/>
            <w:i/>
            <w:sz w:val="18"/>
            <w:szCs w:val="18"/>
          </w:rPr>
          <w:t>Explanatory Notes on Variety Denominations under the UPOV Convention (document CAJ/78/11)</w:t>
        </w:r>
        <w:r w:rsidR="00AE5426">
          <w:rPr>
            <w:noProof/>
            <w:webHidden/>
          </w:rPr>
          <w:tab/>
        </w:r>
        <w:r w:rsidR="00AE5426">
          <w:rPr>
            <w:noProof/>
            <w:webHidden/>
          </w:rPr>
          <w:fldChar w:fldCharType="begin"/>
        </w:r>
        <w:r w:rsidR="00AE5426">
          <w:rPr>
            <w:noProof/>
            <w:webHidden/>
          </w:rPr>
          <w:instrText xml:space="preserve"> PAGEREF _Toc84269008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09" w:history="1">
        <w:r w:rsidR="00AE5426" w:rsidRPr="004A7706">
          <w:rPr>
            <w:rStyle w:val="Hyperlink"/>
            <w:rFonts w:cs="Arial"/>
            <w:spacing w:val="-4"/>
          </w:rPr>
          <w:t>UPOV/EXN/EDV:  Explanatory Notes on Essentially Derived Varieties under the 1991 Act of the UPOV Conventio</w:t>
        </w:r>
        <w:r w:rsidR="00AE5426" w:rsidRPr="004A7706">
          <w:rPr>
            <w:rStyle w:val="Hyperlink"/>
            <w:rFonts w:cs="Arial"/>
          </w:rPr>
          <w:t xml:space="preserve">n (documents </w:t>
        </w:r>
        <w:r w:rsidR="00AE5426" w:rsidRPr="004A7706">
          <w:rPr>
            <w:rStyle w:val="Hyperlink"/>
            <w:rFonts w:cs="Arial"/>
            <w:spacing w:val="-2"/>
          </w:rPr>
          <w:t>CAJ/78/4, CAJ/78/4</w:t>
        </w:r>
        <w:r w:rsidR="00AE5426" w:rsidRPr="004A7706">
          <w:rPr>
            <w:rStyle w:val="Hyperlink"/>
            <w:rFonts w:cs="Arial"/>
          </w:rPr>
          <w:t> Add. and  UPOV/EXN/EDV/3 Draft 2)</w:t>
        </w:r>
        <w:r w:rsidR="00AE5426">
          <w:rPr>
            <w:noProof/>
            <w:webHidden/>
          </w:rPr>
          <w:tab/>
        </w:r>
        <w:r w:rsidR="00AE5426">
          <w:rPr>
            <w:noProof/>
            <w:webHidden/>
          </w:rPr>
          <w:fldChar w:fldCharType="begin"/>
        </w:r>
        <w:r w:rsidR="00AE5426">
          <w:rPr>
            <w:noProof/>
            <w:webHidden/>
          </w:rPr>
          <w:instrText xml:space="preserve"> PAGEREF _Toc84269009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3"/>
        <w:rPr>
          <w:rFonts w:asciiTheme="minorHAnsi" w:eastAsiaTheme="minorEastAsia" w:hAnsiTheme="minorHAnsi" w:cstheme="minorBidi"/>
          <w:i w:val="0"/>
          <w:noProof/>
          <w:sz w:val="22"/>
          <w:szCs w:val="22"/>
          <w:lang w:val="en-US"/>
        </w:rPr>
      </w:pPr>
      <w:hyperlink w:anchor="_Toc84269010" w:history="1">
        <w:r w:rsidR="00AE5426" w:rsidRPr="004A7706">
          <w:rPr>
            <w:rStyle w:val="Hyperlink"/>
            <w:rFonts w:cs="Arial"/>
            <w:snapToGrid w:val="0"/>
          </w:rPr>
          <w:t>Harvested Material</w:t>
        </w:r>
        <w:r w:rsidR="00AE5426">
          <w:rPr>
            <w:noProof/>
            <w:webHidden/>
          </w:rPr>
          <w:tab/>
        </w:r>
        <w:r w:rsidR="00AE5426">
          <w:rPr>
            <w:noProof/>
            <w:webHidden/>
          </w:rPr>
          <w:fldChar w:fldCharType="begin"/>
        </w:r>
        <w:r w:rsidR="00AE5426">
          <w:rPr>
            <w:noProof/>
            <w:webHidden/>
          </w:rPr>
          <w:instrText xml:space="preserve"> PAGEREF _Toc84269010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2"/>
        <w:rPr>
          <w:rFonts w:asciiTheme="minorHAnsi" w:eastAsiaTheme="minorEastAsia" w:hAnsiTheme="minorHAnsi" w:cstheme="minorBidi"/>
          <w:noProof/>
          <w:sz w:val="22"/>
          <w:szCs w:val="22"/>
        </w:rPr>
      </w:pPr>
      <w:hyperlink w:anchor="_Toc84269011" w:history="1">
        <w:r w:rsidR="00AE5426" w:rsidRPr="004A7706">
          <w:rPr>
            <w:rStyle w:val="Hyperlink"/>
            <w:rFonts w:cs="Arial"/>
          </w:rPr>
          <w:t>Tentative program for the development of guidance and information materials</w:t>
        </w:r>
        <w:r w:rsidR="00AE5426">
          <w:rPr>
            <w:noProof/>
            <w:webHidden/>
          </w:rPr>
          <w:tab/>
        </w:r>
        <w:r w:rsidR="00AE5426">
          <w:rPr>
            <w:noProof/>
            <w:webHidden/>
          </w:rPr>
          <w:fldChar w:fldCharType="begin"/>
        </w:r>
        <w:r w:rsidR="00AE5426">
          <w:rPr>
            <w:noProof/>
            <w:webHidden/>
          </w:rPr>
          <w:instrText xml:space="preserve"> PAGEREF _Toc84269011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1"/>
        <w:rPr>
          <w:rFonts w:asciiTheme="minorHAnsi" w:eastAsiaTheme="minorEastAsia" w:hAnsiTheme="minorHAnsi" w:cstheme="minorBidi"/>
          <w:caps w:val="0"/>
          <w:noProof/>
          <w:sz w:val="22"/>
          <w:szCs w:val="22"/>
        </w:rPr>
      </w:pPr>
      <w:hyperlink w:anchor="_Toc84269012" w:history="1">
        <w:r w:rsidR="00AE5426" w:rsidRPr="004A7706">
          <w:rPr>
            <w:rStyle w:val="Hyperlink"/>
          </w:rPr>
          <w:t>AGENDA ITEM 8:  Harvested Material (</w:t>
        </w:r>
        <w:r w:rsidR="00AE5426" w:rsidRPr="004A7706">
          <w:rPr>
            <w:rStyle w:val="Hyperlink"/>
            <w:snapToGrid w:val="0"/>
          </w:rPr>
          <w:t>document CAJ/78/5)</w:t>
        </w:r>
        <w:r w:rsidR="00AE5426">
          <w:rPr>
            <w:noProof/>
            <w:webHidden/>
          </w:rPr>
          <w:tab/>
        </w:r>
        <w:r w:rsidR="00AE5426">
          <w:rPr>
            <w:noProof/>
            <w:webHidden/>
          </w:rPr>
          <w:fldChar w:fldCharType="begin"/>
        </w:r>
        <w:r w:rsidR="00AE5426">
          <w:rPr>
            <w:noProof/>
            <w:webHidden/>
          </w:rPr>
          <w:instrText xml:space="preserve"> PAGEREF _Toc84269012 \h </w:instrText>
        </w:r>
        <w:r w:rsidR="00AE5426">
          <w:rPr>
            <w:noProof/>
            <w:webHidden/>
          </w:rPr>
        </w:r>
        <w:r w:rsidR="00AE5426">
          <w:rPr>
            <w:noProof/>
            <w:webHidden/>
          </w:rPr>
          <w:fldChar w:fldCharType="separate"/>
        </w:r>
        <w:r w:rsidR="00AE5426">
          <w:rPr>
            <w:noProof/>
            <w:webHidden/>
          </w:rPr>
          <w:t>4</w:t>
        </w:r>
        <w:r w:rsidR="00AE5426">
          <w:rPr>
            <w:noProof/>
            <w:webHidden/>
          </w:rPr>
          <w:fldChar w:fldCharType="end"/>
        </w:r>
      </w:hyperlink>
    </w:p>
    <w:p w:rsidR="00AE5426" w:rsidRDefault="00560BFC">
      <w:pPr>
        <w:pStyle w:val="TOC2"/>
        <w:rPr>
          <w:rFonts w:asciiTheme="minorHAnsi" w:eastAsiaTheme="minorEastAsia" w:hAnsiTheme="minorHAnsi" w:cstheme="minorBidi"/>
          <w:noProof/>
          <w:sz w:val="22"/>
          <w:szCs w:val="22"/>
        </w:rPr>
      </w:pPr>
      <w:hyperlink w:anchor="_Toc84269013" w:history="1">
        <w:r w:rsidR="00AE5426" w:rsidRPr="004A7706">
          <w:rPr>
            <w:rStyle w:val="Hyperlink"/>
          </w:rPr>
          <w:t>Comments from the European Union</w:t>
        </w:r>
        <w:r w:rsidR="00AE5426">
          <w:rPr>
            <w:noProof/>
            <w:webHidden/>
          </w:rPr>
          <w:tab/>
        </w:r>
        <w:r w:rsidR="00AE5426">
          <w:rPr>
            <w:noProof/>
            <w:webHidden/>
          </w:rPr>
          <w:fldChar w:fldCharType="begin"/>
        </w:r>
        <w:r w:rsidR="00AE5426">
          <w:rPr>
            <w:noProof/>
            <w:webHidden/>
          </w:rPr>
          <w:instrText xml:space="preserve"> PAGEREF _Toc84269013 \h </w:instrText>
        </w:r>
        <w:r w:rsidR="00AE5426">
          <w:rPr>
            <w:noProof/>
            <w:webHidden/>
          </w:rPr>
        </w:r>
        <w:r w:rsidR="00AE5426">
          <w:rPr>
            <w:noProof/>
            <w:webHidden/>
          </w:rPr>
          <w:fldChar w:fldCharType="separate"/>
        </w:r>
        <w:r w:rsidR="00AE5426">
          <w:rPr>
            <w:noProof/>
            <w:webHidden/>
          </w:rPr>
          <w:t>5</w:t>
        </w:r>
        <w:r w:rsidR="00AE5426">
          <w:rPr>
            <w:noProof/>
            <w:webHidden/>
          </w:rPr>
          <w:fldChar w:fldCharType="end"/>
        </w:r>
      </w:hyperlink>
    </w:p>
    <w:p w:rsidR="00923899" w:rsidRDefault="008F4317" w:rsidP="00627E24">
      <w:pPr>
        <w:rPr>
          <w:noProof/>
          <w:sz w:val="18"/>
        </w:rPr>
      </w:pPr>
      <w:r>
        <w:rPr>
          <w:noProof/>
        </w:rPr>
        <w:fldChar w:fldCharType="end"/>
      </w:r>
      <w:r w:rsidR="00627E24" w:rsidRPr="00627E24">
        <w:rPr>
          <w:noProof/>
          <w:sz w:val="18"/>
        </w:rPr>
        <w:t>ANNEX:</w:t>
      </w:r>
      <w:r w:rsidR="00627E24" w:rsidRPr="00627E24">
        <w:rPr>
          <w:noProof/>
          <w:sz w:val="18"/>
        </w:rPr>
        <w:tab/>
      </w:r>
      <w:r w:rsidR="00AE5426">
        <w:rPr>
          <w:noProof/>
          <w:sz w:val="18"/>
        </w:rPr>
        <w:t>T</w:t>
      </w:r>
      <w:r w:rsidR="00627E24" w:rsidRPr="00627E24">
        <w:rPr>
          <w:noProof/>
          <w:sz w:val="18"/>
        </w:rPr>
        <w:t>ERMS OF REFERENCE OF THE WORKING GROUP ON HARVESTED MATERIAL AND UNAUTHORIZED USE OF PROPAGATING MATERIAL</w:t>
      </w:r>
      <w:r w:rsidR="00627E24">
        <w:rPr>
          <w:noProof/>
          <w:sz w:val="18"/>
        </w:rPr>
        <w:t xml:space="preserve"> </w:t>
      </w:r>
      <w:r w:rsidR="00627E24" w:rsidRPr="00627E24">
        <w:rPr>
          <w:noProof/>
          <w:sz w:val="18"/>
        </w:rPr>
        <w:t>(WG-HRV)</w:t>
      </w:r>
    </w:p>
    <w:p w:rsidR="00627E24" w:rsidRPr="00627E24" w:rsidRDefault="00627E24" w:rsidP="00627E24">
      <w:pPr>
        <w:rPr>
          <w:noProof/>
          <w:sz w:val="18"/>
        </w:rPr>
      </w:pPr>
    </w:p>
    <w:p w:rsidR="00367AE2" w:rsidRPr="00367AE2" w:rsidRDefault="00367AE2" w:rsidP="00367AE2">
      <w:pPr>
        <w:rPr>
          <w:sz w:val="16"/>
          <w:szCs w:val="16"/>
        </w:rPr>
      </w:pPr>
    </w:p>
    <w:p w:rsidR="008F4317" w:rsidRPr="003F44E6" w:rsidRDefault="008F4317" w:rsidP="003F44E6"/>
    <w:p w:rsidR="00923899" w:rsidRPr="00157E95" w:rsidRDefault="00923899" w:rsidP="008F4317">
      <w:pPr>
        <w:pStyle w:val="Heading1"/>
      </w:pPr>
      <w:bookmarkStart w:id="8" w:name="_Toc41475411"/>
      <w:bookmarkStart w:id="9" w:name="_Toc54004062"/>
      <w:bookmarkStart w:id="10" w:name="_Toc54097477"/>
      <w:bookmarkStart w:id="11" w:name="_Toc54097590"/>
      <w:bookmarkStart w:id="12" w:name="_Toc54097611"/>
      <w:bookmarkStart w:id="13" w:name="_Toc84268999"/>
      <w:r w:rsidRPr="00157E95">
        <w:t>Background</w:t>
      </w:r>
      <w:bookmarkEnd w:id="8"/>
      <w:bookmarkEnd w:id="9"/>
      <w:bookmarkEnd w:id="10"/>
      <w:bookmarkEnd w:id="11"/>
      <w:bookmarkEnd w:id="12"/>
      <w:bookmarkEnd w:id="13"/>
    </w:p>
    <w:p w:rsidR="00AD5D72" w:rsidRDefault="00AD5D72" w:rsidP="00923899">
      <w:pPr>
        <w:rPr>
          <w:rFonts w:cs="Arial"/>
        </w:rPr>
      </w:pPr>
    </w:p>
    <w:p w:rsidR="00AD5D72" w:rsidRPr="00AD5D72" w:rsidRDefault="00AD5D72" w:rsidP="00AD5D72">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E30364">
        <w:rPr>
          <w:rFonts w:cs="Arial"/>
        </w:rPr>
        <w:t xml:space="preserve">The Council </w:t>
      </w:r>
      <w:r w:rsidRPr="00E30364">
        <w:rPr>
          <w:rFonts w:cs="Arial"/>
          <w:lang w:eastAsia="fr-FR"/>
        </w:rPr>
        <w:t>adopted the procedure for the UPOV sessions in October 2021, i</w:t>
      </w:r>
      <w:r w:rsidRPr="00E30364">
        <w:rPr>
          <w:rFonts w:cs="Arial"/>
        </w:rPr>
        <w:t>n accordance with Circular E</w:t>
      </w:r>
      <w:r w:rsidRPr="00E30364">
        <w:rPr>
          <w:rFonts w:cs="Arial"/>
        </w:rPr>
        <w:noBreakHyphen/>
        <w:t xml:space="preserve">21/063 of May 14, 2021 (available on the </w:t>
      </w:r>
      <w:hyperlink r:id="rId9" w:history="1">
        <w:r w:rsidRPr="00E30364">
          <w:rPr>
            <w:rStyle w:val="Hyperlink"/>
            <w:rFonts w:cs="Arial"/>
          </w:rPr>
          <w:t>CAJ/78</w:t>
        </w:r>
      </w:hyperlink>
      <w:r w:rsidRPr="00E30364">
        <w:rPr>
          <w:rFonts w:cs="Arial"/>
        </w:rPr>
        <w:t xml:space="preserve"> webpage)</w:t>
      </w:r>
      <w:r w:rsidRPr="00E30364">
        <w:rPr>
          <w:rFonts w:cs="Arial"/>
          <w:lang w:eastAsia="fr-FR"/>
        </w:rPr>
        <w:t>.</w:t>
      </w:r>
      <w:r w:rsidR="00057E9E" w:rsidRPr="00E30364">
        <w:rPr>
          <w:rFonts w:cs="Arial"/>
          <w:lang w:eastAsia="fr-FR"/>
        </w:rPr>
        <w:t xml:space="preserve"> </w:t>
      </w:r>
      <w:r w:rsidRPr="00E30364">
        <w:rPr>
          <w:rFonts w:cs="Arial"/>
        </w:rPr>
        <w:t xml:space="preserve"> </w:t>
      </w:r>
      <w:r w:rsidRPr="00E30364">
        <w:rPr>
          <w:rFonts w:cs="Arial"/>
          <w:spacing w:val="-4"/>
        </w:rPr>
        <w:t>The seventy-eighth session of the Administrative and Legal Committee (CAJ/78) will be held on October 27, 2021, by electronic means (see invitation Circular E-21/071 of May 31, 2021), in combination with prior consideration of certain documents by correspondence.</w:t>
      </w:r>
    </w:p>
    <w:p w:rsidR="00923899" w:rsidRPr="00C972BF" w:rsidRDefault="00923899" w:rsidP="00923899"/>
    <w:p w:rsidR="00751E8E" w:rsidRDefault="00923899" w:rsidP="00505604">
      <w:pPr>
        <w:keepNext/>
        <w:rPr>
          <w:rFonts w:cs="Arial"/>
        </w:rPr>
      </w:pPr>
      <w:r w:rsidRPr="00157E95">
        <w:rPr>
          <w:rFonts w:cs="Arial"/>
        </w:rPr>
        <w:fldChar w:fldCharType="begin"/>
      </w:r>
      <w:r w:rsidRPr="00157E95">
        <w:rPr>
          <w:rFonts w:cs="Arial"/>
        </w:rPr>
        <w:instrText xml:space="preserve"> AUTONUM  </w:instrText>
      </w:r>
      <w:r w:rsidRPr="00157E95">
        <w:rPr>
          <w:rFonts w:cs="Arial"/>
        </w:rPr>
        <w:fldChar w:fldCharType="end"/>
      </w:r>
      <w:r w:rsidRPr="00157E95">
        <w:rPr>
          <w:rFonts w:cs="Arial"/>
        </w:rPr>
        <w:tab/>
      </w:r>
      <w:r w:rsidR="00751E8E" w:rsidRPr="00E30364">
        <w:rPr>
          <w:rFonts w:cs="Arial"/>
        </w:rPr>
        <w:t xml:space="preserve">In consultation with the Chair of the CAJ, the following documents in Circular E-21/087 of June 16, 2021 were identified in document CAJ/78/1 (Draft Agenda) </w:t>
      </w:r>
      <w:r w:rsidR="00AD5D72" w:rsidRPr="00E30364">
        <w:rPr>
          <w:rFonts w:cs="Arial"/>
        </w:rPr>
        <w:t xml:space="preserve">with one asterisk (*) </w:t>
      </w:r>
      <w:r w:rsidR="00751E8E" w:rsidRPr="00E30364">
        <w:rPr>
          <w:rFonts w:cs="Arial"/>
        </w:rPr>
        <w:t>as documents for the procedure by correspondence with an opportunity for comments by July 15, 2021, prior to requests for approval of the proposed decisions in the documents</w:t>
      </w:r>
      <w:r w:rsidR="00751E8E">
        <w:rPr>
          <w:rFonts w:cs="Arial"/>
        </w:rPr>
        <w:t>:</w:t>
      </w:r>
    </w:p>
    <w:p w:rsidR="00923899" w:rsidRPr="00E6745C" w:rsidRDefault="00923899" w:rsidP="00505604">
      <w:pPr>
        <w:pStyle w:val="ListParagraph"/>
        <w:keepNext/>
        <w:spacing w:before="120" w:after="60"/>
        <w:ind w:left="567"/>
        <w:contextualSpacing w:val="0"/>
      </w:pPr>
      <w:r>
        <w:t>Development of guidance and information materials</w:t>
      </w:r>
      <w:r w:rsidR="0099085B">
        <w:rPr>
          <w:rFonts w:cs="Arial"/>
        </w:rPr>
        <w:t xml:space="preserve"> (document CAJ/78</w:t>
      </w:r>
      <w:r w:rsidRPr="00E6745C">
        <w:rPr>
          <w:rFonts w:cs="Arial"/>
        </w:rPr>
        <w:t>/3)</w:t>
      </w:r>
      <w:r w:rsidR="002D3619">
        <w:rPr>
          <w:rFonts w:cs="Arial"/>
        </w:rPr>
        <w:t>*</w:t>
      </w:r>
    </w:p>
    <w:p w:rsidR="00923899" w:rsidRPr="00A15D22" w:rsidRDefault="00923899" w:rsidP="00505604">
      <w:pPr>
        <w:pStyle w:val="ListParagraph"/>
        <w:keepNext/>
        <w:spacing w:after="60"/>
        <w:ind w:left="2835" w:hanging="1701"/>
        <w:contextualSpacing w:val="0"/>
        <w:rPr>
          <w:rFonts w:cs="Angsana New"/>
          <w:szCs w:val="24"/>
          <w:lang w:eastAsia="ja-JP" w:bidi="th-TH"/>
        </w:rPr>
      </w:pPr>
      <w:r>
        <w:rPr>
          <w:rFonts w:cs="Angsana New"/>
          <w:szCs w:val="24"/>
          <w:lang w:eastAsia="ja-JP" w:bidi="th-TH"/>
        </w:rPr>
        <w:t>UPOV/INF/16:</w:t>
      </w:r>
      <w:r>
        <w:rPr>
          <w:rFonts w:cs="Angsana New"/>
          <w:szCs w:val="24"/>
          <w:lang w:eastAsia="ja-JP" w:bidi="th-TH"/>
        </w:rPr>
        <w:tab/>
      </w:r>
      <w:r w:rsidRPr="00157E95">
        <w:rPr>
          <w:rFonts w:cs="Angsana New"/>
          <w:szCs w:val="24"/>
          <w:lang w:eastAsia="ja-JP" w:bidi="th-TH"/>
        </w:rPr>
        <w:t xml:space="preserve">Exchangeable </w:t>
      </w:r>
      <w:r w:rsidRPr="00A15D22">
        <w:rPr>
          <w:rFonts w:cs="Angsana New"/>
          <w:szCs w:val="24"/>
          <w:lang w:eastAsia="ja-JP" w:bidi="th-TH"/>
        </w:rPr>
        <w:t xml:space="preserve">Software (Revision) </w:t>
      </w:r>
      <w:r w:rsidRPr="00A15D22">
        <w:rPr>
          <w:rFonts w:cs="Arial"/>
        </w:rPr>
        <w:t xml:space="preserve">(document </w:t>
      </w:r>
      <w:r w:rsidR="00505604">
        <w:rPr>
          <w:rFonts w:cs="Angsana New"/>
          <w:szCs w:val="24"/>
          <w:lang w:eastAsia="ja-JP" w:bidi="th-TH"/>
        </w:rPr>
        <w:t>UPOV/INF/16/10</w:t>
      </w:r>
      <w:r w:rsidRPr="00A15D22">
        <w:rPr>
          <w:rFonts w:cs="Angsana New"/>
          <w:szCs w:val="24"/>
          <w:lang w:eastAsia="ja-JP" w:bidi="th-TH"/>
        </w:rPr>
        <w:t xml:space="preserve"> Draft 1</w:t>
      </w:r>
      <w:r w:rsidRPr="00A15D22">
        <w:rPr>
          <w:rFonts w:cs="Arial"/>
        </w:rPr>
        <w:t>)</w:t>
      </w:r>
      <w:r w:rsidR="002D3619">
        <w:rPr>
          <w:rFonts w:cs="Arial"/>
        </w:rPr>
        <w:t>*</w:t>
      </w:r>
    </w:p>
    <w:p w:rsidR="00505604" w:rsidRPr="00A15D22" w:rsidRDefault="00505604" w:rsidP="00505604">
      <w:pPr>
        <w:pStyle w:val="ListParagraph"/>
        <w:keepNext/>
        <w:spacing w:after="60"/>
        <w:ind w:left="2835" w:hanging="1701"/>
        <w:contextualSpacing w:val="0"/>
        <w:jc w:val="left"/>
        <w:rPr>
          <w:rFonts w:cs="Angsana New"/>
          <w:szCs w:val="24"/>
          <w:lang w:eastAsia="ja-JP" w:bidi="th-TH"/>
        </w:rPr>
      </w:pPr>
      <w:r>
        <w:rPr>
          <w:rFonts w:cs="Angsana New"/>
          <w:szCs w:val="24"/>
          <w:lang w:eastAsia="ja-JP" w:bidi="th-TH"/>
        </w:rPr>
        <w:t>UPOV/INF/17:</w:t>
      </w:r>
      <w:r>
        <w:rPr>
          <w:rFonts w:cs="Angsana New"/>
          <w:szCs w:val="24"/>
          <w:lang w:eastAsia="ja-JP" w:bidi="th-TH"/>
        </w:rPr>
        <w:tab/>
      </w:r>
      <w:r w:rsidRPr="00505604">
        <w:rPr>
          <w:rFonts w:cs="Angsana New"/>
          <w:szCs w:val="24"/>
          <w:lang w:eastAsia="ja-JP" w:bidi="th-TH"/>
        </w:rPr>
        <w:t xml:space="preserve">Guidelines for DNA-Profiling: Molecular Marker Selection and Database Construction (“BMT Guidelines”) (Revision) </w:t>
      </w:r>
      <w:r>
        <w:rPr>
          <w:rFonts w:cs="Angsana New"/>
          <w:szCs w:val="24"/>
          <w:lang w:eastAsia="ja-JP" w:bidi="th-TH"/>
        </w:rPr>
        <w:br/>
      </w:r>
      <w:r w:rsidRPr="00A15D22">
        <w:rPr>
          <w:rFonts w:cs="Arial"/>
        </w:rPr>
        <w:t>(document</w:t>
      </w:r>
      <w:r>
        <w:t> </w:t>
      </w:r>
      <w:r>
        <w:rPr>
          <w:rFonts w:cs="Arial"/>
        </w:rPr>
        <w:t>UPOV/INF/17/2 Draft </w:t>
      </w:r>
      <w:r w:rsidRPr="00505604">
        <w:rPr>
          <w:rFonts w:cs="Arial"/>
        </w:rPr>
        <w:t>6</w:t>
      </w:r>
      <w:r w:rsidRPr="00A15D22">
        <w:rPr>
          <w:rFonts w:cs="Arial"/>
        </w:rPr>
        <w:t>)</w:t>
      </w:r>
      <w:r w:rsidR="002D3619">
        <w:rPr>
          <w:rFonts w:cs="Arial"/>
        </w:rPr>
        <w:t>*</w:t>
      </w:r>
    </w:p>
    <w:p w:rsidR="00923899" w:rsidRPr="00A15D22" w:rsidRDefault="00923899" w:rsidP="00505604">
      <w:pPr>
        <w:pStyle w:val="ListParagraph"/>
        <w:keepNext/>
        <w:spacing w:after="60"/>
        <w:ind w:left="2835" w:hanging="1701"/>
        <w:contextualSpacing w:val="0"/>
        <w:rPr>
          <w:rFonts w:cs="Angsana New"/>
          <w:szCs w:val="24"/>
          <w:lang w:eastAsia="ja-JP" w:bidi="th-TH"/>
        </w:rPr>
      </w:pPr>
      <w:r w:rsidRPr="00A15D22">
        <w:rPr>
          <w:rFonts w:cs="Angsana New"/>
          <w:szCs w:val="24"/>
          <w:lang w:eastAsia="ja-JP" w:bidi="th-TH"/>
        </w:rPr>
        <w:t>UPOV/INF/22:</w:t>
      </w:r>
      <w:r>
        <w:rPr>
          <w:rFonts w:cs="Angsana New"/>
          <w:szCs w:val="24"/>
          <w:lang w:eastAsia="ja-JP" w:bidi="th-TH"/>
        </w:rPr>
        <w:tab/>
      </w:r>
      <w:r w:rsidRPr="00A15D22">
        <w:rPr>
          <w:rFonts w:cs="Angsana New"/>
          <w:szCs w:val="24"/>
          <w:lang w:eastAsia="ja-JP" w:bidi="th-TH"/>
        </w:rPr>
        <w:t xml:space="preserve">Software and Equipment Used by Members of the Union (Revision) </w:t>
      </w:r>
      <w:r w:rsidRPr="00A15D22">
        <w:rPr>
          <w:rFonts w:cs="Arial"/>
        </w:rPr>
        <w:t>(document </w:t>
      </w:r>
      <w:r w:rsidR="00505604">
        <w:rPr>
          <w:rFonts w:cs="Angsana New"/>
          <w:szCs w:val="24"/>
          <w:lang w:eastAsia="ja-JP" w:bidi="th-TH"/>
        </w:rPr>
        <w:t>UPOV/INF/22/8</w:t>
      </w:r>
      <w:r w:rsidRPr="00A15D22">
        <w:rPr>
          <w:rFonts w:cs="Angsana New"/>
          <w:szCs w:val="24"/>
          <w:lang w:eastAsia="ja-JP" w:bidi="th-TH"/>
        </w:rPr>
        <w:t xml:space="preserve"> Draft 1</w:t>
      </w:r>
      <w:r w:rsidRPr="00A15D22">
        <w:rPr>
          <w:rFonts w:cs="Arial"/>
        </w:rPr>
        <w:t>)</w:t>
      </w:r>
      <w:r w:rsidR="002D3619">
        <w:rPr>
          <w:rFonts w:cs="Arial"/>
        </w:rPr>
        <w:t>*</w:t>
      </w:r>
    </w:p>
    <w:p w:rsidR="00923899" w:rsidRPr="00A15D22" w:rsidRDefault="00923899" w:rsidP="00505604">
      <w:pPr>
        <w:pStyle w:val="ListParagraph"/>
        <w:keepNext/>
        <w:spacing w:after="60"/>
        <w:ind w:left="2835" w:hanging="1701"/>
        <w:contextualSpacing w:val="0"/>
        <w:rPr>
          <w:rFonts w:cs="Angsana New"/>
          <w:szCs w:val="24"/>
          <w:lang w:eastAsia="ja-JP" w:bidi="th-TH"/>
        </w:rPr>
      </w:pPr>
      <w:r>
        <w:rPr>
          <w:rFonts w:cs="Angsana New"/>
          <w:szCs w:val="24"/>
          <w:lang w:eastAsia="ja-JP" w:bidi="th-TH"/>
        </w:rPr>
        <w:t>UPOV/INF/23:</w:t>
      </w:r>
      <w:r>
        <w:rPr>
          <w:rFonts w:cs="Angsana New"/>
          <w:szCs w:val="24"/>
          <w:lang w:eastAsia="ja-JP" w:bidi="th-TH"/>
        </w:rPr>
        <w:tab/>
      </w:r>
      <w:r w:rsidRPr="00A15D22">
        <w:rPr>
          <w:rFonts w:cs="Angsana New"/>
          <w:szCs w:val="24"/>
          <w:lang w:eastAsia="ja-JP" w:bidi="th-TH"/>
        </w:rPr>
        <w:t>UPOV Code System</w:t>
      </w:r>
      <w:r w:rsidR="00505604">
        <w:rPr>
          <w:rFonts w:cs="Angsana New"/>
          <w:szCs w:val="24"/>
          <w:lang w:eastAsia="ja-JP" w:bidi="th-TH"/>
        </w:rPr>
        <w:t xml:space="preserve"> (document UPOV/INF/23/1 Draft 3</w:t>
      </w:r>
      <w:r w:rsidRPr="00A15D22">
        <w:rPr>
          <w:rFonts w:cs="Angsana New"/>
          <w:szCs w:val="24"/>
          <w:lang w:eastAsia="ja-JP" w:bidi="th-TH"/>
        </w:rPr>
        <w:t>)</w:t>
      </w:r>
      <w:r w:rsidR="002D3619">
        <w:rPr>
          <w:rFonts w:cs="Angsana New"/>
          <w:szCs w:val="24"/>
          <w:lang w:eastAsia="ja-JP" w:bidi="th-TH"/>
        </w:rPr>
        <w:t>*</w:t>
      </w:r>
    </w:p>
    <w:p w:rsidR="00923899" w:rsidRPr="00293B48" w:rsidRDefault="00923899" w:rsidP="00367AE2">
      <w:pPr>
        <w:pStyle w:val="ListParagraph"/>
        <w:spacing w:before="160"/>
        <w:ind w:left="562"/>
        <w:contextualSpacing w:val="0"/>
        <w:rPr>
          <w:rFonts w:cs="Angsana New"/>
          <w:szCs w:val="24"/>
          <w:lang w:eastAsia="ja-JP" w:bidi="th-TH"/>
        </w:rPr>
      </w:pPr>
      <w:r w:rsidRPr="00293B48">
        <w:rPr>
          <w:rFonts w:cs="Arial"/>
        </w:rPr>
        <w:t xml:space="preserve">Harvested material </w:t>
      </w:r>
      <w:r w:rsidRPr="00293B48">
        <w:rPr>
          <w:bCs/>
          <w:snapToGrid w:val="0"/>
          <w:szCs w:val="24"/>
        </w:rPr>
        <w:t xml:space="preserve">(document </w:t>
      </w:r>
      <w:r>
        <w:rPr>
          <w:rFonts w:cs="Arial"/>
        </w:rPr>
        <w:t>CAJ/7</w:t>
      </w:r>
      <w:r w:rsidR="00505604">
        <w:rPr>
          <w:rFonts w:cs="Arial"/>
        </w:rPr>
        <w:t>8</w:t>
      </w:r>
      <w:r>
        <w:rPr>
          <w:rFonts w:cs="Arial"/>
        </w:rPr>
        <w:t>/5</w:t>
      </w:r>
      <w:r w:rsidRPr="00293B48">
        <w:rPr>
          <w:rFonts w:cs="Arial"/>
        </w:rPr>
        <w:t>)</w:t>
      </w:r>
      <w:r w:rsidR="00922891">
        <w:rPr>
          <w:rFonts w:cs="Arial"/>
        </w:rPr>
        <w:t>*</w:t>
      </w:r>
    </w:p>
    <w:p w:rsidR="00923899" w:rsidRPr="00C972BF" w:rsidRDefault="00923899" w:rsidP="00923899"/>
    <w:p w:rsidR="00923899" w:rsidRDefault="00923899" w:rsidP="00627E24">
      <w:pPr>
        <w:spacing w:after="120"/>
        <w:rPr>
          <w:rFonts w:cs="Arial"/>
        </w:rPr>
      </w:pPr>
      <w:r w:rsidRPr="007A68B4">
        <w:rPr>
          <w:rFonts w:cs="Arial"/>
        </w:rPr>
        <w:fldChar w:fldCharType="begin"/>
      </w:r>
      <w:r w:rsidRPr="007A68B4">
        <w:rPr>
          <w:rFonts w:cs="Arial"/>
        </w:rPr>
        <w:instrText xml:space="preserve"> AUTONUM  </w:instrText>
      </w:r>
      <w:r w:rsidRPr="007A68B4">
        <w:rPr>
          <w:rFonts w:cs="Arial"/>
        </w:rPr>
        <w:fldChar w:fldCharType="end"/>
      </w:r>
      <w:r w:rsidRPr="007A68B4">
        <w:rPr>
          <w:rFonts w:cs="Arial"/>
        </w:rPr>
        <w:tab/>
      </w:r>
      <w:r w:rsidRPr="00E30364">
        <w:rPr>
          <w:rFonts w:cs="Arial"/>
        </w:rPr>
        <w:t xml:space="preserve">By </w:t>
      </w:r>
      <w:r w:rsidR="00D2079B" w:rsidRPr="00E30364">
        <w:rPr>
          <w:rFonts w:cs="Arial"/>
        </w:rPr>
        <w:t>July 15, 2021</w:t>
      </w:r>
      <w:r w:rsidRPr="00E30364">
        <w:rPr>
          <w:rFonts w:cs="Arial"/>
        </w:rPr>
        <w:t>, comments of a straightforward nature were received on the following documents in Circular E</w:t>
      </w:r>
      <w:r w:rsidRPr="00E30364">
        <w:rPr>
          <w:rFonts w:cs="Arial"/>
        </w:rPr>
        <w:noBreakHyphen/>
        <w:t>2</w:t>
      </w:r>
      <w:r w:rsidR="00D2079B" w:rsidRPr="00E30364">
        <w:rPr>
          <w:rFonts w:cs="Arial"/>
        </w:rPr>
        <w:t>1</w:t>
      </w:r>
      <w:r w:rsidRPr="00E30364">
        <w:rPr>
          <w:rFonts w:cs="Arial"/>
        </w:rPr>
        <w:t>/</w:t>
      </w:r>
      <w:r w:rsidR="00D2079B" w:rsidRPr="00E30364">
        <w:rPr>
          <w:rFonts w:cs="Arial"/>
        </w:rPr>
        <w:t>087</w:t>
      </w:r>
      <w:r w:rsidRPr="00E30364">
        <w:rPr>
          <w:rFonts w:cs="Arial"/>
        </w:rPr>
        <w:t xml:space="preserve"> of</w:t>
      </w:r>
      <w:r w:rsidR="00D2079B" w:rsidRPr="00E30364">
        <w:rPr>
          <w:rFonts w:cs="Arial"/>
        </w:rPr>
        <w:t xml:space="preserve"> June </w:t>
      </w:r>
      <w:r w:rsidRPr="00E30364">
        <w:rPr>
          <w:rFonts w:cs="Arial"/>
        </w:rPr>
        <w:t>1</w:t>
      </w:r>
      <w:r w:rsidR="00D2079B" w:rsidRPr="00E30364">
        <w:rPr>
          <w:rFonts w:cs="Arial"/>
        </w:rPr>
        <w:t>6</w:t>
      </w:r>
      <w:r w:rsidRPr="00E30364">
        <w:rPr>
          <w:rFonts w:cs="Arial"/>
        </w:rPr>
        <w:t>, 202</w:t>
      </w:r>
      <w:r w:rsidR="00D2079B" w:rsidRPr="00E30364">
        <w:rPr>
          <w:rFonts w:cs="Arial"/>
        </w:rPr>
        <w:t>1</w:t>
      </w:r>
      <w:r w:rsidRPr="00157E95">
        <w:rPr>
          <w:rFonts w:cs="Arial"/>
        </w:rPr>
        <w:t xml:space="preserve">.  The Office of the Union addressed </w:t>
      </w:r>
      <w:r>
        <w:rPr>
          <w:rFonts w:cs="Arial"/>
        </w:rPr>
        <w:t xml:space="preserve">the </w:t>
      </w:r>
      <w:r w:rsidRPr="00157E95">
        <w:rPr>
          <w:rFonts w:cs="Arial"/>
        </w:rPr>
        <w:t xml:space="preserve">comments in a revised version of the </w:t>
      </w:r>
      <w:r>
        <w:rPr>
          <w:rFonts w:cs="Arial"/>
        </w:rPr>
        <w:t xml:space="preserve">following </w:t>
      </w:r>
      <w:r w:rsidRPr="00157E95">
        <w:rPr>
          <w:rFonts w:cs="Arial"/>
        </w:rPr>
        <w:t>documen</w:t>
      </w:r>
      <w:r>
        <w:rPr>
          <w:rFonts w:cs="Arial"/>
        </w:rPr>
        <w:t>ts, with endnote explanations:</w:t>
      </w:r>
    </w:p>
    <w:p w:rsidR="00923899" w:rsidRPr="00E77C81" w:rsidRDefault="00923899" w:rsidP="00627E24">
      <w:pPr>
        <w:pStyle w:val="ListParagraph"/>
        <w:spacing w:after="60"/>
        <w:ind w:left="567"/>
        <w:contextualSpacing w:val="0"/>
      </w:pPr>
      <w:r w:rsidRPr="00E77C81">
        <w:t>Development of guidance and information materials</w:t>
      </w:r>
      <w:r w:rsidRPr="00E77C81">
        <w:rPr>
          <w:rFonts w:cs="Arial"/>
        </w:rPr>
        <w:t xml:space="preserve"> (document CAJ/7</w:t>
      </w:r>
      <w:r w:rsidR="00D2079B">
        <w:rPr>
          <w:rFonts w:cs="Arial"/>
        </w:rPr>
        <w:t>8</w:t>
      </w:r>
      <w:r w:rsidRPr="00E77C81">
        <w:rPr>
          <w:rFonts w:cs="Arial"/>
        </w:rPr>
        <w:t>/3 Rev.)</w:t>
      </w:r>
    </w:p>
    <w:p w:rsidR="00923899" w:rsidRDefault="00923899" w:rsidP="00627E24">
      <w:pPr>
        <w:pStyle w:val="ListParagraph"/>
        <w:spacing w:after="60"/>
        <w:ind w:left="1134"/>
        <w:contextualSpacing w:val="0"/>
        <w:rPr>
          <w:rFonts w:cs="Arial"/>
        </w:rPr>
      </w:pPr>
      <w:r w:rsidRPr="00E77C81">
        <w:rPr>
          <w:rFonts w:cs="Angsana New"/>
          <w:szCs w:val="24"/>
          <w:lang w:eastAsia="ja-JP" w:bidi="th-TH"/>
        </w:rPr>
        <w:t xml:space="preserve">UPOV/INF/16:  Exchangeable Software (Revision) </w:t>
      </w:r>
      <w:r w:rsidRPr="00E77C81">
        <w:rPr>
          <w:rFonts w:cs="Arial"/>
        </w:rPr>
        <w:t xml:space="preserve">(document </w:t>
      </w:r>
      <w:r w:rsidRPr="00E77C81">
        <w:rPr>
          <w:rFonts w:cs="Angsana New"/>
          <w:szCs w:val="24"/>
          <w:lang w:eastAsia="ja-JP" w:bidi="th-TH"/>
        </w:rPr>
        <w:t>UPOV/INF/16/</w:t>
      </w:r>
      <w:r w:rsidR="00D2079B">
        <w:rPr>
          <w:rFonts w:cs="Angsana New"/>
          <w:szCs w:val="24"/>
          <w:lang w:eastAsia="ja-JP" w:bidi="th-TH"/>
        </w:rPr>
        <w:t>10</w:t>
      </w:r>
      <w:r w:rsidRPr="00E77C81">
        <w:rPr>
          <w:rFonts w:cs="Angsana New"/>
          <w:szCs w:val="24"/>
          <w:lang w:eastAsia="ja-JP" w:bidi="th-TH"/>
        </w:rPr>
        <w:t xml:space="preserve"> Draft 2</w:t>
      </w:r>
      <w:r w:rsidRPr="00E77C81">
        <w:rPr>
          <w:rFonts w:cs="Arial"/>
        </w:rPr>
        <w:t>)</w:t>
      </w:r>
      <w:r>
        <w:rPr>
          <w:rFonts w:cs="Arial"/>
        </w:rPr>
        <w:t xml:space="preserve"> </w:t>
      </w:r>
    </w:p>
    <w:p w:rsidR="00D2079B" w:rsidRPr="00E77C81" w:rsidRDefault="001A2D6A" w:rsidP="00627E24">
      <w:pPr>
        <w:pStyle w:val="ListParagraph"/>
        <w:spacing w:after="60"/>
        <w:ind w:left="1134"/>
        <w:contextualSpacing w:val="0"/>
        <w:rPr>
          <w:rFonts w:cs="Angsana New"/>
          <w:szCs w:val="24"/>
          <w:lang w:eastAsia="ja-JP" w:bidi="th-TH"/>
        </w:rPr>
      </w:pPr>
      <w:r>
        <w:rPr>
          <w:rFonts w:cs="Angsana New"/>
          <w:szCs w:val="24"/>
          <w:lang w:eastAsia="ja-JP" w:bidi="th-TH"/>
        </w:rPr>
        <w:lastRenderedPageBreak/>
        <w:t xml:space="preserve">UPOV/INF/22: </w:t>
      </w:r>
      <w:r w:rsidR="00D2079B" w:rsidRPr="00D2079B">
        <w:rPr>
          <w:rFonts w:cs="Angsana New"/>
          <w:szCs w:val="24"/>
          <w:lang w:eastAsia="ja-JP" w:bidi="th-TH"/>
        </w:rPr>
        <w:t>Software and Equipment Used by Members of</w:t>
      </w:r>
      <w:r w:rsidR="00D2079B">
        <w:rPr>
          <w:rFonts w:cs="Angsana New"/>
          <w:szCs w:val="24"/>
          <w:lang w:eastAsia="ja-JP" w:bidi="th-TH"/>
        </w:rPr>
        <w:t xml:space="preserve"> the Union (Revision) (document UPOV/INF/22/8 Draft 2</w:t>
      </w:r>
      <w:r w:rsidR="00D2079B" w:rsidRPr="00D2079B">
        <w:rPr>
          <w:rFonts w:cs="Angsana New"/>
          <w:szCs w:val="24"/>
          <w:lang w:eastAsia="ja-JP" w:bidi="th-TH"/>
        </w:rPr>
        <w:t>)</w:t>
      </w:r>
    </w:p>
    <w:p w:rsidR="00923899" w:rsidRPr="00A03282" w:rsidRDefault="00923899" w:rsidP="00627E24">
      <w:pPr>
        <w:keepNext/>
        <w:spacing w:before="240" w:after="120"/>
        <w:rPr>
          <w:rFonts w:cs="Arial"/>
        </w:rPr>
      </w:pPr>
      <w:r w:rsidRPr="00A03282">
        <w:rPr>
          <w:rFonts w:cs="Arial"/>
        </w:rPr>
        <w:fldChar w:fldCharType="begin"/>
      </w:r>
      <w:r w:rsidRPr="00A03282">
        <w:rPr>
          <w:rFonts w:cs="Arial"/>
        </w:rPr>
        <w:instrText xml:space="preserve"> AUTONUM  </w:instrText>
      </w:r>
      <w:r w:rsidRPr="00A03282">
        <w:rPr>
          <w:rFonts w:cs="Arial"/>
        </w:rPr>
        <w:fldChar w:fldCharType="end"/>
      </w:r>
      <w:r w:rsidRPr="00A03282">
        <w:rPr>
          <w:rFonts w:cs="Arial"/>
        </w:rPr>
        <w:tab/>
        <w:t>Circular E-2</w:t>
      </w:r>
      <w:r w:rsidR="00953203" w:rsidRPr="00A03282">
        <w:rPr>
          <w:rFonts w:cs="Arial"/>
        </w:rPr>
        <w:t>1</w:t>
      </w:r>
      <w:r w:rsidRPr="00A03282">
        <w:rPr>
          <w:rFonts w:cs="Arial"/>
        </w:rPr>
        <w:t>/1</w:t>
      </w:r>
      <w:r w:rsidR="00953203" w:rsidRPr="00A03282">
        <w:rPr>
          <w:rFonts w:cs="Arial"/>
        </w:rPr>
        <w:t>23</w:t>
      </w:r>
      <w:r w:rsidRPr="00A03282">
        <w:rPr>
          <w:rFonts w:cs="Arial"/>
        </w:rPr>
        <w:t xml:space="preserve"> of </w:t>
      </w:r>
      <w:r w:rsidR="00953203" w:rsidRPr="00A03282">
        <w:rPr>
          <w:rFonts w:cs="Arial"/>
        </w:rPr>
        <w:t>August</w:t>
      </w:r>
      <w:r w:rsidRPr="00A03282">
        <w:rPr>
          <w:rFonts w:cs="Arial"/>
        </w:rPr>
        <w:t xml:space="preserve"> 2</w:t>
      </w:r>
      <w:r w:rsidR="00D354EC" w:rsidRPr="00A03282">
        <w:rPr>
          <w:rFonts w:cs="Arial"/>
        </w:rPr>
        <w:t>3</w:t>
      </w:r>
      <w:r w:rsidR="00953203" w:rsidRPr="00A03282">
        <w:rPr>
          <w:rFonts w:cs="Arial"/>
        </w:rPr>
        <w:t>, 2021</w:t>
      </w:r>
      <w:r w:rsidRPr="00A03282">
        <w:rPr>
          <w:rFonts w:cs="Arial"/>
        </w:rPr>
        <w:t xml:space="preserve">, invited the CAJ to approve the proposed decision(s) contained in the following documents within 30 days (i.e. </w:t>
      </w:r>
      <w:r w:rsidR="000735E5" w:rsidRPr="00A03282">
        <w:rPr>
          <w:rFonts w:cs="Arial"/>
        </w:rPr>
        <w:t>September 21, 2021</w:t>
      </w:r>
      <w:r w:rsidRPr="00A03282">
        <w:rPr>
          <w:rFonts w:cs="Arial"/>
        </w:rPr>
        <w:t xml:space="preserve">):  </w:t>
      </w:r>
    </w:p>
    <w:p w:rsidR="00923899" w:rsidRPr="00A03282" w:rsidRDefault="00923899" w:rsidP="000735E5">
      <w:pPr>
        <w:pStyle w:val="ListParagraph"/>
        <w:spacing w:after="120"/>
        <w:ind w:left="567"/>
        <w:contextualSpacing w:val="0"/>
        <w:rPr>
          <w:rFonts w:cs="Arial"/>
        </w:rPr>
      </w:pPr>
      <w:r w:rsidRPr="00A03282">
        <w:rPr>
          <w:rFonts w:cs="Arial"/>
        </w:rPr>
        <w:t>Development of guidance and information materials (document CAJ/7</w:t>
      </w:r>
      <w:r w:rsidR="007E0EEC" w:rsidRPr="00A03282">
        <w:rPr>
          <w:rFonts w:cs="Arial"/>
        </w:rPr>
        <w:t>8</w:t>
      </w:r>
      <w:r w:rsidRPr="00A03282">
        <w:rPr>
          <w:rFonts w:cs="Arial"/>
        </w:rPr>
        <w:t>/3 Rev.)</w:t>
      </w:r>
    </w:p>
    <w:p w:rsidR="00AD5D72" w:rsidRPr="00A03282" w:rsidRDefault="00923899" w:rsidP="00367AE2">
      <w:pPr>
        <w:pStyle w:val="ListParagraph"/>
        <w:ind w:left="562"/>
        <w:contextualSpacing w:val="0"/>
        <w:rPr>
          <w:rFonts w:cs="Angsana New"/>
          <w:lang w:eastAsia="ja-JP" w:bidi="th-TH"/>
        </w:rPr>
      </w:pPr>
      <w:r w:rsidRPr="00A03282">
        <w:rPr>
          <w:rFonts w:cs="Arial"/>
        </w:rPr>
        <w:t xml:space="preserve">Harvested Material </w:t>
      </w:r>
      <w:r w:rsidRPr="00A03282">
        <w:rPr>
          <w:bCs/>
          <w:snapToGrid w:val="0"/>
        </w:rPr>
        <w:t xml:space="preserve">(document </w:t>
      </w:r>
      <w:r w:rsidRPr="00A03282">
        <w:rPr>
          <w:rFonts w:cs="Arial"/>
        </w:rPr>
        <w:t>CAJ/7</w:t>
      </w:r>
      <w:r w:rsidR="007E0EEC" w:rsidRPr="00A03282">
        <w:rPr>
          <w:rFonts w:cs="Arial"/>
        </w:rPr>
        <w:t>8</w:t>
      </w:r>
      <w:r w:rsidRPr="00A03282">
        <w:rPr>
          <w:rFonts w:cs="Arial"/>
        </w:rPr>
        <w:t>/5)</w:t>
      </w:r>
    </w:p>
    <w:p w:rsidR="00923899" w:rsidRPr="00A03282" w:rsidRDefault="00923899" w:rsidP="00923899">
      <w:pPr>
        <w:ind w:left="1134" w:hanging="1134"/>
        <w:rPr>
          <w:rFonts w:cs="Arial"/>
        </w:rPr>
      </w:pPr>
    </w:p>
    <w:p w:rsidR="000735E5" w:rsidRPr="00A03282" w:rsidRDefault="000735E5" w:rsidP="000735E5">
      <w:pPr>
        <w:keepNext/>
        <w:spacing w:after="120"/>
        <w:rPr>
          <w:rFonts w:cs="Arial"/>
        </w:rPr>
      </w:pPr>
      <w:r w:rsidRPr="00A03282">
        <w:rPr>
          <w:rFonts w:cs="Arial"/>
        </w:rPr>
        <w:fldChar w:fldCharType="begin"/>
      </w:r>
      <w:r w:rsidRPr="00A03282">
        <w:rPr>
          <w:rFonts w:cs="Arial"/>
        </w:rPr>
        <w:instrText xml:space="preserve"> AUTONUM  </w:instrText>
      </w:r>
      <w:r w:rsidRPr="00A03282">
        <w:rPr>
          <w:rFonts w:cs="Arial"/>
        </w:rPr>
        <w:fldChar w:fldCharType="end"/>
      </w:r>
      <w:r w:rsidRPr="00A03282">
        <w:rPr>
          <w:rFonts w:cs="Arial"/>
        </w:rPr>
        <w:tab/>
        <w:t>Circular E-21/123 of August 2</w:t>
      </w:r>
      <w:r w:rsidR="00D354EC" w:rsidRPr="00A03282">
        <w:rPr>
          <w:rFonts w:cs="Arial"/>
        </w:rPr>
        <w:t>3</w:t>
      </w:r>
      <w:r w:rsidRPr="00A03282">
        <w:rPr>
          <w:rFonts w:cs="Arial"/>
        </w:rPr>
        <w:t xml:space="preserve">, 2021, </w:t>
      </w:r>
      <w:r w:rsidR="001A2D6A" w:rsidRPr="00A03282">
        <w:rPr>
          <w:rFonts w:cs="Arial"/>
        </w:rPr>
        <w:t xml:space="preserve">also </w:t>
      </w:r>
      <w:r w:rsidRPr="00A03282">
        <w:rPr>
          <w:rFonts w:cs="Arial"/>
        </w:rPr>
        <w:t>included d</w:t>
      </w:r>
      <w:r w:rsidRPr="00A03282">
        <w:rPr>
          <w:rFonts w:cs="Arial"/>
          <w:lang w:eastAsia="fr-FR"/>
        </w:rPr>
        <w:t xml:space="preserve">ocuments </w:t>
      </w:r>
      <w:r w:rsidR="001A2D6A" w:rsidRPr="00A03282">
        <w:rPr>
          <w:rFonts w:cs="Arial"/>
          <w:lang w:eastAsia="fr-FR"/>
        </w:rPr>
        <w:t>identifi</w:t>
      </w:r>
      <w:r w:rsidR="00057E9E" w:rsidRPr="00A03282">
        <w:rPr>
          <w:rFonts w:cs="Arial"/>
          <w:lang w:eastAsia="fr-FR"/>
        </w:rPr>
        <w:t>ed in document CAJ/78/1 (Draft</w:t>
      </w:r>
      <w:r w:rsidR="001A2D6A" w:rsidRPr="00A03282">
        <w:rPr>
          <w:rFonts w:cs="Arial"/>
          <w:lang w:eastAsia="fr-FR"/>
        </w:rPr>
        <w:t xml:space="preserve"> Agenda) </w:t>
      </w:r>
      <w:r w:rsidR="002D3619" w:rsidRPr="00A03282">
        <w:rPr>
          <w:rFonts w:cs="Arial"/>
          <w:lang w:eastAsia="fr-FR"/>
        </w:rPr>
        <w:t xml:space="preserve">with </w:t>
      </w:r>
      <w:r w:rsidRPr="00A03282">
        <w:rPr>
          <w:rFonts w:cs="Arial"/>
          <w:lang w:eastAsia="fr-FR"/>
        </w:rPr>
        <w:t>two asterisks (**) to be considered by correspondence in accordance with the specific procedure agreed by the relevant UPOV body.  The CAJ was i</w:t>
      </w:r>
      <w:r w:rsidRPr="00A03282">
        <w:rPr>
          <w:rFonts w:cs="Arial"/>
        </w:rPr>
        <w:t>nvite</w:t>
      </w:r>
      <w:r w:rsidR="00AD5D72" w:rsidRPr="00A03282">
        <w:rPr>
          <w:rFonts w:cs="Arial"/>
        </w:rPr>
        <w:t>d</w:t>
      </w:r>
      <w:r w:rsidRPr="00A03282">
        <w:rPr>
          <w:rFonts w:cs="Arial"/>
        </w:rPr>
        <w:t xml:space="preserve"> to approve the proposed decision(s) contained in the following documents within 30 days (i.e. September 21, 2021):  </w:t>
      </w:r>
    </w:p>
    <w:p w:rsidR="000735E5" w:rsidRPr="00A03282" w:rsidRDefault="000735E5" w:rsidP="00367AE2">
      <w:pPr>
        <w:spacing w:after="120"/>
        <w:ind w:left="562"/>
        <w:rPr>
          <w:rFonts w:cs="Arial"/>
        </w:rPr>
      </w:pPr>
      <w:r w:rsidRPr="00A03282">
        <w:rPr>
          <w:rFonts w:cs="Arial"/>
        </w:rPr>
        <w:t>Explanatory Notes on Variety Denominations under the UPOV Convention (document CAJ/78/11</w:t>
      </w:r>
      <w:proofErr w:type="gramStart"/>
      <w:r w:rsidRPr="00A03282">
        <w:rPr>
          <w:rFonts w:cs="Arial"/>
        </w:rPr>
        <w:t>)</w:t>
      </w:r>
      <w:r w:rsidR="00D740AB" w:rsidRPr="00A03282">
        <w:rPr>
          <w:rFonts w:cs="Arial"/>
        </w:rPr>
        <w:t>*</w:t>
      </w:r>
      <w:proofErr w:type="gramEnd"/>
      <w:r w:rsidR="00D740AB" w:rsidRPr="00A03282">
        <w:rPr>
          <w:rFonts w:cs="Arial"/>
        </w:rPr>
        <w:t>*</w:t>
      </w:r>
    </w:p>
    <w:p w:rsidR="000735E5" w:rsidRPr="00A03282" w:rsidRDefault="000735E5" w:rsidP="000735E5">
      <w:pPr>
        <w:ind w:left="567"/>
        <w:jc w:val="left"/>
        <w:rPr>
          <w:rFonts w:cs="Arial"/>
          <w:lang w:eastAsia="ja-JP"/>
        </w:rPr>
      </w:pPr>
      <w:r w:rsidRPr="00A03282">
        <w:rPr>
          <w:rFonts w:cs="Arial"/>
        </w:rPr>
        <w:t>Explanatory Notes on Variety Denominations under the UPOV Convention (document UPOV/EXN/DEN/1 Draft 6</w:t>
      </w:r>
      <w:proofErr w:type="gramStart"/>
      <w:r w:rsidRPr="00A03282">
        <w:rPr>
          <w:rFonts w:cs="Arial"/>
        </w:rPr>
        <w:t>)</w:t>
      </w:r>
      <w:r w:rsidR="00D740AB" w:rsidRPr="00A03282">
        <w:rPr>
          <w:rFonts w:cs="Arial"/>
        </w:rPr>
        <w:t>*</w:t>
      </w:r>
      <w:proofErr w:type="gramEnd"/>
      <w:r w:rsidR="00D740AB" w:rsidRPr="00A03282">
        <w:rPr>
          <w:rFonts w:cs="Arial"/>
        </w:rPr>
        <w:t>*</w:t>
      </w:r>
    </w:p>
    <w:p w:rsidR="000735E5" w:rsidRPr="00A03282" w:rsidRDefault="000735E5" w:rsidP="00923899">
      <w:pPr>
        <w:ind w:left="1134" w:hanging="1134"/>
        <w:rPr>
          <w:rFonts w:cs="Arial"/>
        </w:rPr>
      </w:pPr>
    </w:p>
    <w:p w:rsidR="00E44777" w:rsidRPr="00640A12" w:rsidRDefault="00923899" w:rsidP="00923899">
      <w:pPr>
        <w:rPr>
          <w:rFonts w:cs="Arial"/>
        </w:rPr>
      </w:pPr>
      <w:r w:rsidRPr="00A03282">
        <w:rPr>
          <w:rFonts w:cs="Arial"/>
        </w:rPr>
        <w:fldChar w:fldCharType="begin"/>
      </w:r>
      <w:r w:rsidRPr="00A03282">
        <w:rPr>
          <w:rFonts w:cs="Arial"/>
        </w:rPr>
        <w:instrText xml:space="preserve"> AUTONUM  </w:instrText>
      </w:r>
      <w:r w:rsidRPr="00A03282">
        <w:rPr>
          <w:rFonts w:cs="Arial"/>
        </w:rPr>
        <w:fldChar w:fldCharType="end"/>
      </w:r>
      <w:r w:rsidRPr="00A03282">
        <w:rPr>
          <w:rFonts w:cs="Arial"/>
        </w:rPr>
        <w:tab/>
        <w:t xml:space="preserve">As no objections were received by </w:t>
      </w:r>
      <w:r w:rsidR="00953203" w:rsidRPr="00A03282">
        <w:rPr>
          <w:rFonts w:cs="Arial"/>
        </w:rPr>
        <w:t>September 21</w:t>
      </w:r>
      <w:r w:rsidRPr="00A03282">
        <w:rPr>
          <w:rFonts w:cs="Arial"/>
        </w:rPr>
        <w:t>, 202</w:t>
      </w:r>
      <w:r w:rsidR="00953203" w:rsidRPr="00A03282">
        <w:rPr>
          <w:rFonts w:cs="Arial"/>
        </w:rPr>
        <w:t>1</w:t>
      </w:r>
      <w:r w:rsidR="00AD5D72" w:rsidRPr="00A03282">
        <w:rPr>
          <w:rFonts w:cs="Arial"/>
        </w:rPr>
        <w:t xml:space="preserve">, </w:t>
      </w:r>
      <w:r w:rsidRPr="00A03282">
        <w:rPr>
          <w:rFonts w:cs="Arial"/>
        </w:rPr>
        <w:t>relevant decisions</w:t>
      </w:r>
      <w:r w:rsidR="00AD5D72" w:rsidRPr="00A03282">
        <w:t xml:space="preserve"> </w:t>
      </w:r>
      <w:r w:rsidR="00AD5D72" w:rsidRPr="00A03282">
        <w:rPr>
          <w:rFonts w:cs="Arial"/>
        </w:rPr>
        <w:t xml:space="preserve">in the documents in paragraphs </w:t>
      </w:r>
      <w:r w:rsidR="00057E9E" w:rsidRPr="00A03282">
        <w:rPr>
          <w:rFonts w:cs="Arial"/>
        </w:rPr>
        <w:t>8</w:t>
      </w:r>
      <w:r w:rsidR="001A2D6A" w:rsidRPr="00A03282">
        <w:rPr>
          <w:rFonts w:cs="Arial"/>
        </w:rPr>
        <w:t xml:space="preserve"> and </w:t>
      </w:r>
      <w:r w:rsidR="00057E9E" w:rsidRPr="00A03282">
        <w:rPr>
          <w:rFonts w:cs="Arial"/>
        </w:rPr>
        <w:t>9</w:t>
      </w:r>
      <w:r w:rsidR="00AD5D72" w:rsidRPr="00A03282">
        <w:rPr>
          <w:rFonts w:cs="Arial"/>
        </w:rPr>
        <w:t xml:space="preserve"> above</w:t>
      </w:r>
      <w:r w:rsidRPr="00A03282">
        <w:rPr>
          <w:rFonts w:cs="Arial"/>
        </w:rPr>
        <w:t xml:space="preserve">, are considered to have been taken by correspondence. </w:t>
      </w:r>
      <w:r w:rsidR="00057E9E" w:rsidRPr="00A03282">
        <w:rPr>
          <w:rFonts w:cs="Arial"/>
        </w:rPr>
        <w:t xml:space="preserve"> </w:t>
      </w:r>
      <w:r w:rsidR="00AD5D72" w:rsidRPr="00A03282">
        <w:rPr>
          <w:rFonts w:cs="Arial"/>
        </w:rPr>
        <w:t>The decisions taken by the CAJ by correspondence on September 21, 2021 are</w:t>
      </w:r>
      <w:r w:rsidRPr="00A03282">
        <w:rPr>
          <w:rFonts w:cs="Arial"/>
        </w:rPr>
        <w:t xml:space="preserve"> </w:t>
      </w:r>
      <w:r w:rsidR="00AD5D72" w:rsidRPr="00A03282">
        <w:rPr>
          <w:rFonts w:cs="Arial"/>
        </w:rPr>
        <w:t xml:space="preserve">reproduced in the </w:t>
      </w:r>
      <w:r w:rsidR="001A2D6A" w:rsidRPr="00A03282">
        <w:rPr>
          <w:rFonts w:cs="Arial"/>
        </w:rPr>
        <w:t xml:space="preserve">following </w:t>
      </w:r>
      <w:r w:rsidR="00AD5D72" w:rsidRPr="00A03282">
        <w:rPr>
          <w:rFonts w:cs="Arial"/>
        </w:rPr>
        <w:t>paragraph</w:t>
      </w:r>
      <w:r w:rsidR="00AD5D72" w:rsidRPr="00082224">
        <w:rPr>
          <w:rFonts w:cs="Arial"/>
        </w:rPr>
        <w:t xml:space="preserve">s </w:t>
      </w:r>
      <w:r w:rsidR="00E30364" w:rsidRPr="00082224">
        <w:rPr>
          <w:rFonts w:cs="Arial"/>
        </w:rPr>
        <w:t>12</w:t>
      </w:r>
      <w:r w:rsidR="00AD5D72" w:rsidRPr="00082224">
        <w:rPr>
          <w:rFonts w:cs="Arial"/>
        </w:rPr>
        <w:t xml:space="preserve"> to </w:t>
      </w:r>
      <w:r w:rsidR="00E30364" w:rsidRPr="00082224">
        <w:rPr>
          <w:rFonts w:cs="Arial"/>
        </w:rPr>
        <w:t>31</w:t>
      </w:r>
      <w:r w:rsidR="00DB72FA" w:rsidRPr="00A03282">
        <w:rPr>
          <w:rFonts w:cs="Arial"/>
        </w:rPr>
        <w:t xml:space="preserve"> </w:t>
      </w:r>
      <w:r w:rsidR="00FB23CF" w:rsidRPr="00E8202A">
        <w:rPr>
          <w:rFonts w:cs="Arial"/>
        </w:rPr>
        <w:t xml:space="preserve">according to </w:t>
      </w:r>
      <w:r w:rsidR="001A2D6A" w:rsidRPr="00E8202A">
        <w:rPr>
          <w:rFonts w:cs="Arial"/>
        </w:rPr>
        <w:t>the</w:t>
      </w:r>
      <w:r w:rsidR="001A2D6A" w:rsidRPr="00A03282">
        <w:rPr>
          <w:rFonts w:cs="Arial"/>
        </w:rPr>
        <w:t xml:space="preserve"> items </w:t>
      </w:r>
      <w:r w:rsidR="001A2D6A" w:rsidRPr="00A03282">
        <w:rPr>
          <w:rFonts w:cs="Arial"/>
          <w:lang w:eastAsia="fr-FR"/>
        </w:rPr>
        <w:t>in document CAJ/78/1 Rev. (Revised Dra</w:t>
      </w:r>
      <w:r w:rsidR="001A2D6A" w:rsidRPr="00640A12">
        <w:rPr>
          <w:rFonts w:cs="Arial"/>
          <w:lang w:eastAsia="fr-FR"/>
        </w:rPr>
        <w:t xml:space="preserve">ft Agenda). </w:t>
      </w:r>
      <w:r w:rsidR="001A2D6A" w:rsidRPr="00640A12">
        <w:rPr>
          <w:rFonts w:cs="Arial"/>
        </w:rPr>
        <w:t xml:space="preserve"> </w:t>
      </w:r>
    </w:p>
    <w:p w:rsidR="00923899" w:rsidRPr="00640A12" w:rsidRDefault="00923899" w:rsidP="00923899"/>
    <w:p w:rsidR="00E44777" w:rsidRPr="00640A12" w:rsidRDefault="00E44777" w:rsidP="00923899"/>
    <w:p w:rsidR="00E44777" w:rsidRPr="00640A12" w:rsidRDefault="00E44777" w:rsidP="00923899"/>
    <w:p w:rsidR="00923899" w:rsidRPr="00640A12" w:rsidRDefault="00923899" w:rsidP="00922891">
      <w:pPr>
        <w:pStyle w:val="Heading1"/>
        <w:rPr>
          <w:kern w:val="28"/>
        </w:rPr>
      </w:pPr>
      <w:bookmarkStart w:id="14" w:name="_Toc54097478"/>
      <w:bookmarkStart w:id="15" w:name="_Toc54097612"/>
      <w:bookmarkStart w:id="16" w:name="_Toc84269000"/>
      <w:r w:rsidRPr="00640A12">
        <w:t>Agenda item 6:  Development of guidance and information materials</w:t>
      </w:r>
      <w:bookmarkEnd w:id="14"/>
      <w:bookmarkEnd w:id="15"/>
      <w:r w:rsidRPr="00640A12">
        <w:t xml:space="preserve"> (document </w:t>
      </w:r>
      <w:r w:rsidRPr="00640A12">
        <w:rPr>
          <w:snapToGrid w:val="0"/>
        </w:rPr>
        <w:t>CAJ/7</w:t>
      </w:r>
      <w:r w:rsidR="00953203" w:rsidRPr="00640A12">
        <w:rPr>
          <w:snapToGrid w:val="0"/>
        </w:rPr>
        <w:t>8</w:t>
      </w:r>
      <w:r w:rsidRPr="00640A12">
        <w:rPr>
          <w:snapToGrid w:val="0"/>
        </w:rPr>
        <w:t>/3 Rev.)</w:t>
      </w:r>
      <w:bookmarkEnd w:id="16"/>
    </w:p>
    <w:p w:rsidR="00923899" w:rsidRPr="00640A12" w:rsidRDefault="00923899" w:rsidP="00922891">
      <w:pPr>
        <w:keepNext/>
      </w:pPr>
    </w:p>
    <w:p w:rsidR="00923899" w:rsidRPr="00640A12" w:rsidRDefault="00923899" w:rsidP="00923899">
      <w:pPr>
        <w:keepNext/>
        <w:rPr>
          <w:snapToGrid w:val="0"/>
        </w:rPr>
      </w:pPr>
      <w:r w:rsidRPr="00640A12">
        <w:fldChar w:fldCharType="begin"/>
      </w:r>
      <w:r w:rsidRPr="00640A12">
        <w:instrText xml:space="preserve"> AUTONUM  </w:instrText>
      </w:r>
      <w:r w:rsidRPr="00640A12">
        <w:fldChar w:fldCharType="end"/>
      </w:r>
      <w:r w:rsidRPr="00640A12">
        <w:tab/>
      </w:r>
      <w:r w:rsidRPr="00640A12">
        <w:rPr>
          <w:snapToGrid w:val="0"/>
        </w:rPr>
        <w:t>The CAJ considered document CAJ/7</w:t>
      </w:r>
      <w:r w:rsidR="00953203" w:rsidRPr="00640A12">
        <w:rPr>
          <w:snapToGrid w:val="0"/>
        </w:rPr>
        <w:t>8</w:t>
      </w:r>
      <w:r w:rsidRPr="00640A12">
        <w:rPr>
          <w:snapToGrid w:val="0"/>
        </w:rPr>
        <w:t>/3 Rev</w:t>
      </w:r>
      <w:proofErr w:type="gramStart"/>
      <w:r w:rsidRPr="00640A12">
        <w:rPr>
          <w:snapToGrid w:val="0"/>
        </w:rPr>
        <w:t>.</w:t>
      </w:r>
      <w:r w:rsidR="003F44E6" w:rsidRPr="00640A12">
        <w:rPr>
          <w:snapToGrid w:val="0"/>
        </w:rPr>
        <w:t>.</w:t>
      </w:r>
      <w:proofErr w:type="gramEnd"/>
    </w:p>
    <w:p w:rsidR="00923899" w:rsidRPr="00640A12" w:rsidRDefault="00923899" w:rsidP="005C2E97"/>
    <w:p w:rsidR="00923899" w:rsidRPr="00640A12" w:rsidRDefault="00923899" w:rsidP="005C2E97"/>
    <w:p w:rsidR="00923899" w:rsidRPr="00640A12" w:rsidRDefault="00923899" w:rsidP="00923899">
      <w:pPr>
        <w:pStyle w:val="Heading2"/>
        <w:rPr>
          <w:rFonts w:cs="Arial"/>
        </w:rPr>
      </w:pPr>
      <w:bookmarkStart w:id="17" w:name="_Toc54097479"/>
      <w:bookmarkStart w:id="18" w:name="_Toc54097613"/>
      <w:bookmarkStart w:id="19" w:name="_Toc84269001"/>
      <w:r w:rsidRPr="00640A12">
        <w:rPr>
          <w:rFonts w:cs="Arial"/>
        </w:rPr>
        <w:t>I</w:t>
      </w:r>
      <w:r w:rsidRPr="00640A12">
        <w:t>nformation Materials</w:t>
      </w:r>
      <w:bookmarkEnd w:id="17"/>
      <w:bookmarkEnd w:id="18"/>
      <w:bookmarkEnd w:id="19"/>
    </w:p>
    <w:p w:rsidR="00923899" w:rsidRPr="00640A12" w:rsidRDefault="00923899" w:rsidP="00923899">
      <w:pPr>
        <w:keepNext/>
        <w:outlineLvl w:val="1"/>
        <w:rPr>
          <w:rFonts w:eastAsiaTheme="minorEastAsia" w:cs="Arial"/>
          <w:u w:val="single"/>
        </w:rPr>
      </w:pPr>
    </w:p>
    <w:p w:rsidR="00923899" w:rsidRPr="00A03282" w:rsidRDefault="00923899" w:rsidP="00923899">
      <w:pPr>
        <w:pStyle w:val="Heading3"/>
        <w:rPr>
          <w:rFonts w:cs="Arial"/>
        </w:rPr>
      </w:pPr>
      <w:bookmarkStart w:id="20" w:name="_Toc54004069"/>
      <w:bookmarkStart w:id="21" w:name="_Toc54097480"/>
      <w:bookmarkStart w:id="22" w:name="_Toc54097614"/>
      <w:bookmarkStart w:id="23" w:name="_Toc84269002"/>
      <w:r w:rsidRPr="00640A12">
        <w:rPr>
          <w:rFonts w:cs="Arial"/>
        </w:rPr>
        <w:t>UPO</w:t>
      </w:r>
      <w:r w:rsidRPr="00A03282">
        <w:rPr>
          <w:rFonts w:cs="Arial"/>
        </w:rPr>
        <w:t>V/INF/16:  Exchangeable Software (Revision) (document UPOV/INF/16/</w:t>
      </w:r>
      <w:r w:rsidR="00B74FCA" w:rsidRPr="00A03282">
        <w:rPr>
          <w:rFonts w:cs="Arial"/>
        </w:rPr>
        <w:t>10</w:t>
      </w:r>
      <w:r w:rsidR="00627D90" w:rsidRPr="00A03282">
        <w:rPr>
          <w:rFonts w:cs="Arial"/>
        </w:rPr>
        <w:t> Draft </w:t>
      </w:r>
      <w:r w:rsidRPr="00A03282">
        <w:rPr>
          <w:rFonts w:cs="Arial"/>
        </w:rPr>
        <w:t>2)</w:t>
      </w:r>
      <w:bookmarkEnd w:id="20"/>
      <w:bookmarkEnd w:id="21"/>
      <w:bookmarkEnd w:id="22"/>
      <w:bookmarkEnd w:id="23"/>
    </w:p>
    <w:p w:rsidR="00923899" w:rsidRPr="00A03282" w:rsidRDefault="00923899" w:rsidP="00923899">
      <w:pPr>
        <w:keepNext/>
        <w:rPr>
          <w:rFonts w:cs="Arial"/>
        </w:rPr>
      </w:pPr>
    </w:p>
    <w:p w:rsidR="00923899" w:rsidRPr="00640A12" w:rsidRDefault="00923899" w:rsidP="00923899">
      <w:pPr>
        <w:keepLines/>
        <w:rPr>
          <w:rFonts w:eastAsia="SimSun" w:cs="Arial"/>
          <w:snapToGrid w:val="0"/>
          <w:lang w:eastAsia="ja-JP"/>
        </w:rPr>
      </w:pPr>
      <w:r w:rsidRPr="00082224">
        <w:rPr>
          <w:rFonts w:eastAsia="SimSun" w:cs="Arial"/>
          <w:snapToGrid w:val="0"/>
          <w:lang w:eastAsia="ja-JP"/>
        </w:rPr>
        <w:fldChar w:fldCharType="begin"/>
      </w:r>
      <w:r w:rsidRPr="00082224">
        <w:rPr>
          <w:rFonts w:eastAsia="SimSun" w:cs="Arial"/>
          <w:snapToGrid w:val="0"/>
          <w:lang w:eastAsia="ja-JP"/>
        </w:rPr>
        <w:instrText xml:space="preserve"> AUTONUM  </w:instrText>
      </w:r>
      <w:r w:rsidRPr="00082224">
        <w:rPr>
          <w:rFonts w:eastAsia="SimSun" w:cs="Arial"/>
          <w:snapToGrid w:val="0"/>
          <w:lang w:eastAsia="ja-JP"/>
        </w:rPr>
        <w:fldChar w:fldCharType="end"/>
      </w:r>
      <w:r w:rsidRPr="00082224">
        <w:rPr>
          <w:rFonts w:eastAsia="SimSun" w:cs="Arial"/>
          <w:snapToGrid w:val="0"/>
          <w:lang w:eastAsia="ja-JP"/>
        </w:rPr>
        <w:tab/>
        <w:t>The CA</w:t>
      </w:r>
      <w:r w:rsidRPr="00640A12">
        <w:rPr>
          <w:rFonts w:eastAsia="SimSun" w:cs="Arial"/>
          <w:snapToGrid w:val="0"/>
          <w:lang w:eastAsia="ja-JP"/>
        </w:rPr>
        <w:t xml:space="preserve">J </w:t>
      </w:r>
      <w:r w:rsidRPr="00640A12">
        <w:rPr>
          <w:rFonts w:cs="Arial"/>
        </w:rPr>
        <w:t xml:space="preserve">approved </w:t>
      </w:r>
      <w:r w:rsidRPr="00640A12">
        <w:rPr>
          <w:rFonts w:eastAsia="SimSun" w:cs="Arial"/>
          <w:snapToGrid w:val="0"/>
          <w:lang w:eastAsia="ja-JP"/>
        </w:rPr>
        <w:t>the proposed re</w:t>
      </w:r>
      <w:r w:rsidR="005C2E97" w:rsidRPr="00640A12">
        <w:rPr>
          <w:rFonts w:eastAsia="SimSun" w:cs="Arial"/>
          <w:snapToGrid w:val="0"/>
          <w:lang w:eastAsia="ja-JP"/>
        </w:rPr>
        <w:t>vision of document UPOV/INF/16/9</w:t>
      </w:r>
      <w:r w:rsidRPr="00640A12">
        <w:rPr>
          <w:rFonts w:eastAsia="SimSun" w:cs="Arial"/>
          <w:snapToGrid w:val="0"/>
          <w:lang w:eastAsia="ja-JP"/>
        </w:rPr>
        <w:t xml:space="preserve"> “Exchangeable Software”, on the</w:t>
      </w:r>
      <w:r w:rsidR="005C2E97" w:rsidRPr="00640A12">
        <w:rPr>
          <w:rFonts w:eastAsia="SimSun" w:cs="Arial"/>
          <w:snapToGrid w:val="0"/>
          <w:lang w:eastAsia="ja-JP"/>
        </w:rPr>
        <w:t xml:space="preserve"> basis of document UPOV/INF/16/10</w:t>
      </w:r>
      <w:r w:rsidRPr="00640A12">
        <w:rPr>
          <w:rFonts w:eastAsia="SimSun" w:cs="Arial"/>
          <w:snapToGrid w:val="0"/>
          <w:lang w:eastAsia="ja-JP"/>
        </w:rPr>
        <w:t xml:space="preserve"> Draft 2.</w:t>
      </w:r>
      <w:r w:rsidR="003F44E6" w:rsidRPr="00640A12">
        <w:rPr>
          <w:rFonts w:eastAsia="SimSun" w:cs="Arial"/>
          <w:snapToGrid w:val="0"/>
          <w:lang w:eastAsia="ja-JP"/>
        </w:rPr>
        <w:t xml:space="preserve"> </w:t>
      </w:r>
    </w:p>
    <w:p w:rsidR="00923899" w:rsidRPr="00640A12" w:rsidRDefault="00923899" w:rsidP="00923899">
      <w:pPr>
        <w:rPr>
          <w:rFonts w:eastAsia="SimSun" w:cs="Arial"/>
          <w:snapToGrid w:val="0"/>
          <w:lang w:eastAsia="ja-JP"/>
        </w:rPr>
      </w:pPr>
    </w:p>
    <w:p w:rsidR="00923899" w:rsidRPr="00640A12" w:rsidRDefault="00923899" w:rsidP="00923899">
      <w:pPr>
        <w:keepLines/>
        <w:rPr>
          <w:rFonts w:cs="Arial"/>
          <w:spacing w:val="-4"/>
        </w:rPr>
      </w:pPr>
      <w:r w:rsidRPr="00640A12">
        <w:rPr>
          <w:rFonts w:cs="Arial"/>
          <w:spacing w:val="-4"/>
        </w:rPr>
        <w:fldChar w:fldCharType="begin"/>
      </w:r>
      <w:r w:rsidRPr="00640A12">
        <w:rPr>
          <w:rFonts w:cs="Arial"/>
          <w:spacing w:val="-4"/>
        </w:rPr>
        <w:instrText xml:space="preserve"> AUTONUM  </w:instrText>
      </w:r>
      <w:r w:rsidRPr="00640A12">
        <w:rPr>
          <w:rFonts w:cs="Arial"/>
          <w:spacing w:val="-4"/>
        </w:rPr>
        <w:fldChar w:fldCharType="end"/>
      </w:r>
      <w:r w:rsidRPr="00640A12">
        <w:rPr>
          <w:rFonts w:cs="Arial"/>
          <w:spacing w:val="-4"/>
        </w:rPr>
        <w:tab/>
        <w:t xml:space="preserve">The CAJ agreed that the Council be invited to </w:t>
      </w:r>
      <w:r w:rsidR="002D3619" w:rsidRPr="00640A12">
        <w:rPr>
          <w:rFonts w:cs="Arial"/>
          <w:spacing w:val="-4"/>
        </w:rPr>
        <w:t>adopt in 2021</w:t>
      </w:r>
      <w:r w:rsidRPr="00640A12">
        <w:rPr>
          <w:rFonts w:cs="Arial"/>
          <w:spacing w:val="-4"/>
        </w:rPr>
        <w:t xml:space="preserve"> the revisions to </w:t>
      </w:r>
      <w:r w:rsidRPr="00640A12">
        <w:rPr>
          <w:rFonts w:eastAsia="SimSun" w:cs="Arial"/>
          <w:snapToGrid w:val="0"/>
          <w:spacing w:val="-4"/>
          <w:lang w:eastAsia="ja-JP"/>
        </w:rPr>
        <w:t>document UPOV/INF/16/</w:t>
      </w:r>
      <w:r w:rsidR="005C2E97" w:rsidRPr="00640A12">
        <w:rPr>
          <w:rFonts w:eastAsia="SimSun" w:cs="Arial"/>
          <w:snapToGrid w:val="0"/>
          <w:spacing w:val="-4"/>
          <w:lang w:eastAsia="ja-JP"/>
        </w:rPr>
        <w:t>10</w:t>
      </w:r>
      <w:r w:rsidRPr="00640A12">
        <w:rPr>
          <w:rFonts w:eastAsia="SimSun" w:cs="Arial"/>
          <w:snapToGrid w:val="0"/>
          <w:spacing w:val="-4"/>
          <w:lang w:eastAsia="ja-JP"/>
        </w:rPr>
        <w:t xml:space="preserve"> “</w:t>
      </w:r>
      <w:r w:rsidRPr="00640A12">
        <w:rPr>
          <w:rFonts w:cs="Arial"/>
        </w:rPr>
        <w:t>Exchangeable Software</w:t>
      </w:r>
      <w:r w:rsidRPr="00640A12">
        <w:rPr>
          <w:rFonts w:eastAsia="SimSun" w:cs="Arial"/>
          <w:snapToGrid w:val="0"/>
          <w:spacing w:val="-4"/>
          <w:lang w:eastAsia="ja-JP"/>
        </w:rPr>
        <w:t xml:space="preserve">”, as presented in document </w:t>
      </w:r>
      <w:r w:rsidRPr="00640A12">
        <w:rPr>
          <w:rFonts w:cs="Arial"/>
          <w:spacing w:val="-4"/>
        </w:rPr>
        <w:t>UPOV/INF/16/</w:t>
      </w:r>
      <w:r w:rsidR="005C2E97" w:rsidRPr="00640A12">
        <w:rPr>
          <w:rFonts w:cs="Arial"/>
          <w:spacing w:val="-4"/>
        </w:rPr>
        <w:t>10</w:t>
      </w:r>
      <w:r w:rsidRPr="00640A12">
        <w:rPr>
          <w:rFonts w:cs="Arial"/>
          <w:spacing w:val="-4"/>
        </w:rPr>
        <w:t> </w:t>
      </w:r>
      <w:r w:rsidRPr="00640A12">
        <w:rPr>
          <w:rFonts w:eastAsia="SimSun" w:cs="Arial"/>
          <w:snapToGrid w:val="0"/>
          <w:spacing w:val="-4"/>
          <w:lang w:eastAsia="ja-JP"/>
        </w:rPr>
        <w:t>Draft 2</w:t>
      </w:r>
      <w:r w:rsidRPr="00640A12">
        <w:rPr>
          <w:rFonts w:cs="Arial"/>
          <w:spacing w:val="-4"/>
        </w:rPr>
        <w:t xml:space="preserve">. </w:t>
      </w:r>
    </w:p>
    <w:p w:rsidR="00953203" w:rsidRPr="00640A12" w:rsidRDefault="00953203" w:rsidP="00953203">
      <w:pPr>
        <w:pStyle w:val="Heading3"/>
        <w:rPr>
          <w:rFonts w:cs="Arial"/>
        </w:rPr>
      </w:pPr>
    </w:p>
    <w:p w:rsidR="00953203" w:rsidRPr="00640A12" w:rsidRDefault="00953203" w:rsidP="00B74FCA">
      <w:pPr>
        <w:pStyle w:val="Heading3"/>
        <w:rPr>
          <w:rFonts w:cs="Arial"/>
        </w:rPr>
      </w:pPr>
      <w:bookmarkStart w:id="24" w:name="_Toc84269003"/>
      <w:r w:rsidRPr="00640A12">
        <w:rPr>
          <w:rFonts w:cs="Arial"/>
        </w:rPr>
        <w:t xml:space="preserve">UPOV/INF/17:  </w:t>
      </w:r>
      <w:r w:rsidR="00B74FCA" w:rsidRPr="00640A12">
        <w:rPr>
          <w:rFonts w:cs="Arial"/>
        </w:rPr>
        <w:t>Guidelines for DNA-Profiling: Molecular Marker Selection and Database Construction (“BMT Guidelines”) (Revision) (document</w:t>
      </w:r>
      <w:r w:rsidR="00627D90" w:rsidRPr="00640A12">
        <w:rPr>
          <w:rFonts w:cs="Arial"/>
        </w:rPr>
        <w:t xml:space="preserve"> UPOV/INF/17/2 </w:t>
      </w:r>
      <w:r w:rsidR="00B74FCA" w:rsidRPr="00640A12">
        <w:rPr>
          <w:rFonts w:cs="Arial"/>
        </w:rPr>
        <w:t>Draft</w:t>
      </w:r>
      <w:r w:rsidR="00627D90" w:rsidRPr="00640A12">
        <w:rPr>
          <w:rFonts w:cs="Arial"/>
        </w:rPr>
        <w:t> </w:t>
      </w:r>
      <w:r w:rsidR="00B74FCA" w:rsidRPr="00640A12">
        <w:rPr>
          <w:rFonts w:cs="Arial"/>
        </w:rPr>
        <w:t>6)</w:t>
      </w:r>
      <w:bookmarkEnd w:id="24"/>
    </w:p>
    <w:p w:rsidR="00953203" w:rsidRPr="00640A12" w:rsidRDefault="00953203" w:rsidP="00953203">
      <w:pPr>
        <w:keepNext/>
        <w:rPr>
          <w:rFonts w:cs="Arial"/>
        </w:rPr>
      </w:pPr>
    </w:p>
    <w:p w:rsidR="00953203" w:rsidRPr="00640A12" w:rsidRDefault="00953203" w:rsidP="00953203">
      <w:pPr>
        <w:keepLines/>
        <w:rPr>
          <w:rFonts w:eastAsia="SimSun" w:cs="Arial"/>
          <w:snapToGrid w:val="0"/>
          <w:lang w:eastAsia="ja-JP"/>
        </w:rPr>
      </w:pPr>
      <w:r w:rsidRPr="00640A12">
        <w:rPr>
          <w:rFonts w:eastAsia="SimSun" w:cs="Arial"/>
          <w:snapToGrid w:val="0"/>
          <w:lang w:eastAsia="ja-JP"/>
        </w:rPr>
        <w:fldChar w:fldCharType="begin"/>
      </w:r>
      <w:r w:rsidRPr="00640A12">
        <w:rPr>
          <w:rFonts w:eastAsia="SimSun" w:cs="Arial"/>
          <w:snapToGrid w:val="0"/>
          <w:lang w:eastAsia="ja-JP"/>
        </w:rPr>
        <w:instrText xml:space="preserve"> AUTONUM  </w:instrText>
      </w:r>
      <w:r w:rsidRPr="00640A12">
        <w:rPr>
          <w:rFonts w:eastAsia="SimSun" w:cs="Arial"/>
          <w:snapToGrid w:val="0"/>
          <w:lang w:eastAsia="ja-JP"/>
        </w:rPr>
        <w:fldChar w:fldCharType="end"/>
      </w:r>
      <w:r w:rsidRPr="00640A12">
        <w:rPr>
          <w:rFonts w:eastAsia="SimSun" w:cs="Arial"/>
          <w:snapToGrid w:val="0"/>
          <w:lang w:eastAsia="ja-JP"/>
        </w:rPr>
        <w:tab/>
        <w:t xml:space="preserve">The CAJ </w:t>
      </w:r>
      <w:r w:rsidRPr="00640A12">
        <w:rPr>
          <w:rFonts w:cs="Arial"/>
        </w:rPr>
        <w:t xml:space="preserve">approved </w:t>
      </w:r>
      <w:r w:rsidRPr="00640A12">
        <w:rPr>
          <w:rFonts w:eastAsia="SimSun" w:cs="Arial"/>
          <w:snapToGrid w:val="0"/>
          <w:lang w:eastAsia="ja-JP"/>
        </w:rPr>
        <w:t>the revision of document UPOV/INF/1</w:t>
      </w:r>
      <w:r w:rsidR="005C2E97" w:rsidRPr="00640A12">
        <w:rPr>
          <w:rFonts w:eastAsia="SimSun" w:cs="Arial"/>
          <w:snapToGrid w:val="0"/>
          <w:lang w:eastAsia="ja-JP"/>
        </w:rPr>
        <w:t>7</w:t>
      </w:r>
      <w:r w:rsidRPr="00640A12">
        <w:rPr>
          <w:rFonts w:eastAsia="SimSun" w:cs="Arial"/>
          <w:snapToGrid w:val="0"/>
          <w:lang w:eastAsia="ja-JP"/>
        </w:rPr>
        <w:t>/</w:t>
      </w:r>
      <w:r w:rsidR="005C2E97" w:rsidRPr="00640A12">
        <w:rPr>
          <w:rFonts w:eastAsia="SimSun" w:cs="Arial"/>
          <w:snapToGrid w:val="0"/>
          <w:lang w:eastAsia="ja-JP"/>
        </w:rPr>
        <w:t>1</w:t>
      </w:r>
      <w:r w:rsidRPr="00640A12">
        <w:rPr>
          <w:rFonts w:eastAsia="SimSun" w:cs="Arial"/>
          <w:snapToGrid w:val="0"/>
          <w:lang w:eastAsia="ja-JP"/>
        </w:rPr>
        <w:t xml:space="preserve"> “</w:t>
      </w:r>
      <w:r w:rsidR="005C2E97" w:rsidRPr="00640A12">
        <w:rPr>
          <w:rFonts w:cs="Arial"/>
        </w:rPr>
        <w:t>Guidelines for DNA-Profiling: Molecular Marker Selection and Database Construction (“BMT Guidelines”)</w:t>
      </w:r>
      <w:r w:rsidRPr="00640A12">
        <w:rPr>
          <w:rFonts w:eastAsia="SimSun" w:cs="Arial"/>
          <w:snapToGrid w:val="0"/>
          <w:lang w:eastAsia="ja-JP"/>
        </w:rPr>
        <w:t>”, on t</w:t>
      </w:r>
      <w:r w:rsidR="00E07384" w:rsidRPr="00640A12">
        <w:rPr>
          <w:rFonts w:eastAsia="SimSun" w:cs="Arial"/>
          <w:snapToGrid w:val="0"/>
          <w:lang w:eastAsia="ja-JP"/>
        </w:rPr>
        <w:t>he basis of document </w:t>
      </w:r>
      <w:r w:rsidR="005C2E97" w:rsidRPr="00640A12">
        <w:rPr>
          <w:rFonts w:eastAsia="SimSun" w:cs="Arial"/>
          <w:snapToGrid w:val="0"/>
          <w:lang w:eastAsia="ja-JP"/>
        </w:rPr>
        <w:t>UPOV/INF/17</w:t>
      </w:r>
      <w:r w:rsidRPr="00640A12">
        <w:rPr>
          <w:rFonts w:eastAsia="SimSun" w:cs="Arial"/>
          <w:snapToGrid w:val="0"/>
          <w:lang w:eastAsia="ja-JP"/>
        </w:rPr>
        <w:t>/</w:t>
      </w:r>
      <w:r w:rsidR="005C2E97" w:rsidRPr="00640A12">
        <w:rPr>
          <w:rFonts w:eastAsia="SimSun" w:cs="Arial"/>
          <w:snapToGrid w:val="0"/>
          <w:lang w:eastAsia="ja-JP"/>
        </w:rPr>
        <w:t>2</w:t>
      </w:r>
      <w:r w:rsidR="00367AE2" w:rsidRPr="00640A12">
        <w:rPr>
          <w:rFonts w:eastAsia="SimSun" w:cs="Arial"/>
          <w:snapToGrid w:val="0"/>
          <w:lang w:eastAsia="ja-JP"/>
        </w:rPr>
        <w:t> </w:t>
      </w:r>
      <w:r w:rsidRPr="00640A12">
        <w:rPr>
          <w:rFonts w:eastAsia="SimSun" w:cs="Arial"/>
          <w:snapToGrid w:val="0"/>
          <w:lang w:eastAsia="ja-JP"/>
        </w:rPr>
        <w:t>Draf</w:t>
      </w:r>
      <w:r w:rsidR="005C2E97" w:rsidRPr="00640A12">
        <w:rPr>
          <w:rFonts w:eastAsia="SimSun" w:cs="Arial"/>
          <w:snapToGrid w:val="0"/>
          <w:lang w:eastAsia="ja-JP"/>
        </w:rPr>
        <w:t>t 6</w:t>
      </w:r>
      <w:r w:rsidRPr="00640A12">
        <w:rPr>
          <w:rFonts w:eastAsia="SimSun" w:cs="Arial"/>
          <w:snapToGrid w:val="0"/>
          <w:lang w:eastAsia="ja-JP"/>
        </w:rPr>
        <w:t xml:space="preserve">.   </w:t>
      </w:r>
    </w:p>
    <w:p w:rsidR="00953203" w:rsidRPr="00640A12" w:rsidRDefault="00953203" w:rsidP="00953203">
      <w:pPr>
        <w:rPr>
          <w:rFonts w:eastAsia="SimSun" w:cs="Arial"/>
          <w:snapToGrid w:val="0"/>
          <w:lang w:eastAsia="ja-JP"/>
        </w:rPr>
      </w:pPr>
    </w:p>
    <w:p w:rsidR="00953203" w:rsidRPr="00640A12" w:rsidRDefault="00953203" w:rsidP="00953203">
      <w:pPr>
        <w:keepLines/>
        <w:rPr>
          <w:rFonts w:cs="Arial"/>
          <w:spacing w:val="-4"/>
        </w:rPr>
      </w:pPr>
      <w:r w:rsidRPr="00640A12">
        <w:rPr>
          <w:rFonts w:cs="Arial"/>
          <w:spacing w:val="-4"/>
        </w:rPr>
        <w:fldChar w:fldCharType="begin"/>
      </w:r>
      <w:r w:rsidRPr="00640A12">
        <w:rPr>
          <w:rFonts w:cs="Arial"/>
          <w:spacing w:val="-4"/>
        </w:rPr>
        <w:instrText xml:space="preserve"> AUTONUM  </w:instrText>
      </w:r>
      <w:r w:rsidRPr="00640A12">
        <w:rPr>
          <w:rFonts w:cs="Arial"/>
          <w:spacing w:val="-4"/>
        </w:rPr>
        <w:fldChar w:fldCharType="end"/>
      </w:r>
      <w:r w:rsidRPr="00640A12">
        <w:rPr>
          <w:rFonts w:cs="Arial"/>
          <w:spacing w:val="-4"/>
        </w:rPr>
        <w:tab/>
        <w:t xml:space="preserve">The CAJ agreed that the Council be invited to </w:t>
      </w:r>
      <w:r w:rsidR="002D3619" w:rsidRPr="00640A12">
        <w:rPr>
          <w:rFonts w:cs="Arial"/>
          <w:spacing w:val="-4"/>
        </w:rPr>
        <w:t>adopt in 2021 the</w:t>
      </w:r>
      <w:r w:rsidRPr="00640A12">
        <w:rPr>
          <w:rFonts w:cs="Arial"/>
          <w:spacing w:val="-4"/>
        </w:rPr>
        <w:t xml:space="preserve"> revisions to </w:t>
      </w:r>
      <w:r w:rsidR="00E07384" w:rsidRPr="00640A12">
        <w:rPr>
          <w:rFonts w:eastAsia="SimSun" w:cs="Arial"/>
          <w:snapToGrid w:val="0"/>
          <w:spacing w:val="-4"/>
          <w:lang w:eastAsia="ja-JP"/>
        </w:rPr>
        <w:t>document UPOV/INF/17/2</w:t>
      </w:r>
      <w:r w:rsidRPr="00640A12">
        <w:rPr>
          <w:rFonts w:eastAsia="SimSun" w:cs="Arial"/>
          <w:snapToGrid w:val="0"/>
          <w:spacing w:val="-4"/>
          <w:lang w:eastAsia="ja-JP"/>
        </w:rPr>
        <w:t xml:space="preserve"> “</w:t>
      </w:r>
      <w:r w:rsidR="00E07384" w:rsidRPr="00640A12">
        <w:rPr>
          <w:rFonts w:cs="Arial"/>
        </w:rPr>
        <w:t>Guidelines for DNA-Profiling: Molecular Marker Selection and Database Construction (“BMT Guidelines”)</w:t>
      </w:r>
      <w:r w:rsidRPr="00640A12">
        <w:rPr>
          <w:rFonts w:eastAsia="SimSun" w:cs="Arial"/>
          <w:snapToGrid w:val="0"/>
          <w:spacing w:val="-4"/>
          <w:lang w:eastAsia="ja-JP"/>
        </w:rPr>
        <w:t xml:space="preserve">”, as presented in document </w:t>
      </w:r>
      <w:r w:rsidRPr="00640A12">
        <w:rPr>
          <w:rFonts w:cs="Arial"/>
          <w:spacing w:val="-4"/>
        </w:rPr>
        <w:t>UPOV/INF/1</w:t>
      </w:r>
      <w:r w:rsidR="00E07384" w:rsidRPr="00640A12">
        <w:rPr>
          <w:rFonts w:cs="Arial"/>
          <w:spacing w:val="-4"/>
        </w:rPr>
        <w:t>7/2</w:t>
      </w:r>
      <w:r w:rsidRPr="00640A12">
        <w:rPr>
          <w:rFonts w:cs="Arial"/>
          <w:spacing w:val="-4"/>
        </w:rPr>
        <w:t> </w:t>
      </w:r>
      <w:r w:rsidRPr="00640A12">
        <w:rPr>
          <w:rFonts w:eastAsia="SimSun" w:cs="Arial"/>
          <w:snapToGrid w:val="0"/>
          <w:spacing w:val="-4"/>
          <w:lang w:eastAsia="ja-JP"/>
        </w:rPr>
        <w:t>Draft </w:t>
      </w:r>
      <w:r w:rsidR="00E07384" w:rsidRPr="00640A12">
        <w:rPr>
          <w:rFonts w:eastAsia="SimSun" w:cs="Arial"/>
          <w:snapToGrid w:val="0"/>
          <w:spacing w:val="-4"/>
          <w:lang w:eastAsia="ja-JP"/>
        </w:rPr>
        <w:t>6</w:t>
      </w:r>
      <w:r w:rsidRPr="00640A12">
        <w:rPr>
          <w:rFonts w:cs="Arial"/>
          <w:spacing w:val="-4"/>
        </w:rPr>
        <w:t xml:space="preserve">. </w:t>
      </w:r>
    </w:p>
    <w:p w:rsidR="00923899" w:rsidRPr="00640A12" w:rsidRDefault="00923899" w:rsidP="00923899">
      <w:pPr>
        <w:rPr>
          <w:rFonts w:cs="Arial"/>
        </w:rPr>
      </w:pPr>
    </w:p>
    <w:p w:rsidR="00923899" w:rsidRPr="00640A12" w:rsidRDefault="00923899" w:rsidP="00923899">
      <w:pPr>
        <w:pStyle w:val="Heading3"/>
        <w:rPr>
          <w:rFonts w:cs="Arial"/>
        </w:rPr>
      </w:pPr>
      <w:bookmarkStart w:id="25" w:name="_Toc54004070"/>
      <w:bookmarkStart w:id="26" w:name="_Toc54097481"/>
      <w:bookmarkStart w:id="27" w:name="_Toc54097615"/>
      <w:bookmarkStart w:id="28" w:name="_Toc84269004"/>
      <w:r w:rsidRPr="00640A12">
        <w:rPr>
          <w:rFonts w:cs="Arial"/>
        </w:rPr>
        <w:t>UPOV/INF/22:  Software and Equipment Used by Members of the Union (R</w:t>
      </w:r>
      <w:r w:rsidR="00B74FCA" w:rsidRPr="00640A12">
        <w:rPr>
          <w:rFonts w:cs="Arial"/>
        </w:rPr>
        <w:t>evision) (document UPOV/INF/22/8</w:t>
      </w:r>
      <w:r w:rsidRPr="00640A12">
        <w:rPr>
          <w:rFonts w:cs="Arial"/>
        </w:rPr>
        <w:t> Draft </w:t>
      </w:r>
      <w:r w:rsidR="00B74FCA" w:rsidRPr="00640A12">
        <w:rPr>
          <w:rFonts w:cs="Arial"/>
        </w:rPr>
        <w:t>2</w:t>
      </w:r>
      <w:r w:rsidRPr="00640A12">
        <w:rPr>
          <w:rFonts w:cs="Arial"/>
        </w:rPr>
        <w:t>)</w:t>
      </w:r>
      <w:bookmarkEnd w:id="25"/>
      <w:bookmarkEnd w:id="26"/>
      <w:bookmarkEnd w:id="27"/>
      <w:bookmarkEnd w:id="28"/>
    </w:p>
    <w:p w:rsidR="00923899" w:rsidRPr="00640A12" w:rsidRDefault="00923899" w:rsidP="00923899">
      <w:pPr>
        <w:keepNext/>
        <w:rPr>
          <w:rFonts w:cs="Arial"/>
        </w:rPr>
      </w:pPr>
    </w:p>
    <w:p w:rsidR="00923899" w:rsidRPr="00640A12" w:rsidRDefault="00923899" w:rsidP="00923899">
      <w:pPr>
        <w:keepLines/>
        <w:rPr>
          <w:rFonts w:eastAsia="SimSun" w:cs="Arial"/>
          <w:snapToGrid w:val="0"/>
          <w:lang w:eastAsia="ja-JP"/>
        </w:rPr>
      </w:pPr>
      <w:r w:rsidRPr="00640A12">
        <w:rPr>
          <w:rFonts w:eastAsia="SimSun" w:cs="Arial"/>
          <w:snapToGrid w:val="0"/>
          <w:lang w:eastAsia="ja-JP"/>
        </w:rPr>
        <w:fldChar w:fldCharType="begin"/>
      </w:r>
      <w:r w:rsidRPr="00640A12">
        <w:rPr>
          <w:rFonts w:eastAsia="SimSun" w:cs="Arial"/>
          <w:snapToGrid w:val="0"/>
          <w:lang w:eastAsia="ja-JP"/>
        </w:rPr>
        <w:instrText xml:space="preserve"> AUTONUM  </w:instrText>
      </w:r>
      <w:r w:rsidRPr="00640A12">
        <w:rPr>
          <w:rFonts w:eastAsia="SimSun" w:cs="Arial"/>
          <w:snapToGrid w:val="0"/>
          <w:lang w:eastAsia="ja-JP"/>
        </w:rPr>
        <w:fldChar w:fldCharType="end"/>
      </w:r>
      <w:r w:rsidRPr="00640A12">
        <w:rPr>
          <w:rFonts w:eastAsia="SimSun" w:cs="Arial"/>
          <w:snapToGrid w:val="0"/>
          <w:lang w:eastAsia="ja-JP"/>
        </w:rPr>
        <w:tab/>
        <w:t xml:space="preserve">The CAJ </w:t>
      </w:r>
      <w:r w:rsidRPr="00640A12">
        <w:rPr>
          <w:rFonts w:cs="Arial"/>
        </w:rPr>
        <w:t xml:space="preserve">approved </w:t>
      </w:r>
      <w:r w:rsidRPr="00640A12">
        <w:rPr>
          <w:rFonts w:eastAsia="SimSun" w:cs="Arial"/>
          <w:snapToGrid w:val="0"/>
          <w:lang w:eastAsia="ja-JP"/>
        </w:rPr>
        <w:t>the revision of document UPOV/INF/22/</w:t>
      </w:r>
      <w:r w:rsidR="00676ED0" w:rsidRPr="00640A12">
        <w:rPr>
          <w:rFonts w:eastAsia="SimSun" w:cs="Arial"/>
          <w:snapToGrid w:val="0"/>
          <w:lang w:eastAsia="ja-JP"/>
        </w:rPr>
        <w:t>7</w:t>
      </w:r>
      <w:r w:rsidRPr="00640A12">
        <w:rPr>
          <w:rFonts w:eastAsia="SimSun" w:cs="Arial"/>
          <w:snapToGrid w:val="0"/>
          <w:lang w:eastAsia="ja-JP"/>
        </w:rPr>
        <w:t xml:space="preserve"> “Software and Equipment Used by Members of the Union”, on the basis of document UPOV/INF/22/</w:t>
      </w:r>
      <w:r w:rsidR="00676ED0" w:rsidRPr="00640A12">
        <w:rPr>
          <w:rFonts w:eastAsia="SimSun" w:cs="Arial"/>
          <w:snapToGrid w:val="0"/>
          <w:lang w:eastAsia="ja-JP"/>
        </w:rPr>
        <w:t>8</w:t>
      </w:r>
      <w:r w:rsidRPr="00640A12">
        <w:rPr>
          <w:rFonts w:eastAsia="SimSun" w:cs="Arial"/>
          <w:snapToGrid w:val="0"/>
          <w:lang w:eastAsia="ja-JP"/>
        </w:rPr>
        <w:t xml:space="preserve"> Draft </w:t>
      </w:r>
      <w:r w:rsidR="00676ED0" w:rsidRPr="00640A12">
        <w:rPr>
          <w:rFonts w:eastAsia="SimSun" w:cs="Arial"/>
          <w:snapToGrid w:val="0"/>
          <w:lang w:eastAsia="ja-JP"/>
        </w:rPr>
        <w:t>2</w:t>
      </w:r>
      <w:r w:rsidRPr="00640A12">
        <w:rPr>
          <w:rFonts w:eastAsia="SimSun" w:cs="Arial"/>
          <w:snapToGrid w:val="0"/>
          <w:lang w:eastAsia="ja-JP"/>
        </w:rPr>
        <w:t xml:space="preserve">.   </w:t>
      </w:r>
    </w:p>
    <w:p w:rsidR="00923899" w:rsidRPr="00640A12" w:rsidRDefault="00923899" w:rsidP="00923899">
      <w:pPr>
        <w:rPr>
          <w:rFonts w:eastAsia="SimSun" w:cs="Arial"/>
          <w:snapToGrid w:val="0"/>
          <w:lang w:eastAsia="ja-JP"/>
        </w:rPr>
      </w:pPr>
    </w:p>
    <w:p w:rsidR="00923899" w:rsidRPr="00640A12" w:rsidRDefault="00923899" w:rsidP="00923899">
      <w:pPr>
        <w:keepLines/>
        <w:rPr>
          <w:rFonts w:cs="Arial"/>
        </w:rPr>
      </w:pPr>
      <w:r w:rsidRPr="00640A12">
        <w:rPr>
          <w:rFonts w:cs="Arial"/>
        </w:rPr>
        <w:fldChar w:fldCharType="begin"/>
      </w:r>
      <w:r w:rsidRPr="00640A12">
        <w:rPr>
          <w:rFonts w:cs="Arial"/>
        </w:rPr>
        <w:instrText xml:space="preserve"> AUTONUM  </w:instrText>
      </w:r>
      <w:r w:rsidRPr="00640A12">
        <w:rPr>
          <w:rFonts w:cs="Arial"/>
        </w:rPr>
        <w:fldChar w:fldCharType="end"/>
      </w:r>
      <w:r w:rsidRPr="00640A12">
        <w:rPr>
          <w:rFonts w:cs="Arial"/>
        </w:rPr>
        <w:tab/>
        <w:t xml:space="preserve">The CAJ agreed that the Council be invited to </w:t>
      </w:r>
      <w:r w:rsidR="002D3619" w:rsidRPr="00640A12">
        <w:rPr>
          <w:rFonts w:cs="Arial"/>
        </w:rPr>
        <w:t>adopt in 2021 the revision</w:t>
      </w:r>
      <w:r w:rsidRPr="00640A12">
        <w:rPr>
          <w:rFonts w:cs="Arial"/>
        </w:rPr>
        <w:t xml:space="preserve"> to </w:t>
      </w:r>
      <w:r w:rsidR="00676ED0" w:rsidRPr="00640A12">
        <w:rPr>
          <w:rFonts w:eastAsia="SimSun" w:cs="Arial"/>
          <w:snapToGrid w:val="0"/>
          <w:lang w:eastAsia="ja-JP"/>
        </w:rPr>
        <w:t>document UPOV/INF/22/8</w:t>
      </w:r>
      <w:r w:rsidRPr="00640A12">
        <w:rPr>
          <w:rFonts w:eastAsia="SimSun" w:cs="Arial"/>
          <w:snapToGrid w:val="0"/>
          <w:lang w:eastAsia="ja-JP"/>
        </w:rPr>
        <w:t xml:space="preserve"> “Software and Equipment Used by Members of the Union”, as presented in document </w:t>
      </w:r>
      <w:r w:rsidRPr="00640A12">
        <w:rPr>
          <w:rFonts w:cs="Arial"/>
        </w:rPr>
        <w:t>UPOV/INF/22/</w:t>
      </w:r>
      <w:r w:rsidR="00676ED0" w:rsidRPr="00640A12">
        <w:rPr>
          <w:rFonts w:cs="Arial"/>
        </w:rPr>
        <w:t>8</w:t>
      </w:r>
      <w:r w:rsidRPr="00640A12">
        <w:rPr>
          <w:rFonts w:cs="Arial"/>
        </w:rPr>
        <w:t> </w:t>
      </w:r>
      <w:r w:rsidRPr="00640A12">
        <w:rPr>
          <w:rFonts w:eastAsia="SimSun" w:cs="Arial"/>
          <w:snapToGrid w:val="0"/>
          <w:lang w:eastAsia="ja-JP"/>
        </w:rPr>
        <w:t>Draft </w:t>
      </w:r>
      <w:r w:rsidR="00676ED0" w:rsidRPr="00640A12">
        <w:rPr>
          <w:rFonts w:eastAsia="SimSun" w:cs="Arial"/>
          <w:snapToGrid w:val="0"/>
          <w:lang w:eastAsia="ja-JP"/>
        </w:rPr>
        <w:t>2</w:t>
      </w:r>
      <w:r w:rsidRPr="00640A12">
        <w:rPr>
          <w:rFonts w:cs="Arial"/>
        </w:rPr>
        <w:t xml:space="preserve">. </w:t>
      </w:r>
    </w:p>
    <w:p w:rsidR="00923899" w:rsidRPr="00640A12" w:rsidRDefault="00923899" w:rsidP="00676ED0"/>
    <w:p w:rsidR="00923899" w:rsidRPr="00640A12" w:rsidRDefault="00923899" w:rsidP="00640A12">
      <w:pPr>
        <w:pStyle w:val="Heading3"/>
        <w:keepLines/>
        <w:rPr>
          <w:rFonts w:cs="Arial"/>
        </w:rPr>
      </w:pPr>
      <w:bookmarkStart w:id="29" w:name="_Toc54097482"/>
      <w:bookmarkStart w:id="30" w:name="_Toc54097616"/>
      <w:bookmarkStart w:id="31" w:name="_Toc84269005"/>
      <w:r w:rsidRPr="00640A12">
        <w:rPr>
          <w:rFonts w:cs="Arial"/>
        </w:rPr>
        <w:lastRenderedPageBreak/>
        <w:t xml:space="preserve">UPOV/INF/23:  </w:t>
      </w:r>
      <w:r w:rsidR="00676ED0" w:rsidRPr="00640A12">
        <w:rPr>
          <w:rFonts w:cs="Arial"/>
        </w:rPr>
        <w:t>UPOV Code System</w:t>
      </w:r>
      <w:r w:rsidRPr="00640A12">
        <w:rPr>
          <w:rFonts w:cs="Arial"/>
        </w:rPr>
        <w:t xml:space="preserve"> (document UPOV/INF/2</w:t>
      </w:r>
      <w:r w:rsidR="00B74FCA" w:rsidRPr="00640A12">
        <w:rPr>
          <w:rFonts w:cs="Arial"/>
        </w:rPr>
        <w:t>3</w:t>
      </w:r>
      <w:r w:rsidRPr="00640A12">
        <w:rPr>
          <w:rFonts w:cs="Arial"/>
        </w:rPr>
        <w:t>/</w:t>
      </w:r>
      <w:r w:rsidR="00B74FCA" w:rsidRPr="00640A12">
        <w:rPr>
          <w:rFonts w:cs="Arial"/>
        </w:rPr>
        <w:t>1</w:t>
      </w:r>
      <w:r w:rsidRPr="00640A12">
        <w:rPr>
          <w:rFonts w:cs="Arial"/>
        </w:rPr>
        <w:t> Draft </w:t>
      </w:r>
      <w:r w:rsidR="00B74FCA" w:rsidRPr="00640A12">
        <w:rPr>
          <w:rFonts w:cs="Arial"/>
        </w:rPr>
        <w:t>3</w:t>
      </w:r>
      <w:r w:rsidRPr="00640A12">
        <w:rPr>
          <w:rFonts w:cs="Arial"/>
        </w:rPr>
        <w:t>)</w:t>
      </w:r>
      <w:bookmarkEnd w:id="29"/>
      <w:bookmarkEnd w:id="30"/>
      <w:bookmarkEnd w:id="31"/>
    </w:p>
    <w:p w:rsidR="00923899" w:rsidRPr="00640A12" w:rsidRDefault="00923899" w:rsidP="00640A12">
      <w:pPr>
        <w:keepNext/>
        <w:keepLines/>
        <w:rPr>
          <w:rFonts w:cs="Arial"/>
        </w:rPr>
      </w:pPr>
    </w:p>
    <w:p w:rsidR="00676ED0" w:rsidRPr="00640A12" w:rsidRDefault="00676ED0" w:rsidP="00640A12">
      <w:pPr>
        <w:keepNext/>
        <w:keepLines/>
        <w:rPr>
          <w:rFonts w:eastAsia="SimSun" w:cs="Arial"/>
          <w:snapToGrid w:val="0"/>
          <w:spacing w:val="-2"/>
          <w:lang w:eastAsia="ja-JP"/>
        </w:rPr>
      </w:pPr>
      <w:r w:rsidRPr="00640A12">
        <w:rPr>
          <w:rFonts w:eastAsia="SimSun" w:cs="Arial"/>
          <w:snapToGrid w:val="0"/>
          <w:spacing w:val="-2"/>
          <w:lang w:eastAsia="ja-JP"/>
        </w:rPr>
        <w:fldChar w:fldCharType="begin"/>
      </w:r>
      <w:r w:rsidRPr="00640A12">
        <w:rPr>
          <w:rFonts w:eastAsia="SimSun" w:cs="Arial"/>
          <w:snapToGrid w:val="0"/>
          <w:spacing w:val="-2"/>
          <w:lang w:eastAsia="ja-JP"/>
        </w:rPr>
        <w:instrText xml:space="preserve"> AUTONUM  </w:instrText>
      </w:r>
      <w:r w:rsidRPr="00640A12">
        <w:rPr>
          <w:rFonts w:eastAsia="SimSun" w:cs="Arial"/>
          <w:snapToGrid w:val="0"/>
          <w:spacing w:val="-2"/>
          <w:lang w:eastAsia="ja-JP"/>
        </w:rPr>
        <w:fldChar w:fldCharType="end"/>
      </w:r>
      <w:r w:rsidRPr="00640A12">
        <w:rPr>
          <w:rFonts w:eastAsia="SimSun" w:cs="Arial"/>
          <w:snapToGrid w:val="0"/>
          <w:spacing w:val="-2"/>
          <w:lang w:eastAsia="ja-JP"/>
        </w:rPr>
        <w:tab/>
        <w:t xml:space="preserve">The CAJ </w:t>
      </w:r>
      <w:r w:rsidRPr="00640A12">
        <w:rPr>
          <w:rFonts w:cs="Arial"/>
          <w:spacing w:val="-2"/>
        </w:rPr>
        <w:t xml:space="preserve">approved </w:t>
      </w:r>
      <w:r w:rsidRPr="00640A12">
        <w:rPr>
          <w:rFonts w:eastAsia="SimSun" w:cs="Arial"/>
          <w:snapToGrid w:val="0"/>
          <w:spacing w:val="-2"/>
          <w:lang w:eastAsia="ja-JP"/>
        </w:rPr>
        <w:t xml:space="preserve">the revision of document UPOV/INF/23 “UPOV Code System”, on the basis of document UPOV/INF/23/1 Draft 3.   </w:t>
      </w:r>
    </w:p>
    <w:p w:rsidR="00367AE2" w:rsidRPr="00640A12" w:rsidRDefault="00367AE2" w:rsidP="00367AE2">
      <w:pPr>
        <w:rPr>
          <w:rFonts w:eastAsia="SimSun"/>
        </w:rPr>
      </w:pPr>
    </w:p>
    <w:p w:rsidR="00676ED0" w:rsidRDefault="00676ED0" w:rsidP="00640A12">
      <w:pPr>
        <w:rPr>
          <w:rFonts w:cs="Arial"/>
        </w:rPr>
      </w:pPr>
      <w:r w:rsidRPr="00640A12">
        <w:rPr>
          <w:rFonts w:cs="Arial"/>
        </w:rPr>
        <w:fldChar w:fldCharType="begin"/>
      </w:r>
      <w:r w:rsidRPr="00640A12">
        <w:rPr>
          <w:rFonts w:cs="Arial"/>
        </w:rPr>
        <w:instrText xml:space="preserve"> AUTONUM  </w:instrText>
      </w:r>
      <w:r w:rsidRPr="00640A12">
        <w:rPr>
          <w:rFonts w:cs="Arial"/>
        </w:rPr>
        <w:fldChar w:fldCharType="end"/>
      </w:r>
      <w:r w:rsidRPr="00640A12">
        <w:rPr>
          <w:rFonts w:cs="Arial"/>
        </w:rPr>
        <w:tab/>
        <w:t xml:space="preserve">The CAJ agreed that the Council be invited to </w:t>
      </w:r>
      <w:r w:rsidR="002D3619" w:rsidRPr="00640A12">
        <w:rPr>
          <w:rFonts w:cs="Arial"/>
        </w:rPr>
        <w:t>adopt in 2021 the revision</w:t>
      </w:r>
      <w:r w:rsidRPr="00640A12">
        <w:rPr>
          <w:rFonts w:cs="Arial"/>
        </w:rPr>
        <w:t xml:space="preserve"> to </w:t>
      </w:r>
      <w:r w:rsidRPr="00640A12">
        <w:rPr>
          <w:rFonts w:eastAsia="SimSun" w:cs="Arial"/>
          <w:snapToGrid w:val="0"/>
          <w:lang w:eastAsia="ja-JP"/>
        </w:rPr>
        <w:t xml:space="preserve">document UPOV/INF/23 “UPOV Code System”, as presented in document </w:t>
      </w:r>
      <w:r w:rsidRPr="00640A12">
        <w:rPr>
          <w:rFonts w:cs="Arial"/>
        </w:rPr>
        <w:t>UPOV/INF/23/1 </w:t>
      </w:r>
      <w:r w:rsidRPr="00640A12">
        <w:rPr>
          <w:rFonts w:eastAsia="SimSun" w:cs="Arial"/>
          <w:snapToGrid w:val="0"/>
          <w:lang w:eastAsia="ja-JP"/>
        </w:rPr>
        <w:t>Draft 3</w:t>
      </w:r>
      <w:r w:rsidRPr="00640A12">
        <w:rPr>
          <w:rFonts w:cs="Arial"/>
        </w:rPr>
        <w:t xml:space="preserve">. </w:t>
      </w:r>
    </w:p>
    <w:p w:rsidR="00640A12" w:rsidRDefault="00640A12" w:rsidP="00640A12">
      <w:pPr>
        <w:rPr>
          <w:rFonts w:cs="Arial"/>
        </w:rPr>
      </w:pPr>
    </w:p>
    <w:p w:rsidR="00640A12" w:rsidRPr="00640A12" w:rsidRDefault="00640A12" w:rsidP="00640A12">
      <w:pPr>
        <w:rPr>
          <w:rFonts w:cs="Arial"/>
        </w:rPr>
      </w:pPr>
    </w:p>
    <w:p w:rsidR="00953203" w:rsidRPr="00970A22" w:rsidRDefault="00953203" w:rsidP="00953203">
      <w:pPr>
        <w:pStyle w:val="Heading2"/>
        <w:rPr>
          <w:rFonts w:cs="Arial"/>
          <w:snapToGrid w:val="0"/>
        </w:rPr>
      </w:pPr>
      <w:bookmarkStart w:id="32" w:name="_Toc54004066"/>
      <w:bookmarkStart w:id="33" w:name="_Toc54090408"/>
      <w:bookmarkStart w:id="34" w:name="_Toc54097483"/>
      <w:bookmarkStart w:id="35" w:name="_Toc54097617"/>
      <w:bookmarkStart w:id="36" w:name="_Toc84269006"/>
      <w:r w:rsidRPr="00970A22">
        <w:rPr>
          <w:rFonts w:cs="Arial"/>
          <w:snapToGrid w:val="0"/>
        </w:rPr>
        <w:t>Explanatory Notes</w:t>
      </w:r>
      <w:bookmarkEnd w:id="32"/>
      <w:bookmarkEnd w:id="33"/>
      <w:bookmarkEnd w:id="34"/>
      <w:bookmarkEnd w:id="35"/>
      <w:bookmarkEnd w:id="36"/>
      <w:r w:rsidRPr="00970A22">
        <w:rPr>
          <w:rFonts w:cs="Arial"/>
          <w:snapToGrid w:val="0"/>
        </w:rPr>
        <w:t xml:space="preserve"> </w:t>
      </w:r>
    </w:p>
    <w:p w:rsidR="00953203" w:rsidRPr="00970A22" w:rsidRDefault="00953203" w:rsidP="00953203">
      <w:pPr>
        <w:keepNext/>
        <w:rPr>
          <w:rFonts w:cs="Arial"/>
        </w:rPr>
      </w:pPr>
    </w:p>
    <w:p w:rsidR="00953203" w:rsidRPr="00970A22" w:rsidRDefault="00953203" w:rsidP="00953203">
      <w:pPr>
        <w:pStyle w:val="Heading3"/>
        <w:rPr>
          <w:rFonts w:cs="Arial"/>
          <w:kern w:val="28"/>
        </w:rPr>
      </w:pPr>
      <w:bookmarkStart w:id="37" w:name="_Toc54004067"/>
      <w:bookmarkStart w:id="38" w:name="_Toc54090409"/>
      <w:bookmarkStart w:id="39" w:name="_Toc54097484"/>
      <w:bookmarkStart w:id="40" w:name="_Toc54097618"/>
      <w:bookmarkStart w:id="41" w:name="_Toc84269007"/>
      <w:r w:rsidRPr="00970A22">
        <w:rPr>
          <w:rFonts w:cs="Arial"/>
        </w:rPr>
        <w:t>UPOV/EXN/DEN:  Explanatory Notes on Varie</w:t>
      </w:r>
      <w:r w:rsidR="00627D90">
        <w:rPr>
          <w:rFonts w:cs="Arial"/>
        </w:rPr>
        <w:t>ty Denominations under the UPOV </w:t>
      </w:r>
      <w:r w:rsidRPr="00970A22">
        <w:rPr>
          <w:rFonts w:cs="Arial"/>
        </w:rPr>
        <w:t xml:space="preserve">Convention </w:t>
      </w:r>
      <w:r w:rsidR="008F4317">
        <w:rPr>
          <w:rFonts w:cs="Arial"/>
        </w:rPr>
        <w:t>(document UPOV/EXN/DEN/1 Draft </w:t>
      </w:r>
      <w:r w:rsidR="00676ED0" w:rsidRPr="00970A22">
        <w:rPr>
          <w:rFonts w:cs="Arial"/>
        </w:rPr>
        <w:t>6</w:t>
      </w:r>
      <w:r w:rsidRPr="00970A22">
        <w:rPr>
          <w:rFonts w:cs="Arial"/>
        </w:rPr>
        <w:t>)</w:t>
      </w:r>
      <w:bookmarkEnd w:id="37"/>
      <w:bookmarkEnd w:id="38"/>
      <w:bookmarkEnd w:id="39"/>
      <w:bookmarkEnd w:id="40"/>
      <w:bookmarkEnd w:id="41"/>
    </w:p>
    <w:p w:rsidR="00953203" w:rsidRPr="00970A22" w:rsidRDefault="00953203" w:rsidP="00953203">
      <w:pPr>
        <w:keepNext/>
        <w:rPr>
          <w:rFonts w:cs="Arial"/>
          <w:lang w:eastAsia="fr-FR"/>
        </w:rPr>
      </w:pPr>
    </w:p>
    <w:p w:rsidR="00676ED0" w:rsidRPr="00970A22" w:rsidRDefault="00676ED0" w:rsidP="00676ED0">
      <w:pPr>
        <w:rPr>
          <w:rFonts w:cs="Arial"/>
          <w:spacing w:val="-2"/>
        </w:rPr>
      </w:pPr>
      <w:r w:rsidRPr="00970A22">
        <w:rPr>
          <w:rFonts w:cs="Arial"/>
          <w:spacing w:val="-2"/>
        </w:rPr>
        <w:fldChar w:fldCharType="begin"/>
      </w:r>
      <w:r w:rsidRPr="00970A22">
        <w:rPr>
          <w:rFonts w:cs="Arial"/>
          <w:spacing w:val="-2"/>
        </w:rPr>
        <w:instrText xml:space="preserve"> AUTONUM  </w:instrText>
      </w:r>
      <w:r w:rsidRPr="00970A22">
        <w:rPr>
          <w:rFonts w:cs="Arial"/>
          <w:spacing w:val="-2"/>
        </w:rPr>
        <w:fldChar w:fldCharType="end"/>
      </w:r>
      <w:r w:rsidRPr="00970A22">
        <w:rPr>
          <w:rFonts w:cs="Arial"/>
          <w:spacing w:val="-2"/>
        </w:rPr>
        <w:tab/>
        <w:t xml:space="preserve">The </w:t>
      </w:r>
      <w:r w:rsidRPr="00970A22">
        <w:rPr>
          <w:rFonts w:cs="Arial"/>
          <w:snapToGrid w:val="0"/>
          <w:spacing w:val="-2"/>
        </w:rPr>
        <w:t>CAJ n</w:t>
      </w:r>
      <w:r w:rsidRPr="00970A22">
        <w:rPr>
          <w:rFonts w:cs="Arial"/>
          <w:spacing w:val="-2"/>
        </w:rPr>
        <w:t>oted that matters concerning variety denominations were considered in document CAJ/78/11.</w:t>
      </w:r>
    </w:p>
    <w:p w:rsidR="00923899" w:rsidRDefault="00923899" w:rsidP="00923899">
      <w:pPr>
        <w:rPr>
          <w:rFonts w:cs="Arial"/>
        </w:rPr>
      </w:pPr>
    </w:p>
    <w:p w:rsidR="0004482D" w:rsidRPr="008F4317" w:rsidRDefault="0004482D" w:rsidP="008F4317">
      <w:pPr>
        <w:pStyle w:val="Heading4"/>
      </w:pPr>
      <w:bookmarkStart w:id="42" w:name="_Toc84269008"/>
      <w:r w:rsidRPr="008F4317">
        <w:t>Explanatory Notes on Variety Denominations under the UPOV Convention (document CAJ/78/11)</w:t>
      </w:r>
      <w:bookmarkEnd w:id="42"/>
    </w:p>
    <w:p w:rsidR="0004482D" w:rsidRDefault="0004482D" w:rsidP="0004482D">
      <w:pPr>
        <w:keepNext/>
        <w:rPr>
          <w:rFonts w:cs="Arial"/>
          <w:lang w:eastAsia="fr-FR"/>
        </w:rPr>
      </w:pPr>
    </w:p>
    <w:p w:rsidR="00D740AB" w:rsidRPr="00174343" w:rsidRDefault="00D740AB" w:rsidP="00D740AB">
      <w:pPr>
        <w:keepNext/>
        <w:rPr>
          <w:snapToGrid w:val="0"/>
        </w:rPr>
      </w:pPr>
      <w:r w:rsidRPr="00CB28A3">
        <w:fldChar w:fldCharType="begin"/>
      </w:r>
      <w:r w:rsidRPr="00CB28A3">
        <w:instrText xml:space="preserve"> AUTONUM  </w:instrText>
      </w:r>
      <w:r w:rsidRPr="00CB28A3">
        <w:fldChar w:fldCharType="end"/>
      </w:r>
      <w:r w:rsidRPr="00CB28A3">
        <w:tab/>
      </w:r>
      <w:r w:rsidRPr="00CB28A3">
        <w:rPr>
          <w:snapToGrid w:val="0"/>
        </w:rPr>
        <w:t>The CAJ considered document CAJ/7</w:t>
      </w:r>
      <w:r>
        <w:rPr>
          <w:snapToGrid w:val="0"/>
        </w:rPr>
        <w:t>8/11.</w:t>
      </w:r>
    </w:p>
    <w:p w:rsidR="00D740AB" w:rsidRPr="00970A22" w:rsidRDefault="00D740AB" w:rsidP="0004482D">
      <w:pPr>
        <w:keepNext/>
        <w:rPr>
          <w:rFonts w:cs="Arial"/>
          <w:lang w:eastAsia="fr-FR"/>
        </w:rPr>
      </w:pPr>
    </w:p>
    <w:p w:rsidR="0004482D" w:rsidRDefault="0004482D" w:rsidP="0004482D">
      <w:pPr>
        <w:rPr>
          <w:rFonts w:cs="Arial"/>
        </w:rPr>
      </w:pPr>
      <w:r w:rsidRPr="00970A22">
        <w:rPr>
          <w:rFonts w:cs="Arial"/>
          <w:spacing w:val="-2"/>
        </w:rPr>
        <w:fldChar w:fldCharType="begin"/>
      </w:r>
      <w:r w:rsidRPr="00970A22">
        <w:rPr>
          <w:rFonts w:cs="Arial"/>
          <w:spacing w:val="-2"/>
        </w:rPr>
        <w:instrText xml:space="preserve"> AUTONUM  </w:instrText>
      </w:r>
      <w:r w:rsidRPr="00970A22">
        <w:rPr>
          <w:rFonts w:cs="Arial"/>
          <w:spacing w:val="-2"/>
        </w:rPr>
        <w:fldChar w:fldCharType="end"/>
      </w:r>
      <w:r w:rsidRPr="00970A22">
        <w:rPr>
          <w:rFonts w:cs="Arial"/>
          <w:spacing w:val="-2"/>
        </w:rPr>
        <w:tab/>
        <w:t xml:space="preserve">The </w:t>
      </w:r>
      <w:r w:rsidRPr="00970A22">
        <w:rPr>
          <w:rFonts w:cs="Arial"/>
          <w:snapToGrid w:val="0"/>
          <w:spacing w:val="-2"/>
        </w:rPr>
        <w:t>CAJ</w:t>
      </w:r>
      <w:r w:rsidRPr="0004482D">
        <w:rPr>
          <w:rFonts w:cs="Arial"/>
        </w:rPr>
        <w:t xml:space="preserve"> note</w:t>
      </w:r>
      <w:r>
        <w:rPr>
          <w:rFonts w:cs="Arial"/>
        </w:rPr>
        <w:t>d</w:t>
      </w:r>
      <w:r w:rsidRPr="0004482D">
        <w:rPr>
          <w:rFonts w:cs="Arial"/>
        </w:rPr>
        <w:t xml:space="preserve"> the developments concerning the</w:t>
      </w:r>
      <w:r>
        <w:rPr>
          <w:rFonts w:cs="Arial"/>
        </w:rPr>
        <w:t xml:space="preserve"> </w:t>
      </w:r>
      <w:r w:rsidRPr="0004482D">
        <w:rPr>
          <w:rFonts w:cs="Arial"/>
        </w:rPr>
        <w:t>revision of document UPOV/INF/12/5 “Explanatory</w:t>
      </w:r>
      <w:r>
        <w:rPr>
          <w:rFonts w:cs="Arial"/>
        </w:rPr>
        <w:t xml:space="preserve"> </w:t>
      </w:r>
      <w:r w:rsidRPr="0004482D">
        <w:rPr>
          <w:rFonts w:cs="Arial"/>
        </w:rPr>
        <w:t>Notes on Variety Denominations under the</w:t>
      </w:r>
      <w:r>
        <w:rPr>
          <w:rFonts w:cs="Arial"/>
        </w:rPr>
        <w:t xml:space="preserve"> </w:t>
      </w:r>
      <w:r w:rsidRPr="0004482D">
        <w:rPr>
          <w:rFonts w:cs="Arial"/>
        </w:rPr>
        <w:t>UPOV Convention”, as reported in document</w:t>
      </w:r>
      <w:r>
        <w:rPr>
          <w:rFonts w:cs="Arial"/>
        </w:rPr>
        <w:t xml:space="preserve"> CAJ/78/11.</w:t>
      </w:r>
    </w:p>
    <w:p w:rsidR="0004482D" w:rsidRPr="0004482D" w:rsidRDefault="0004482D" w:rsidP="0004482D">
      <w:pPr>
        <w:rPr>
          <w:rFonts w:cs="Arial"/>
        </w:rPr>
      </w:pPr>
    </w:p>
    <w:p w:rsidR="0004482D" w:rsidRDefault="0004482D" w:rsidP="0004482D">
      <w:pPr>
        <w:rPr>
          <w:rFonts w:cs="Arial"/>
        </w:rPr>
      </w:pPr>
      <w:r w:rsidRPr="00970A22">
        <w:rPr>
          <w:rFonts w:cs="Arial"/>
          <w:spacing w:val="-2"/>
        </w:rPr>
        <w:fldChar w:fldCharType="begin"/>
      </w:r>
      <w:r w:rsidRPr="00970A22">
        <w:rPr>
          <w:rFonts w:cs="Arial"/>
          <w:spacing w:val="-2"/>
        </w:rPr>
        <w:instrText xml:space="preserve"> AUTONUM  </w:instrText>
      </w:r>
      <w:r w:rsidRPr="00970A22">
        <w:rPr>
          <w:rFonts w:cs="Arial"/>
          <w:spacing w:val="-2"/>
        </w:rPr>
        <w:fldChar w:fldCharType="end"/>
      </w:r>
      <w:r w:rsidRPr="00970A22">
        <w:rPr>
          <w:rFonts w:cs="Arial"/>
          <w:spacing w:val="-2"/>
        </w:rPr>
        <w:tab/>
        <w:t xml:space="preserve">The </w:t>
      </w:r>
      <w:r w:rsidRPr="00970A22">
        <w:rPr>
          <w:rFonts w:cs="Arial"/>
          <w:snapToGrid w:val="0"/>
          <w:spacing w:val="-2"/>
        </w:rPr>
        <w:t>CAJ</w:t>
      </w:r>
      <w:r w:rsidRPr="0004482D">
        <w:rPr>
          <w:rFonts w:cs="Arial"/>
        </w:rPr>
        <w:t xml:space="preserve"> note</w:t>
      </w:r>
      <w:r>
        <w:rPr>
          <w:rFonts w:cs="Arial"/>
        </w:rPr>
        <w:t>d</w:t>
      </w:r>
      <w:r w:rsidRPr="0004482D">
        <w:rPr>
          <w:rFonts w:cs="Arial"/>
        </w:rPr>
        <w:t xml:space="preserve"> the comments received in response</w:t>
      </w:r>
      <w:r>
        <w:rPr>
          <w:rFonts w:cs="Arial"/>
        </w:rPr>
        <w:t xml:space="preserve"> </w:t>
      </w:r>
      <w:r w:rsidR="005D02F0">
        <w:rPr>
          <w:rFonts w:cs="Arial"/>
        </w:rPr>
        <w:t>to Circular E</w:t>
      </w:r>
      <w:r w:rsidR="005D02F0">
        <w:rPr>
          <w:rFonts w:cs="Arial"/>
        </w:rPr>
        <w:noBreakHyphen/>
      </w:r>
      <w:r w:rsidRPr="0004482D">
        <w:rPr>
          <w:rFonts w:cs="Arial"/>
        </w:rPr>
        <w:t>21/106</w:t>
      </w:r>
      <w:r w:rsidR="005D02F0">
        <w:rPr>
          <w:rFonts w:cs="Arial"/>
        </w:rPr>
        <w:t xml:space="preserve"> of </w:t>
      </w:r>
      <w:r w:rsidR="005D02F0" w:rsidRPr="005D02F0">
        <w:rPr>
          <w:rFonts w:cs="Arial"/>
        </w:rPr>
        <w:t>July 9, 2021</w:t>
      </w:r>
      <w:r w:rsidRPr="0004482D">
        <w:rPr>
          <w:rFonts w:cs="Arial"/>
        </w:rPr>
        <w:t>, concerning document</w:t>
      </w:r>
      <w:r>
        <w:rPr>
          <w:rFonts w:cs="Arial"/>
        </w:rPr>
        <w:t xml:space="preserve"> </w:t>
      </w:r>
      <w:r w:rsidRPr="0004482D">
        <w:rPr>
          <w:rFonts w:cs="Arial"/>
        </w:rPr>
        <w:t>UPOV/EXN/DEN/1 Draft 5, reproduced in Annex II to</w:t>
      </w:r>
      <w:r>
        <w:rPr>
          <w:rFonts w:cs="Arial"/>
        </w:rPr>
        <w:t xml:space="preserve"> </w:t>
      </w:r>
      <w:r w:rsidRPr="0004482D">
        <w:rPr>
          <w:rFonts w:cs="Arial"/>
        </w:rPr>
        <w:t xml:space="preserve">document </w:t>
      </w:r>
      <w:r>
        <w:rPr>
          <w:rFonts w:cs="Arial"/>
        </w:rPr>
        <w:t xml:space="preserve">CAJ/78/11 </w:t>
      </w:r>
      <w:r w:rsidRPr="0004482D">
        <w:rPr>
          <w:rFonts w:cs="Arial"/>
        </w:rPr>
        <w:t>and the changes made in</w:t>
      </w:r>
      <w:r>
        <w:rPr>
          <w:rFonts w:cs="Arial"/>
        </w:rPr>
        <w:t xml:space="preserve"> </w:t>
      </w:r>
      <w:r w:rsidR="005D02F0">
        <w:rPr>
          <w:rFonts w:cs="Arial"/>
        </w:rPr>
        <w:t xml:space="preserve">document </w:t>
      </w:r>
      <w:r w:rsidRPr="0004482D">
        <w:rPr>
          <w:rFonts w:cs="Arial"/>
        </w:rPr>
        <w:t>UPOV/EXN/DEN/1 Draft 6 in response to those</w:t>
      </w:r>
      <w:r>
        <w:rPr>
          <w:rFonts w:cs="Arial"/>
        </w:rPr>
        <w:t xml:space="preserve"> comments.</w:t>
      </w:r>
    </w:p>
    <w:p w:rsidR="0004482D" w:rsidRPr="0004482D" w:rsidRDefault="0004482D" w:rsidP="0004482D">
      <w:pPr>
        <w:rPr>
          <w:rFonts w:cs="Arial"/>
        </w:rPr>
      </w:pPr>
    </w:p>
    <w:p w:rsidR="0004482D" w:rsidRPr="0004482D" w:rsidRDefault="0004482D" w:rsidP="0004482D">
      <w:pPr>
        <w:keepLines/>
        <w:rPr>
          <w:rFonts w:eastAsia="SimSun" w:cs="Arial"/>
          <w:snapToGrid w:val="0"/>
          <w:spacing w:val="-2"/>
          <w:lang w:eastAsia="ja-JP"/>
        </w:rPr>
      </w:pPr>
      <w:r w:rsidRPr="0004482D">
        <w:rPr>
          <w:rFonts w:eastAsia="SimSun" w:cs="Arial"/>
          <w:snapToGrid w:val="0"/>
          <w:spacing w:val="-2"/>
          <w:lang w:eastAsia="ja-JP"/>
        </w:rPr>
        <w:fldChar w:fldCharType="begin"/>
      </w:r>
      <w:r w:rsidRPr="0004482D">
        <w:rPr>
          <w:rFonts w:eastAsia="SimSun" w:cs="Arial"/>
          <w:snapToGrid w:val="0"/>
          <w:spacing w:val="-2"/>
          <w:lang w:eastAsia="ja-JP"/>
        </w:rPr>
        <w:instrText xml:space="preserve"> AUTONUM  </w:instrText>
      </w:r>
      <w:r w:rsidRPr="0004482D">
        <w:rPr>
          <w:rFonts w:eastAsia="SimSun" w:cs="Arial"/>
          <w:snapToGrid w:val="0"/>
          <w:spacing w:val="-2"/>
          <w:lang w:eastAsia="ja-JP"/>
        </w:rPr>
        <w:fldChar w:fldCharType="end"/>
      </w:r>
      <w:r w:rsidRPr="0004482D">
        <w:rPr>
          <w:rFonts w:eastAsia="SimSun" w:cs="Arial"/>
          <w:snapToGrid w:val="0"/>
          <w:spacing w:val="-2"/>
          <w:lang w:eastAsia="ja-JP"/>
        </w:rPr>
        <w:tab/>
        <w:t xml:space="preserve">The CAJ </w:t>
      </w:r>
      <w:r w:rsidRPr="0004482D">
        <w:rPr>
          <w:rFonts w:cs="Arial"/>
          <w:spacing w:val="-2"/>
        </w:rPr>
        <w:t xml:space="preserve">approved </w:t>
      </w:r>
      <w:r w:rsidRPr="0004482D">
        <w:rPr>
          <w:rFonts w:eastAsia="SimSun" w:cs="Arial"/>
          <w:snapToGrid w:val="0"/>
          <w:spacing w:val="-2"/>
          <w:lang w:eastAsia="ja-JP"/>
        </w:rPr>
        <w:t>the revision of d</w:t>
      </w:r>
      <w:r w:rsidR="005D02F0">
        <w:rPr>
          <w:rFonts w:eastAsia="SimSun" w:cs="Arial"/>
          <w:snapToGrid w:val="0"/>
          <w:spacing w:val="-2"/>
          <w:lang w:eastAsia="ja-JP"/>
        </w:rPr>
        <w:t>ocument</w:t>
      </w:r>
      <w:r w:rsidRPr="0004482D">
        <w:rPr>
          <w:rFonts w:cs="Arial"/>
        </w:rPr>
        <w:t xml:space="preserve"> UPOV/EXN/DEN “Explanatory Notes on Variety Denominations under the UPOV Convention”, on the basis of document UPOV/EXN/DEN/1 Draft 6</w:t>
      </w:r>
      <w:r w:rsidRPr="0004482D">
        <w:rPr>
          <w:rFonts w:eastAsia="SimSun" w:cs="Arial"/>
          <w:snapToGrid w:val="0"/>
          <w:spacing w:val="-2"/>
          <w:lang w:eastAsia="ja-JP"/>
        </w:rPr>
        <w:t xml:space="preserve">.   </w:t>
      </w:r>
    </w:p>
    <w:p w:rsidR="0004482D" w:rsidRPr="0004482D" w:rsidRDefault="0004482D" w:rsidP="0004482D">
      <w:pPr>
        <w:rPr>
          <w:rFonts w:cs="Arial"/>
        </w:rPr>
      </w:pPr>
    </w:p>
    <w:p w:rsidR="0004482D" w:rsidRPr="005C2E97" w:rsidRDefault="0004482D" w:rsidP="0004482D">
      <w:pPr>
        <w:keepLines/>
        <w:rPr>
          <w:rFonts w:cs="Arial"/>
        </w:rPr>
      </w:pPr>
      <w:r w:rsidRPr="0004482D">
        <w:rPr>
          <w:rFonts w:cs="Arial"/>
        </w:rPr>
        <w:fldChar w:fldCharType="begin"/>
      </w:r>
      <w:r w:rsidRPr="0004482D">
        <w:rPr>
          <w:rFonts w:cs="Arial"/>
        </w:rPr>
        <w:instrText xml:space="preserve"> AUTONUM  </w:instrText>
      </w:r>
      <w:r w:rsidRPr="0004482D">
        <w:rPr>
          <w:rFonts w:cs="Arial"/>
        </w:rPr>
        <w:fldChar w:fldCharType="end"/>
      </w:r>
      <w:r w:rsidRPr="0004482D">
        <w:rPr>
          <w:rFonts w:cs="Arial"/>
        </w:rPr>
        <w:tab/>
        <w:t xml:space="preserve">The CAJ agreed that the Council be invited to </w:t>
      </w:r>
      <w:r w:rsidR="005D02F0">
        <w:rPr>
          <w:rFonts w:cs="Arial"/>
        </w:rPr>
        <w:t>adopt</w:t>
      </w:r>
      <w:r w:rsidRPr="0004482D">
        <w:rPr>
          <w:rFonts w:cs="Arial"/>
        </w:rPr>
        <w:t xml:space="preserve"> </w:t>
      </w:r>
      <w:r w:rsidR="005D02F0" w:rsidRPr="005C2E97">
        <w:rPr>
          <w:rFonts w:cs="Arial"/>
        </w:rPr>
        <w:t>in 202</w:t>
      </w:r>
      <w:r w:rsidR="005D02F0">
        <w:rPr>
          <w:rFonts w:cs="Arial"/>
        </w:rPr>
        <w:t xml:space="preserve">1 </w:t>
      </w:r>
      <w:r w:rsidRPr="0004482D">
        <w:rPr>
          <w:rFonts w:cs="Arial"/>
        </w:rPr>
        <w:t xml:space="preserve">the </w:t>
      </w:r>
      <w:r w:rsidR="005D02F0">
        <w:rPr>
          <w:rFonts w:cs="Arial"/>
        </w:rPr>
        <w:t>revision</w:t>
      </w:r>
      <w:r w:rsidRPr="0004482D">
        <w:rPr>
          <w:rFonts w:cs="Arial"/>
        </w:rPr>
        <w:t xml:space="preserve"> to document UPOV/EXN/DEN/1 </w:t>
      </w:r>
      <w:r w:rsidRPr="0004482D">
        <w:rPr>
          <w:rFonts w:eastAsia="SimSun" w:cs="Arial"/>
          <w:snapToGrid w:val="0"/>
          <w:lang w:eastAsia="ja-JP"/>
        </w:rPr>
        <w:t>“</w:t>
      </w:r>
      <w:r w:rsidRPr="0004482D">
        <w:rPr>
          <w:rFonts w:cs="Arial"/>
        </w:rPr>
        <w:t>Explanatory Notes on Variety Denominations under the UPOV Convention</w:t>
      </w:r>
      <w:r w:rsidRPr="0004482D">
        <w:rPr>
          <w:rFonts w:eastAsia="SimSun" w:cs="Arial"/>
          <w:snapToGrid w:val="0"/>
          <w:lang w:eastAsia="ja-JP"/>
        </w:rPr>
        <w:t xml:space="preserve">”, as presented in document </w:t>
      </w:r>
      <w:r w:rsidRPr="0004482D">
        <w:rPr>
          <w:rFonts w:cs="Arial"/>
        </w:rPr>
        <w:t>UPOV/EXN/DEN/1 Draft 6</w:t>
      </w:r>
      <w:r w:rsidRPr="005C2E97">
        <w:rPr>
          <w:rFonts w:cs="Arial"/>
        </w:rPr>
        <w:t xml:space="preserve">. </w:t>
      </w:r>
    </w:p>
    <w:p w:rsidR="0004482D" w:rsidRPr="00970A22" w:rsidRDefault="0004482D" w:rsidP="00923899">
      <w:pPr>
        <w:rPr>
          <w:rFonts w:cs="Arial"/>
        </w:rPr>
      </w:pPr>
    </w:p>
    <w:p w:rsidR="008F2587" w:rsidRPr="00970A22" w:rsidRDefault="008F2587" w:rsidP="008F2587">
      <w:pPr>
        <w:pStyle w:val="Heading3"/>
        <w:rPr>
          <w:rFonts w:cs="Arial"/>
          <w:kern w:val="28"/>
        </w:rPr>
      </w:pPr>
      <w:bookmarkStart w:id="43" w:name="_Toc84269009"/>
      <w:r w:rsidRPr="00970A22">
        <w:rPr>
          <w:rFonts w:cs="Arial"/>
          <w:spacing w:val="-4"/>
        </w:rPr>
        <w:t>UPOV/EXN/EDV:  Explanatory Notes on Essentially Derived Varieties under the 1991 Act of the UPOV Conventio</w:t>
      </w:r>
      <w:r w:rsidRPr="00970A22">
        <w:rPr>
          <w:rFonts w:cs="Arial"/>
        </w:rPr>
        <w:t>n (document</w:t>
      </w:r>
      <w:r w:rsidR="005D02F0">
        <w:rPr>
          <w:rFonts w:cs="Arial"/>
        </w:rPr>
        <w:t xml:space="preserve">s </w:t>
      </w:r>
      <w:r w:rsidR="005D02F0" w:rsidRPr="00970A22">
        <w:rPr>
          <w:rFonts w:cs="Arial"/>
          <w:spacing w:val="-2"/>
        </w:rPr>
        <w:t>CAJ/78/4</w:t>
      </w:r>
      <w:r w:rsidR="005D02F0">
        <w:rPr>
          <w:rFonts w:cs="Arial"/>
          <w:spacing w:val="-2"/>
        </w:rPr>
        <w:t xml:space="preserve">, </w:t>
      </w:r>
      <w:r w:rsidR="005D02F0" w:rsidRPr="00970A22">
        <w:rPr>
          <w:rFonts w:cs="Arial"/>
          <w:spacing w:val="-2"/>
        </w:rPr>
        <w:t>CAJ/78/4</w:t>
      </w:r>
      <w:r w:rsidR="005D02F0" w:rsidRPr="00970A22">
        <w:rPr>
          <w:rFonts w:cs="Arial"/>
        </w:rPr>
        <w:t> </w:t>
      </w:r>
      <w:r w:rsidR="005D02F0">
        <w:rPr>
          <w:rFonts w:cs="Arial"/>
        </w:rPr>
        <w:t xml:space="preserve">Add. </w:t>
      </w:r>
      <w:proofErr w:type="gramStart"/>
      <w:r w:rsidR="005D02F0">
        <w:rPr>
          <w:rFonts w:cs="Arial"/>
        </w:rPr>
        <w:t xml:space="preserve">and </w:t>
      </w:r>
      <w:r w:rsidRPr="00970A22">
        <w:rPr>
          <w:rFonts w:cs="Arial"/>
        </w:rPr>
        <w:t> UPOV</w:t>
      </w:r>
      <w:proofErr w:type="gramEnd"/>
      <w:r w:rsidRPr="00970A22">
        <w:rPr>
          <w:rFonts w:cs="Arial"/>
        </w:rPr>
        <w:t>/EXN/EDV/3</w:t>
      </w:r>
      <w:r w:rsidR="008F4317">
        <w:rPr>
          <w:rFonts w:cs="Arial"/>
        </w:rPr>
        <w:t> </w:t>
      </w:r>
      <w:r w:rsidRPr="00970A22">
        <w:rPr>
          <w:rFonts w:cs="Arial"/>
        </w:rPr>
        <w:t>Draft</w:t>
      </w:r>
      <w:r w:rsidR="008F4317">
        <w:rPr>
          <w:rFonts w:cs="Arial"/>
        </w:rPr>
        <w:t> </w:t>
      </w:r>
      <w:r w:rsidRPr="00970A22">
        <w:rPr>
          <w:rFonts w:cs="Arial"/>
        </w:rPr>
        <w:t>2)</w:t>
      </w:r>
      <w:bookmarkEnd w:id="43"/>
    </w:p>
    <w:p w:rsidR="00923899" w:rsidRPr="00970A22" w:rsidRDefault="00923899" w:rsidP="00923899">
      <w:pPr>
        <w:rPr>
          <w:rFonts w:cs="Arial"/>
        </w:rPr>
      </w:pPr>
    </w:p>
    <w:p w:rsidR="00923899" w:rsidRPr="00970A22" w:rsidRDefault="00923899" w:rsidP="00923899">
      <w:pPr>
        <w:rPr>
          <w:rFonts w:cs="Arial"/>
          <w:spacing w:val="-2"/>
        </w:rPr>
      </w:pPr>
      <w:r w:rsidRPr="00970A22">
        <w:rPr>
          <w:rFonts w:cs="Arial"/>
          <w:spacing w:val="-2"/>
        </w:rPr>
        <w:fldChar w:fldCharType="begin"/>
      </w:r>
      <w:r w:rsidRPr="00970A22">
        <w:rPr>
          <w:rFonts w:cs="Arial"/>
          <w:spacing w:val="-2"/>
        </w:rPr>
        <w:instrText xml:space="preserve"> AUTONUM  </w:instrText>
      </w:r>
      <w:r w:rsidRPr="00970A22">
        <w:rPr>
          <w:rFonts w:cs="Arial"/>
          <w:spacing w:val="-2"/>
        </w:rPr>
        <w:fldChar w:fldCharType="end"/>
      </w:r>
      <w:r w:rsidRPr="00970A22">
        <w:rPr>
          <w:rFonts w:cs="Arial"/>
          <w:spacing w:val="-2"/>
        </w:rPr>
        <w:tab/>
      </w:r>
      <w:r w:rsidRPr="002D3619">
        <w:rPr>
          <w:rFonts w:cs="Arial"/>
          <w:spacing w:val="-2"/>
        </w:rPr>
        <w:t xml:space="preserve">The </w:t>
      </w:r>
      <w:r w:rsidRPr="002D3619">
        <w:rPr>
          <w:rFonts w:cs="Arial"/>
          <w:snapToGrid w:val="0"/>
          <w:spacing w:val="-2"/>
        </w:rPr>
        <w:t>CAJ n</w:t>
      </w:r>
      <w:r w:rsidRPr="002D3619">
        <w:rPr>
          <w:rFonts w:cs="Arial"/>
          <w:spacing w:val="-2"/>
        </w:rPr>
        <w:t xml:space="preserve">oted that matters concerning essentially derived varieties </w:t>
      </w:r>
      <w:r w:rsidR="005D02F0" w:rsidRPr="002D3619">
        <w:rPr>
          <w:rFonts w:cs="Arial"/>
          <w:spacing w:val="-2"/>
        </w:rPr>
        <w:t xml:space="preserve">would be considered </w:t>
      </w:r>
      <w:r w:rsidR="00D740AB" w:rsidRPr="002D3619">
        <w:rPr>
          <w:rFonts w:cs="Arial"/>
          <w:spacing w:val="-2"/>
        </w:rPr>
        <w:t xml:space="preserve">by the CAJ at its </w:t>
      </w:r>
      <w:r w:rsidR="002D3619" w:rsidRPr="002D3619">
        <w:rPr>
          <w:rFonts w:cs="Arial"/>
          <w:spacing w:val="-2"/>
        </w:rPr>
        <w:t>seventy-eighth session</w:t>
      </w:r>
      <w:r w:rsidR="00D740AB" w:rsidRPr="002D3619">
        <w:rPr>
          <w:rFonts w:cs="Arial"/>
          <w:spacing w:val="-2"/>
        </w:rPr>
        <w:t>.</w:t>
      </w:r>
    </w:p>
    <w:p w:rsidR="00923899" w:rsidRPr="00970A22" w:rsidRDefault="00923899" w:rsidP="00923899">
      <w:pPr>
        <w:rPr>
          <w:rFonts w:cs="Arial"/>
        </w:rPr>
      </w:pPr>
    </w:p>
    <w:p w:rsidR="00953203" w:rsidRPr="00970A22" w:rsidRDefault="00953203" w:rsidP="00923899">
      <w:pPr>
        <w:rPr>
          <w:rFonts w:cs="Arial"/>
        </w:rPr>
      </w:pPr>
    </w:p>
    <w:p w:rsidR="00923899" w:rsidRPr="00970A22" w:rsidRDefault="00923899" w:rsidP="00923899">
      <w:pPr>
        <w:pStyle w:val="Heading3"/>
        <w:rPr>
          <w:rFonts w:cs="Arial"/>
          <w:i w:val="0"/>
          <w:snapToGrid w:val="0"/>
          <w:u w:val="single"/>
        </w:rPr>
      </w:pPr>
      <w:bookmarkStart w:id="44" w:name="_Toc51935399"/>
      <w:bookmarkStart w:id="45" w:name="_Toc84269010"/>
      <w:r w:rsidRPr="00970A22">
        <w:rPr>
          <w:rFonts w:cs="Arial"/>
          <w:i w:val="0"/>
          <w:snapToGrid w:val="0"/>
          <w:u w:val="single"/>
        </w:rPr>
        <w:t>Harvested Material</w:t>
      </w:r>
      <w:bookmarkEnd w:id="44"/>
      <w:bookmarkEnd w:id="45"/>
      <w:r w:rsidRPr="00970A22">
        <w:rPr>
          <w:rFonts w:cs="Arial"/>
          <w:i w:val="0"/>
          <w:snapToGrid w:val="0"/>
          <w:u w:val="single"/>
        </w:rPr>
        <w:t xml:space="preserve"> </w:t>
      </w:r>
    </w:p>
    <w:p w:rsidR="00923899" w:rsidRPr="00970A22" w:rsidRDefault="00923899" w:rsidP="00923899">
      <w:pPr>
        <w:rPr>
          <w:rFonts w:cs="Arial"/>
        </w:rPr>
      </w:pPr>
    </w:p>
    <w:p w:rsidR="00923899" w:rsidRPr="00970A22" w:rsidRDefault="00923899" w:rsidP="00923899">
      <w:pPr>
        <w:rPr>
          <w:rFonts w:cs="Arial"/>
          <w:spacing w:val="-2"/>
        </w:rPr>
      </w:pPr>
      <w:r w:rsidRPr="00970A22">
        <w:rPr>
          <w:rFonts w:cs="Arial"/>
          <w:spacing w:val="-2"/>
        </w:rPr>
        <w:fldChar w:fldCharType="begin"/>
      </w:r>
      <w:r w:rsidRPr="00970A22">
        <w:rPr>
          <w:rFonts w:cs="Arial"/>
          <w:spacing w:val="-2"/>
        </w:rPr>
        <w:instrText xml:space="preserve"> AUTONUM  </w:instrText>
      </w:r>
      <w:r w:rsidRPr="00970A22">
        <w:rPr>
          <w:rFonts w:cs="Arial"/>
          <w:spacing w:val="-2"/>
        </w:rPr>
        <w:fldChar w:fldCharType="end"/>
      </w:r>
      <w:r w:rsidRPr="00970A22">
        <w:rPr>
          <w:rFonts w:cs="Arial"/>
          <w:spacing w:val="-2"/>
        </w:rPr>
        <w:tab/>
        <w:t xml:space="preserve">The </w:t>
      </w:r>
      <w:r w:rsidRPr="00970A22">
        <w:rPr>
          <w:rFonts w:cs="Arial"/>
          <w:snapToGrid w:val="0"/>
          <w:spacing w:val="-2"/>
        </w:rPr>
        <w:t>CAJ n</w:t>
      </w:r>
      <w:r w:rsidRPr="00970A22">
        <w:rPr>
          <w:rFonts w:cs="Arial"/>
          <w:spacing w:val="-2"/>
        </w:rPr>
        <w:t>oted that matters concerning harvested material were considered in document CAJ/7</w:t>
      </w:r>
      <w:r w:rsidR="009C6AC5" w:rsidRPr="00970A22">
        <w:rPr>
          <w:rFonts w:cs="Arial"/>
          <w:spacing w:val="-2"/>
        </w:rPr>
        <w:t>8</w:t>
      </w:r>
      <w:r w:rsidRPr="00970A22">
        <w:rPr>
          <w:rFonts w:cs="Arial"/>
          <w:spacing w:val="-2"/>
        </w:rPr>
        <w:t>/5.</w:t>
      </w:r>
    </w:p>
    <w:p w:rsidR="00923899" w:rsidRPr="00970A22" w:rsidRDefault="00923899" w:rsidP="00923899">
      <w:pPr>
        <w:rPr>
          <w:rFonts w:cs="Arial"/>
        </w:rPr>
      </w:pPr>
    </w:p>
    <w:p w:rsidR="00923899" w:rsidRPr="00970A22" w:rsidRDefault="00923899" w:rsidP="00923899">
      <w:pPr>
        <w:rPr>
          <w:rFonts w:cs="Arial"/>
        </w:rPr>
      </w:pPr>
      <w:bookmarkStart w:id="46" w:name="_Toc522523025"/>
      <w:bookmarkStart w:id="47" w:name="_Toc14799995"/>
      <w:bookmarkStart w:id="48" w:name="_Toc51935401"/>
    </w:p>
    <w:p w:rsidR="00923899" w:rsidRPr="00970A22" w:rsidRDefault="00923899" w:rsidP="00923899">
      <w:pPr>
        <w:pStyle w:val="Heading2"/>
        <w:rPr>
          <w:rFonts w:cs="Arial"/>
        </w:rPr>
      </w:pPr>
      <w:bookmarkStart w:id="49" w:name="_Toc84269011"/>
      <w:r w:rsidRPr="00970A22">
        <w:rPr>
          <w:rFonts w:cs="Arial"/>
        </w:rPr>
        <w:t>Tentative program for the development of guidance and information materials</w:t>
      </w:r>
      <w:bookmarkEnd w:id="46"/>
      <w:bookmarkEnd w:id="47"/>
      <w:bookmarkEnd w:id="48"/>
      <w:bookmarkEnd w:id="49"/>
    </w:p>
    <w:p w:rsidR="00923899" w:rsidRPr="00970A22" w:rsidRDefault="00923899" w:rsidP="00923899">
      <w:pPr>
        <w:rPr>
          <w:rFonts w:cs="Arial"/>
        </w:rPr>
      </w:pPr>
    </w:p>
    <w:p w:rsidR="00923899" w:rsidRPr="00970A22" w:rsidRDefault="00923899" w:rsidP="00923899">
      <w:pPr>
        <w:tabs>
          <w:tab w:val="left" w:pos="567"/>
        </w:tabs>
        <w:rPr>
          <w:rFonts w:eastAsiaTheme="minorEastAsia" w:cs="Arial"/>
        </w:rPr>
      </w:pPr>
      <w:r w:rsidRPr="00970A22">
        <w:rPr>
          <w:rFonts w:cs="Arial"/>
        </w:rPr>
        <w:fldChar w:fldCharType="begin"/>
      </w:r>
      <w:r w:rsidRPr="00970A22">
        <w:rPr>
          <w:rFonts w:cs="Arial"/>
        </w:rPr>
        <w:instrText xml:space="preserve"> AUTONUM  </w:instrText>
      </w:r>
      <w:r w:rsidRPr="00970A22">
        <w:rPr>
          <w:rFonts w:cs="Arial"/>
        </w:rPr>
        <w:fldChar w:fldCharType="end"/>
      </w:r>
      <w:r w:rsidRPr="00970A22">
        <w:rPr>
          <w:rFonts w:cs="Arial"/>
        </w:rPr>
        <w:tab/>
        <w:t xml:space="preserve">The CAJ </w:t>
      </w:r>
      <w:r w:rsidRPr="00970A22">
        <w:rPr>
          <w:rFonts w:eastAsiaTheme="minorEastAsia" w:cs="Arial"/>
        </w:rPr>
        <w:t>approved the program for the development of information materials, as proposed in</w:t>
      </w:r>
      <w:r w:rsidR="009C6AC5" w:rsidRPr="00970A22">
        <w:rPr>
          <w:rFonts w:eastAsiaTheme="minorEastAsia" w:cs="Arial"/>
        </w:rPr>
        <w:t xml:space="preserve"> the Annex </w:t>
      </w:r>
      <w:r w:rsidRPr="00970A22">
        <w:rPr>
          <w:rFonts w:eastAsiaTheme="minorEastAsia" w:cs="Arial"/>
        </w:rPr>
        <w:t xml:space="preserve">to </w:t>
      </w:r>
      <w:r w:rsidR="009C6AC5" w:rsidRPr="00970A22">
        <w:rPr>
          <w:rFonts w:eastAsiaTheme="minorEastAsia" w:cs="Arial"/>
        </w:rPr>
        <w:t>document CAJ/78</w:t>
      </w:r>
      <w:r w:rsidRPr="00970A22">
        <w:rPr>
          <w:rFonts w:eastAsiaTheme="minorEastAsia" w:cs="Arial"/>
        </w:rPr>
        <w:t>/3 Rev.</w:t>
      </w:r>
    </w:p>
    <w:p w:rsidR="00923899" w:rsidRPr="00970A22" w:rsidRDefault="00923899" w:rsidP="00923899">
      <w:pPr>
        <w:tabs>
          <w:tab w:val="left" w:pos="567"/>
        </w:tabs>
        <w:rPr>
          <w:rFonts w:eastAsiaTheme="minorEastAsia" w:cs="Arial"/>
        </w:rPr>
      </w:pPr>
    </w:p>
    <w:p w:rsidR="00923899" w:rsidRPr="00970A22" w:rsidRDefault="00923899" w:rsidP="00923899"/>
    <w:p w:rsidR="00923899" w:rsidRPr="00970A22" w:rsidRDefault="00923899" w:rsidP="00923899"/>
    <w:p w:rsidR="00923899" w:rsidRPr="00970A22" w:rsidRDefault="00923899" w:rsidP="002576E4">
      <w:pPr>
        <w:pStyle w:val="Heading1"/>
      </w:pPr>
      <w:bookmarkStart w:id="50" w:name="_Toc54097493"/>
      <w:bookmarkStart w:id="51" w:name="_Toc54097627"/>
      <w:bookmarkStart w:id="52" w:name="_Toc84269012"/>
      <w:r w:rsidRPr="00970A22">
        <w:t xml:space="preserve">AGENDA ITEM 8:  Harvested Material </w:t>
      </w:r>
      <w:bookmarkEnd w:id="50"/>
      <w:bookmarkEnd w:id="51"/>
      <w:r w:rsidRPr="00970A22">
        <w:t>(</w:t>
      </w:r>
      <w:r w:rsidRPr="00970A22">
        <w:rPr>
          <w:snapToGrid w:val="0"/>
        </w:rPr>
        <w:t>document CAJ/7</w:t>
      </w:r>
      <w:r w:rsidR="003F44E6" w:rsidRPr="00970A22">
        <w:rPr>
          <w:snapToGrid w:val="0"/>
        </w:rPr>
        <w:t>8</w:t>
      </w:r>
      <w:r w:rsidRPr="00970A22">
        <w:rPr>
          <w:snapToGrid w:val="0"/>
        </w:rPr>
        <w:t>/5)</w:t>
      </w:r>
      <w:bookmarkEnd w:id="52"/>
    </w:p>
    <w:p w:rsidR="00923899" w:rsidRPr="00970A22" w:rsidRDefault="00923899" w:rsidP="002576E4">
      <w:pPr>
        <w:keepNext/>
        <w:ind w:left="567" w:hanging="567"/>
        <w:jc w:val="left"/>
      </w:pPr>
    </w:p>
    <w:p w:rsidR="00923899" w:rsidRPr="00970A22" w:rsidRDefault="00923899" w:rsidP="002576E4">
      <w:pPr>
        <w:ind w:left="567" w:hanging="567"/>
        <w:jc w:val="left"/>
        <w:rPr>
          <w:snapToGrid w:val="0"/>
        </w:rPr>
      </w:pPr>
      <w:r w:rsidRPr="00970A22">
        <w:fldChar w:fldCharType="begin"/>
      </w:r>
      <w:r w:rsidRPr="00970A22">
        <w:instrText xml:space="preserve"> AUTONUM  </w:instrText>
      </w:r>
      <w:r w:rsidRPr="00970A22">
        <w:fldChar w:fldCharType="end"/>
      </w:r>
      <w:r w:rsidRPr="00970A22">
        <w:tab/>
      </w:r>
      <w:r w:rsidRPr="00970A22">
        <w:rPr>
          <w:snapToGrid w:val="0"/>
        </w:rPr>
        <w:t>The CAJ considered document CAJ/7</w:t>
      </w:r>
      <w:r w:rsidR="003F44E6" w:rsidRPr="00970A22">
        <w:rPr>
          <w:snapToGrid w:val="0"/>
        </w:rPr>
        <w:t>8</w:t>
      </w:r>
      <w:r w:rsidRPr="00970A22">
        <w:rPr>
          <w:snapToGrid w:val="0"/>
        </w:rPr>
        <w:t>/5.</w:t>
      </w:r>
    </w:p>
    <w:p w:rsidR="00923899" w:rsidRPr="00970A22" w:rsidRDefault="00923899" w:rsidP="002576E4">
      <w:pPr>
        <w:ind w:left="567" w:hanging="567"/>
      </w:pPr>
    </w:p>
    <w:p w:rsidR="003F44E6" w:rsidRPr="00970A22" w:rsidRDefault="003F44E6" w:rsidP="002576E4">
      <w:r w:rsidRPr="00970A22">
        <w:fldChar w:fldCharType="begin"/>
      </w:r>
      <w:r w:rsidRPr="00970A22">
        <w:instrText xml:space="preserve"> AUTONUM  </w:instrText>
      </w:r>
      <w:r w:rsidRPr="00970A22">
        <w:fldChar w:fldCharType="end"/>
      </w:r>
      <w:r w:rsidRPr="00970A22">
        <w:tab/>
      </w:r>
      <w:r w:rsidRPr="00970A22">
        <w:rPr>
          <w:spacing w:val="-2"/>
        </w:rPr>
        <w:t xml:space="preserve">The </w:t>
      </w:r>
      <w:r w:rsidRPr="00970A22">
        <w:rPr>
          <w:snapToGrid w:val="0"/>
          <w:spacing w:val="-2"/>
        </w:rPr>
        <w:t>CAJ noted the developments concerning harvested material and unauthorized use of propagating material, including relevant matters on the “Seminar on the breeder’s right in relation to harvested material”, as set out in paragraphs 4 to 16 of document CAJ/78/5.</w:t>
      </w:r>
    </w:p>
    <w:p w:rsidR="00923899" w:rsidRPr="00970A22" w:rsidRDefault="00923899" w:rsidP="002576E4"/>
    <w:p w:rsidR="001F32DA" w:rsidRPr="00970A22" w:rsidRDefault="00923899" w:rsidP="002576E4">
      <w:pPr>
        <w:keepNext/>
        <w:keepLines/>
        <w:rPr>
          <w:snapToGrid w:val="0"/>
          <w:spacing w:val="-2"/>
        </w:rPr>
      </w:pPr>
      <w:r w:rsidRPr="00645C2A">
        <w:lastRenderedPageBreak/>
        <w:fldChar w:fldCharType="begin"/>
      </w:r>
      <w:r w:rsidRPr="00645C2A">
        <w:instrText xml:space="preserve"> AUTONUM  </w:instrText>
      </w:r>
      <w:r w:rsidRPr="00645C2A">
        <w:fldChar w:fldCharType="end"/>
      </w:r>
      <w:r w:rsidRPr="00645C2A">
        <w:tab/>
      </w:r>
      <w:r w:rsidRPr="00645C2A">
        <w:rPr>
          <w:spacing w:val="-2"/>
        </w:rPr>
        <w:t xml:space="preserve">The </w:t>
      </w:r>
      <w:r w:rsidRPr="00645C2A">
        <w:rPr>
          <w:snapToGrid w:val="0"/>
          <w:spacing w:val="-2"/>
        </w:rPr>
        <w:t>C</w:t>
      </w:r>
      <w:r w:rsidRPr="00970A22">
        <w:rPr>
          <w:snapToGrid w:val="0"/>
          <w:spacing w:val="-2"/>
        </w:rPr>
        <w:t xml:space="preserve">AJ </w:t>
      </w:r>
      <w:r w:rsidR="001F32DA" w:rsidRPr="00970A22">
        <w:rPr>
          <w:snapToGrid w:val="0"/>
          <w:spacing w:val="-2"/>
        </w:rPr>
        <w:t>approved the proposals for a procedure for the revision of relevant guidance, as follows:</w:t>
      </w:r>
    </w:p>
    <w:p w:rsidR="001F32DA" w:rsidRPr="00970A22" w:rsidRDefault="001F32DA" w:rsidP="002576E4">
      <w:pPr>
        <w:keepNext/>
        <w:keepLines/>
        <w:rPr>
          <w:snapToGrid w:val="0"/>
          <w:spacing w:val="-2"/>
        </w:rPr>
      </w:pPr>
    </w:p>
    <w:p w:rsidR="001F32DA" w:rsidRPr="00970A22" w:rsidRDefault="001F32DA" w:rsidP="002576E4">
      <w:pPr>
        <w:keepLines/>
        <w:ind w:left="567" w:firstLine="567"/>
        <w:rPr>
          <w:snapToGrid w:val="0"/>
          <w:spacing w:val="-2"/>
        </w:rPr>
      </w:pPr>
      <w:r w:rsidRPr="00970A22">
        <w:rPr>
          <w:snapToGrid w:val="0"/>
          <w:spacing w:val="-2"/>
        </w:rPr>
        <w:t xml:space="preserve">(i) </w:t>
      </w:r>
      <w:r w:rsidRPr="00970A22">
        <w:rPr>
          <w:snapToGrid w:val="0"/>
          <w:spacing w:val="-2"/>
        </w:rPr>
        <w:tab/>
        <w:t>agreed to initiate a revision of 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p>
    <w:p w:rsidR="001F32DA" w:rsidRPr="00970A22" w:rsidRDefault="001F32DA" w:rsidP="002576E4">
      <w:pPr>
        <w:ind w:left="567"/>
        <w:rPr>
          <w:snapToGrid w:val="0"/>
          <w:spacing w:val="-2"/>
        </w:rPr>
      </w:pPr>
    </w:p>
    <w:p w:rsidR="001F32DA" w:rsidRPr="00970A22" w:rsidRDefault="001F32DA" w:rsidP="002576E4">
      <w:pPr>
        <w:ind w:left="567" w:firstLine="567"/>
        <w:rPr>
          <w:snapToGrid w:val="0"/>
          <w:spacing w:val="-2"/>
        </w:rPr>
      </w:pPr>
      <w:r w:rsidRPr="00970A22">
        <w:rPr>
          <w:snapToGrid w:val="0"/>
          <w:spacing w:val="-2"/>
        </w:rPr>
        <w:t xml:space="preserve">(ii) </w:t>
      </w:r>
      <w:r w:rsidRPr="00970A22">
        <w:rPr>
          <w:snapToGrid w:val="0"/>
          <w:spacing w:val="-2"/>
        </w:rPr>
        <w:tab/>
      </w:r>
      <w:proofErr w:type="gramStart"/>
      <w:r w:rsidRPr="00970A22">
        <w:rPr>
          <w:snapToGrid w:val="0"/>
          <w:spacing w:val="-2"/>
        </w:rPr>
        <w:t>agreed</w:t>
      </w:r>
      <w:proofErr w:type="gramEnd"/>
      <w:r w:rsidRPr="00970A22">
        <w:rPr>
          <w:snapToGrid w:val="0"/>
          <w:spacing w:val="-2"/>
        </w:rPr>
        <w:t xml:space="preserve"> to establish a working group on harvested material and unauthorized use of propagating material (WG-HRV);</w:t>
      </w:r>
    </w:p>
    <w:p w:rsidR="001F32DA" w:rsidRPr="00970A22" w:rsidRDefault="001F32DA" w:rsidP="002576E4">
      <w:pPr>
        <w:ind w:left="567"/>
        <w:rPr>
          <w:snapToGrid w:val="0"/>
          <w:spacing w:val="-2"/>
        </w:rPr>
      </w:pPr>
    </w:p>
    <w:p w:rsidR="001F32DA" w:rsidRPr="00970A22" w:rsidRDefault="001F32DA" w:rsidP="002576E4">
      <w:pPr>
        <w:ind w:left="567" w:firstLine="567"/>
        <w:rPr>
          <w:snapToGrid w:val="0"/>
          <w:spacing w:val="-2"/>
        </w:rPr>
      </w:pPr>
      <w:r w:rsidRPr="00970A22">
        <w:rPr>
          <w:snapToGrid w:val="0"/>
          <w:spacing w:val="-2"/>
        </w:rPr>
        <w:t xml:space="preserve">(iii) </w:t>
      </w:r>
      <w:r w:rsidRPr="00970A22">
        <w:rPr>
          <w:snapToGrid w:val="0"/>
          <w:spacing w:val="-2"/>
        </w:rPr>
        <w:tab/>
      </w:r>
      <w:proofErr w:type="gramStart"/>
      <w:r w:rsidRPr="00970A22">
        <w:rPr>
          <w:snapToGrid w:val="0"/>
          <w:spacing w:val="-2"/>
        </w:rPr>
        <w:t>approved</w:t>
      </w:r>
      <w:proofErr w:type="gramEnd"/>
      <w:r w:rsidRPr="00970A22">
        <w:rPr>
          <w:snapToGrid w:val="0"/>
          <w:spacing w:val="-2"/>
        </w:rPr>
        <w:t xml:space="preserve"> the terms of reference (</w:t>
      </w:r>
      <w:proofErr w:type="spellStart"/>
      <w:r w:rsidRPr="00970A22">
        <w:rPr>
          <w:snapToGrid w:val="0"/>
          <w:spacing w:val="-2"/>
        </w:rPr>
        <w:t>ToRs</w:t>
      </w:r>
      <w:proofErr w:type="spellEnd"/>
      <w:r w:rsidRPr="00970A22">
        <w:rPr>
          <w:snapToGrid w:val="0"/>
          <w:spacing w:val="-2"/>
        </w:rPr>
        <w:t xml:space="preserve">) for the </w:t>
      </w:r>
      <w:proofErr w:type="spellStart"/>
      <w:r w:rsidRPr="00970A22">
        <w:rPr>
          <w:snapToGrid w:val="0"/>
          <w:spacing w:val="-2"/>
        </w:rPr>
        <w:t>WG-HRV</w:t>
      </w:r>
      <w:proofErr w:type="spellEnd"/>
      <w:r w:rsidRPr="00970A22">
        <w:rPr>
          <w:snapToGrid w:val="0"/>
          <w:spacing w:val="-2"/>
        </w:rPr>
        <w:t xml:space="preserve">, </w:t>
      </w:r>
      <w:r w:rsidRPr="00FF1AF6">
        <w:rPr>
          <w:snapToGrid w:val="0"/>
          <w:spacing w:val="-2"/>
        </w:rPr>
        <w:t>as presented in th</w:t>
      </w:r>
      <w:r w:rsidRPr="002576E4">
        <w:rPr>
          <w:snapToGrid w:val="0"/>
          <w:spacing w:val="-2"/>
        </w:rPr>
        <w:t>e Annex to</w:t>
      </w:r>
      <w:r w:rsidRPr="00FF1AF6">
        <w:rPr>
          <w:snapToGrid w:val="0"/>
          <w:spacing w:val="-2"/>
        </w:rPr>
        <w:t xml:space="preserve"> this document;</w:t>
      </w:r>
      <w:r w:rsidR="004759EF">
        <w:rPr>
          <w:snapToGrid w:val="0"/>
          <w:spacing w:val="-2"/>
        </w:rPr>
        <w:t xml:space="preserve"> </w:t>
      </w:r>
    </w:p>
    <w:p w:rsidR="001F32DA" w:rsidRPr="00970A22" w:rsidRDefault="001F32DA" w:rsidP="002576E4">
      <w:pPr>
        <w:ind w:left="567"/>
        <w:rPr>
          <w:snapToGrid w:val="0"/>
          <w:spacing w:val="-2"/>
        </w:rPr>
      </w:pPr>
    </w:p>
    <w:p w:rsidR="001F32DA" w:rsidRPr="00970A22" w:rsidRDefault="001F32DA" w:rsidP="002576E4">
      <w:pPr>
        <w:ind w:left="567" w:firstLine="567"/>
        <w:rPr>
          <w:snapToGrid w:val="0"/>
          <w:spacing w:val="-2"/>
        </w:rPr>
      </w:pPr>
      <w:r w:rsidRPr="00970A22">
        <w:rPr>
          <w:snapToGrid w:val="0"/>
          <w:spacing w:val="-2"/>
        </w:rPr>
        <w:t xml:space="preserve">(iv) </w:t>
      </w:r>
      <w:r w:rsidRPr="00970A22">
        <w:rPr>
          <w:snapToGrid w:val="0"/>
          <w:spacing w:val="-2"/>
        </w:rPr>
        <w:tab/>
      </w:r>
      <w:proofErr w:type="gramStart"/>
      <w:r w:rsidRPr="00970A22">
        <w:rPr>
          <w:snapToGrid w:val="0"/>
          <w:spacing w:val="-2"/>
        </w:rPr>
        <w:t>requested</w:t>
      </w:r>
      <w:proofErr w:type="gramEnd"/>
      <w:r w:rsidRPr="00970A22">
        <w:rPr>
          <w:snapToGrid w:val="0"/>
          <w:spacing w:val="-2"/>
        </w:rPr>
        <w:t xml:space="preserve"> the Office of the Union to issue a Circular to invite members of the Union and observers to the CAJ to express their interest to be a member of the WG-HRV; </w:t>
      </w:r>
      <w:r w:rsidR="002576E4">
        <w:rPr>
          <w:snapToGrid w:val="0"/>
          <w:spacing w:val="-2"/>
        </w:rPr>
        <w:t xml:space="preserve"> </w:t>
      </w:r>
      <w:r w:rsidRPr="00970A22">
        <w:rPr>
          <w:snapToGrid w:val="0"/>
          <w:spacing w:val="-2"/>
        </w:rPr>
        <w:t>and</w:t>
      </w:r>
    </w:p>
    <w:p w:rsidR="001F32DA" w:rsidRPr="00970A22" w:rsidRDefault="001F32DA" w:rsidP="002576E4">
      <w:pPr>
        <w:ind w:left="567"/>
        <w:rPr>
          <w:snapToGrid w:val="0"/>
          <w:spacing w:val="-2"/>
        </w:rPr>
      </w:pPr>
    </w:p>
    <w:p w:rsidR="00923899" w:rsidRDefault="001F32DA" w:rsidP="002576E4">
      <w:pPr>
        <w:ind w:left="567" w:firstLine="567"/>
        <w:rPr>
          <w:snapToGrid w:val="0"/>
          <w:spacing w:val="-2"/>
        </w:rPr>
      </w:pPr>
      <w:r w:rsidRPr="00970A22">
        <w:rPr>
          <w:snapToGrid w:val="0"/>
          <w:spacing w:val="-2"/>
        </w:rPr>
        <w:t xml:space="preserve">(v) </w:t>
      </w:r>
      <w:r w:rsidRPr="00970A22">
        <w:rPr>
          <w:snapToGrid w:val="0"/>
          <w:spacing w:val="-2"/>
        </w:rPr>
        <w:tab/>
      </w:r>
      <w:proofErr w:type="gramStart"/>
      <w:r w:rsidRPr="00970A22">
        <w:rPr>
          <w:snapToGrid w:val="0"/>
          <w:spacing w:val="-2"/>
        </w:rPr>
        <w:t>noted</w:t>
      </w:r>
      <w:proofErr w:type="gramEnd"/>
      <w:r w:rsidRPr="00970A22">
        <w:rPr>
          <w:snapToGrid w:val="0"/>
          <w:spacing w:val="-2"/>
        </w:rPr>
        <w:t xml:space="preserve"> that</w:t>
      </w:r>
      <w:r w:rsidR="002D3619">
        <w:rPr>
          <w:snapToGrid w:val="0"/>
          <w:spacing w:val="-2"/>
        </w:rPr>
        <w:t xml:space="preserve">, </w:t>
      </w:r>
      <w:r w:rsidRPr="00970A22">
        <w:rPr>
          <w:snapToGrid w:val="0"/>
          <w:spacing w:val="-2"/>
        </w:rPr>
        <w:t xml:space="preserve">at its seventy-eighth session, the CAJ </w:t>
      </w:r>
      <w:r w:rsidR="004D00DC">
        <w:rPr>
          <w:snapToGrid w:val="0"/>
          <w:spacing w:val="-2"/>
        </w:rPr>
        <w:t>would</w:t>
      </w:r>
      <w:r w:rsidR="004D00DC" w:rsidRPr="00970A22">
        <w:rPr>
          <w:snapToGrid w:val="0"/>
          <w:spacing w:val="-2"/>
        </w:rPr>
        <w:t xml:space="preserve"> </w:t>
      </w:r>
      <w:r w:rsidRPr="00970A22">
        <w:rPr>
          <w:snapToGrid w:val="0"/>
          <w:spacing w:val="-2"/>
        </w:rPr>
        <w:t>receive a report of the replies to the Circular with the expressions of interest to be part of the WG-HRV, with a request for the CAJ to agree its composition and the date for its first meeting</w:t>
      </w:r>
      <w:r w:rsidR="00923899" w:rsidRPr="00970A22">
        <w:rPr>
          <w:snapToGrid w:val="0"/>
          <w:spacing w:val="-2"/>
        </w:rPr>
        <w:t>.</w:t>
      </w:r>
    </w:p>
    <w:p w:rsidR="004759EF" w:rsidRDefault="004759EF" w:rsidP="002576E4">
      <w:pPr>
        <w:ind w:left="567" w:firstLine="567"/>
        <w:rPr>
          <w:snapToGrid w:val="0"/>
          <w:spacing w:val="-2"/>
        </w:rPr>
      </w:pPr>
    </w:p>
    <w:p w:rsidR="00923899" w:rsidRDefault="004759EF" w:rsidP="002576E4">
      <w:pPr>
        <w:keepLines/>
        <w:rPr>
          <w:spacing w:val="-2"/>
        </w:rPr>
      </w:pPr>
      <w:r>
        <w:rPr>
          <w:snapToGrid w:val="0"/>
          <w:spacing w:val="-2"/>
        </w:rPr>
        <w:fldChar w:fldCharType="begin"/>
      </w:r>
      <w:r>
        <w:rPr>
          <w:snapToGrid w:val="0"/>
          <w:spacing w:val="-2"/>
        </w:rPr>
        <w:instrText xml:space="preserve"> AUTONUM  </w:instrText>
      </w:r>
      <w:r>
        <w:rPr>
          <w:snapToGrid w:val="0"/>
          <w:spacing w:val="-2"/>
        </w:rPr>
        <w:fldChar w:fldCharType="end"/>
      </w:r>
      <w:r>
        <w:rPr>
          <w:snapToGrid w:val="0"/>
          <w:spacing w:val="-2"/>
        </w:rPr>
        <w:tab/>
        <w:t xml:space="preserve">In accordance with the above request of the CAJ, UPOV Circular E-21/157 of </w:t>
      </w:r>
      <w:r w:rsidRPr="004759EF">
        <w:rPr>
          <w:snapToGrid w:val="0"/>
          <w:spacing w:val="-2"/>
        </w:rPr>
        <w:t>September 23, 2021</w:t>
      </w:r>
      <w:r>
        <w:rPr>
          <w:snapToGrid w:val="0"/>
          <w:spacing w:val="-2"/>
        </w:rPr>
        <w:t>, was issued with an invitation</w:t>
      </w:r>
      <w:r w:rsidRPr="004759EF">
        <w:rPr>
          <w:snapToGrid w:val="0"/>
          <w:spacing w:val="-2"/>
        </w:rPr>
        <w:t xml:space="preserve"> </w:t>
      </w:r>
      <w:r>
        <w:rPr>
          <w:snapToGrid w:val="0"/>
          <w:spacing w:val="-2"/>
        </w:rPr>
        <w:t xml:space="preserve">to </w:t>
      </w:r>
      <w:r w:rsidRPr="004759EF">
        <w:rPr>
          <w:snapToGrid w:val="0"/>
          <w:spacing w:val="-2"/>
        </w:rPr>
        <w:t>the members of the Union and observers to the CAJ to express their interest to be a member of WG-HRV by October 22, 2021</w:t>
      </w:r>
      <w:r>
        <w:rPr>
          <w:snapToGrid w:val="0"/>
          <w:spacing w:val="-2"/>
        </w:rPr>
        <w:t>.</w:t>
      </w:r>
      <w:bookmarkStart w:id="53" w:name="_Toc54097494"/>
      <w:bookmarkStart w:id="54" w:name="_Toc54097628"/>
      <w:r>
        <w:rPr>
          <w:snapToGrid w:val="0"/>
          <w:spacing w:val="-2"/>
        </w:rPr>
        <w:t xml:space="preserve"> </w:t>
      </w:r>
      <w:r w:rsidR="0068387F">
        <w:rPr>
          <w:snapToGrid w:val="0"/>
          <w:spacing w:val="-2"/>
        </w:rPr>
        <w:t xml:space="preserve"> </w:t>
      </w:r>
      <w:r>
        <w:rPr>
          <w:snapToGrid w:val="0"/>
          <w:spacing w:val="-2"/>
        </w:rPr>
        <w:t>T</w:t>
      </w:r>
      <w:r w:rsidRPr="004759EF">
        <w:rPr>
          <w:snapToGrid w:val="0"/>
          <w:spacing w:val="-2"/>
        </w:rPr>
        <w:t>he CA</w:t>
      </w:r>
      <w:r>
        <w:rPr>
          <w:snapToGrid w:val="0"/>
          <w:spacing w:val="-2"/>
        </w:rPr>
        <w:t xml:space="preserve">J at its seventy-eighth session </w:t>
      </w:r>
      <w:r w:rsidR="004D00DC">
        <w:rPr>
          <w:snapToGrid w:val="0"/>
          <w:spacing w:val="-2"/>
        </w:rPr>
        <w:t xml:space="preserve">will </w:t>
      </w:r>
      <w:r>
        <w:rPr>
          <w:snapToGrid w:val="0"/>
          <w:spacing w:val="-2"/>
        </w:rPr>
        <w:t xml:space="preserve">be </w:t>
      </w:r>
      <w:r w:rsidR="00923899" w:rsidRPr="002D3619">
        <w:rPr>
          <w:spacing w:val="-2"/>
        </w:rPr>
        <w:t xml:space="preserve">invited to consider the </w:t>
      </w:r>
      <w:r w:rsidR="001F32DA" w:rsidRPr="002D3619">
        <w:rPr>
          <w:snapToGrid w:val="0"/>
          <w:spacing w:val="-2"/>
        </w:rPr>
        <w:t>report of the replies to the Circular with the expressions of interest to be part of the WG-HRV, with a request for the CAJ to agree its composition and the date for its first meeting as presented in document CAJ/78/5 Add.</w:t>
      </w:r>
      <w:r w:rsidR="00923899" w:rsidRPr="002D3619">
        <w:rPr>
          <w:spacing w:val="-2"/>
        </w:rPr>
        <w:t>.</w:t>
      </w:r>
      <w:r w:rsidR="00923899">
        <w:rPr>
          <w:spacing w:val="-2"/>
        </w:rPr>
        <w:t xml:space="preserve"> </w:t>
      </w:r>
    </w:p>
    <w:p w:rsidR="002576E4" w:rsidRDefault="002576E4" w:rsidP="00575525">
      <w:pPr>
        <w:rPr>
          <w:spacing w:val="-2"/>
        </w:rPr>
      </w:pPr>
    </w:p>
    <w:p w:rsidR="00575525" w:rsidRDefault="00575525" w:rsidP="00575525">
      <w:pPr>
        <w:rPr>
          <w:spacing w:val="-2"/>
        </w:rPr>
      </w:pPr>
    </w:p>
    <w:p w:rsidR="00575525" w:rsidRDefault="00BF7DE0" w:rsidP="00575525">
      <w:pPr>
        <w:pStyle w:val="Heading2"/>
      </w:pPr>
      <w:bookmarkStart w:id="55" w:name="_Toc84269013"/>
      <w:r w:rsidRPr="00E8202A">
        <w:t>Comments from the</w:t>
      </w:r>
      <w:r>
        <w:t xml:space="preserve"> </w:t>
      </w:r>
      <w:r w:rsidR="00575525" w:rsidRPr="00A03282">
        <w:t>European Union</w:t>
      </w:r>
      <w:bookmarkEnd w:id="55"/>
    </w:p>
    <w:p w:rsidR="00575525" w:rsidRDefault="00575525" w:rsidP="00575525">
      <w:pPr>
        <w:rPr>
          <w:spacing w:val="-2"/>
        </w:rPr>
      </w:pPr>
    </w:p>
    <w:p w:rsidR="002576E4" w:rsidRPr="00A03282" w:rsidRDefault="002576E4" w:rsidP="002576E4">
      <w:pPr>
        <w:pStyle w:val="TableParagraph"/>
        <w:keepNext/>
        <w:keepLines/>
        <w:jc w:val="both"/>
        <w:rPr>
          <w:rFonts w:ascii="Arial" w:hAnsi="Arial"/>
          <w:spacing w:val="-2"/>
          <w:sz w:val="20"/>
          <w:szCs w:val="20"/>
        </w:rPr>
      </w:pPr>
      <w:r w:rsidRPr="00645C2A">
        <w:rPr>
          <w:rFonts w:ascii="Arial" w:hAnsi="Arial"/>
          <w:sz w:val="20"/>
          <w:szCs w:val="20"/>
        </w:rPr>
        <w:fldChar w:fldCharType="begin"/>
      </w:r>
      <w:r w:rsidRPr="00645C2A">
        <w:rPr>
          <w:rFonts w:ascii="Arial" w:hAnsi="Arial"/>
          <w:sz w:val="20"/>
          <w:szCs w:val="20"/>
        </w:rPr>
        <w:instrText xml:space="preserve"> AUTONUM  </w:instrText>
      </w:r>
      <w:r w:rsidRPr="00645C2A">
        <w:rPr>
          <w:rFonts w:ascii="Arial" w:hAnsi="Arial"/>
          <w:sz w:val="20"/>
          <w:szCs w:val="20"/>
        </w:rPr>
        <w:fldChar w:fldCharType="end"/>
      </w:r>
      <w:r w:rsidRPr="00645C2A">
        <w:rPr>
          <w:rFonts w:ascii="Arial" w:hAnsi="Arial"/>
          <w:sz w:val="20"/>
          <w:szCs w:val="20"/>
        </w:rPr>
        <w:tab/>
        <w:t>In repl</w:t>
      </w:r>
      <w:r w:rsidRPr="00A03282">
        <w:rPr>
          <w:rFonts w:ascii="Arial" w:hAnsi="Arial"/>
          <w:sz w:val="20"/>
          <w:szCs w:val="20"/>
        </w:rPr>
        <w:t xml:space="preserve">y to Circular E-21/123 of August 23, 2021, the following comments </w:t>
      </w:r>
      <w:r w:rsidR="004D00DC" w:rsidRPr="00A03282">
        <w:rPr>
          <w:rFonts w:ascii="Arial" w:hAnsi="Arial"/>
          <w:spacing w:val="-2"/>
          <w:sz w:val="20"/>
          <w:szCs w:val="20"/>
        </w:rPr>
        <w:t xml:space="preserve">on document CAJ/78/5 </w:t>
      </w:r>
      <w:r w:rsidRPr="00A03282">
        <w:rPr>
          <w:rFonts w:ascii="Arial" w:hAnsi="Arial"/>
          <w:sz w:val="20"/>
          <w:szCs w:val="20"/>
        </w:rPr>
        <w:t>were received from the European Union</w:t>
      </w:r>
      <w:r w:rsidRPr="00A03282">
        <w:rPr>
          <w:rFonts w:ascii="Arial" w:hAnsi="Arial"/>
          <w:spacing w:val="-2"/>
          <w:sz w:val="20"/>
          <w:szCs w:val="20"/>
        </w:rPr>
        <w:t>:</w:t>
      </w:r>
    </w:p>
    <w:p w:rsidR="002576E4" w:rsidRPr="00A03282" w:rsidRDefault="002576E4" w:rsidP="002576E4">
      <w:pPr>
        <w:pStyle w:val="TableParagraph"/>
        <w:keepNext/>
        <w:keepLines/>
        <w:ind w:left="562" w:right="562"/>
        <w:rPr>
          <w:rFonts w:ascii="Arial" w:hAnsi="Arial" w:cs="Arial"/>
          <w:sz w:val="20"/>
          <w:szCs w:val="18"/>
        </w:rPr>
      </w:pPr>
    </w:p>
    <w:p w:rsidR="002576E4" w:rsidRPr="00A03282" w:rsidRDefault="002576E4" w:rsidP="002576E4">
      <w:pPr>
        <w:pStyle w:val="TableParagraph"/>
        <w:ind w:left="562" w:right="562"/>
        <w:jc w:val="both"/>
        <w:rPr>
          <w:rFonts w:ascii="Arial" w:hAnsi="Arial" w:cs="Arial"/>
          <w:spacing w:val="-4"/>
          <w:sz w:val="18"/>
          <w:szCs w:val="18"/>
        </w:rPr>
      </w:pPr>
      <w:r w:rsidRPr="00A03282">
        <w:rPr>
          <w:rFonts w:ascii="Arial" w:hAnsi="Arial" w:cs="Arial"/>
          <w:sz w:val="18"/>
          <w:szCs w:val="18"/>
        </w:rPr>
        <w:t>“The EU and its Member States wish to thank for the very informative seminar on harvested material, in particular in relation to the EU Court of Justice case on fruit trees (“</w:t>
      </w:r>
      <w:proofErr w:type="spellStart"/>
      <w:r w:rsidRPr="00A03282">
        <w:rPr>
          <w:rFonts w:ascii="Arial" w:hAnsi="Arial" w:cs="Arial"/>
          <w:sz w:val="18"/>
          <w:szCs w:val="18"/>
        </w:rPr>
        <w:t>Nadorcott</w:t>
      </w:r>
      <w:proofErr w:type="spellEnd"/>
      <w:r w:rsidRPr="00A03282">
        <w:rPr>
          <w:rFonts w:ascii="Arial" w:hAnsi="Arial" w:cs="Arial"/>
          <w:sz w:val="18"/>
          <w:szCs w:val="18"/>
        </w:rPr>
        <w:t xml:space="preserve">”). It seems that in the first place the provisional protection and </w:t>
      </w:r>
      <w:proofErr w:type="spellStart"/>
      <w:r w:rsidRPr="00A03282">
        <w:rPr>
          <w:rFonts w:ascii="Arial" w:hAnsi="Arial" w:cs="Arial"/>
          <w:sz w:val="18"/>
          <w:szCs w:val="18"/>
        </w:rPr>
        <w:t>unauthorised</w:t>
      </w:r>
      <w:proofErr w:type="spellEnd"/>
      <w:r w:rsidRPr="00A03282">
        <w:rPr>
          <w:rFonts w:ascii="Arial" w:hAnsi="Arial" w:cs="Arial"/>
          <w:sz w:val="18"/>
          <w:szCs w:val="18"/>
        </w:rPr>
        <w:t xml:space="preserve"> use of propagating material should be looked at and assessed in their current form. We wish to highlight that if propagating material is stolen effective national criminal law should be primarily applicable.”</w:t>
      </w:r>
    </w:p>
    <w:p w:rsidR="002576E4" w:rsidRPr="00A03282" w:rsidRDefault="002576E4" w:rsidP="002576E4">
      <w:pPr>
        <w:pStyle w:val="TableParagraph"/>
        <w:ind w:right="90"/>
        <w:jc w:val="both"/>
        <w:rPr>
          <w:rFonts w:ascii="Arial" w:hAnsi="Arial"/>
          <w:sz w:val="20"/>
          <w:szCs w:val="20"/>
        </w:rPr>
      </w:pPr>
    </w:p>
    <w:p w:rsidR="002576E4" w:rsidRPr="002576E4" w:rsidRDefault="002576E4" w:rsidP="002576E4">
      <w:pPr>
        <w:pStyle w:val="TableParagraph"/>
        <w:jc w:val="both"/>
        <w:rPr>
          <w:rFonts w:ascii="Arial" w:hAnsi="Arial"/>
          <w:sz w:val="20"/>
          <w:szCs w:val="20"/>
        </w:rPr>
      </w:pPr>
      <w:r w:rsidRPr="00A03282">
        <w:rPr>
          <w:rFonts w:ascii="Arial" w:hAnsi="Arial"/>
          <w:sz w:val="20"/>
          <w:szCs w:val="20"/>
        </w:rPr>
        <w:fldChar w:fldCharType="begin"/>
      </w:r>
      <w:r w:rsidRPr="00A03282">
        <w:rPr>
          <w:rFonts w:ascii="Arial" w:hAnsi="Arial"/>
          <w:sz w:val="20"/>
          <w:szCs w:val="20"/>
        </w:rPr>
        <w:instrText xml:space="preserve"> AUTONUM  </w:instrText>
      </w:r>
      <w:r w:rsidRPr="00A03282">
        <w:rPr>
          <w:rFonts w:ascii="Arial" w:hAnsi="Arial"/>
          <w:sz w:val="20"/>
          <w:szCs w:val="20"/>
        </w:rPr>
        <w:fldChar w:fldCharType="end"/>
      </w:r>
      <w:r w:rsidRPr="00A03282">
        <w:rPr>
          <w:rFonts w:ascii="Arial" w:hAnsi="Arial"/>
          <w:sz w:val="20"/>
          <w:szCs w:val="20"/>
        </w:rPr>
        <w:tab/>
        <w:t xml:space="preserve">The Office of the Union suggested </w:t>
      </w:r>
      <w:r w:rsidR="004D00DC" w:rsidRPr="00A03282">
        <w:rPr>
          <w:rFonts w:ascii="Arial" w:hAnsi="Arial"/>
          <w:sz w:val="20"/>
          <w:szCs w:val="20"/>
        </w:rPr>
        <w:t xml:space="preserve">that </w:t>
      </w:r>
      <w:r w:rsidRPr="00A03282">
        <w:rPr>
          <w:rFonts w:ascii="Arial" w:hAnsi="Arial"/>
          <w:sz w:val="20"/>
          <w:szCs w:val="20"/>
        </w:rPr>
        <w:t xml:space="preserve">the European Union </w:t>
      </w:r>
      <w:r w:rsidR="004D00DC" w:rsidRPr="00A03282">
        <w:rPr>
          <w:rFonts w:ascii="Arial" w:hAnsi="Arial"/>
          <w:sz w:val="20"/>
          <w:szCs w:val="20"/>
        </w:rPr>
        <w:t>raise</w:t>
      </w:r>
      <w:r w:rsidRPr="00A03282">
        <w:rPr>
          <w:rFonts w:ascii="Arial" w:hAnsi="Arial"/>
          <w:sz w:val="20"/>
          <w:szCs w:val="20"/>
        </w:rPr>
        <w:t xml:space="preserve"> the above comments in the WG</w:t>
      </w:r>
      <w:r w:rsidRPr="00A03282">
        <w:rPr>
          <w:rFonts w:ascii="Arial" w:hAnsi="Arial"/>
          <w:sz w:val="20"/>
          <w:szCs w:val="20"/>
        </w:rPr>
        <w:noBreakHyphen/>
        <w:t>HRV.</w:t>
      </w:r>
    </w:p>
    <w:bookmarkEnd w:id="53"/>
    <w:bookmarkEnd w:id="54"/>
    <w:p w:rsidR="0043467F" w:rsidRDefault="0043467F" w:rsidP="0043467F">
      <w:pPr>
        <w:rPr>
          <w:spacing w:val="-2"/>
        </w:rPr>
      </w:pPr>
    </w:p>
    <w:p w:rsidR="00726DEA" w:rsidRDefault="00726DEA" w:rsidP="00726DEA">
      <w:pPr>
        <w:pStyle w:val="DecisionParagraphs"/>
      </w:pPr>
      <w:r w:rsidRPr="002C4A30">
        <w:rPr>
          <w:i w:val="0"/>
          <w:lang w:eastAsia="zh-CN"/>
        </w:rPr>
        <w:fldChar w:fldCharType="begin"/>
      </w:r>
      <w:r w:rsidRPr="002C4A30">
        <w:rPr>
          <w:lang w:eastAsia="zh-CN"/>
        </w:rPr>
        <w:instrText xml:space="preserve"> AUTONUM  </w:instrText>
      </w:r>
      <w:r w:rsidRPr="002C4A30">
        <w:rPr>
          <w:i w:val="0"/>
          <w:lang w:eastAsia="zh-CN"/>
        </w:rPr>
        <w:fldChar w:fldCharType="end"/>
      </w:r>
      <w:r w:rsidRPr="002C4A30">
        <w:rPr>
          <w:lang w:eastAsia="zh-CN"/>
        </w:rPr>
        <w:tab/>
      </w:r>
      <w:r w:rsidRPr="00ED0723">
        <w:t xml:space="preserve">The </w:t>
      </w:r>
      <w:r>
        <w:t>CAJ</w:t>
      </w:r>
      <w:r w:rsidRPr="00ED0723">
        <w:t xml:space="preserve"> is invited to note the approval of the </w:t>
      </w:r>
      <w:r>
        <w:t>CAJ</w:t>
      </w:r>
      <w:r w:rsidRPr="00ED0723">
        <w:t xml:space="preserve"> by corre</w:t>
      </w:r>
      <w:r w:rsidR="00560BFC">
        <w:t>spondence on September 21, 2021</w:t>
      </w:r>
      <w:r w:rsidRPr="00ED0723">
        <w:t>, of the decision</w:t>
      </w:r>
      <w:r w:rsidR="00C1693A">
        <w:t>s</w:t>
      </w:r>
      <w:r w:rsidRPr="00ED0723">
        <w:t xml:space="preserve"> contained in the following documents</w:t>
      </w:r>
      <w:r>
        <w:t>:</w:t>
      </w:r>
    </w:p>
    <w:p w:rsidR="00726DEA" w:rsidRDefault="00726DEA" w:rsidP="00726DEA">
      <w:pPr>
        <w:pStyle w:val="DecisionParagraphs"/>
      </w:pPr>
    </w:p>
    <w:p w:rsidR="00726DEA" w:rsidRPr="00726DEA" w:rsidRDefault="00726DEA" w:rsidP="00726DEA">
      <w:pPr>
        <w:pStyle w:val="DecisionParagraphs"/>
        <w:spacing w:after="120"/>
        <w:ind w:left="4824"/>
      </w:pPr>
      <w:r>
        <w:tab/>
      </w:r>
      <w:r w:rsidRPr="00726DEA">
        <w:t>Development of guidance and information materials (document CAJ/78/3 Rev.</w:t>
      </w:r>
      <w:r>
        <w:t>)</w:t>
      </w:r>
      <w:r w:rsidRPr="00726DEA">
        <w:t>;</w:t>
      </w:r>
    </w:p>
    <w:p w:rsidR="00726DEA" w:rsidRDefault="00726DEA" w:rsidP="00726DEA">
      <w:pPr>
        <w:tabs>
          <w:tab w:val="left" w:pos="5387"/>
          <w:tab w:val="left" w:pos="5954"/>
        </w:tabs>
        <w:spacing w:after="120"/>
        <w:ind w:left="5400"/>
        <w:rPr>
          <w:i/>
        </w:rPr>
      </w:pPr>
      <w:r>
        <w:rPr>
          <w:i/>
        </w:rPr>
        <w:tab/>
      </w:r>
      <w:r w:rsidRPr="00ED0723">
        <w:rPr>
          <w:i/>
        </w:rPr>
        <w:t>UPOV/INF/16:</w:t>
      </w:r>
      <w:r w:rsidRPr="00ED0723">
        <w:rPr>
          <w:i/>
        </w:rPr>
        <w:tab/>
        <w:t>Exchangeable Software (Revision) (d</w:t>
      </w:r>
      <w:r>
        <w:rPr>
          <w:i/>
        </w:rPr>
        <w:t>ocument UPOV/INF/16/10 Draft 2)</w:t>
      </w:r>
    </w:p>
    <w:p w:rsidR="00726DEA" w:rsidRDefault="00726DEA" w:rsidP="00726DEA">
      <w:pPr>
        <w:tabs>
          <w:tab w:val="left" w:pos="5387"/>
          <w:tab w:val="left" w:pos="5954"/>
        </w:tabs>
        <w:spacing w:after="120"/>
        <w:ind w:left="5400"/>
        <w:rPr>
          <w:i/>
        </w:rPr>
      </w:pPr>
      <w:r>
        <w:rPr>
          <w:i/>
        </w:rPr>
        <w:tab/>
        <w:t>UPOV/INF/17:</w:t>
      </w:r>
      <w:r>
        <w:rPr>
          <w:i/>
        </w:rPr>
        <w:tab/>
        <w:t>Guidelines for DNA</w:t>
      </w:r>
      <w:r>
        <w:rPr>
          <w:i/>
        </w:rPr>
        <w:noBreakHyphen/>
      </w:r>
      <w:r w:rsidRPr="00ED0723">
        <w:rPr>
          <w:i/>
        </w:rPr>
        <w:t>Profiling: Molecular Marker Selection and Database Construction (“BMT Guidelines”) (Revision) (</w:t>
      </w:r>
      <w:r>
        <w:rPr>
          <w:i/>
        </w:rPr>
        <w:t>document UPOV/INF/17/2 Draft 6)</w:t>
      </w:r>
    </w:p>
    <w:p w:rsidR="00726DEA" w:rsidRDefault="00726DEA" w:rsidP="00726DEA">
      <w:pPr>
        <w:tabs>
          <w:tab w:val="left" w:pos="5387"/>
          <w:tab w:val="left" w:pos="5954"/>
        </w:tabs>
        <w:spacing w:after="120"/>
        <w:ind w:left="5400"/>
        <w:rPr>
          <w:i/>
        </w:rPr>
      </w:pPr>
      <w:r>
        <w:rPr>
          <w:i/>
        </w:rPr>
        <w:tab/>
      </w:r>
      <w:r w:rsidRPr="00ED0723">
        <w:rPr>
          <w:i/>
        </w:rPr>
        <w:t>UPOV/INF/22:</w:t>
      </w:r>
      <w:r w:rsidRPr="00ED0723">
        <w:rPr>
          <w:i/>
        </w:rPr>
        <w:tab/>
        <w:t>Software and Equipment Used by M</w:t>
      </w:r>
      <w:r>
        <w:rPr>
          <w:i/>
        </w:rPr>
        <w:t xml:space="preserve">embers of the Union (Revision) </w:t>
      </w:r>
      <w:r w:rsidRPr="00ED0723">
        <w:rPr>
          <w:i/>
        </w:rPr>
        <w:t>(</w:t>
      </w:r>
      <w:r>
        <w:rPr>
          <w:i/>
        </w:rPr>
        <w:t>document </w:t>
      </w:r>
      <w:r w:rsidRPr="00ED0723">
        <w:rPr>
          <w:i/>
        </w:rPr>
        <w:t>UPOV/INF/22/8 Draft 2)</w:t>
      </w:r>
    </w:p>
    <w:p w:rsidR="00726DEA" w:rsidRDefault="00726DEA" w:rsidP="00726DEA">
      <w:pPr>
        <w:tabs>
          <w:tab w:val="left" w:pos="5387"/>
          <w:tab w:val="left" w:pos="5954"/>
        </w:tabs>
        <w:spacing w:after="120"/>
        <w:ind w:left="5400"/>
        <w:rPr>
          <w:i/>
        </w:rPr>
      </w:pPr>
      <w:r>
        <w:rPr>
          <w:i/>
        </w:rPr>
        <w:tab/>
      </w:r>
      <w:r w:rsidRPr="00ED0723">
        <w:rPr>
          <w:i/>
        </w:rPr>
        <w:t>UPOV/INF/23:</w:t>
      </w:r>
      <w:r w:rsidRPr="00ED0723">
        <w:rPr>
          <w:i/>
        </w:rPr>
        <w:tab/>
        <w:t>UPOV Code System (</w:t>
      </w:r>
      <w:r>
        <w:rPr>
          <w:i/>
        </w:rPr>
        <w:t>document UPOV/INF/23/1 Draft 3)</w:t>
      </w:r>
    </w:p>
    <w:p w:rsidR="00726DEA" w:rsidRDefault="00726DEA" w:rsidP="00726DEA">
      <w:pPr>
        <w:keepNext/>
        <w:tabs>
          <w:tab w:val="left" w:pos="5387"/>
          <w:tab w:val="left" w:pos="5954"/>
        </w:tabs>
        <w:spacing w:after="120"/>
        <w:ind w:left="4824"/>
        <w:rPr>
          <w:i/>
        </w:rPr>
      </w:pPr>
      <w:r>
        <w:rPr>
          <w:i/>
        </w:rPr>
        <w:lastRenderedPageBreak/>
        <w:tab/>
      </w:r>
      <w:r w:rsidRPr="00ED0723">
        <w:rPr>
          <w:i/>
        </w:rPr>
        <w:t>Explanatory Notes on Variety Denominations under the UPOV Convention (document C</w:t>
      </w:r>
      <w:r w:rsidR="000A0125">
        <w:rPr>
          <w:i/>
        </w:rPr>
        <w:t>AJ/78</w:t>
      </w:r>
      <w:r w:rsidRPr="00ED0723">
        <w:rPr>
          <w:i/>
        </w:rPr>
        <w:t>/11)</w:t>
      </w:r>
    </w:p>
    <w:p w:rsidR="00726DEA" w:rsidRPr="00ED0723" w:rsidRDefault="00726DEA" w:rsidP="00726DEA">
      <w:pPr>
        <w:keepLines/>
        <w:tabs>
          <w:tab w:val="left" w:pos="5387"/>
          <w:tab w:val="left" w:pos="5954"/>
        </w:tabs>
        <w:spacing w:after="120"/>
        <w:ind w:left="5400"/>
        <w:rPr>
          <w:i/>
        </w:rPr>
      </w:pPr>
      <w:r>
        <w:rPr>
          <w:i/>
        </w:rPr>
        <w:tab/>
      </w:r>
      <w:r w:rsidRPr="00ED0723">
        <w:rPr>
          <w:i/>
        </w:rPr>
        <w:t>UPOV/EXN/DEN:</w:t>
      </w:r>
      <w:r w:rsidRPr="00ED0723">
        <w:rPr>
          <w:i/>
        </w:rPr>
        <w:tab/>
        <w:t>Explanatory Notes on Varie</w:t>
      </w:r>
      <w:r>
        <w:rPr>
          <w:i/>
        </w:rPr>
        <w:t>ty Denominations under the UPOV </w:t>
      </w:r>
      <w:r w:rsidRPr="00ED0723">
        <w:rPr>
          <w:i/>
        </w:rPr>
        <w:t>Convention</w:t>
      </w:r>
      <w:r>
        <w:rPr>
          <w:i/>
        </w:rPr>
        <w:t xml:space="preserve"> (document UPOV/EXN/DEN/1 Draft </w:t>
      </w:r>
      <w:r w:rsidRPr="00ED0723">
        <w:rPr>
          <w:i/>
        </w:rPr>
        <w:t>6)</w:t>
      </w:r>
    </w:p>
    <w:p w:rsidR="00726DEA" w:rsidRDefault="00726DEA" w:rsidP="000A0125">
      <w:pPr>
        <w:tabs>
          <w:tab w:val="left" w:pos="5387"/>
          <w:tab w:val="left" w:pos="5954"/>
        </w:tabs>
        <w:spacing w:after="120"/>
        <w:ind w:left="4820"/>
        <w:rPr>
          <w:i/>
        </w:rPr>
      </w:pPr>
      <w:r>
        <w:rPr>
          <w:i/>
        </w:rPr>
        <w:tab/>
      </w:r>
      <w:r w:rsidR="000A0125" w:rsidRPr="000A0125">
        <w:rPr>
          <w:i/>
        </w:rPr>
        <w:t>Harvested material (document CAJ/78/5</w:t>
      </w:r>
      <w:r w:rsidRPr="00ED0723">
        <w:rPr>
          <w:i/>
        </w:rPr>
        <w:t>)</w:t>
      </w:r>
      <w:r>
        <w:rPr>
          <w:i/>
        </w:rPr>
        <w:t>.</w:t>
      </w:r>
    </w:p>
    <w:p w:rsidR="00726DEA" w:rsidRDefault="00726DEA" w:rsidP="00726DEA">
      <w:pPr>
        <w:tabs>
          <w:tab w:val="left" w:pos="5387"/>
          <w:tab w:val="left" w:pos="5954"/>
        </w:tabs>
        <w:ind w:left="4820"/>
        <w:rPr>
          <w:i/>
        </w:rPr>
      </w:pPr>
    </w:p>
    <w:p w:rsidR="00726DEA" w:rsidRPr="00334DE0" w:rsidRDefault="00726DEA" w:rsidP="00726DEA">
      <w:pPr>
        <w:pStyle w:val="DecisionParagraphs"/>
        <w:rPr>
          <w:spacing w:val="2"/>
        </w:rPr>
      </w:pPr>
      <w:r w:rsidRPr="00334DE0">
        <w:rPr>
          <w:spacing w:val="2"/>
        </w:rPr>
        <w:fldChar w:fldCharType="begin"/>
      </w:r>
      <w:r w:rsidRPr="00334DE0">
        <w:rPr>
          <w:spacing w:val="2"/>
        </w:rPr>
        <w:instrText xml:space="preserve"> AUTONUM  </w:instrText>
      </w:r>
      <w:r w:rsidRPr="00334DE0">
        <w:rPr>
          <w:spacing w:val="2"/>
        </w:rPr>
        <w:fldChar w:fldCharType="end"/>
      </w:r>
      <w:r w:rsidRPr="00334DE0">
        <w:rPr>
          <w:spacing w:val="2"/>
        </w:rPr>
        <w:tab/>
      </w:r>
      <w:r w:rsidR="000A0125" w:rsidRPr="000A0125">
        <w:rPr>
          <w:spacing w:val="2"/>
        </w:rPr>
        <w:t>The CAJ is invited to note the comments on document CAJ/78/5 “Harvested material”</w:t>
      </w:r>
      <w:r w:rsidR="00402DAC">
        <w:rPr>
          <w:spacing w:val="2"/>
        </w:rPr>
        <w:t>,</w:t>
      </w:r>
      <w:r w:rsidR="000A0125" w:rsidRPr="000A0125">
        <w:rPr>
          <w:spacing w:val="2"/>
        </w:rPr>
        <w:t xml:space="preserve"> received in response to Circular E-21/123 of August 23, 2021, that have not resulted in a revision of document CAJ/78/5 (see par</w:t>
      </w:r>
      <w:r w:rsidR="000A0125" w:rsidRPr="00762858">
        <w:rPr>
          <w:spacing w:val="2"/>
        </w:rPr>
        <w:t>agraph 33</w:t>
      </w:r>
      <w:r w:rsidRPr="00762858">
        <w:rPr>
          <w:spacing w:val="2"/>
        </w:rPr>
        <w:t>).</w:t>
      </w:r>
    </w:p>
    <w:p w:rsidR="00726DEA" w:rsidRDefault="00726DEA" w:rsidP="00726DEA">
      <w:pPr>
        <w:tabs>
          <w:tab w:val="left" w:pos="5387"/>
          <w:tab w:val="left" w:pos="5954"/>
        </w:tabs>
        <w:ind w:left="4820"/>
        <w:rPr>
          <w:i/>
          <w:spacing w:val="-2"/>
        </w:rPr>
      </w:pPr>
    </w:p>
    <w:p w:rsidR="000A0125" w:rsidRPr="002C4A30" w:rsidRDefault="000A0125" w:rsidP="00726DEA">
      <w:pPr>
        <w:tabs>
          <w:tab w:val="left" w:pos="5387"/>
          <w:tab w:val="left" w:pos="5954"/>
        </w:tabs>
        <w:ind w:left="4820"/>
        <w:rPr>
          <w:i/>
          <w:spacing w:val="-2"/>
        </w:rPr>
      </w:pPr>
    </w:p>
    <w:p w:rsidR="00726DEA" w:rsidRDefault="00726DEA" w:rsidP="00726DEA"/>
    <w:p w:rsidR="00726DEA" w:rsidRDefault="00726DEA" w:rsidP="00726DEA"/>
    <w:p w:rsidR="00726DEA" w:rsidRPr="002576E4" w:rsidRDefault="00726DEA" w:rsidP="0043467F">
      <w:pPr>
        <w:rPr>
          <w:spacing w:val="-2"/>
        </w:rPr>
      </w:pPr>
    </w:p>
    <w:p w:rsidR="0068387F" w:rsidRDefault="0043467F" w:rsidP="00970A22">
      <w:pPr>
        <w:jc w:val="right"/>
        <w:sectPr w:rsidR="0068387F" w:rsidSect="0043467F">
          <w:headerReference w:type="default" r:id="rId10"/>
          <w:pgSz w:w="11907" w:h="16840" w:code="9"/>
          <w:pgMar w:top="510" w:right="1134" w:bottom="1134" w:left="1134" w:header="510" w:footer="680" w:gutter="0"/>
          <w:pgNumType w:start="1"/>
          <w:cols w:space="720"/>
          <w:titlePg/>
        </w:sectPr>
      </w:pPr>
      <w:r>
        <w:t>[</w:t>
      </w:r>
      <w:r w:rsidR="0068387F">
        <w:t>Annex follows</w:t>
      </w:r>
      <w:r>
        <w:t>]</w:t>
      </w:r>
    </w:p>
    <w:p w:rsidR="00903264" w:rsidRDefault="00903264" w:rsidP="0068387F">
      <w:pPr>
        <w:jc w:val="center"/>
      </w:pPr>
    </w:p>
    <w:p w:rsidR="0068387F" w:rsidRDefault="0068387F" w:rsidP="0068387F">
      <w:pPr>
        <w:jc w:val="center"/>
        <w:rPr>
          <w:rFonts w:cs="Arial"/>
        </w:rPr>
      </w:pPr>
      <w:r w:rsidRPr="00E65BE1">
        <w:rPr>
          <w:rFonts w:cs="Arial"/>
        </w:rPr>
        <w:t xml:space="preserve">TERMS OF REFERENCE OF THE </w:t>
      </w:r>
      <w:r w:rsidRPr="006361E4">
        <w:rPr>
          <w:rFonts w:cs="Arial"/>
        </w:rPr>
        <w:t xml:space="preserve">WORKING GROUP ON </w:t>
      </w:r>
    </w:p>
    <w:p w:rsidR="0068387F" w:rsidRPr="00E65BE1" w:rsidRDefault="0068387F" w:rsidP="0068387F">
      <w:pPr>
        <w:jc w:val="center"/>
        <w:rPr>
          <w:rFonts w:cs="Arial"/>
        </w:rPr>
      </w:pPr>
      <w:r w:rsidRPr="006361E4">
        <w:rPr>
          <w:rFonts w:cs="Arial"/>
        </w:rPr>
        <w:t>HARVESTED MATERIAL AND UNAUTHORIZED USE OF PROPAGATING MATERIAL</w:t>
      </w:r>
    </w:p>
    <w:p w:rsidR="0068387F" w:rsidRPr="001F7186" w:rsidRDefault="0068387F" w:rsidP="0068387F">
      <w:pPr>
        <w:jc w:val="center"/>
      </w:pPr>
      <w:r w:rsidRPr="00E65BE1">
        <w:t>(WG-</w:t>
      </w:r>
      <w:r>
        <w:t>HRV</w:t>
      </w:r>
      <w:r w:rsidRPr="001F7186">
        <w:t>)</w:t>
      </w:r>
    </w:p>
    <w:p w:rsidR="0068387F" w:rsidRDefault="0068387F" w:rsidP="0068387F">
      <w:pPr>
        <w:tabs>
          <w:tab w:val="left" w:pos="284"/>
          <w:tab w:val="left" w:pos="851"/>
        </w:tabs>
        <w:autoSpaceDE w:val="0"/>
        <w:autoSpaceDN w:val="0"/>
        <w:adjustRightInd w:val="0"/>
        <w:jc w:val="center"/>
        <w:rPr>
          <w:i/>
        </w:rPr>
      </w:pPr>
      <w:proofErr w:type="gramStart"/>
      <w:r w:rsidRPr="006B61FB">
        <w:rPr>
          <w:i/>
        </w:rPr>
        <w:t>approved</w:t>
      </w:r>
      <w:proofErr w:type="gramEnd"/>
      <w:r w:rsidRPr="006B61FB">
        <w:rPr>
          <w:i/>
        </w:rPr>
        <w:t xml:space="preserve"> by </w:t>
      </w:r>
      <w:r w:rsidRPr="0094559B">
        <w:rPr>
          <w:i/>
        </w:rPr>
        <w:t xml:space="preserve">the </w:t>
      </w:r>
      <w:r w:rsidRPr="0094559B">
        <w:rPr>
          <w:rFonts w:eastAsiaTheme="minorEastAsia" w:cs="Arial"/>
          <w:i/>
          <w:color w:val="000000"/>
          <w:spacing w:val="-2"/>
        </w:rPr>
        <w:t xml:space="preserve">Administrative and Legal Committee </w:t>
      </w:r>
      <w:r w:rsidRPr="0094559B">
        <w:rPr>
          <w:i/>
        </w:rPr>
        <w:t>on September 21, 2021</w:t>
      </w:r>
    </w:p>
    <w:p w:rsidR="0068387F" w:rsidRPr="001F7186" w:rsidRDefault="0068387F" w:rsidP="0068387F"/>
    <w:p w:rsidR="0068387F" w:rsidRPr="001F7186" w:rsidRDefault="0068387F" w:rsidP="0068387F"/>
    <w:p w:rsidR="0068387F" w:rsidRPr="00E65BE1" w:rsidRDefault="0068387F" w:rsidP="0068387F">
      <w:bookmarkStart w:id="56" w:name="_Toc47557368"/>
      <w:bookmarkStart w:id="57" w:name="_Toc48316464"/>
      <w:r w:rsidRPr="00E65BE1">
        <w:t>PURPOSE:</w:t>
      </w:r>
      <w:bookmarkEnd w:id="56"/>
      <w:bookmarkEnd w:id="57"/>
      <w:r w:rsidRPr="00E65BE1">
        <w:t xml:space="preserve"> </w:t>
      </w:r>
    </w:p>
    <w:p w:rsidR="0068387F" w:rsidRPr="00E44453" w:rsidRDefault="0068387F" w:rsidP="0068387F">
      <w:pPr>
        <w:contextualSpacing/>
        <w:rPr>
          <w:rFonts w:cs="Arial"/>
          <w:sz w:val="18"/>
        </w:rPr>
      </w:pPr>
    </w:p>
    <w:p w:rsidR="0068387F" w:rsidRPr="00E65BE1" w:rsidRDefault="0068387F" w:rsidP="0068387F">
      <w:pPr>
        <w:contextualSpacing/>
        <w:rPr>
          <w:rFonts w:cs="Arial"/>
        </w:rPr>
      </w:pPr>
      <w:r w:rsidRPr="00E65BE1">
        <w:rPr>
          <w:rFonts w:cs="Arial"/>
        </w:rPr>
        <w:t>The purpose of the WG-</w:t>
      </w:r>
      <w:r>
        <w:rPr>
          <w:rFonts w:cs="Arial"/>
        </w:rPr>
        <w:t>HRV</w:t>
      </w:r>
      <w:r w:rsidRPr="00E65BE1">
        <w:rPr>
          <w:rFonts w:cs="Arial"/>
        </w:rPr>
        <w:t xml:space="preserve"> is to draft a revision of </w:t>
      </w:r>
      <w:r w:rsidRPr="006361E4">
        <w:rPr>
          <w:rFonts w:cs="Arial"/>
        </w:rPr>
        <w:t>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r>
        <w:rPr>
          <w:rFonts w:cs="Arial"/>
        </w:rPr>
        <w:t xml:space="preserve">, </w:t>
      </w:r>
      <w:r w:rsidRPr="00E65BE1">
        <w:rPr>
          <w:rFonts w:cs="Arial"/>
        </w:rPr>
        <w:t>for consideration by the Administrative and Legal Committee (CAJ).</w:t>
      </w:r>
    </w:p>
    <w:p w:rsidR="0068387F" w:rsidRPr="00E44453" w:rsidRDefault="0068387F" w:rsidP="0068387F">
      <w:pPr>
        <w:rPr>
          <w:sz w:val="18"/>
          <w:szCs w:val="18"/>
        </w:rPr>
      </w:pPr>
    </w:p>
    <w:p w:rsidR="0068387F" w:rsidRPr="00E44453" w:rsidRDefault="0068387F" w:rsidP="0068387F">
      <w:pPr>
        <w:rPr>
          <w:sz w:val="18"/>
          <w:szCs w:val="18"/>
        </w:rPr>
      </w:pPr>
    </w:p>
    <w:p w:rsidR="0068387F" w:rsidRPr="00E44453" w:rsidRDefault="0068387F" w:rsidP="0068387F">
      <w:pPr>
        <w:rPr>
          <w:sz w:val="18"/>
          <w:szCs w:val="18"/>
        </w:rPr>
      </w:pPr>
    </w:p>
    <w:p w:rsidR="0068387F" w:rsidRPr="00E65BE1" w:rsidRDefault="0068387F" w:rsidP="0068387F">
      <w:bookmarkStart w:id="58" w:name="_Toc47557369"/>
      <w:bookmarkStart w:id="59" w:name="_Toc48316465"/>
      <w:r w:rsidRPr="00E65BE1">
        <w:t>COMPOSITION:</w:t>
      </w:r>
      <w:bookmarkEnd w:id="58"/>
      <w:bookmarkEnd w:id="59"/>
    </w:p>
    <w:p w:rsidR="0068387F" w:rsidRPr="00E44453" w:rsidRDefault="0068387F" w:rsidP="0068387F">
      <w:pPr>
        <w:rPr>
          <w:rFonts w:cs="Arial"/>
          <w:sz w:val="18"/>
          <w:szCs w:val="18"/>
        </w:rPr>
      </w:pPr>
    </w:p>
    <w:p w:rsidR="0068387F" w:rsidRPr="00E65BE1" w:rsidRDefault="0068387F" w:rsidP="0068387F">
      <w:pPr>
        <w:ind w:firstLine="567"/>
        <w:rPr>
          <w:rFonts w:cs="Arial"/>
          <w:color w:val="000000"/>
        </w:rPr>
      </w:pPr>
      <w:r w:rsidRPr="00E65BE1">
        <w:rPr>
          <w:rFonts w:cs="Arial"/>
        </w:rPr>
        <w:t>(a)</w:t>
      </w:r>
      <w:r w:rsidRPr="00E65BE1">
        <w:rPr>
          <w:rFonts w:cs="Arial"/>
        </w:rPr>
        <w:tab/>
      </w:r>
      <w:proofErr w:type="gramStart"/>
      <w:r w:rsidRPr="00E65BE1">
        <w:rPr>
          <w:rFonts w:cs="Arial"/>
        </w:rPr>
        <w:t>to</w:t>
      </w:r>
      <w:proofErr w:type="gramEnd"/>
      <w:r w:rsidRPr="00E65BE1">
        <w:rPr>
          <w:rFonts w:cs="Arial"/>
        </w:rPr>
        <w:t xml:space="preserve"> be composed of the members of the Union and the observers agreed by the </w:t>
      </w:r>
      <w:r w:rsidRPr="00E65BE1">
        <w:rPr>
          <w:rFonts w:cs="Arial"/>
          <w:color w:val="000000"/>
        </w:rPr>
        <w:t xml:space="preserve">CAJ; </w:t>
      </w:r>
    </w:p>
    <w:p w:rsidR="0068387F" w:rsidRPr="00E44453" w:rsidRDefault="0068387F" w:rsidP="0068387F">
      <w:pPr>
        <w:rPr>
          <w:rFonts w:cs="Arial"/>
          <w:sz w:val="18"/>
          <w:szCs w:val="18"/>
        </w:rPr>
      </w:pPr>
    </w:p>
    <w:p w:rsidR="0068387F" w:rsidRPr="00E65BE1" w:rsidRDefault="0068387F" w:rsidP="0068387F">
      <w:pPr>
        <w:ind w:firstLine="567"/>
        <w:rPr>
          <w:rFonts w:cs="Arial"/>
        </w:rPr>
      </w:pPr>
      <w:r w:rsidRPr="00E65BE1">
        <w:rPr>
          <w:rFonts w:cs="Arial"/>
        </w:rPr>
        <w:t>(b)</w:t>
      </w:r>
      <w:r w:rsidRPr="00E65BE1">
        <w:rPr>
          <w:rFonts w:cs="Arial"/>
        </w:rPr>
        <w:tab/>
      </w:r>
      <w:proofErr w:type="gramStart"/>
      <w:r w:rsidRPr="00E65BE1">
        <w:rPr>
          <w:rFonts w:cs="Arial"/>
        </w:rPr>
        <w:t>other</w:t>
      </w:r>
      <w:proofErr w:type="gramEnd"/>
      <w:r w:rsidRPr="00E65BE1">
        <w:rPr>
          <w:rFonts w:cs="Arial"/>
        </w:rPr>
        <w:t xml:space="preserve"> members of the Union would be free to participate at any meeting of the WG-</w:t>
      </w:r>
      <w:r>
        <w:rPr>
          <w:rFonts w:cs="Arial"/>
        </w:rPr>
        <w:t>HRV</w:t>
      </w:r>
      <w:r w:rsidRPr="00E65BE1">
        <w:rPr>
          <w:rFonts w:cs="Arial"/>
        </w:rPr>
        <w:t xml:space="preserve"> and make comments, where so desired;</w:t>
      </w:r>
    </w:p>
    <w:p w:rsidR="0068387F" w:rsidRPr="00E44453" w:rsidRDefault="0068387F" w:rsidP="0068387F">
      <w:pPr>
        <w:rPr>
          <w:rFonts w:cs="Arial"/>
          <w:sz w:val="18"/>
          <w:szCs w:val="18"/>
        </w:rPr>
      </w:pPr>
    </w:p>
    <w:p w:rsidR="0068387F" w:rsidRPr="00E65BE1" w:rsidRDefault="0068387F" w:rsidP="0068387F">
      <w:pPr>
        <w:ind w:firstLine="567"/>
        <w:rPr>
          <w:rFonts w:cs="Arial"/>
        </w:rPr>
      </w:pPr>
      <w:r w:rsidRPr="00E65BE1">
        <w:rPr>
          <w:rFonts w:cs="Arial"/>
        </w:rPr>
        <w:t>(c)</w:t>
      </w:r>
      <w:r w:rsidRPr="00E65BE1">
        <w:rPr>
          <w:rFonts w:cs="Arial"/>
        </w:rPr>
        <w:tab/>
      </w:r>
      <w:proofErr w:type="gramStart"/>
      <w:r w:rsidRPr="00E65BE1">
        <w:rPr>
          <w:rFonts w:cs="Arial"/>
        </w:rPr>
        <w:t>the</w:t>
      </w:r>
      <w:proofErr w:type="gramEnd"/>
      <w:r w:rsidRPr="00E65BE1">
        <w:rPr>
          <w:rFonts w:cs="Arial"/>
        </w:rPr>
        <w:t xml:space="preserve"> WG-</w:t>
      </w:r>
      <w:r>
        <w:rPr>
          <w:rFonts w:cs="Arial"/>
        </w:rPr>
        <w:t>HRV</w:t>
      </w:r>
      <w:r w:rsidRPr="00E65BE1">
        <w:rPr>
          <w:rFonts w:cs="Arial"/>
        </w:rPr>
        <w:t xml:space="preserve"> would revert back to the CAJ if the WG-</w:t>
      </w:r>
      <w:r>
        <w:rPr>
          <w:rFonts w:cs="Arial"/>
        </w:rPr>
        <w:t>HRV</w:t>
      </w:r>
      <w:r w:rsidRPr="00E65BE1">
        <w:rPr>
          <w:rFonts w:cs="Arial"/>
        </w:rPr>
        <w:t xml:space="preserve"> recommended to invite other observers or experts to any of its meetings;  and   </w:t>
      </w:r>
    </w:p>
    <w:p w:rsidR="0068387F" w:rsidRPr="00E44453" w:rsidRDefault="0068387F" w:rsidP="0068387F">
      <w:pPr>
        <w:rPr>
          <w:rFonts w:cs="Arial"/>
          <w:sz w:val="18"/>
          <w:szCs w:val="18"/>
        </w:rPr>
      </w:pPr>
    </w:p>
    <w:p w:rsidR="0068387F" w:rsidRPr="00E65BE1" w:rsidRDefault="0068387F" w:rsidP="0068387F">
      <w:pPr>
        <w:tabs>
          <w:tab w:val="left" w:pos="1134"/>
        </w:tabs>
        <w:ind w:firstLine="567"/>
        <w:rPr>
          <w:rFonts w:cs="Arial"/>
        </w:rPr>
      </w:pPr>
      <w:r w:rsidRPr="00E65BE1">
        <w:rPr>
          <w:rFonts w:cs="Arial"/>
        </w:rPr>
        <w:t>(d)</w:t>
      </w:r>
      <w:r w:rsidRPr="00E65BE1">
        <w:rPr>
          <w:rFonts w:cs="Arial"/>
        </w:rPr>
        <w:tab/>
      </w:r>
      <w:proofErr w:type="gramStart"/>
      <w:r w:rsidRPr="00E65BE1">
        <w:rPr>
          <w:rFonts w:cs="Arial"/>
        </w:rPr>
        <w:t>meetings</w:t>
      </w:r>
      <w:proofErr w:type="gramEnd"/>
      <w:r w:rsidRPr="00E65BE1">
        <w:rPr>
          <w:rFonts w:cs="Arial"/>
        </w:rPr>
        <w:t xml:space="preserve"> to be chaired by the Vice Secretary</w:t>
      </w:r>
      <w:r w:rsidRPr="00E65BE1">
        <w:rPr>
          <w:rFonts w:cs="Arial"/>
        </w:rPr>
        <w:noBreakHyphen/>
        <w:t>General.</w:t>
      </w:r>
    </w:p>
    <w:p w:rsidR="0068387F" w:rsidRPr="00E44453" w:rsidRDefault="0068387F" w:rsidP="0068387F">
      <w:pPr>
        <w:rPr>
          <w:sz w:val="18"/>
        </w:rPr>
      </w:pPr>
    </w:p>
    <w:p w:rsidR="0068387F" w:rsidRPr="00E44453" w:rsidRDefault="0068387F" w:rsidP="0068387F">
      <w:pPr>
        <w:rPr>
          <w:sz w:val="18"/>
        </w:rPr>
      </w:pPr>
    </w:p>
    <w:p w:rsidR="0068387F" w:rsidRPr="00E44453" w:rsidRDefault="0068387F" w:rsidP="0068387F">
      <w:pPr>
        <w:rPr>
          <w:sz w:val="18"/>
        </w:rPr>
      </w:pPr>
    </w:p>
    <w:p w:rsidR="0068387F" w:rsidRPr="00E65BE1" w:rsidRDefault="0068387F" w:rsidP="0068387F">
      <w:bookmarkStart w:id="60" w:name="_Toc47557370"/>
      <w:bookmarkStart w:id="61" w:name="_Toc48316466"/>
      <w:r w:rsidRPr="00E65BE1">
        <w:t>MODUS OPERANDI:</w:t>
      </w:r>
      <w:bookmarkEnd w:id="60"/>
      <w:bookmarkEnd w:id="61"/>
    </w:p>
    <w:p w:rsidR="0068387F" w:rsidRPr="00E44453" w:rsidRDefault="0068387F" w:rsidP="0068387F">
      <w:pPr>
        <w:rPr>
          <w:rFonts w:cs="Arial"/>
          <w:sz w:val="18"/>
          <w:szCs w:val="18"/>
          <w:u w:val="single"/>
        </w:rPr>
      </w:pPr>
    </w:p>
    <w:p w:rsidR="0068387F" w:rsidRPr="00945A64" w:rsidRDefault="0068387F" w:rsidP="0068387F">
      <w:pPr>
        <w:ind w:firstLine="360"/>
        <w:rPr>
          <w:rFonts w:cs="Arial"/>
          <w:spacing w:val="-2"/>
        </w:rPr>
      </w:pPr>
      <w:r w:rsidRPr="00945A64">
        <w:rPr>
          <w:rFonts w:cs="Arial"/>
          <w:spacing w:val="-2"/>
        </w:rPr>
        <w:t xml:space="preserve">(a) </w:t>
      </w:r>
      <w:r w:rsidRPr="00945A64">
        <w:rPr>
          <w:rFonts w:cs="Arial"/>
          <w:spacing w:val="-2"/>
        </w:rPr>
        <w:tab/>
        <w:t>in drafting the revision of documents UPOV/EXN/HRV/1, UPOV/EXN/PPM/1, and UPOV/EXN/PRP/2, the WG-HRV to consider</w:t>
      </w:r>
      <w:r w:rsidRPr="00945A64">
        <w:rPr>
          <w:spacing w:val="-2"/>
        </w:rPr>
        <w:t xml:space="preserve"> </w:t>
      </w:r>
      <w:r w:rsidRPr="00945A64">
        <w:rPr>
          <w:rFonts w:cs="Arial"/>
          <w:spacing w:val="-2"/>
        </w:rPr>
        <w:t>the matters identified in the replies to UPOV Circular E-19/232 and, in particular, the concluding remarks at the 2021 Seminar on the breeder’s right in relation to harvested material:</w:t>
      </w:r>
    </w:p>
    <w:p w:rsidR="0068387F" w:rsidRPr="006361E4" w:rsidRDefault="0068387F" w:rsidP="0068387F">
      <w:pPr>
        <w:keepNext/>
        <w:ind w:left="927"/>
        <w:rPr>
          <w:rFonts w:cs="Arial"/>
          <w:sz w:val="18"/>
        </w:rPr>
      </w:pPr>
    </w:p>
    <w:p w:rsidR="0068387F" w:rsidRPr="008E579F" w:rsidRDefault="0068387F" w:rsidP="0068387F">
      <w:pPr>
        <w:pStyle w:val="ListParagraph"/>
        <w:keepNext/>
        <w:numPr>
          <w:ilvl w:val="0"/>
          <w:numId w:val="13"/>
        </w:numPr>
        <w:ind w:left="1494" w:right="639"/>
        <w:rPr>
          <w:rFonts w:cs="Arial"/>
          <w:i/>
          <w:sz w:val="18"/>
        </w:rPr>
      </w:pPr>
      <w:r w:rsidRPr="008E579F">
        <w:rPr>
          <w:rFonts w:cs="Arial"/>
          <w:i/>
          <w:sz w:val="18"/>
        </w:rPr>
        <w:t>“How does the lack of effective protection on harvested material impact on growers and consumers?</w:t>
      </w:r>
    </w:p>
    <w:p w:rsidR="0068387F" w:rsidRPr="008E579F" w:rsidRDefault="0068387F" w:rsidP="0068387F">
      <w:pPr>
        <w:pStyle w:val="ListParagraph"/>
        <w:keepNext/>
        <w:ind w:left="1494" w:right="639"/>
        <w:rPr>
          <w:rFonts w:cs="Arial"/>
          <w:sz w:val="18"/>
        </w:rPr>
      </w:pPr>
    </w:p>
    <w:p w:rsidR="0068387F" w:rsidRPr="008E579F" w:rsidRDefault="0068387F" w:rsidP="0068387F">
      <w:pPr>
        <w:pStyle w:val="ListParagraph"/>
        <w:keepLines/>
        <w:ind w:left="1908" w:right="639"/>
        <w:rPr>
          <w:rFonts w:cs="Arial"/>
          <w:sz w:val="18"/>
        </w:rPr>
      </w:pPr>
      <w:r w:rsidRPr="008E579F">
        <w:rPr>
          <w:rFonts w:cs="Arial"/>
          <w:sz w:val="18"/>
        </w:rPr>
        <w:t>“Evidence was presented at the Seminar that the lack of effective protection for new varieties of fruit trees, prior to the grant of breeders’ rights, could inhibit the early introduction of new and improved varieties, thus reducing the benefits of those varieties for growers and consumers and, therefore, society as a whole.  Furthermore, if breeders do not have effective protection to recover the investment in breeding, improved varieties might not be developed at all.</w:t>
      </w:r>
    </w:p>
    <w:p w:rsidR="0068387F" w:rsidRPr="008E579F" w:rsidRDefault="0068387F" w:rsidP="0068387F">
      <w:pPr>
        <w:pStyle w:val="ListParagraph"/>
        <w:ind w:left="1494" w:right="639"/>
        <w:rPr>
          <w:rFonts w:cs="Arial"/>
          <w:sz w:val="18"/>
        </w:rPr>
      </w:pPr>
    </w:p>
    <w:p w:rsidR="0068387F" w:rsidRPr="008E579F" w:rsidRDefault="0068387F" w:rsidP="0068387F">
      <w:pPr>
        <w:pStyle w:val="ListParagraph"/>
        <w:keepNext/>
        <w:numPr>
          <w:ilvl w:val="0"/>
          <w:numId w:val="13"/>
        </w:numPr>
        <w:ind w:left="1494" w:right="639"/>
        <w:rPr>
          <w:rFonts w:cs="Arial"/>
          <w:i/>
          <w:spacing w:val="-2"/>
          <w:sz w:val="18"/>
        </w:rPr>
      </w:pPr>
      <w:r w:rsidRPr="008E579F">
        <w:rPr>
          <w:rFonts w:cs="Arial"/>
          <w:i/>
          <w:spacing w:val="-2"/>
          <w:sz w:val="18"/>
        </w:rPr>
        <w:t>“What are the main challenges in the exercise of the breeder’s right in relation to the harvested material?</w:t>
      </w:r>
    </w:p>
    <w:p w:rsidR="0068387F" w:rsidRPr="008E579F" w:rsidRDefault="0068387F" w:rsidP="0068387F">
      <w:pPr>
        <w:pStyle w:val="ListParagraph"/>
        <w:keepNext/>
        <w:ind w:left="1494" w:right="639"/>
        <w:rPr>
          <w:rFonts w:cs="Arial"/>
          <w:sz w:val="18"/>
        </w:rPr>
      </w:pPr>
    </w:p>
    <w:p w:rsidR="0068387F" w:rsidRPr="008E579F" w:rsidRDefault="0068387F" w:rsidP="0068387F">
      <w:pPr>
        <w:pStyle w:val="ListParagraph"/>
        <w:keepLines/>
        <w:ind w:left="1908" w:right="639"/>
        <w:rPr>
          <w:rFonts w:cs="Arial"/>
          <w:sz w:val="18"/>
        </w:rPr>
      </w:pPr>
      <w:r w:rsidRPr="008E579F">
        <w:rPr>
          <w:rFonts w:cs="Arial"/>
          <w:sz w:val="18"/>
        </w:rPr>
        <w:t xml:space="preserve">“A common area of concern is lack of predictability concerning the breeder’s right in relation to the harvested material. </w:t>
      </w:r>
    </w:p>
    <w:p w:rsidR="0068387F" w:rsidRPr="008E579F" w:rsidRDefault="0068387F" w:rsidP="0068387F">
      <w:pPr>
        <w:pStyle w:val="ListParagraph"/>
        <w:ind w:left="1908" w:right="639"/>
        <w:rPr>
          <w:rFonts w:cs="Arial"/>
          <w:sz w:val="18"/>
        </w:rPr>
      </w:pPr>
    </w:p>
    <w:p w:rsidR="0068387F" w:rsidRPr="008E579F" w:rsidRDefault="0068387F" w:rsidP="0068387F">
      <w:pPr>
        <w:pStyle w:val="ListParagraph"/>
        <w:keepLines/>
        <w:ind w:left="1908" w:right="639"/>
        <w:rPr>
          <w:rFonts w:cs="Arial"/>
          <w:sz w:val="18"/>
        </w:rPr>
      </w:pPr>
      <w:r w:rsidRPr="008E579F">
        <w:rPr>
          <w:rFonts w:cs="Arial"/>
          <w:sz w:val="18"/>
        </w:rPr>
        <w:t>“For certain species, trees, once planted, can produce fruits for many years.  Therefore, a minimum scope of provisional protection and/or a narrow interpretation of “unauthorized use of propagating material” may not provide the means for the breeder to exercise and enforce their right in relation to the growing of the plants and producing and selling of the fruit.</w:t>
      </w:r>
    </w:p>
    <w:p w:rsidR="0068387F" w:rsidRPr="008E579F" w:rsidRDefault="0068387F" w:rsidP="0068387F">
      <w:pPr>
        <w:pStyle w:val="ListParagraph"/>
        <w:ind w:left="1494" w:right="639"/>
        <w:rPr>
          <w:rFonts w:cs="Arial"/>
          <w:sz w:val="18"/>
        </w:rPr>
      </w:pPr>
    </w:p>
    <w:p w:rsidR="0068387F" w:rsidRPr="008E579F" w:rsidRDefault="0068387F" w:rsidP="0068387F">
      <w:pPr>
        <w:pStyle w:val="ListParagraph"/>
        <w:keepNext/>
        <w:numPr>
          <w:ilvl w:val="0"/>
          <w:numId w:val="13"/>
        </w:numPr>
        <w:ind w:left="1494" w:right="639"/>
        <w:rPr>
          <w:rFonts w:cs="Arial"/>
          <w:sz w:val="18"/>
        </w:rPr>
      </w:pPr>
      <w:r w:rsidRPr="008E579F">
        <w:rPr>
          <w:rFonts w:cs="Arial"/>
          <w:spacing w:val="-4"/>
          <w:sz w:val="18"/>
        </w:rPr>
        <w:t>“</w:t>
      </w:r>
      <w:r w:rsidRPr="008E579F">
        <w:rPr>
          <w:rFonts w:cs="Arial"/>
          <w:i/>
          <w:spacing w:val="-4"/>
          <w:sz w:val="18"/>
        </w:rPr>
        <w:t>At the level of UPOV:  what solutions do you see for those challenges in the exercise of the breeder’s right</w:t>
      </w:r>
      <w:r w:rsidRPr="008E579F">
        <w:rPr>
          <w:rFonts w:cs="Arial"/>
          <w:i/>
          <w:sz w:val="18"/>
        </w:rPr>
        <w:t xml:space="preserve"> in relation to the harvested material?</w:t>
      </w:r>
    </w:p>
    <w:p w:rsidR="0068387F" w:rsidRPr="008E579F" w:rsidRDefault="0068387F" w:rsidP="0068387F">
      <w:pPr>
        <w:pStyle w:val="ListParagraph"/>
        <w:keepNext/>
        <w:ind w:left="1494" w:right="639"/>
        <w:rPr>
          <w:rFonts w:cs="Arial"/>
          <w:sz w:val="18"/>
        </w:rPr>
      </w:pPr>
    </w:p>
    <w:p w:rsidR="0068387F" w:rsidRPr="008E579F" w:rsidRDefault="0068387F" w:rsidP="0068387F">
      <w:pPr>
        <w:pStyle w:val="ListParagraph"/>
        <w:keepLines/>
        <w:ind w:left="1908" w:right="639"/>
        <w:rPr>
          <w:rFonts w:cs="Arial"/>
          <w:sz w:val="18"/>
        </w:rPr>
      </w:pPr>
      <w:r w:rsidRPr="008E579F">
        <w:rPr>
          <w:rFonts w:cs="Arial"/>
          <w:sz w:val="18"/>
        </w:rPr>
        <w:t xml:space="preserve">“Clear indication from presentations and discussions that guidance in the explanatory notes on harvested material would benefit from further clarification.  </w:t>
      </w:r>
    </w:p>
    <w:p w:rsidR="0068387F" w:rsidRPr="008E579F" w:rsidRDefault="0068387F" w:rsidP="0068387F">
      <w:pPr>
        <w:pStyle w:val="ListParagraph"/>
        <w:ind w:left="1908" w:right="639"/>
        <w:rPr>
          <w:rFonts w:cs="Arial"/>
          <w:sz w:val="18"/>
        </w:rPr>
      </w:pPr>
    </w:p>
    <w:p w:rsidR="0068387F" w:rsidRPr="008E579F" w:rsidRDefault="0068387F" w:rsidP="0068387F">
      <w:pPr>
        <w:pStyle w:val="ListParagraph"/>
        <w:keepNext/>
        <w:keepLines/>
        <w:ind w:left="1908" w:right="639"/>
        <w:rPr>
          <w:rFonts w:cs="Arial"/>
          <w:sz w:val="18"/>
        </w:rPr>
      </w:pPr>
      <w:r w:rsidRPr="008E579F">
        <w:rPr>
          <w:rFonts w:cs="Arial"/>
          <w:sz w:val="18"/>
        </w:rPr>
        <w:lastRenderedPageBreak/>
        <w:t>“To help to encourage the development of new varieties of plants, further guidance would be helpful on:</w:t>
      </w:r>
    </w:p>
    <w:p w:rsidR="0068387F" w:rsidRPr="008E579F" w:rsidRDefault="0068387F" w:rsidP="0068387F">
      <w:pPr>
        <w:pStyle w:val="ListParagraph"/>
        <w:keepNext/>
        <w:numPr>
          <w:ilvl w:val="2"/>
          <w:numId w:val="13"/>
        </w:numPr>
        <w:spacing w:before="120"/>
        <w:ind w:left="3352" w:right="639"/>
        <w:contextualSpacing w:val="0"/>
        <w:rPr>
          <w:rFonts w:cs="Arial"/>
          <w:sz w:val="18"/>
        </w:rPr>
      </w:pPr>
      <w:r w:rsidRPr="008E579F">
        <w:rPr>
          <w:rFonts w:cs="Arial"/>
          <w:sz w:val="18"/>
        </w:rPr>
        <w:t>“propagating material</w:t>
      </w:r>
    </w:p>
    <w:p w:rsidR="0068387F" w:rsidRPr="008E579F" w:rsidRDefault="0068387F" w:rsidP="0068387F">
      <w:pPr>
        <w:pStyle w:val="ListParagraph"/>
        <w:numPr>
          <w:ilvl w:val="2"/>
          <w:numId w:val="13"/>
        </w:numPr>
        <w:spacing w:before="120"/>
        <w:ind w:left="3352" w:right="639"/>
        <w:contextualSpacing w:val="0"/>
        <w:rPr>
          <w:rFonts w:cs="Arial"/>
          <w:sz w:val="18"/>
        </w:rPr>
      </w:pPr>
      <w:r w:rsidRPr="008E579F">
        <w:rPr>
          <w:rFonts w:cs="Arial"/>
          <w:sz w:val="18"/>
        </w:rPr>
        <w:t>“harvested material</w:t>
      </w:r>
    </w:p>
    <w:p w:rsidR="0068387F" w:rsidRPr="008E579F" w:rsidRDefault="0068387F" w:rsidP="0068387F">
      <w:pPr>
        <w:pStyle w:val="ListParagraph"/>
        <w:numPr>
          <w:ilvl w:val="2"/>
          <w:numId w:val="13"/>
        </w:numPr>
        <w:spacing w:before="120"/>
        <w:ind w:left="3352" w:right="639"/>
        <w:contextualSpacing w:val="0"/>
        <w:rPr>
          <w:rFonts w:cs="Arial"/>
          <w:sz w:val="18"/>
        </w:rPr>
      </w:pPr>
      <w:r w:rsidRPr="008E579F">
        <w:rPr>
          <w:rFonts w:cs="Arial"/>
          <w:sz w:val="18"/>
        </w:rPr>
        <w:t>“effective provisional protection</w:t>
      </w:r>
    </w:p>
    <w:p w:rsidR="0068387F" w:rsidRPr="008E579F" w:rsidRDefault="0068387F" w:rsidP="0068387F">
      <w:pPr>
        <w:pStyle w:val="ListParagraph"/>
        <w:numPr>
          <w:ilvl w:val="2"/>
          <w:numId w:val="13"/>
        </w:numPr>
        <w:spacing w:before="120"/>
        <w:ind w:left="3352" w:right="639"/>
        <w:contextualSpacing w:val="0"/>
        <w:rPr>
          <w:rFonts w:cs="Arial"/>
          <w:sz w:val="18"/>
        </w:rPr>
      </w:pPr>
      <w:r w:rsidRPr="008E579F">
        <w:rPr>
          <w:rFonts w:cs="Arial"/>
          <w:sz w:val="18"/>
        </w:rPr>
        <w:t>“notion of ‘unauthorized use of propagating material’</w:t>
      </w:r>
    </w:p>
    <w:p w:rsidR="0068387F" w:rsidRPr="008E579F" w:rsidRDefault="0068387F" w:rsidP="0068387F">
      <w:pPr>
        <w:pStyle w:val="ListParagraph"/>
        <w:numPr>
          <w:ilvl w:val="2"/>
          <w:numId w:val="13"/>
        </w:numPr>
        <w:spacing w:before="120"/>
        <w:ind w:left="3352" w:right="639"/>
        <w:contextualSpacing w:val="0"/>
        <w:rPr>
          <w:rFonts w:cs="Arial"/>
          <w:sz w:val="18"/>
        </w:rPr>
      </w:pPr>
      <w:r w:rsidRPr="008E579F">
        <w:rPr>
          <w:rFonts w:cs="Arial"/>
          <w:sz w:val="18"/>
        </w:rPr>
        <w:t>“</w:t>
      </w:r>
      <w:proofErr w:type="gramStart"/>
      <w:r w:rsidRPr="008E579F">
        <w:rPr>
          <w:rFonts w:cs="Arial"/>
          <w:spacing w:val="-4"/>
          <w:sz w:val="18"/>
        </w:rPr>
        <w:t>the</w:t>
      </w:r>
      <w:proofErr w:type="gramEnd"/>
      <w:r w:rsidRPr="008E579F">
        <w:rPr>
          <w:rFonts w:cs="Arial"/>
          <w:spacing w:val="-4"/>
          <w:sz w:val="18"/>
        </w:rPr>
        <w:t xml:space="preserve"> doctrine of exhaustion of rights in relation to the reversal of the burden of proof”</w:t>
      </w:r>
      <w:r w:rsidRPr="008E579F">
        <w:rPr>
          <w:rFonts w:cs="Arial"/>
        </w:rPr>
        <w:t>.</w:t>
      </w:r>
    </w:p>
    <w:p w:rsidR="0068387F" w:rsidRPr="00E44453" w:rsidRDefault="0068387F" w:rsidP="0068387F">
      <w:pPr>
        <w:rPr>
          <w:rFonts w:cs="Arial"/>
          <w:sz w:val="18"/>
          <w:u w:val="single"/>
        </w:rPr>
      </w:pPr>
    </w:p>
    <w:p w:rsidR="0068387F" w:rsidRPr="00E65BE1" w:rsidRDefault="0068387F" w:rsidP="0068387F">
      <w:pPr>
        <w:tabs>
          <w:tab w:val="left" w:pos="1134"/>
        </w:tabs>
        <w:ind w:firstLine="567"/>
        <w:rPr>
          <w:rFonts w:cs="Arial"/>
          <w:u w:val="single"/>
        </w:rPr>
      </w:pPr>
      <w:r w:rsidRPr="00E65BE1">
        <w:rPr>
          <w:rFonts w:cs="Arial"/>
        </w:rPr>
        <w:t xml:space="preserve">(b) </w:t>
      </w:r>
      <w:r w:rsidRPr="00E65BE1">
        <w:rPr>
          <w:rFonts w:cs="Arial"/>
        </w:rPr>
        <w:tab/>
      </w:r>
      <w:proofErr w:type="gramStart"/>
      <w:r w:rsidRPr="00E65BE1">
        <w:rPr>
          <w:rFonts w:cs="Arial"/>
        </w:rPr>
        <w:t>the</w:t>
      </w:r>
      <w:proofErr w:type="gramEnd"/>
      <w:r w:rsidRPr="00E65BE1">
        <w:rPr>
          <w:rFonts w:cs="Arial"/>
        </w:rPr>
        <w:t xml:space="preserve"> WG-</w:t>
      </w:r>
      <w:r>
        <w:rPr>
          <w:rFonts w:cs="Arial"/>
        </w:rPr>
        <w:t>HRV</w:t>
      </w:r>
      <w:r w:rsidRPr="00E65BE1">
        <w:rPr>
          <w:rFonts w:cs="Arial"/>
        </w:rPr>
        <w:t xml:space="preserve"> to meet at a time and frequency to address its mandate, by physical and/or virtual means, as agreed by the WG-</w:t>
      </w:r>
      <w:r>
        <w:rPr>
          <w:rFonts w:cs="Arial"/>
        </w:rPr>
        <w:t>HRV</w:t>
      </w:r>
      <w:r w:rsidRPr="00E65BE1">
        <w:rPr>
          <w:rFonts w:cs="Arial"/>
        </w:rPr>
        <w:t>;</w:t>
      </w:r>
    </w:p>
    <w:p w:rsidR="0068387F" w:rsidRPr="00E44453" w:rsidRDefault="0068387F" w:rsidP="0068387F">
      <w:pPr>
        <w:tabs>
          <w:tab w:val="left" w:pos="1134"/>
        </w:tabs>
        <w:rPr>
          <w:rFonts w:cs="Arial"/>
          <w:sz w:val="18"/>
          <w:u w:val="single"/>
        </w:rPr>
      </w:pPr>
    </w:p>
    <w:p w:rsidR="0068387F" w:rsidRPr="00E65BE1" w:rsidRDefault="0068387F" w:rsidP="0068387F">
      <w:pPr>
        <w:tabs>
          <w:tab w:val="left" w:pos="1134"/>
        </w:tabs>
        <w:ind w:firstLine="567"/>
        <w:rPr>
          <w:rFonts w:cs="Arial"/>
        </w:rPr>
      </w:pPr>
      <w:r w:rsidRPr="00E65BE1">
        <w:rPr>
          <w:rFonts w:cs="Arial"/>
        </w:rPr>
        <w:t xml:space="preserve">(c) </w:t>
      </w:r>
      <w:r w:rsidRPr="00E65BE1">
        <w:rPr>
          <w:rFonts w:cs="Arial"/>
        </w:rPr>
        <w:tab/>
      </w:r>
      <w:proofErr w:type="gramStart"/>
      <w:r w:rsidRPr="00E65BE1">
        <w:rPr>
          <w:rFonts w:cs="Arial"/>
        </w:rPr>
        <w:t>the</w:t>
      </w:r>
      <w:proofErr w:type="gramEnd"/>
      <w:r w:rsidRPr="00E65BE1">
        <w:rPr>
          <w:rFonts w:cs="Arial"/>
        </w:rPr>
        <w:t xml:space="preserve"> WG-</w:t>
      </w:r>
      <w:r>
        <w:rPr>
          <w:rFonts w:cs="Arial"/>
        </w:rPr>
        <w:t>HRV</w:t>
      </w:r>
      <w:r w:rsidRPr="00E65BE1">
        <w:rPr>
          <w:rFonts w:cs="Arial"/>
        </w:rPr>
        <w:t xml:space="preserve"> to report to the CAJ on progress of its work and to seek further guidance from the CAJ, as appropriate;</w:t>
      </w:r>
    </w:p>
    <w:p w:rsidR="0068387F" w:rsidRPr="00E44453" w:rsidRDefault="0068387F" w:rsidP="0068387F">
      <w:pPr>
        <w:tabs>
          <w:tab w:val="left" w:pos="1134"/>
        </w:tabs>
        <w:rPr>
          <w:rFonts w:cs="Arial"/>
          <w:sz w:val="18"/>
        </w:rPr>
      </w:pPr>
    </w:p>
    <w:p w:rsidR="0068387F" w:rsidRPr="00E65BE1" w:rsidRDefault="0068387F" w:rsidP="0068387F">
      <w:pPr>
        <w:tabs>
          <w:tab w:val="left" w:pos="1134"/>
        </w:tabs>
        <w:ind w:firstLine="567"/>
        <w:rPr>
          <w:rFonts w:cs="Arial"/>
          <w:u w:val="single"/>
        </w:rPr>
      </w:pPr>
      <w:r w:rsidRPr="00E65BE1">
        <w:rPr>
          <w:rFonts w:cs="Arial"/>
        </w:rPr>
        <w:t>(d)</w:t>
      </w:r>
      <w:r w:rsidRPr="00E65BE1">
        <w:rPr>
          <w:rFonts w:cs="Arial"/>
        </w:rPr>
        <w:tab/>
        <w:t>WG-</w:t>
      </w:r>
      <w:r>
        <w:rPr>
          <w:rFonts w:cs="Arial"/>
        </w:rPr>
        <w:t>HRV</w:t>
      </w:r>
      <w:r w:rsidRPr="00E65BE1">
        <w:rPr>
          <w:rFonts w:cs="Arial"/>
        </w:rPr>
        <w:t xml:space="preserve"> documents to be made available to the CAJ.</w:t>
      </w:r>
    </w:p>
    <w:p w:rsidR="0068387F" w:rsidRPr="00871EAB" w:rsidRDefault="0068387F" w:rsidP="0068387F"/>
    <w:p w:rsidR="0068387F" w:rsidRPr="00871EAB" w:rsidRDefault="0068387F" w:rsidP="0068387F"/>
    <w:p w:rsidR="0068387F" w:rsidRPr="006B61FB" w:rsidRDefault="0068387F" w:rsidP="0068387F">
      <w:pPr>
        <w:tabs>
          <w:tab w:val="left" w:pos="284"/>
          <w:tab w:val="left" w:pos="851"/>
        </w:tabs>
        <w:autoSpaceDE w:val="0"/>
        <w:autoSpaceDN w:val="0"/>
        <w:adjustRightInd w:val="0"/>
        <w:jc w:val="right"/>
        <w:rPr>
          <w:rFonts w:cs="Angsana New"/>
          <w:i/>
          <w:szCs w:val="24"/>
          <w:lang w:eastAsia="ja-JP" w:bidi="th-TH"/>
        </w:rPr>
      </w:pPr>
      <w:r>
        <w:t>[End of Annex and of document]</w:t>
      </w:r>
    </w:p>
    <w:p w:rsidR="00050E16" w:rsidRDefault="00050E16" w:rsidP="009B440E">
      <w:pPr>
        <w:jc w:val="left"/>
      </w:pPr>
    </w:p>
    <w:p w:rsidR="0068387F" w:rsidRDefault="0068387F" w:rsidP="009B440E">
      <w:pPr>
        <w:jc w:val="left"/>
      </w:pPr>
    </w:p>
    <w:p w:rsidR="0068387F" w:rsidRPr="00C5280D" w:rsidRDefault="0068387F" w:rsidP="009B440E">
      <w:pPr>
        <w:jc w:val="left"/>
      </w:pPr>
    </w:p>
    <w:sectPr w:rsidR="0068387F" w:rsidRPr="00C5280D" w:rsidSect="0043467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5B" w:rsidRDefault="0099085B" w:rsidP="006655D3">
      <w:r>
        <w:separator/>
      </w:r>
    </w:p>
    <w:p w:rsidR="0099085B" w:rsidRDefault="0099085B" w:rsidP="006655D3"/>
    <w:p w:rsidR="0099085B" w:rsidRDefault="0099085B" w:rsidP="006655D3"/>
  </w:endnote>
  <w:endnote w:type="continuationSeparator" w:id="0">
    <w:p w:rsidR="0099085B" w:rsidRDefault="0099085B" w:rsidP="006655D3">
      <w:r>
        <w:separator/>
      </w:r>
    </w:p>
    <w:p w:rsidR="0099085B" w:rsidRPr="00294751" w:rsidRDefault="0099085B">
      <w:pPr>
        <w:pStyle w:val="Footer"/>
        <w:spacing w:after="60"/>
        <w:rPr>
          <w:sz w:val="18"/>
          <w:lang w:val="fr-FR"/>
        </w:rPr>
      </w:pPr>
      <w:r w:rsidRPr="00294751">
        <w:rPr>
          <w:sz w:val="18"/>
          <w:lang w:val="fr-FR"/>
        </w:rPr>
        <w:t>[Suite de la note de la page précédente]</w:t>
      </w:r>
    </w:p>
    <w:p w:rsidR="0099085B" w:rsidRPr="00294751" w:rsidRDefault="0099085B" w:rsidP="006655D3">
      <w:pPr>
        <w:rPr>
          <w:lang w:val="fr-FR"/>
        </w:rPr>
      </w:pPr>
    </w:p>
    <w:p w:rsidR="0099085B" w:rsidRPr="00294751" w:rsidRDefault="0099085B" w:rsidP="006655D3">
      <w:pPr>
        <w:rPr>
          <w:lang w:val="fr-FR"/>
        </w:rPr>
      </w:pPr>
    </w:p>
  </w:endnote>
  <w:endnote w:type="continuationNotice" w:id="1">
    <w:p w:rsidR="0099085B" w:rsidRPr="00294751" w:rsidRDefault="0099085B" w:rsidP="006655D3">
      <w:pPr>
        <w:rPr>
          <w:lang w:val="fr-FR"/>
        </w:rPr>
      </w:pPr>
      <w:r w:rsidRPr="00294751">
        <w:rPr>
          <w:lang w:val="fr-FR"/>
        </w:rPr>
        <w:t>[Suite de la note page suivante]</w:t>
      </w:r>
    </w:p>
    <w:p w:rsidR="0099085B" w:rsidRPr="00294751" w:rsidRDefault="0099085B" w:rsidP="006655D3">
      <w:pPr>
        <w:rPr>
          <w:lang w:val="fr-FR"/>
        </w:rPr>
      </w:pPr>
    </w:p>
    <w:p w:rsidR="0099085B" w:rsidRPr="00294751" w:rsidRDefault="0099085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5B" w:rsidRDefault="0099085B" w:rsidP="006655D3">
      <w:r>
        <w:separator/>
      </w:r>
    </w:p>
  </w:footnote>
  <w:footnote w:type="continuationSeparator" w:id="0">
    <w:p w:rsidR="0099085B" w:rsidRDefault="0099085B" w:rsidP="006655D3">
      <w:r>
        <w:separator/>
      </w:r>
    </w:p>
  </w:footnote>
  <w:footnote w:type="continuationNotice" w:id="1">
    <w:p w:rsidR="0099085B" w:rsidRPr="00AB530F" w:rsidRDefault="0099085B" w:rsidP="00AB530F">
      <w:pPr>
        <w:pStyle w:val="Footer"/>
      </w:pPr>
    </w:p>
  </w:footnote>
  <w:footnote w:id="2">
    <w:p w:rsidR="0099085B" w:rsidRDefault="0099085B" w:rsidP="00923899">
      <w:pPr>
        <w:pStyle w:val="FootnoteText"/>
      </w:pPr>
      <w:r>
        <w:rPr>
          <w:rStyle w:val="FootnoteReference"/>
        </w:rPr>
        <w:footnoteRef/>
      </w:r>
      <w:r>
        <w:t xml:space="preserve"> </w:t>
      </w:r>
      <w:r>
        <w:tab/>
        <w:t xml:space="preserve">The procedure for consideration of documents by correspondence is provided in Circular E-21/063 of </w:t>
      </w:r>
      <w:r w:rsidRPr="00236679">
        <w:t>May 14, 2021</w:t>
      </w:r>
      <w:r>
        <w:t xml:space="preserve"> (available at the TC/57, CAJ/78 and C/55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5B" w:rsidRPr="00C5280D" w:rsidRDefault="0099085B" w:rsidP="0043467F">
    <w:pPr>
      <w:pStyle w:val="Header"/>
      <w:rPr>
        <w:rStyle w:val="PageNumber"/>
        <w:lang w:val="en-US"/>
      </w:rPr>
    </w:pPr>
    <w:r>
      <w:rPr>
        <w:rStyle w:val="PageNumber"/>
        <w:lang w:val="en-US"/>
      </w:rPr>
      <w:t>CAJ/78/12</w:t>
    </w:r>
  </w:p>
  <w:p w:rsidR="0099085B" w:rsidRPr="00C5280D" w:rsidRDefault="0099085B" w:rsidP="0043467F">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0BFC">
      <w:rPr>
        <w:rStyle w:val="PageNumber"/>
        <w:noProof/>
        <w:lang w:val="en-US"/>
      </w:rPr>
      <w:t>6</w:t>
    </w:r>
    <w:r w:rsidRPr="00C5280D">
      <w:rPr>
        <w:rStyle w:val="PageNumber"/>
        <w:lang w:val="en-US"/>
      </w:rPr>
      <w:fldChar w:fldCharType="end"/>
    </w:r>
  </w:p>
  <w:p w:rsidR="0099085B" w:rsidRDefault="0099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7F" w:rsidRPr="00C5280D" w:rsidRDefault="0068387F" w:rsidP="0043467F">
    <w:pPr>
      <w:pStyle w:val="Header"/>
      <w:rPr>
        <w:rStyle w:val="PageNumber"/>
        <w:lang w:val="en-US"/>
      </w:rPr>
    </w:pPr>
    <w:r>
      <w:rPr>
        <w:rStyle w:val="PageNumber"/>
        <w:lang w:val="en-US"/>
      </w:rPr>
      <w:t>CAJ/78/12</w:t>
    </w:r>
  </w:p>
  <w:p w:rsidR="0068387F" w:rsidRPr="00C5280D" w:rsidRDefault="0068387F" w:rsidP="0043467F">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0BFC">
      <w:rPr>
        <w:rStyle w:val="PageNumber"/>
        <w:noProof/>
        <w:lang w:val="en-US"/>
      </w:rPr>
      <w:t>2</w:t>
    </w:r>
    <w:r w:rsidRPr="00C5280D">
      <w:rPr>
        <w:rStyle w:val="PageNumber"/>
        <w:lang w:val="en-US"/>
      </w:rPr>
      <w:fldChar w:fldCharType="end"/>
    </w:r>
  </w:p>
  <w:p w:rsidR="0068387F" w:rsidRDefault="00683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7F" w:rsidRPr="00C5280D" w:rsidRDefault="0068387F" w:rsidP="0068387F">
    <w:pPr>
      <w:pStyle w:val="Header"/>
      <w:rPr>
        <w:rStyle w:val="PageNumber"/>
        <w:lang w:val="en-US"/>
      </w:rPr>
    </w:pPr>
    <w:r>
      <w:rPr>
        <w:rStyle w:val="PageNumber"/>
        <w:lang w:val="en-US"/>
      </w:rPr>
      <w:t>CAJ/78/12</w:t>
    </w:r>
  </w:p>
  <w:p w:rsidR="0068387F" w:rsidRDefault="0068387F" w:rsidP="0068387F">
    <w:pPr>
      <w:pStyle w:val="Header"/>
    </w:pPr>
  </w:p>
  <w:p w:rsidR="0068387F" w:rsidRDefault="0068387F">
    <w:pPr>
      <w:pStyle w:val="Header"/>
    </w:pPr>
    <w:r>
      <w:t>ANNEX</w:t>
    </w:r>
  </w:p>
  <w:p w:rsidR="0068387F" w:rsidRDefault="0068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8024D"/>
    <w:multiLevelType w:val="hybridMultilevel"/>
    <w:tmpl w:val="39B41E3E"/>
    <w:lvl w:ilvl="0" w:tplc="5D921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2"/>
  </w:num>
  <w:num w:numId="6">
    <w:abstractNumId w:val="1"/>
  </w:num>
  <w:num w:numId="7">
    <w:abstractNumId w:val="13"/>
  </w:num>
  <w:num w:numId="8">
    <w:abstractNumId w:val="9"/>
  </w:num>
  <w:num w:numId="9">
    <w:abstractNumId w:val="12"/>
  </w:num>
  <w:num w:numId="10">
    <w:abstractNumId w:val="0"/>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10CF3"/>
    <w:rsid w:val="00011E27"/>
    <w:rsid w:val="000148BC"/>
    <w:rsid w:val="00024AB8"/>
    <w:rsid w:val="00030854"/>
    <w:rsid w:val="00036028"/>
    <w:rsid w:val="0004198B"/>
    <w:rsid w:val="00044642"/>
    <w:rsid w:val="000446B9"/>
    <w:rsid w:val="0004482D"/>
    <w:rsid w:val="00047E21"/>
    <w:rsid w:val="00050E16"/>
    <w:rsid w:val="00057E9E"/>
    <w:rsid w:val="000735E5"/>
    <w:rsid w:val="0007372F"/>
    <w:rsid w:val="00082224"/>
    <w:rsid w:val="00085505"/>
    <w:rsid w:val="000A0125"/>
    <w:rsid w:val="000A07C7"/>
    <w:rsid w:val="000B31AD"/>
    <w:rsid w:val="000C4E25"/>
    <w:rsid w:val="000C7021"/>
    <w:rsid w:val="000D6BBC"/>
    <w:rsid w:val="000D7780"/>
    <w:rsid w:val="000E636A"/>
    <w:rsid w:val="000F2F11"/>
    <w:rsid w:val="00100A5F"/>
    <w:rsid w:val="00105929"/>
    <w:rsid w:val="00110BED"/>
    <w:rsid w:val="00110C36"/>
    <w:rsid w:val="001131D5"/>
    <w:rsid w:val="00114547"/>
    <w:rsid w:val="00141DB8"/>
    <w:rsid w:val="0015228A"/>
    <w:rsid w:val="00172084"/>
    <w:rsid w:val="0017474A"/>
    <w:rsid w:val="001758C6"/>
    <w:rsid w:val="00182B99"/>
    <w:rsid w:val="001A2D6A"/>
    <w:rsid w:val="001C1525"/>
    <w:rsid w:val="001F32DA"/>
    <w:rsid w:val="0021332C"/>
    <w:rsid w:val="00213982"/>
    <w:rsid w:val="00236679"/>
    <w:rsid w:val="0024416D"/>
    <w:rsid w:val="002576E4"/>
    <w:rsid w:val="00271911"/>
    <w:rsid w:val="00273187"/>
    <w:rsid w:val="00275A3A"/>
    <w:rsid w:val="002800A0"/>
    <w:rsid w:val="002801B3"/>
    <w:rsid w:val="00281060"/>
    <w:rsid w:val="00285BD0"/>
    <w:rsid w:val="002940E8"/>
    <w:rsid w:val="002945BA"/>
    <w:rsid w:val="00294751"/>
    <w:rsid w:val="002A6E50"/>
    <w:rsid w:val="002B4298"/>
    <w:rsid w:val="002B7A36"/>
    <w:rsid w:val="002C256A"/>
    <w:rsid w:val="002D3619"/>
    <w:rsid w:val="002D5226"/>
    <w:rsid w:val="002F7F4E"/>
    <w:rsid w:val="00305A7F"/>
    <w:rsid w:val="003152FE"/>
    <w:rsid w:val="00327436"/>
    <w:rsid w:val="00344BD6"/>
    <w:rsid w:val="0035528D"/>
    <w:rsid w:val="00361821"/>
    <w:rsid w:val="00361E9E"/>
    <w:rsid w:val="00367AE2"/>
    <w:rsid w:val="003753EE"/>
    <w:rsid w:val="00391896"/>
    <w:rsid w:val="003A0835"/>
    <w:rsid w:val="003A5AAF"/>
    <w:rsid w:val="003B700A"/>
    <w:rsid w:val="003C7FBE"/>
    <w:rsid w:val="003D0A5F"/>
    <w:rsid w:val="003D227C"/>
    <w:rsid w:val="003D2B4D"/>
    <w:rsid w:val="003F37F5"/>
    <w:rsid w:val="003F44E6"/>
    <w:rsid w:val="00402DAC"/>
    <w:rsid w:val="0043467F"/>
    <w:rsid w:val="00444A88"/>
    <w:rsid w:val="00474DA4"/>
    <w:rsid w:val="004759EF"/>
    <w:rsid w:val="00476B4D"/>
    <w:rsid w:val="004805FA"/>
    <w:rsid w:val="004935D2"/>
    <w:rsid w:val="004B1215"/>
    <w:rsid w:val="004D00DC"/>
    <w:rsid w:val="004D047D"/>
    <w:rsid w:val="004E6DEE"/>
    <w:rsid w:val="004F1E9E"/>
    <w:rsid w:val="004F305A"/>
    <w:rsid w:val="00505604"/>
    <w:rsid w:val="00512164"/>
    <w:rsid w:val="00520297"/>
    <w:rsid w:val="005338F9"/>
    <w:rsid w:val="0054281C"/>
    <w:rsid w:val="00544581"/>
    <w:rsid w:val="0055137E"/>
    <w:rsid w:val="0055268D"/>
    <w:rsid w:val="00560BFC"/>
    <w:rsid w:val="00575525"/>
    <w:rsid w:val="00575B90"/>
    <w:rsid w:val="00575DE2"/>
    <w:rsid w:val="00576BE4"/>
    <w:rsid w:val="005779DB"/>
    <w:rsid w:val="00595E0B"/>
    <w:rsid w:val="005A400A"/>
    <w:rsid w:val="005B269D"/>
    <w:rsid w:val="005C2E97"/>
    <w:rsid w:val="005D02F0"/>
    <w:rsid w:val="005F3E59"/>
    <w:rsid w:val="005F7B92"/>
    <w:rsid w:val="00612379"/>
    <w:rsid w:val="006153B6"/>
    <w:rsid w:val="0061555F"/>
    <w:rsid w:val="006245ED"/>
    <w:rsid w:val="00627D90"/>
    <w:rsid w:val="00627E24"/>
    <w:rsid w:val="00636CA6"/>
    <w:rsid w:val="00640A12"/>
    <w:rsid w:val="00641200"/>
    <w:rsid w:val="00645C2A"/>
    <w:rsid w:val="00645CA8"/>
    <w:rsid w:val="006655D3"/>
    <w:rsid w:val="00667404"/>
    <w:rsid w:val="00676ED0"/>
    <w:rsid w:val="0068387F"/>
    <w:rsid w:val="00687EB4"/>
    <w:rsid w:val="00695C56"/>
    <w:rsid w:val="006A3C27"/>
    <w:rsid w:val="006A5CDE"/>
    <w:rsid w:val="006A644A"/>
    <w:rsid w:val="006B17D2"/>
    <w:rsid w:val="006C224E"/>
    <w:rsid w:val="006D780A"/>
    <w:rsid w:val="00707879"/>
    <w:rsid w:val="0071271E"/>
    <w:rsid w:val="00726DEA"/>
    <w:rsid w:val="00732DEC"/>
    <w:rsid w:val="00735BD5"/>
    <w:rsid w:val="007451EC"/>
    <w:rsid w:val="00751613"/>
    <w:rsid w:val="00751E8E"/>
    <w:rsid w:val="00753EE9"/>
    <w:rsid w:val="007556F6"/>
    <w:rsid w:val="00760EEF"/>
    <w:rsid w:val="00762858"/>
    <w:rsid w:val="00777EE5"/>
    <w:rsid w:val="00784836"/>
    <w:rsid w:val="0079023E"/>
    <w:rsid w:val="007A2854"/>
    <w:rsid w:val="007C1D92"/>
    <w:rsid w:val="007C4CB9"/>
    <w:rsid w:val="007D0B9D"/>
    <w:rsid w:val="007D19B0"/>
    <w:rsid w:val="007E0EEC"/>
    <w:rsid w:val="007E14CE"/>
    <w:rsid w:val="007F498F"/>
    <w:rsid w:val="0080679D"/>
    <w:rsid w:val="008108B0"/>
    <w:rsid w:val="00811B20"/>
    <w:rsid w:val="00812609"/>
    <w:rsid w:val="008211B5"/>
    <w:rsid w:val="0082296E"/>
    <w:rsid w:val="00824099"/>
    <w:rsid w:val="00846D7C"/>
    <w:rsid w:val="00867AC1"/>
    <w:rsid w:val="00871133"/>
    <w:rsid w:val="008751DE"/>
    <w:rsid w:val="00890DF8"/>
    <w:rsid w:val="008A0ADE"/>
    <w:rsid w:val="008A743F"/>
    <w:rsid w:val="008C0970"/>
    <w:rsid w:val="008D0BC5"/>
    <w:rsid w:val="008D2CF7"/>
    <w:rsid w:val="008F2587"/>
    <w:rsid w:val="008F4317"/>
    <w:rsid w:val="008F4B6B"/>
    <w:rsid w:val="00900C26"/>
    <w:rsid w:val="0090197F"/>
    <w:rsid w:val="00903264"/>
    <w:rsid w:val="00906DDC"/>
    <w:rsid w:val="00922891"/>
    <w:rsid w:val="00923899"/>
    <w:rsid w:val="00934E09"/>
    <w:rsid w:val="00936253"/>
    <w:rsid w:val="00940D46"/>
    <w:rsid w:val="009413F1"/>
    <w:rsid w:val="00952DD4"/>
    <w:rsid w:val="00953203"/>
    <w:rsid w:val="009561F4"/>
    <w:rsid w:val="00962FD0"/>
    <w:rsid w:val="00965AE7"/>
    <w:rsid w:val="00970A22"/>
    <w:rsid w:val="00970FED"/>
    <w:rsid w:val="00980D67"/>
    <w:rsid w:val="0099085B"/>
    <w:rsid w:val="00992D82"/>
    <w:rsid w:val="00997029"/>
    <w:rsid w:val="009A07D8"/>
    <w:rsid w:val="009A7339"/>
    <w:rsid w:val="009B440E"/>
    <w:rsid w:val="009C6AC5"/>
    <w:rsid w:val="009D690D"/>
    <w:rsid w:val="009E65B6"/>
    <w:rsid w:val="009F0A51"/>
    <w:rsid w:val="009F77CF"/>
    <w:rsid w:val="00A03282"/>
    <w:rsid w:val="00A24C10"/>
    <w:rsid w:val="00A42AC3"/>
    <w:rsid w:val="00A430CF"/>
    <w:rsid w:val="00A54309"/>
    <w:rsid w:val="00A610A9"/>
    <w:rsid w:val="00A80F2A"/>
    <w:rsid w:val="00A96C33"/>
    <w:rsid w:val="00AB2B93"/>
    <w:rsid w:val="00AB530F"/>
    <w:rsid w:val="00AB7E5B"/>
    <w:rsid w:val="00AC2883"/>
    <w:rsid w:val="00AD5D72"/>
    <w:rsid w:val="00AE0EF1"/>
    <w:rsid w:val="00AE2937"/>
    <w:rsid w:val="00AE5426"/>
    <w:rsid w:val="00B07301"/>
    <w:rsid w:val="00B11F3E"/>
    <w:rsid w:val="00B224DE"/>
    <w:rsid w:val="00B237E4"/>
    <w:rsid w:val="00B324D4"/>
    <w:rsid w:val="00B46575"/>
    <w:rsid w:val="00B61777"/>
    <w:rsid w:val="00B622E6"/>
    <w:rsid w:val="00B74FCA"/>
    <w:rsid w:val="00B83E82"/>
    <w:rsid w:val="00B84BBD"/>
    <w:rsid w:val="00BA43FB"/>
    <w:rsid w:val="00BC127D"/>
    <w:rsid w:val="00BC1FE6"/>
    <w:rsid w:val="00BF7DE0"/>
    <w:rsid w:val="00C03C0B"/>
    <w:rsid w:val="00C061B6"/>
    <w:rsid w:val="00C1693A"/>
    <w:rsid w:val="00C2446C"/>
    <w:rsid w:val="00C36AE5"/>
    <w:rsid w:val="00C41F17"/>
    <w:rsid w:val="00C527FA"/>
    <w:rsid w:val="00C5280D"/>
    <w:rsid w:val="00C53EB3"/>
    <w:rsid w:val="00C5791C"/>
    <w:rsid w:val="00C66290"/>
    <w:rsid w:val="00C72B7A"/>
    <w:rsid w:val="00C95476"/>
    <w:rsid w:val="00C973F2"/>
    <w:rsid w:val="00CA304C"/>
    <w:rsid w:val="00CA774A"/>
    <w:rsid w:val="00CB4921"/>
    <w:rsid w:val="00CC11B0"/>
    <w:rsid w:val="00CC2841"/>
    <w:rsid w:val="00CD7AE6"/>
    <w:rsid w:val="00CF1330"/>
    <w:rsid w:val="00CF7E36"/>
    <w:rsid w:val="00D2079B"/>
    <w:rsid w:val="00D270E6"/>
    <w:rsid w:val="00D354EC"/>
    <w:rsid w:val="00D3708D"/>
    <w:rsid w:val="00D375A1"/>
    <w:rsid w:val="00D40426"/>
    <w:rsid w:val="00D57C96"/>
    <w:rsid w:val="00D57D18"/>
    <w:rsid w:val="00D70E65"/>
    <w:rsid w:val="00D73E3F"/>
    <w:rsid w:val="00D740AB"/>
    <w:rsid w:val="00D91203"/>
    <w:rsid w:val="00D95174"/>
    <w:rsid w:val="00DA4973"/>
    <w:rsid w:val="00DA6F36"/>
    <w:rsid w:val="00DB596E"/>
    <w:rsid w:val="00DB72FA"/>
    <w:rsid w:val="00DB7773"/>
    <w:rsid w:val="00DC00EA"/>
    <w:rsid w:val="00DC3802"/>
    <w:rsid w:val="00DD6208"/>
    <w:rsid w:val="00DF36C4"/>
    <w:rsid w:val="00DF7E99"/>
    <w:rsid w:val="00E07384"/>
    <w:rsid w:val="00E07D87"/>
    <w:rsid w:val="00E12515"/>
    <w:rsid w:val="00E249C8"/>
    <w:rsid w:val="00E30364"/>
    <w:rsid w:val="00E32F7E"/>
    <w:rsid w:val="00E44777"/>
    <w:rsid w:val="00E5267B"/>
    <w:rsid w:val="00E559F0"/>
    <w:rsid w:val="00E63C0E"/>
    <w:rsid w:val="00E72D49"/>
    <w:rsid w:val="00E7593C"/>
    <w:rsid w:val="00E7678A"/>
    <w:rsid w:val="00E8202A"/>
    <w:rsid w:val="00E935F1"/>
    <w:rsid w:val="00E94A81"/>
    <w:rsid w:val="00EA1FFB"/>
    <w:rsid w:val="00EB048E"/>
    <w:rsid w:val="00EB4E9C"/>
    <w:rsid w:val="00EE34DF"/>
    <w:rsid w:val="00EF2F89"/>
    <w:rsid w:val="00F03E98"/>
    <w:rsid w:val="00F1237A"/>
    <w:rsid w:val="00F22CBD"/>
    <w:rsid w:val="00F272F1"/>
    <w:rsid w:val="00F31412"/>
    <w:rsid w:val="00F40D59"/>
    <w:rsid w:val="00F45372"/>
    <w:rsid w:val="00F560F7"/>
    <w:rsid w:val="00F6334D"/>
    <w:rsid w:val="00F63599"/>
    <w:rsid w:val="00F71781"/>
    <w:rsid w:val="00FA49AB"/>
    <w:rsid w:val="00FB23CF"/>
    <w:rsid w:val="00FC5FD0"/>
    <w:rsid w:val="00FE39C7"/>
    <w:rsid w:val="00FF1AF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5B3AC60"/>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8F4317"/>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5228A"/>
    <w:pPr>
      <w:tabs>
        <w:tab w:val="right" w:leader="dot" w:pos="9639"/>
      </w:tabs>
      <w:spacing w:before="60" w:after="60"/>
      <w:ind w:left="720" w:right="432"/>
    </w:pPr>
    <w:rPr>
      <w:rFonts w:ascii="Arial" w:hAnsi="Arial"/>
      <w:sz w:val="18"/>
    </w:rPr>
  </w:style>
  <w:style w:type="paragraph" w:styleId="TOC3">
    <w:name w:val="toc 3"/>
    <w:next w:val="Normal"/>
    <w:autoRedefine/>
    <w:uiPriority w:val="39"/>
    <w:rsid w:val="0015228A"/>
    <w:pPr>
      <w:tabs>
        <w:tab w:val="right" w:leader="dot" w:pos="9639"/>
      </w:tabs>
      <w:spacing w:before="60" w:after="60"/>
      <w:ind w:left="1440" w:right="288"/>
    </w:pPr>
    <w:rPr>
      <w:rFonts w:ascii="Arial" w:hAnsi="Arial"/>
      <w:i/>
      <w:sz w:val="18"/>
      <w:lang w:val="fr-FR"/>
    </w:rPr>
  </w:style>
  <w:style w:type="character" w:styleId="Hyperlink">
    <w:name w:val="Hyperlink"/>
    <w:basedOn w:val="DefaultParagraphFont"/>
    <w:uiPriority w:val="99"/>
    <w:rsid w:val="008F4317"/>
    <w:rPr>
      <w:noProof/>
      <w:color w:val="0000FF"/>
      <w:u w:val="single"/>
    </w:rPr>
  </w:style>
  <w:style w:type="paragraph" w:styleId="TOC4">
    <w:name w:val="toc 4"/>
    <w:next w:val="Normal"/>
    <w:autoRedefine/>
    <w:uiPriority w:val="39"/>
    <w:rsid w:val="0015228A"/>
    <w:pPr>
      <w:tabs>
        <w:tab w:val="right" w:leader="dot" w:pos="9639"/>
      </w:tabs>
      <w:spacing w:before="60" w:after="60"/>
      <w:ind w:left="2016" w:right="288"/>
    </w:pPr>
    <w:rPr>
      <w:rFonts w:ascii="Arial" w:hAnsi="Arial"/>
      <w:sz w:val="16"/>
      <w:lang w:val="fr-FR"/>
    </w:rPr>
  </w:style>
  <w:style w:type="paragraph" w:styleId="TOC1">
    <w:name w:val="toc 1"/>
    <w:next w:val="Normal"/>
    <w:autoRedefine/>
    <w:uiPriority w:val="39"/>
    <w:rsid w:val="0015228A"/>
    <w:pPr>
      <w:tabs>
        <w:tab w:val="right" w:leader="dot" w:pos="9639"/>
      </w:tabs>
      <w:spacing w:before="120" w:after="60"/>
      <w:ind w:right="432"/>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3467F"/>
    <w:rPr>
      <w:rFonts w:ascii="Arial" w:hAnsi="Arial"/>
      <w:sz w:val="16"/>
    </w:rPr>
  </w:style>
  <w:style w:type="paragraph" w:styleId="ListParagraph">
    <w:name w:val="List Paragraph"/>
    <w:aliases w:val="auto_list_(i),List Paragraph1"/>
    <w:basedOn w:val="Normal"/>
    <w:link w:val="ListParagraphChar"/>
    <w:uiPriority w:val="34"/>
    <w:qFormat/>
    <w:rsid w:val="0092389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923899"/>
    <w:rPr>
      <w:rFonts w:ascii="Arial" w:hAnsi="Arial"/>
    </w:rPr>
  </w:style>
  <w:style w:type="paragraph" w:customStyle="1" w:styleId="Default">
    <w:name w:val="Default"/>
    <w:rsid w:val="0092389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923899"/>
    <w:rPr>
      <w:rFonts w:ascii="Arial" w:hAnsi="Arial"/>
      <w:i/>
    </w:rPr>
  </w:style>
  <w:style w:type="character" w:customStyle="1" w:styleId="DecisionParagraphsChar">
    <w:name w:val="DecisionParagraphs Char"/>
    <w:basedOn w:val="DefaultParagraphFont"/>
    <w:link w:val="DecisionParagraphs"/>
    <w:rsid w:val="00923899"/>
    <w:rPr>
      <w:rFonts w:ascii="Arial" w:hAnsi="Arial"/>
      <w:i/>
    </w:rPr>
  </w:style>
  <w:style w:type="paragraph" w:customStyle="1" w:styleId="TableParagraph">
    <w:name w:val="Table Paragraph"/>
    <w:basedOn w:val="Normal"/>
    <w:uiPriority w:val="1"/>
    <w:qFormat/>
    <w:rsid w:val="00923899"/>
    <w:pPr>
      <w:widowControl w:val="0"/>
      <w:autoSpaceDE w:val="0"/>
      <w:autoSpaceDN w:val="0"/>
      <w:jc w:val="left"/>
    </w:pPr>
    <w:rPr>
      <w:rFonts w:ascii="Times New Roman" w:hAnsi="Times New Roman"/>
      <w:sz w:val="22"/>
      <w:szCs w:val="22"/>
    </w:rPr>
  </w:style>
  <w:style w:type="character" w:styleId="FollowedHyperlink">
    <w:name w:val="FollowedHyperlink"/>
    <w:basedOn w:val="DefaultParagraphFont"/>
    <w:semiHidden/>
    <w:unhideWhenUsed/>
    <w:rsid w:val="00707879"/>
    <w:rPr>
      <w:color w:val="800080" w:themeColor="followedHyperlink"/>
      <w:u w:val="single"/>
    </w:rPr>
  </w:style>
  <w:style w:type="character" w:styleId="Strong">
    <w:name w:val="Strong"/>
    <w:basedOn w:val="DefaultParagraphFont"/>
    <w:uiPriority w:val="22"/>
    <w:qFormat/>
    <w:rsid w:val="00CD7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178">
      <w:bodyDiv w:val="1"/>
      <w:marLeft w:val="0"/>
      <w:marRight w:val="0"/>
      <w:marTop w:val="0"/>
      <w:marBottom w:val="0"/>
      <w:divBdr>
        <w:top w:val="none" w:sz="0" w:space="0" w:color="auto"/>
        <w:left w:val="none" w:sz="0" w:space="0" w:color="auto"/>
        <w:bottom w:val="none" w:sz="0" w:space="0" w:color="auto"/>
        <w:right w:val="none" w:sz="0" w:space="0" w:color="auto"/>
      </w:divBdr>
    </w:div>
    <w:div w:id="779683151">
      <w:bodyDiv w:val="1"/>
      <w:marLeft w:val="0"/>
      <w:marRight w:val="0"/>
      <w:marTop w:val="0"/>
      <w:marBottom w:val="0"/>
      <w:divBdr>
        <w:top w:val="none" w:sz="0" w:space="0" w:color="auto"/>
        <w:left w:val="none" w:sz="0" w:space="0" w:color="auto"/>
        <w:bottom w:val="none" w:sz="0" w:space="0" w:color="auto"/>
        <w:right w:val="none" w:sz="0" w:space="0" w:color="auto"/>
      </w:divBdr>
    </w:div>
    <w:div w:id="825125568">
      <w:bodyDiv w:val="1"/>
      <w:marLeft w:val="0"/>
      <w:marRight w:val="0"/>
      <w:marTop w:val="0"/>
      <w:marBottom w:val="0"/>
      <w:divBdr>
        <w:top w:val="none" w:sz="0" w:space="0" w:color="auto"/>
        <w:left w:val="none" w:sz="0" w:space="0" w:color="auto"/>
        <w:bottom w:val="none" w:sz="0" w:space="0" w:color="auto"/>
        <w:right w:val="none" w:sz="0" w:space="0" w:color="auto"/>
      </w:divBdr>
    </w:div>
    <w:div w:id="898050422">
      <w:bodyDiv w:val="1"/>
      <w:marLeft w:val="0"/>
      <w:marRight w:val="0"/>
      <w:marTop w:val="0"/>
      <w:marBottom w:val="0"/>
      <w:divBdr>
        <w:top w:val="none" w:sz="0" w:space="0" w:color="auto"/>
        <w:left w:val="none" w:sz="0" w:space="0" w:color="auto"/>
        <w:bottom w:val="none" w:sz="0" w:space="0" w:color="auto"/>
        <w:right w:val="none" w:sz="0" w:space="0" w:color="auto"/>
      </w:divBdr>
    </w:div>
    <w:div w:id="943342928">
      <w:bodyDiv w:val="1"/>
      <w:marLeft w:val="0"/>
      <w:marRight w:val="0"/>
      <w:marTop w:val="0"/>
      <w:marBottom w:val="0"/>
      <w:divBdr>
        <w:top w:val="none" w:sz="0" w:space="0" w:color="auto"/>
        <w:left w:val="none" w:sz="0" w:space="0" w:color="auto"/>
        <w:bottom w:val="none" w:sz="0" w:space="0" w:color="auto"/>
        <w:right w:val="none" w:sz="0" w:space="0" w:color="auto"/>
      </w:divBdr>
    </w:div>
    <w:div w:id="124210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605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3B44F-420B-461B-9E5D-C05D3F66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2586</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CAJ/78/12</vt:lpstr>
    </vt:vector>
  </TitlesOfParts>
  <Company>UPOV</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CAJ/78/12</dc:title>
  <dc:creator>SANCHEZ VIZCAINO GOMEZ Rosa Maria</dc:creator>
  <cp:lastModifiedBy>SANTOS Carla Marina</cp:lastModifiedBy>
  <cp:revision>28</cp:revision>
  <cp:lastPrinted>2016-11-22T15:41:00Z</cp:lastPrinted>
  <dcterms:created xsi:type="dcterms:W3CDTF">2021-10-01T09:38:00Z</dcterms:created>
  <dcterms:modified xsi:type="dcterms:W3CDTF">2021-10-25T10:16:00Z</dcterms:modified>
</cp:coreProperties>
</file>