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70E65" w:rsidRPr="00365DC1" w:rsidRDefault="00D70E65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B622E6" w:rsidP="00AC2883">
            <w:pPr>
              <w:pStyle w:val="Sessiontc"/>
              <w:spacing w:line="240" w:lineRule="auto"/>
            </w:pPr>
            <w:r>
              <w:t>Administrative and Legal</w:t>
            </w:r>
            <w:r w:rsidR="00EB4E9C" w:rsidRPr="00DA4973">
              <w:t xml:space="preserve"> Committee</w:t>
            </w:r>
          </w:p>
          <w:p w:rsidR="00EB4E9C" w:rsidRPr="00DC3802" w:rsidRDefault="00B622E6" w:rsidP="003A5AAF">
            <w:pPr>
              <w:pStyle w:val="Sessiontcplacedate"/>
              <w:rPr>
                <w:sz w:val="22"/>
              </w:rPr>
            </w:pPr>
            <w:r>
              <w:t>Seventy-</w:t>
            </w:r>
            <w:r w:rsidR="003A5AAF">
              <w:t>Eigh</w:t>
            </w:r>
            <w:r w:rsidR="00110BED">
              <w:t>th</w:t>
            </w:r>
            <w:r w:rsidR="00EB4E9C" w:rsidRPr="00DA4973">
              <w:t xml:space="preserve"> Session</w:t>
            </w:r>
            <w:r w:rsidR="00EB4E9C" w:rsidRPr="00DA4973">
              <w:br/>
              <w:t xml:space="preserve">Geneva, </w:t>
            </w:r>
            <w:r>
              <w:t xml:space="preserve">October </w:t>
            </w:r>
            <w:r w:rsidR="00E559F0">
              <w:t>2</w:t>
            </w:r>
            <w:r w:rsidR="003A5AAF">
              <w:t>7</w:t>
            </w:r>
            <w:r w:rsidR="00F31412">
              <w:t xml:space="preserve">, </w:t>
            </w:r>
            <w:r w:rsidR="003A5AAF">
              <w:t>2021</w:t>
            </w:r>
          </w:p>
        </w:tc>
        <w:tc>
          <w:tcPr>
            <w:tcW w:w="3127" w:type="dxa"/>
          </w:tcPr>
          <w:p w:rsidR="00EB4E9C" w:rsidRPr="003C7FBE" w:rsidRDefault="00265496" w:rsidP="003C7FBE">
            <w:pPr>
              <w:pStyle w:val="Doccode"/>
            </w:pPr>
            <w:r>
              <w:t>CAJ/78/10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A06E96">
            <w:pPr>
              <w:pStyle w:val="Docoriginal"/>
            </w:pPr>
            <w:r w:rsidRPr="00AC2883">
              <w:t>Dat</w:t>
            </w:r>
            <w:r w:rsidRPr="0039756E">
              <w:t>e:</w:t>
            </w:r>
            <w:r w:rsidRPr="0039756E">
              <w:rPr>
                <w:b w:val="0"/>
                <w:spacing w:val="0"/>
              </w:rPr>
              <w:t xml:space="preserve">  </w:t>
            </w:r>
            <w:r w:rsidR="00166B32" w:rsidRPr="0039756E">
              <w:rPr>
                <w:b w:val="0"/>
                <w:spacing w:val="0"/>
              </w:rPr>
              <w:t xml:space="preserve">September </w:t>
            </w:r>
            <w:r w:rsidR="00C32BB0" w:rsidRPr="0039756E">
              <w:rPr>
                <w:b w:val="0"/>
                <w:spacing w:val="0"/>
              </w:rPr>
              <w:t>13</w:t>
            </w:r>
            <w:r w:rsidRPr="0039756E">
              <w:rPr>
                <w:b w:val="0"/>
                <w:spacing w:val="0"/>
              </w:rPr>
              <w:t xml:space="preserve">, </w:t>
            </w:r>
            <w:r w:rsidR="00376017" w:rsidRPr="0039756E">
              <w:rPr>
                <w:b w:val="0"/>
                <w:spacing w:val="0"/>
              </w:rPr>
              <w:t>2021</w:t>
            </w:r>
          </w:p>
        </w:tc>
      </w:tr>
    </w:tbl>
    <w:p w:rsidR="000D7780" w:rsidRPr="006A644A" w:rsidRDefault="00265496" w:rsidP="00CB5BF1">
      <w:pPr>
        <w:pStyle w:val="Titleofdoc0"/>
        <w:jc w:val="both"/>
      </w:pPr>
      <w:bookmarkStart w:id="0" w:name="TitleOfDoc"/>
      <w:bookmarkEnd w:id="0"/>
      <w:r w:rsidRPr="00265496">
        <w:t>Possible guidance on take-over of DUS reports when the applicants cannot submit plant material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5E5B90" w:rsidRDefault="005E5B90" w:rsidP="005E5B90">
      <w:pPr>
        <w:pStyle w:val="Heading1"/>
      </w:pPr>
      <w:bookmarkStart w:id="2" w:name="_Toc20505077"/>
      <w:bookmarkStart w:id="3" w:name="_Toc82018054"/>
      <w:r>
        <w:t>EXECUTIVE SUMMARY</w:t>
      </w:r>
      <w:bookmarkEnd w:id="2"/>
      <w:bookmarkEnd w:id="3"/>
    </w:p>
    <w:p w:rsidR="005E5B90" w:rsidRDefault="005E5B90" w:rsidP="005E5B90">
      <w:pPr>
        <w:rPr>
          <w:color w:val="000000"/>
        </w:rPr>
      </w:pPr>
    </w:p>
    <w:p w:rsidR="00D96D93" w:rsidRDefault="005E5B90" w:rsidP="004F1C47">
      <w:pPr>
        <w:rPr>
          <w:spacing w:val="-4"/>
        </w:rPr>
      </w:pPr>
      <w:r w:rsidRPr="002A330A">
        <w:rPr>
          <w:color w:val="000000"/>
        </w:rPr>
        <w:fldChar w:fldCharType="begin"/>
      </w:r>
      <w:r w:rsidRPr="002A330A">
        <w:rPr>
          <w:color w:val="000000"/>
        </w:rPr>
        <w:instrText xml:space="preserve"> AUTONUM  </w:instrText>
      </w:r>
      <w:r w:rsidRPr="002A330A">
        <w:rPr>
          <w:color w:val="000000"/>
        </w:rPr>
        <w:fldChar w:fldCharType="end"/>
      </w:r>
      <w:r w:rsidRPr="002A330A">
        <w:rPr>
          <w:color w:val="000000"/>
        </w:rPr>
        <w:tab/>
      </w:r>
      <w:r>
        <w:rPr>
          <w:color w:val="000000"/>
        </w:rPr>
        <w:t xml:space="preserve">The purpose of this document is to present </w:t>
      </w:r>
      <w:r w:rsidR="004F1C47">
        <w:rPr>
          <w:color w:val="000000"/>
        </w:rPr>
        <w:t>options</w:t>
      </w:r>
      <w:r w:rsidR="004F1C47">
        <w:rPr>
          <w:spacing w:val="-4"/>
        </w:rPr>
        <w:t xml:space="preserve"> for developing guidance to encourage members of the Union, on a voluntary basis, to take-over DUS test reports when the applicants could not submit plant material due to </w:t>
      </w:r>
      <w:proofErr w:type="spellStart"/>
      <w:r w:rsidR="004F1C47">
        <w:rPr>
          <w:spacing w:val="-4"/>
        </w:rPr>
        <w:t>phytosanitary</w:t>
      </w:r>
      <w:proofErr w:type="spellEnd"/>
      <w:r w:rsidR="004F1C47">
        <w:rPr>
          <w:spacing w:val="-4"/>
        </w:rPr>
        <w:t xml:space="preserve"> or other related issues</w:t>
      </w:r>
      <w:r w:rsidR="00D96D93">
        <w:rPr>
          <w:spacing w:val="-4"/>
        </w:rPr>
        <w:t xml:space="preserve"> where acceptable to the members of the Union concerned.</w:t>
      </w:r>
    </w:p>
    <w:p w:rsidR="00D96D93" w:rsidRDefault="00D96D93" w:rsidP="004F1C47">
      <w:pPr>
        <w:rPr>
          <w:spacing w:val="-4"/>
        </w:rPr>
      </w:pPr>
    </w:p>
    <w:p w:rsidR="00753040" w:rsidRPr="00753040" w:rsidRDefault="00753040" w:rsidP="00753040">
      <w:pPr>
        <w:tabs>
          <w:tab w:val="left" w:pos="567"/>
          <w:tab w:val="left" w:pos="1134"/>
          <w:tab w:val="left" w:pos="1701"/>
          <w:tab w:val="left" w:pos="5387"/>
        </w:tabs>
        <w:rPr>
          <w:snapToGrid w:val="0"/>
        </w:rPr>
      </w:pPr>
      <w:r w:rsidRPr="00753040">
        <w:rPr>
          <w:snapToGrid w:val="0"/>
        </w:rPr>
        <w:fldChar w:fldCharType="begin"/>
      </w:r>
      <w:r w:rsidRPr="00753040">
        <w:rPr>
          <w:snapToGrid w:val="0"/>
        </w:rPr>
        <w:instrText xml:space="preserve"> AUTONUM  </w:instrText>
      </w:r>
      <w:r w:rsidRPr="00753040">
        <w:rPr>
          <w:snapToGrid w:val="0"/>
        </w:rPr>
        <w:fldChar w:fldCharType="end"/>
      </w:r>
      <w:r w:rsidRPr="00753040">
        <w:rPr>
          <w:snapToGrid w:val="0"/>
        </w:rPr>
        <w:tab/>
        <w:t xml:space="preserve">The CAJ </w:t>
      </w:r>
      <w:proofErr w:type="gramStart"/>
      <w:r w:rsidRPr="00753040">
        <w:rPr>
          <w:snapToGrid w:val="0"/>
        </w:rPr>
        <w:t>is invited</w:t>
      </w:r>
      <w:proofErr w:type="gramEnd"/>
      <w:r w:rsidRPr="00753040">
        <w:rPr>
          <w:snapToGrid w:val="0"/>
        </w:rPr>
        <w:t xml:space="preserve"> to:</w:t>
      </w:r>
    </w:p>
    <w:p w:rsidR="00753040" w:rsidRPr="00753040" w:rsidRDefault="00753040" w:rsidP="00753040">
      <w:pPr>
        <w:tabs>
          <w:tab w:val="left" w:pos="567"/>
          <w:tab w:val="left" w:pos="1134"/>
          <w:tab w:val="left" w:pos="1701"/>
          <w:tab w:val="left" w:pos="5387"/>
        </w:tabs>
        <w:rPr>
          <w:snapToGrid w:val="0"/>
        </w:rPr>
      </w:pPr>
    </w:p>
    <w:p w:rsidR="00753040" w:rsidRPr="00753040" w:rsidRDefault="00753040" w:rsidP="00753040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5670"/>
        </w:tabs>
        <w:ind w:left="0" w:firstLine="425"/>
        <w:rPr>
          <w:snapToGrid w:val="0"/>
        </w:rPr>
      </w:pPr>
      <w:r w:rsidRPr="00753040">
        <w:rPr>
          <w:snapToGrid w:val="0"/>
        </w:rPr>
        <w:t xml:space="preserve">note that </w:t>
      </w:r>
      <w:r w:rsidRPr="00753040">
        <w:rPr>
          <w:spacing w:val="-4"/>
        </w:rPr>
        <w:t>proposals for enhancing cooperation and take-over of DUS test reports are provided in document CAJ/78/9 “Measures to enhance cooperation in examination”; and</w:t>
      </w:r>
    </w:p>
    <w:p w:rsidR="00753040" w:rsidRPr="00753040" w:rsidRDefault="00753040" w:rsidP="00753040">
      <w:pPr>
        <w:pStyle w:val="ListParagraph"/>
        <w:tabs>
          <w:tab w:val="left" w:pos="567"/>
          <w:tab w:val="left" w:pos="1134"/>
          <w:tab w:val="left" w:pos="1701"/>
          <w:tab w:val="left" w:pos="5670"/>
        </w:tabs>
        <w:ind w:left="0"/>
        <w:rPr>
          <w:snapToGrid w:val="0"/>
        </w:rPr>
      </w:pPr>
    </w:p>
    <w:p w:rsidR="00753040" w:rsidRPr="00753040" w:rsidRDefault="00753040" w:rsidP="00753040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5670"/>
        </w:tabs>
        <w:ind w:left="0" w:firstLine="425"/>
        <w:rPr>
          <w:spacing w:val="-4"/>
        </w:rPr>
      </w:pPr>
      <w:proofErr w:type="gramStart"/>
      <w:r w:rsidRPr="00753040">
        <w:rPr>
          <w:spacing w:val="-4"/>
        </w:rPr>
        <w:t xml:space="preserve">consider possible “guidance to encourage members of the Union, on a voluntary basis, to take-over DUS test reports when the applicants could not submit plant material due to </w:t>
      </w:r>
      <w:proofErr w:type="spellStart"/>
      <w:r w:rsidRPr="00753040">
        <w:rPr>
          <w:spacing w:val="-4"/>
        </w:rPr>
        <w:t>phytosanitary</w:t>
      </w:r>
      <w:proofErr w:type="spellEnd"/>
      <w:r w:rsidRPr="00753040">
        <w:rPr>
          <w:spacing w:val="-4"/>
        </w:rPr>
        <w:t xml:space="preserve"> or other related issues where acceptable to the members of the Union concerned” as part of the proposals and possible future work to be considered by the CAJ under document CAJ/78/9.</w:t>
      </w:r>
      <w:proofErr w:type="gramEnd"/>
    </w:p>
    <w:p w:rsidR="00D36A78" w:rsidRPr="002A330A" w:rsidRDefault="00D36A78" w:rsidP="005E5B90">
      <w:pPr>
        <w:rPr>
          <w:highlight w:val="cyan"/>
        </w:rPr>
      </w:pPr>
    </w:p>
    <w:p w:rsidR="005E5B90" w:rsidRPr="002A330A" w:rsidRDefault="005E5B90" w:rsidP="005E5B90">
      <w:r w:rsidRPr="002A330A">
        <w:rPr>
          <w:color w:val="000000"/>
        </w:rPr>
        <w:fldChar w:fldCharType="begin"/>
      </w:r>
      <w:r w:rsidRPr="002A330A">
        <w:rPr>
          <w:color w:val="000000"/>
        </w:rPr>
        <w:instrText xml:space="preserve"> AUTONUM  </w:instrText>
      </w:r>
      <w:r w:rsidRPr="002A330A">
        <w:rPr>
          <w:color w:val="000000"/>
        </w:rPr>
        <w:fldChar w:fldCharType="end"/>
      </w:r>
      <w:r w:rsidRPr="002A330A">
        <w:rPr>
          <w:color w:val="000000"/>
        </w:rPr>
        <w:tab/>
      </w:r>
      <w:r w:rsidRPr="002A330A">
        <w:t>The structure of this document is as follows:</w:t>
      </w:r>
    </w:p>
    <w:p w:rsidR="005E5B90" w:rsidRPr="002A330A" w:rsidRDefault="005E5B90" w:rsidP="005E5B90"/>
    <w:p w:rsidR="00753040" w:rsidRDefault="005E5B90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2A330A">
        <w:rPr>
          <w:rFonts w:eastAsia="MS Mincho" w:cs="Arial"/>
          <w:noProof/>
          <w:sz w:val="18"/>
          <w:lang w:eastAsia="ja-JP"/>
        </w:rPr>
        <w:fldChar w:fldCharType="begin"/>
      </w:r>
      <w:r w:rsidRPr="002A330A">
        <w:rPr>
          <w:rFonts w:eastAsia="MS Mincho" w:cs="Arial"/>
          <w:noProof/>
          <w:lang w:eastAsia="ja-JP"/>
        </w:rPr>
        <w:instrText xml:space="preserve"> TOC \o "1-2" \u </w:instrText>
      </w:r>
      <w:r w:rsidRPr="002A330A">
        <w:rPr>
          <w:rFonts w:eastAsia="MS Mincho" w:cs="Arial"/>
          <w:noProof/>
          <w:sz w:val="18"/>
          <w:lang w:eastAsia="ja-JP"/>
        </w:rPr>
        <w:fldChar w:fldCharType="separate"/>
      </w:r>
      <w:r w:rsidR="00753040">
        <w:rPr>
          <w:noProof/>
        </w:rPr>
        <w:t>EXECUTIVE SUMMARY</w:t>
      </w:r>
      <w:r w:rsidR="00753040">
        <w:rPr>
          <w:noProof/>
        </w:rPr>
        <w:tab/>
      </w:r>
      <w:r w:rsidR="00753040">
        <w:rPr>
          <w:noProof/>
        </w:rPr>
        <w:fldChar w:fldCharType="begin"/>
      </w:r>
      <w:r w:rsidR="00753040">
        <w:rPr>
          <w:noProof/>
        </w:rPr>
        <w:instrText xml:space="preserve"> PAGEREF _Toc82018054 \h </w:instrText>
      </w:r>
      <w:r w:rsidR="00753040">
        <w:rPr>
          <w:noProof/>
        </w:rPr>
      </w:r>
      <w:r w:rsidR="00753040">
        <w:rPr>
          <w:noProof/>
        </w:rPr>
        <w:fldChar w:fldCharType="separate"/>
      </w:r>
      <w:r w:rsidR="00753040">
        <w:rPr>
          <w:noProof/>
        </w:rPr>
        <w:t>1</w:t>
      </w:r>
      <w:r w:rsidR="00753040">
        <w:rPr>
          <w:noProof/>
        </w:rPr>
        <w:fldChar w:fldCharType="end"/>
      </w:r>
    </w:p>
    <w:p w:rsidR="00753040" w:rsidRDefault="00753040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EE74C9">
        <w:rPr>
          <w:noProof/>
        </w:rPr>
        <w:t>background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_Toc82018055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753040" w:rsidRDefault="00753040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proposals for guidance to encourage take-over of DUS test reports when the applicants could not submit plant material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_Toc82018056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D96D93" w:rsidRPr="002A330A" w:rsidRDefault="005E5B90" w:rsidP="00A77080">
      <w:pPr>
        <w:tabs>
          <w:tab w:val="left" w:pos="1134"/>
        </w:tabs>
        <w:ind w:left="1134" w:hanging="1134"/>
        <w:rPr>
          <w:rFonts w:cs="Arial"/>
        </w:rPr>
      </w:pPr>
      <w:r w:rsidRPr="002A330A">
        <w:rPr>
          <w:rFonts w:eastAsia="MS Mincho" w:cs="Arial"/>
          <w:bCs/>
          <w:i/>
          <w:noProof/>
          <w:lang w:eastAsia="ja-JP"/>
        </w:rPr>
        <w:fldChar w:fldCharType="end"/>
      </w:r>
    </w:p>
    <w:p w:rsidR="005E5B90" w:rsidRPr="002A330A" w:rsidRDefault="005E5B90" w:rsidP="005E5B90">
      <w:pPr>
        <w:keepNext/>
        <w:rPr>
          <w:color w:val="000000"/>
        </w:rPr>
      </w:pPr>
      <w:r w:rsidRPr="002A330A">
        <w:rPr>
          <w:color w:val="000000"/>
        </w:rPr>
        <w:fldChar w:fldCharType="begin"/>
      </w:r>
      <w:r w:rsidRPr="002A330A">
        <w:rPr>
          <w:color w:val="000000"/>
        </w:rPr>
        <w:instrText xml:space="preserve"> AUTONUM  </w:instrText>
      </w:r>
      <w:r w:rsidRPr="002A330A">
        <w:rPr>
          <w:color w:val="000000"/>
        </w:rPr>
        <w:fldChar w:fldCharType="end"/>
      </w:r>
      <w:r w:rsidRPr="002A330A">
        <w:rPr>
          <w:color w:val="000000"/>
        </w:rPr>
        <w:tab/>
        <w:t xml:space="preserve">The following abbreviations </w:t>
      </w:r>
      <w:proofErr w:type="gramStart"/>
      <w:r w:rsidRPr="002A330A">
        <w:rPr>
          <w:color w:val="000000"/>
        </w:rPr>
        <w:t>are used</w:t>
      </w:r>
      <w:proofErr w:type="gramEnd"/>
      <w:r w:rsidRPr="002A330A">
        <w:rPr>
          <w:color w:val="000000"/>
        </w:rPr>
        <w:t xml:space="preserve"> in this document:</w:t>
      </w:r>
    </w:p>
    <w:p w:rsidR="005E5B90" w:rsidRPr="002A330A" w:rsidRDefault="005E5B90" w:rsidP="005E5B90">
      <w:pPr>
        <w:keepNext/>
        <w:ind w:left="1692" w:hanging="1125"/>
        <w:jc w:val="left"/>
        <w:rPr>
          <w:color w:val="000000"/>
        </w:rPr>
      </w:pPr>
    </w:p>
    <w:p w:rsidR="005E5B90" w:rsidRPr="002A330A" w:rsidRDefault="005E5B90" w:rsidP="005E5B90">
      <w:pPr>
        <w:keepNext/>
        <w:tabs>
          <w:tab w:val="left" w:pos="567"/>
          <w:tab w:val="left" w:pos="1701"/>
        </w:tabs>
      </w:pPr>
      <w:r w:rsidRPr="002A330A">
        <w:tab/>
        <w:t>CAJ:</w:t>
      </w:r>
      <w:r w:rsidRPr="002A330A">
        <w:tab/>
        <w:t xml:space="preserve">Administrative and Legal Committee </w:t>
      </w:r>
    </w:p>
    <w:p w:rsidR="005E5B90" w:rsidRPr="002A330A" w:rsidRDefault="005E5B90" w:rsidP="005E5B90">
      <w:pPr>
        <w:keepNext/>
        <w:tabs>
          <w:tab w:val="left" w:pos="567"/>
          <w:tab w:val="left" w:pos="1701"/>
        </w:tabs>
      </w:pPr>
      <w:r w:rsidRPr="002A330A">
        <w:tab/>
        <w:t>TC:</w:t>
      </w:r>
      <w:r w:rsidRPr="002A330A">
        <w:tab/>
        <w:t>Technical Committee</w:t>
      </w:r>
    </w:p>
    <w:p w:rsidR="00A55E85" w:rsidRPr="00A55E85" w:rsidRDefault="00A55E85" w:rsidP="00A55E85"/>
    <w:p w:rsidR="005E5B90" w:rsidRPr="00A55E85" w:rsidRDefault="005E5B90" w:rsidP="00A55E85">
      <w:r w:rsidRPr="00A55E85">
        <w:fldChar w:fldCharType="begin"/>
      </w:r>
      <w:r w:rsidRPr="00A55E85">
        <w:instrText xml:space="preserve"> TOC \o "1-3" \h \z \u </w:instrText>
      </w:r>
      <w:r w:rsidRPr="00A55E85">
        <w:fldChar w:fldCharType="separate"/>
      </w:r>
    </w:p>
    <w:p w:rsidR="005E5B90" w:rsidRPr="00A55E85" w:rsidRDefault="005E5B90" w:rsidP="00A55E85">
      <w:r w:rsidRPr="00A55E85">
        <w:fldChar w:fldCharType="end"/>
      </w:r>
    </w:p>
    <w:p w:rsidR="005E5B90" w:rsidRPr="00EC49C1" w:rsidRDefault="005E5B90" w:rsidP="00EC49C1">
      <w:pPr>
        <w:keepNext/>
        <w:outlineLvl w:val="0"/>
        <w:rPr>
          <w:snapToGrid w:val="0"/>
        </w:rPr>
      </w:pPr>
      <w:bookmarkStart w:id="4" w:name="_Toc82018055"/>
      <w:r>
        <w:rPr>
          <w:caps/>
        </w:rPr>
        <w:t>background</w:t>
      </w:r>
      <w:bookmarkEnd w:id="4"/>
    </w:p>
    <w:p w:rsidR="00EC49C1" w:rsidRDefault="00EC49C1" w:rsidP="00F06E56">
      <w:pPr>
        <w:rPr>
          <w:snapToGrid w:val="0"/>
        </w:rPr>
      </w:pPr>
    </w:p>
    <w:p w:rsidR="003261FD" w:rsidRDefault="00EC49C1" w:rsidP="00F06E56">
      <w:pPr>
        <w:rPr>
          <w:snapToGrid w:val="0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proofErr w:type="gramStart"/>
      <w:r>
        <w:t>The TC, at its fifty-sixth session</w:t>
      </w:r>
      <w:r>
        <w:rPr>
          <w:rStyle w:val="FootnoteReference"/>
        </w:rPr>
        <w:footnoteReference w:id="2"/>
      </w:r>
      <w:r>
        <w:t xml:space="preserve"> noted the comment provided by Japan in response to </w:t>
      </w:r>
      <w:r>
        <w:rPr>
          <w:rFonts w:cs="Arial"/>
        </w:rPr>
        <w:t>Circular E-20/119, of August 21, 2020,</w:t>
      </w:r>
      <w:r>
        <w:rPr>
          <w:snapToGrid w:val="0"/>
        </w:rPr>
        <w:t xml:space="preserve"> on </w:t>
      </w:r>
      <w:r>
        <w:rPr>
          <w:rFonts w:cs="Arial"/>
          <w:color w:val="000000"/>
          <w:szCs w:val="18"/>
          <w:lang w:eastAsia="ja-JP"/>
        </w:rPr>
        <w:t xml:space="preserve">difficulties to submit plant material to the authority receiving an application due to </w:t>
      </w:r>
      <w:proofErr w:type="spellStart"/>
      <w:r>
        <w:rPr>
          <w:rFonts w:cs="Arial"/>
          <w:color w:val="000000"/>
          <w:szCs w:val="18"/>
          <w:lang w:eastAsia="ja-JP"/>
        </w:rPr>
        <w:t>phytosanitary</w:t>
      </w:r>
      <w:proofErr w:type="spellEnd"/>
      <w:r>
        <w:rPr>
          <w:rFonts w:cs="Arial"/>
          <w:color w:val="000000"/>
          <w:szCs w:val="18"/>
          <w:lang w:eastAsia="ja-JP"/>
        </w:rPr>
        <w:t>, quarantine or other related matters, as reported in document</w:t>
      </w:r>
      <w:r w:rsidR="003261FD">
        <w:rPr>
          <w:rFonts w:cs="Arial"/>
          <w:color w:val="000000"/>
          <w:szCs w:val="18"/>
          <w:lang w:eastAsia="ja-JP"/>
        </w:rPr>
        <w:t xml:space="preserve"> TC/56/22, paragraph 47, and reproduced as follows </w:t>
      </w:r>
      <w:r>
        <w:rPr>
          <w:rFonts w:cs="Arial"/>
          <w:color w:val="000000"/>
          <w:szCs w:val="18"/>
          <w:lang w:eastAsia="ja-JP"/>
        </w:rPr>
        <w:t xml:space="preserve">(see document </w:t>
      </w:r>
      <w:r>
        <w:rPr>
          <w:snapToGrid w:val="0"/>
        </w:rPr>
        <w:t>TC/56/23 “Report”, paragraphs 61 to 63)</w:t>
      </w:r>
      <w:r w:rsidR="003261FD">
        <w:rPr>
          <w:snapToGrid w:val="0"/>
        </w:rPr>
        <w:t>:</w:t>
      </w:r>
      <w:proofErr w:type="gramEnd"/>
    </w:p>
    <w:p w:rsidR="003261FD" w:rsidRPr="00246C9B" w:rsidRDefault="003261FD" w:rsidP="003261FD"/>
    <w:p w:rsidR="003261FD" w:rsidRPr="00A55E85" w:rsidRDefault="00376017" w:rsidP="00A55E85">
      <w:pPr>
        <w:keepNext/>
        <w:ind w:left="567" w:right="562"/>
        <w:rPr>
          <w:sz w:val="18"/>
        </w:rPr>
      </w:pPr>
      <w:r w:rsidRPr="00A55E85">
        <w:rPr>
          <w:sz w:val="18"/>
        </w:rPr>
        <w:lastRenderedPageBreak/>
        <w:t>“</w:t>
      </w:r>
      <w:r w:rsidR="003261FD" w:rsidRPr="00A55E85">
        <w:rPr>
          <w:sz w:val="18"/>
        </w:rPr>
        <w:t xml:space="preserve">Background </w:t>
      </w:r>
    </w:p>
    <w:p w:rsidR="003261FD" w:rsidRPr="00A55E85" w:rsidRDefault="003261FD" w:rsidP="00A55E85">
      <w:pPr>
        <w:keepNext/>
        <w:ind w:left="567"/>
        <w:rPr>
          <w:sz w:val="14"/>
        </w:rPr>
      </w:pPr>
    </w:p>
    <w:p w:rsidR="003261FD" w:rsidRPr="00A55E85" w:rsidRDefault="00376017" w:rsidP="00A55E85">
      <w:pPr>
        <w:keepNext/>
        <w:autoSpaceDE w:val="0"/>
        <w:autoSpaceDN w:val="0"/>
        <w:ind w:left="567" w:right="562"/>
        <w:rPr>
          <w:rFonts w:cs="Arial"/>
          <w:color w:val="000000"/>
          <w:sz w:val="18"/>
          <w:szCs w:val="18"/>
          <w:lang w:eastAsia="ja-JP"/>
        </w:rPr>
      </w:pPr>
      <w:r w:rsidRPr="00A55E85">
        <w:rPr>
          <w:rFonts w:cs="Arial"/>
          <w:color w:val="000000"/>
          <w:sz w:val="18"/>
          <w:szCs w:val="18"/>
          <w:lang w:eastAsia="ja-JP"/>
        </w:rPr>
        <w:t>“</w:t>
      </w:r>
      <w:r w:rsidR="003261FD" w:rsidRPr="00A55E85">
        <w:rPr>
          <w:rFonts w:cs="Arial"/>
          <w:color w:val="000000"/>
          <w:sz w:val="18"/>
          <w:szCs w:val="18"/>
          <w:lang w:eastAsia="ja-JP"/>
        </w:rPr>
        <w:t xml:space="preserve">When applying for PVP in another UPOV member, breeders may experience difficulties to submit plant material to the authority receiving an application due to </w:t>
      </w:r>
      <w:proofErr w:type="spellStart"/>
      <w:r w:rsidR="003261FD" w:rsidRPr="00A55E85">
        <w:rPr>
          <w:rFonts w:cs="Arial"/>
          <w:color w:val="000000"/>
          <w:sz w:val="18"/>
          <w:szCs w:val="18"/>
          <w:lang w:eastAsia="ja-JP"/>
        </w:rPr>
        <w:t>phytosanitary</w:t>
      </w:r>
      <w:proofErr w:type="spellEnd"/>
      <w:r w:rsidR="003261FD" w:rsidRPr="00A55E85">
        <w:rPr>
          <w:rFonts w:cs="Arial"/>
          <w:color w:val="000000"/>
          <w:sz w:val="18"/>
          <w:szCs w:val="18"/>
          <w:lang w:eastAsia="ja-JP"/>
        </w:rPr>
        <w:t xml:space="preserve">, quarantine or other related matters. </w:t>
      </w:r>
    </w:p>
    <w:p w:rsidR="003261FD" w:rsidRPr="00A55E85" w:rsidRDefault="003261FD" w:rsidP="00A55E85">
      <w:pPr>
        <w:ind w:left="567"/>
        <w:rPr>
          <w:sz w:val="16"/>
        </w:rPr>
      </w:pPr>
    </w:p>
    <w:p w:rsidR="003261FD" w:rsidRPr="00A55E85" w:rsidRDefault="00376017" w:rsidP="00A55E85">
      <w:pPr>
        <w:autoSpaceDE w:val="0"/>
        <w:autoSpaceDN w:val="0"/>
        <w:ind w:left="567" w:right="562"/>
        <w:rPr>
          <w:rFonts w:cs="Arial"/>
          <w:color w:val="000000"/>
          <w:sz w:val="18"/>
          <w:szCs w:val="18"/>
          <w:lang w:eastAsia="ja-JP"/>
        </w:rPr>
      </w:pPr>
      <w:r w:rsidRPr="00A55E85">
        <w:rPr>
          <w:rFonts w:cs="Arial"/>
          <w:color w:val="000000"/>
          <w:sz w:val="18"/>
          <w:szCs w:val="18"/>
          <w:lang w:eastAsia="ja-JP"/>
        </w:rPr>
        <w:t>“</w:t>
      </w:r>
      <w:proofErr w:type="spellStart"/>
      <w:r w:rsidR="003261FD" w:rsidRPr="00A55E85">
        <w:rPr>
          <w:rFonts w:cs="Arial"/>
          <w:color w:val="000000"/>
          <w:sz w:val="18"/>
          <w:szCs w:val="18"/>
          <w:lang w:eastAsia="ja-JP"/>
        </w:rPr>
        <w:t>Phytosanitary</w:t>
      </w:r>
      <w:proofErr w:type="spellEnd"/>
      <w:r w:rsidR="003261FD" w:rsidRPr="00A55E85">
        <w:rPr>
          <w:rFonts w:cs="Arial"/>
          <w:color w:val="000000"/>
          <w:sz w:val="18"/>
          <w:szCs w:val="18"/>
          <w:lang w:eastAsia="ja-JP"/>
        </w:rPr>
        <w:t xml:space="preserve">, quarantine or other related matters should be discussed and resolved at bilateral consultations. Such consultations may take considerable amount of time to be completed.  During such period, applications for PVP </w:t>
      </w:r>
      <w:proofErr w:type="gramStart"/>
      <w:r w:rsidR="003261FD" w:rsidRPr="00A55E85">
        <w:rPr>
          <w:rFonts w:cs="Arial"/>
          <w:color w:val="000000"/>
          <w:sz w:val="18"/>
          <w:szCs w:val="18"/>
          <w:lang w:eastAsia="ja-JP"/>
        </w:rPr>
        <w:t>may be rejected</w:t>
      </w:r>
      <w:proofErr w:type="gramEnd"/>
      <w:r w:rsidR="003261FD" w:rsidRPr="00A55E85">
        <w:rPr>
          <w:rFonts w:cs="Arial"/>
          <w:color w:val="000000"/>
          <w:sz w:val="18"/>
          <w:szCs w:val="18"/>
          <w:lang w:eastAsia="ja-JP"/>
        </w:rPr>
        <w:t xml:space="preserve"> due to the impossibility for applicants to submit plant material for testing in such other UPOV members.</w:t>
      </w:r>
    </w:p>
    <w:p w:rsidR="003261FD" w:rsidRPr="00A55E85" w:rsidRDefault="003261FD" w:rsidP="00A55E85">
      <w:pPr>
        <w:ind w:left="567"/>
        <w:rPr>
          <w:sz w:val="16"/>
        </w:rPr>
      </w:pPr>
    </w:p>
    <w:p w:rsidR="003261FD" w:rsidRPr="00A55E85" w:rsidRDefault="00A06E96" w:rsidP="00A55E85">
      <w:pPr>
        <w:ind w:left="567" w:right="562"/>
        <w:rPr>
          <w:rFonts w:cs="Arial"/>
          <w:color w:val="000000"/>
          <w:sz w:val="18"/>
          <w:szCs w:val="18"/>
          <w:lang w:eastAsia="ja-JP"/>
        </w:rPr>
      </w:pPr>
      <w:r w:rsidRPr="00A55E85">
        <w:rPr>
          <w:rFonts w:cs="Arial"/>
          <w:color w:val="000000"/>
          <w:sz w:val="18"/>
          <w:szCs w:val="18"/>
          <w:lang w:eastAsia="ja-JP"/>
        </w:rPr>
        <w:t>“</w:t>
      </w:r>
      <w:r w:rsidR="003261FD" w:rsidRPr="00A55E85">
        <w:rPr>
          <w:rFonts w:cs="Arial"/>
          <w:color w:val="000000"/>
          <w:sz w:val="18"/>
          <w:szCs w:val="18"/>
          <w:lang w:eastAsia="ja-JP"/>
        </w:rPr>
        <w:t xml:space="preserve">In certain cases, propagating material of a variety might enter the territory of another UPOV member without the consent of the breeder, even when quarantine or non-importability would apply. This situation could cause severe problems in case the breeder's rights </w:t>
      </w:r>
      <w:proofErr w:type="gramStart"/>
      <w:r w:rsidR="003261FD" w:rsidRPr="00A55E85">
        <w:rPr>
          <w:rFonts w:cs="Arial"/>
          <w:color w:val="000000"/>
          <w:sz w:val="18"/>
          <w:szCs w:val="18"/>
          <w:lang w:eastAsia="ja-JP"/>
        </w:rPr>
        <w:t>are not granted</w:t>
      </w:r>
      <w:proofErr w:type="gramEnd"/>
      <w:r w:rsidR="003261FD" w:rsidRPr="00A55E85">
        <w:rPr>
          <w:rFonts w:cs="Arial"/>
          <w:color w:val="000000"/>
          <w:sz w:val="18"/>
          <w:szCs w:val="18"/>
          <w:lang w:eastAsia="ja-JP"/>
        </w:rPr>
        <w:t xml:space="preserve"> in that UPOV member due to </w:t>
      </w:r>
      <w:proofErr w:type="spellStart"/>
      <w:r w:rsidR="003261FD" w:rsidRPr="00A55E85">
        <w:rPr>
          <w:rFonts w:cs="Arial"/>
          <w:color w:val="000000"/>
          <w:sz w:val="18"/>
          <w:szCs w:val="18"/>
          <w:lang w:eastAsia="ja-JP"/>
        </w:rPr>
        <w:t>phytosanitary</w:t>
      </w:r>
      <w:proofErr w:type="spellEnd"/>
      <w:r w:rsidR="003261FD" w:rsidRPr="00A55E85">
        <w:rPr>
          <w:rFonts w:cs="Arial"/>
          <w:color w:val="000000"/>
          <w:sz w:val="18"/>
          <w:szCs w:val="18"/>
          <w:lang w:eastAsia="ja-JP"/>
        </w:rPr>
        <w:t>, quarantine or other related issues.</w:t>
      </w:r>
    </w:p>
    <w:p w:rsidR="003261FD" w:rsidRPr="00A55E85" w:rsidRDefault="003261FD" w:rsidP="00A55E85">
      <w:pPr>
        <w:ind w:left="567"/>
        <w:rPr>
          <w:sz w:val="16"/>
        </w:rPr>
      </w:pPr>
    </w:p>
    <w:p w:rsidR="003261FD" w:rsidRPr="00A55E85" w:rsidRDefault="00376017" w:rsidP="00A55E85">
      <w:pPr>
        <w:keepNext/>
        <w:autoSpaceDE w:val="0"/>
        <w:autoSpaceDN w:val="0"/>
        <w:ind w:left="567" w:right="562"/>
        <w:rPr>
          <w:rFonts w:cs="Arial"/>
          <w:color w:val="000000"/>
          <w:sz w:val="18"/>
          <w:szCs w:val="18"/>
          <w:lang w:eastAsia="ja-JP"/>
        </w:rPr>
      </w:pPr>
      <w:r w:rsidRPr="00A55E85">
        <w:rPr>
          <w:rFonts w:cs="Arial"/>
          <w:color w:val="000000"/>
          <w:sz w:val="18"/>
          <w:szCs w:val="18"/>
          <w:lang w:eastAsia="ja-JP"/>
        </w:rPr>
        <w:t>“</w:t>
      </w:r>
      <w:r w:rsidR="003261FD" w:rsidRPr="00A55E85">
        <w:rPr>
          <w:rFonts w:cs="Arial"/>
          <w:color w:val="000000"/>
          <w:sz w:val="18"/>
          <w:szCs w:val="18"/>
          <w:lang w:eastAsia="ja-JP"/>
        </w:rPr>
        <w:t>Proposal:</w:t>
      </w:r>
    </w:p>
    <w:p w:rsidR="003261FD" w:rsidRPr="00A55E85" w:rsidRDefault="003261FD" w:rsidP="00A55E85">
      <w:pPr>
        <w:ind w:left="567"/>
        <w:rPr>
          <w:sz w:val="14"/>
        </w:rPr>
      </w:pPr>
    </w:p>
    <w:p w:rsidR="003261FD" w:rsidRPr="00A55E85" w:rsidRDefault="00376017" w:rsidP="00A55E85">
      <w:pPr>
        <w:keepNext/>
        <w:autoSpaceDE w:val="0"/>
        <w:autoSpaceDN w:val="0"/>
        <w:ind w:left="567" w:right="562"/>
        <w:rPr>
          <w:rFonts w:cs="Arial"/>
          <w:color w:val="000000"/>
          <w:sz w:val="18"/>
          <w:szCs w:val="18"/>
          <w:lang w:eastAsia="ja-JP"/>
        </w:rPr>
      </w:pPr>
      <w:r w:rsidRPr="00A55E85">
        <w:rPr>
          <w:rFonts w:cs="Arial"/>
          <w:color w:val="000000"/>
          <w:sz w:val="18"/>
          <w:szCs w:val="18"/>
          <w:lang w:eastAsia="ja-JP"/>
        </w:rPr>
        <w:t>“</w:t>
      </w:r>
      <w:r w:rsidR="003261FD" w:rsidRPr="00A55E85">
        <w:rPr>
          <w:rFonts w:cs="Arial"/>
          <w:color w:val="000000"/>
          <w:sz w:val="18"/>
          <w:szCs w:val="18"/>
          <w:lang w:eastAsia="ja-JP"/>
        </w:rPr>
        <w:t xml:space="preserve">Japan would like to propose developing guidance to encourage UPOV members to take-over DUS test reports when the applicants cannot submit plant material due to </w:t>
      </w:r>
      <w:proofErr w:type="spellStart"/>
      <w:r w:rsidR="003261FD" w:rsidRPr="00A55E85">
        <w:rPr>
          <w:rFonts w:cs="Arial"/>
          <w:color w:val="000000"/>
          <w:sz w:val="18"/>
          <w:szCs w:val="18"/>
          <w:lang w:eastAsia="ja-JP"/>
        </w:rPr>
        <w:t>phytosanitary</w:t>
      </w:r>
      <w:proofErr w:type="spellEnd"/>
      <w:r w:rsidR="003261FD" w:rsidRPr="00A55E85">
        <w:rPr>
          <w:rFonts w:cs="Arial"/>
          <w:color w:val="000000"/>
          <w:sz w:val="18"/>
          <w:szCs w:val="18"/>
          <w:lang w:eastAsia="ja-JP"/>
        </w:rPr>
        <w:t xml:space="preserve"> or other related issues.  In case the Technical Committee agrees to </w:t>
      </w:r>
      <w:proofErr w:type="gramStart"/>
      <w:r w:rsidR="003261FD" w:rsidRPr="00A55E85">
        <w:rPr>
          <w:rFonts w:cs="Arial"/>
          <w:color w:val="000000"/>
          <w:sz w:val="18"/>
          <w:szCs w:val="18"/>
          <w:lang w:eastAsia="ja-JP"/>
        </w:rPr>
        <w:t>developing</w:t>
      </w:r>
      <w:proofErr w:type="gramEnd"/>
      <w:r w:rsidR="003261FD" w:rsidRPr="00A55E85">
        <w:rPr>
          <w:rFonts w:cs="Arial"/>
          <w:color w:val="000000"/>
          <w:sz w:val="18"/>
          <w:szCs w:val="18"/>
          <w:lang w:eastAsia="ja-JP"/>
        </w:rPr>
        <w:t xml:space="preserve"> such guidance, the proposal could be submitted for consideration by the CAJ.”</w:t>
      </w:r>
    </w:p>
    <w:p w:rsidR="00EC49C1" w:rsidRPr="00A55E85" w:rsidRDefault="00EC49C1" w:rsidP="00F06E56">
      <w:pPr>
        <w:rPr>
          <w:rFonts w:cs="Arial"/>
          <w:color w:val="000000"/>
          <w:sz w:val="18"/>
          <w:szCs w:val="18"/>
          <w:lang w:eastAsia="ja-JP"/>
        </w:rPr>
      </w:pPr>
    </w:p>
    <w:p w:rsidR="00EC49C1" w:rsidRDefault="00EC49C1" w:rsidP="00F06E56">
      <w:pPr>
        <w:rPr>
          <w:rFonts w:cs="Arial"/>
          <w:color w:val="000000"/>
          <w:szCs w:val="18"/>
          <w:lang w:eastAsia="ja-JP"/>
        </w:rPr>
      </w:pPr>
      <w:r>
        <w:rPr>
          <w:rFonts w:cs="Arial"/>
          <w:color w:val="000000"/>
          <w:szCs w:val="18"/>
          <w:lang w:eastAsia="ja-JP"/>
        </w:rPr>
        <w:fldChar w:fldCharType="begin"/>
      </w:r>
      <w:r>
        <w:rPr>
          <w:rFonts w:cs="Arial"/>
          <w:color w:val="000000"/>
          <w:szCs w:val="18"/>
          <w:lang w:eastAsia="ja-JP"/>
        </w:rPr>
        <w:instrText xml:space="preserve"> AUTONUM  </w:instrText>
      </w:r>
      <w:r>
        <w:rPr>
          <w:rFonts w:cs="Arial"/>
          <w:color w:val="000000"/>
          <w:szCs w:val="18"/>
          <w:lang w:eastAsia="ja-JP"/>
        </w:rPr>
        <w:fldChar w:fldCharType="end"/>
      </w:r>
      <w:r>
        <w:rPr>
          <w:rFonts w:cs="Arial"/>
          <w:color w:val="000000"/>
          <w:szCs w:val="18"/>
          <w:lang w:eastAsia="ja-JP"/>
        </w:rPr>
        <w:tab/>
        <w:t>The TC</w:t>
      </w:r>
      <w:r w:rsidR="003261FD">
        <w:rPr>
          <w:rFonts w:cs="Arial"/>
          <w:color w:val="000000"/>
          <w:szCs w:val="18"/>
          <w:lang w:eastAsia="ja-JP"/>
        </w:rPr>
        <w:t>, at its fifty-sixth session,</w:t>
      </w:r>
      <w:r>
        <w:rPr>
          <w:rFonts w:cs="Arial"/>
          <w:color w:val="000000"/>
          <w:szCs w:val="18"/>
          <w:lang w:eastAsia="ja-JP"/>
        </w:rPr>
        <w:t xml:space="preserve"> noted that plant material was required for granting breeders’ rights</w:t>
      </w:r>
      <w:r w:rsidR="00753040">
        <w:rPr>
          <w:rFonts w:cs="Arial"/>
          <w:color w:val="000000"/>
          <w:szCs w:val="18"/>
          <w:lang w:eastAsia="ja-JP"/>
        </w:rPr>
        <w:t xml:space="preserve"> in some members of the Union. </w:t>
      </w:r>
    </w:p>
    <w:p w:rsidR="00EC49C1" w:rsidRPr="00A55E85" w:rsidRDefault="00EC49C1" w:rsidP="00EC49C1">
      <w:pPr>
        <w:rPr>
          <w:rFonts w:cs="Arial"/>
          <w:color w:val="000000"/>
          <w:sz w:val="18"/>
          <w:szCs w:val="18"/>
          <w:lang w:eastAsia="ja-JP"/>
        </w:rPr>
      </w:pPr>
    </w:p>
    <w:p w:rsidR="00EC49C1" w:rsidRDefault="00EC49C1" w:rsidP="00EC49C1">
      <w:r>
        <w:rPr>
          <w:rFonts w:cs="Arial"/>
          <w:color w:val="000000"/>
          <w:szCs w:val="18"/>
          <w:lang w:eastAsia="ja-JP"/>
        </w:rPr>
        <w:fldChar w:fldCharType="begin"/>
      </w:r>
      <w:r>
        <w:rPr>
          <w:rFonts w:cs="Arial"/>
          <w:color w:val="000000"/>
          <w:szCs w:val="18"/>
          <w:lang w:eastAsia="ja-JP"/>
        </w:rPr>
        <w:instrText xml:space="preserve"> AUTONUM  </w:instrText>
      </w:r>
      <w:r>
        <w:rPr>
          <w:rFonts w:cs="Arial"/>
          <w:color w:val="000000"/>
          <w:szCs w:val="18"/>
          <w:lang w:eastAsia="ja-JP"/>
        </w:rPr>
        <w:fldChar w:fldCharType="end"/>
      </w:r>
      <w:r>
        <w:rPr>
          <w:rFonts w:cs="Arial"/>
          <w:color w:val="000000"/>
          <w:szCs w:val="18"/>
          <w:lang w:eastAsia="ja-JP"/>
        </w:rPr>
        <w:tab/>
        <w:t xml:space="preserve">The TC agreed </w:t>
      </w:r>
      <w:r>
        <w:t xml:space="preserve">to propose to the CAJ the development of guidance to encourage UPOV members, on a voluntary basis, to take-over DUS test reports when the applicants could not submit plant material due to </w:t>
      </w:r>
      <w:proofErr w:type="spellStart"/>
      <w:r>
        <w:t>phytosanitary</w:t>
      </w:r>
      <w:proofErr w:type="spellEnd"/>
      <w:r>
        <w:t xml:space="preserve"> or other related issues where acceptable to the UPOV members concerned.  The TC agreed that this proposal </w:t>
      </w:r>
      <w:proofErr w:type="gramStart"/>
      <w:r>
        <w:t>should be presented</w:t>
      </w:r>
      <w:proofErr w:type="gramEnd"/>
      <w:r>
        <w:t xml:space="preserve"> for consideration by the CAJ in document CAJ/77/2 “Report on developments in the Technical Committee.”</w:t>
      </w:r>
    </w:p>
    <w:p w:rsidR="00EC49C1" w:rsidRPr="00A55E85" w:rsidRDefault="00EC49C1" w:rsidP="00EC49C1">
      <w:pPr>
        <w:rPr>
          <w:spacing w:val="-4"/>
          <w:sz w:val="18"/>
        </w:rPr>
      </w:pPr>
    </w:p>
    <w:p w:rsidR="00EC49C1" w:rsidRDefault="00EC49C1" w:rsidP="00A110F5">
      <w:pPr>
        <w:spacing w:after="120"/>
      </w:pPr>
      <w:r>
        <w:rPr>
          <w:spacing w:val="-4"/>
        </w:rPr>
        <w:fldChar w:fldCharType="begin"/>
      </w:r>
      <w:r>
        <w:rPr>
          <w:spacing w:val="-4"/>
        </w:rPr>
        <w:instrText xml:space="preserve"> AUTONUM  </w:instrText>
      </w:r>
      <w:r>
        <w:rPr>
          <w:spacing w:val="-4"/>
        </w:rPr>
        <w:fldChar w:fldCharType="end"/>
      </w:r>
      <w:r>
        <w:rPr>
          <w:spacing w:val="-4"/>
        </w:rPr>
        <w:tab/>
      </w:r>
      <w:proofErr w:type="gramStart"/>
      <w:r>
        <w:rPr>
          <w:spacing w:val="-4"/>
        </w:rPr>
        <w:t>In response to the request of the TC, the CAJ, at its seventy-seventh session</w:t>
      </w:r>
      <w:r>
        <w:rPr>
          <w:rStyle w:val="FootnoteReference"/>
          <w:spacing w:val="-4"/>
        </w:rPr>
        <w:footnoteReference w:id="3"/>
      </w:r>
      <w:r>
        <w:rPr>
          <w:spacing w:val="-4"/>
        </w:rPr>
        <w:t xml:space="preserve">, further requested the Office of the Union to prepare a document for consideration, </w:t>
      </w:r>
      <w:r>
        <w:t xml:space="preserve">at </w:t>
      </w:r>
      <w:r>
        <w:rPr>
          <w:spacing w:val="-4"/>
        </w:rPr>
        <w:t xml:space="preserve">its seventy-eighth session, with proposals for developing guidance to encourage members of the Union, on a voluntary basis, to take-over DUS test reports when the applicants could not submit plant material due to </w:t>
      </w:r>
      <w:proofErr w:type="spellStart"/>
      <w:r>
        <w:rPr>
          <w:spacing w:val="-4"/>
        </w:rPr>
        <w:t>phytosanitary</w:t>
      </w:r>
      <w:proofErr w:type="spellEnd"/>
      <w:r>
        <w:rPr>
          <w:spacing w:val="-4"/>
        </w:rPr>
        <w:t xml:space="preserve"> or other related issues where acceptable to the members of the Union concerned (see document</w:t>
      </w:r>
      <w:r w:rsidRPr="00EC49C1">
        <w:t xml:space="preserve"> </w:t>
      </w:r>
      <w:r>
        <w:t>CAJ/77/10 “Report”, paragraph 15).</w:t>
      </w:r>
      <w:proofErr w:type="gramEnd"/>
    </w:p>
    <w:p w:rsidR="00A55E85" w:rsidRPr="00A55E85" w:rsidRDefault="00A55E85" w:rsidP="00EC49C1">
      <w:pPr>
        <w:rPr>
          <w:spacing w:val="-4"/>
          <w:sz w:val="18"/>
        </w:rPr>
      </w:pPr>
    </w:p>
    <w:p w:rsidR="00E56621" w:rsidRPr="00A55E85" w:rsidRDefault="00E56621" w:rsidP="00EC49C1">
      <w:pPr>
        <w:rPr>
          <w:spacing w:val="-4"/>
          <w:sz w:val="18"/>
        </w:rPr>
      </w:pPr>
    </w:p>
    <w:p w:rsidR="005E5B90" w:rsidRPr="002F530C" w:rsidRDefault="00EC49C1" w:rsidP="00EC49C1">
      <w:pPr>
        <w:pStyle w:val="Heading1"/>
      </w:pPr>
      <w:bookmarkStart w:id="5" w:name="_Toc82018056"/>
      <w:r>
        <w:t xml:space="preserve">proposals for guidance to encourage take-over </w:t>
      </w:r>
      <w:r w:rsidR="008425A9">
        <w:t xml:space="preserve">of </w:t>
      </w:r>
      <w:r>
        <w:t>DUS test reports when the applicants could not submit plant material</w:t>
      </w:r>
      <w:bookmarkEnd w:id="5"/>
      <w:r>
        <w:t xml:space="preserve"> </w:t>
      </w:r>
    </w:p>
    <w:p w:rsidR="004F79F3" w:rsidRPr="00A55E85" w:rsidRDefault="004F79F3">
      <w:pPr>
        <w:jc w:val="left"/>
        <w:rPr>
          <w:snapToGrid w:val="0"/>
          <w:sz w:val="18"/>
        </w:rPr>
      </w:pPr>
    </w:p>
    <w:p w:rsidR="00753040" w:rsidRDefault="00D36A78" w:rsidP="00753040">
      <w:pPr>
        <w:rPr>
          <w:spacing w:val="-4"/>
        </w:rPr>
      </w:pPr>
      <w:r>
        <w:rPr>
          <w:spacing w:val="-4"/>
        </w:rPr>
        <w:fldChar w:fldCharType="begin"/>
      </w:r>
      <w:r>
        <w:rPr>
          <w:spacing w:val="-4"/>
        </w:rPr>
        <w:instrText xml:space="preserve"> AUTONUM  </w:instrText>
      </w:r>
      <w:r>
        <w:rPr>
          <w:spacing w:val="-4"/>
        </w:rPr>
        <w:fldChar w:fldCharType="end"/>
      </w:r>
      <w:r>
        <w:rPr>
          <w:spacing w:val="-4"/>
        </w:rPr>
        <w:tab/>
        <w:t>P</w:t>
      </w:r>
      <w:r w:rsidR="00ED6903">
        <w:rPr>
          <w:spacing w:val="-4"/>
        </w:rPr>
        <w:t xml:space="preserve">roposals for </w:t>
      </w:r>
      <w:r>
        <w:rPr>
          <w:spacing w:val="-4"/>
        </w:rPr>
        <w:t xml:space="preserve">enhancing cooperation and take-over of DUS test reports </w:t>
      </w:r>
      <w:proofErr w:type="gramStart"/>
      <w:r>
        <w:rPr>
          <w:spacing w:val="-4"/>
        </w:rPr>
        <w:t>are provided</w:t>
      </w:r>
      <w:proofErr w:type="gramEnd"/>
      <w:r>
        <w:rPr>
          <w:spacing w:val="-4"/>
        </w:rPr>
        <w:t xml:space="preserve"> in document CAJ/78/9 “Measures to enhance cooperation in examination”.</w:t>
      </w:r>
      <w:r w:rsidR="0056083A">
        <w:rPr>
          <w:spacing w:val="-4"/>
        </w:rPr>
        <w:t xml:space="preserve"> </w:t>
      </w:r>
    </w:p>
    <w:p w:rsidR="00753040" w:rsidRPr="00A55E85" w:rsidRDefault="00753040" w:rsidP="00753040">
      <w:pPr>
        <w:rPr>
          <w:spacing w:val="-4"/>
          <w:sz w:val="18"/>
        </w:rPr>
      </w:pPr>
    </w:p>
    <w:p w:rsidR="004F79F3" w:rsidRDefault="00753040" w:rsidP="00753040">
      <w:pPr>
        <w:rPr>
          <w:spacing w:val="-4"/>
        </w:rPr>
      </w:pPr>
      <w:r>
        <w:rPr>
          <w:spacing w:val="-4"/>
        </w:rPr>
        <w:fldChar w:fldCharType="begin"/>
      </w:r>
      <w:r>
        <w:rPr>
          <w:spacing w:val="-4"/>
        </w:rPr>
        <w:instrText xml:space="preserve"> AUTONUM  </w:instrText>
      </w:r>
      <w:r>
        <w:rPr>
          <w:spacing w:val="-4"/>
        </w:rPr>
        <w:fldChar w:fldCharType="end"/>
      </w:r>
      <w:r>
        <w:rPr>
          <w:spacing w:val="-4"/>
        </w:rPr>
        <w:tab/>
      </w:r>
      <w:proofErr w:type="gramStart"/>
      <w:r w:rsidR="0056083A">
        <w:rPr>
          <w:spacing w:val="-4"/>
        </w:rPr>
        <w:t xml:space="preserve">It is proposed that possible “guidance to encourage members of the Union, on a voluntary basis, to take-over DUS test reports when the applicants could not submit plant material due to </w:t>
      </w:r>
      <w:proofErr w:type="spellStart"/>
      <w:r w:rsidR="0056083A">
        <w:rPr>
          <w:spacing w:val="-4"/>
        </w:rPr>
        <w:t>phytosanitary</w:t>
      </w:r>
      <w:proofErr w:type="spellEnd"/>
      <w:r w:rsidR="0056083A">
        <w:rPr>
          <w:spacing w:val="-4"/>
        </w:rPr>
        <w:t xml:space="preserve"> or other related issues where acceptable to the members of the Union concerned” be included as part of the proposals and possible future work to be considered by the CAJ </w:t>
      </w:r>
      <w:r w:rsidR="00B45869">
        <w:rPr>
          <w:spacing w:val="-4"/>
        </w:rPr>
        <w:t>under document CAJ/78/9.</w:t>
      </w:r>
      <w:proofErr w:type="gramEnd"/>
    </w:p>
    <w:p w:rsidR="00D36A78" w:rsidRPr="00A55E85" w:rsidRDefault="00D36A78" w:rsidP="00753040">
      <w:pPr>
        <w:rPr>
          <w:spacing w:val="-4"/>
          <w:sz w:val="18"/>
        </w:rPr>
      </w:pPr>
    </w:p>
    <w:p w:rsidR="00B45869" w:rsidRPr="00753040" w:rsidRDefault="00D36A78" w:rsidP="00D36A78">
      <w:pPr>
        <w:tabs>
          <w:tab w:val="left" w:pos="5387"/>
        </w:tabs>
        <w:ind w:left="4820"/>
        <w:rPr>
          <w:i/>
          <w:snapToGrid w:val="0"/>
        </w:rPr>
      </w:pPr>
      <w:r w:rsidRPr="00753040">
        <w:rPr>
          <w:i/>
          <w:snapToGrid w:val="0"/>
        </w:rPr>
        <w:fldChar w:fldCharType="begin"/>
      </w:r>
      <w:r w:rsidRPr="00753040">
        <w:rPr>
          <w:i/>
          <w:snapToGrid w:val="0"/>
        </w:rPr>
        <w:instrText xml:space="preserve"> AUTONUM  </w:instrText>
      </w:r>
      <w:r w:rsidRPr="00753040">
        <w:rPr>
          <w:i/>
          <w:snapToGrid w:val="0"/>
        </w:rPr>
        <w:fldChar w:fldCharType="end"/>
      </w:r>
      <w:r w:rsidRPr="00753040">
        <w:rPr>
          <w:i/>
          <w:snapToGrid w:val="0"/>
        </w:rPr>
        <w:tab/>
        <w:t xml:space="preserve">The CAJ </w:t>
      </w:r>
      <w:proofErr w:type="gramStart"/>
      <w:r w:rsidRPr="00753040">
        <w:rPr>
          <w:i/>
          <w:snapToGrid w:val="0"/>
        </w:rPr>
        <w:t>is invited</w:t>
      </w:r>
      <w:proofErr w:type="gramEnd"/>
      <w:r w:rsidRPr="00753040">
        <w:rPr>
          <w:i/>
          <w:snapToGrid w:val="0"/>
        </w:rPr>
        <w:t xml:space="preserve"> to</w:t>
      </w:r>
      <w:r w:rsidR="00B45869" w:rsidRPr="00753040">
        <w:rPr>
          <w:i/>
          <w:snapToGrid w:val="0"/>
        </w:rPr>
        <w:t>:</w:t>
      </w:r>
    </w:p>
    <w:p w:rsidR="00B45869" w:rsidRPr="00A55E85" w:rsidRDefault="00B45869" w:rsidP="00D36A78">
      <w:pPr>
        <w:tabs>
          <w:tab w:val="left" w:pos="5387"/>
        </w:tabs>
        <w:ind w:left="4820"/>
        <w:rPr>
          <w:i/>
          <w:snapToGrid w:val="0"/>
          <w:sz w:val="18"/>
        </w:rPr>
      </w:pPr>
    </w:p>
    <w:p w:rsidR="00B45869" w:rsidRPr="00753040" w:rsidRDefault="00D36A78" w:rsidP="00E56621">
      <w:pPr>
        <w:pStyle w:val="ListParagraph"/>
        <w:numPr>
          <w:ilvl w:val="0"/>
          <w:numId w:val="2"/>
        </w:numPr>
        <w:tabs>
          <w:tab w:val="left" w:pos="5954"/>
        </w:tabs>
        <w:ind w:left="4820" w:firstLine="567"/>
        <w:rPr>
          <w:i/>
          <w:snapToGrid w:val="0"/>
        </w:rPr>
      </w:pPr>
      <w:r w:rsidRPr="00753040">
        <w:rPr>
          <w:i/>
          <w:snapToGrid w:val="0"/>
        </w:rPr>
        <w:t xml:space="preserve">note that </w:t>
      </w:r>
      <w:r w:rsidR="0056083A" w:rsidRPr="00753040">
        <w:rPr>
          <w:i/>
          <w:spacing w:val="-4"/>
        </w:rPr>
        <w:t>p</w:t>
      </w:r>
      <w:r w:rsidRPr="00753040">
        <w:rPr>
          <w:i/>
          <w:spacing w:val="-4"/>
        </w:rPr>
        <w:t>roposals for enhancing cooperation and take-over of DUS test reports are provided in document CAJ/78/9 “Measures to enhance cooperation in examination”</w:t>
      </w:r>
      <w:r w:rsidR="00B45869" w:rsidRPr="00753040">
        <w:rPr>
          <w:i/>
          <w:spacing w:val="-4"/>
        </w:rPr>
        <w:t>; and</w:t>
      </w:r>
    </w:p>
    <w:p w:rsidR="00753040" w:rsidRPr="00A55E85" w:rsidRDefault="00753040" w:rsidP="00E56621">
      <w:pPr>
        <w:pStyle w:val="ListParagraph"/>
        <w:tabs>
          <w:tab w:val="left" w:pos="5954"/>
        </w:tabs>
        <w:ind w:left="4820" w:firstLine="567"/>
        <w:rPr>
          <w:i/>
          <w:snapToGrid w:val="0"/>
          <w:sz w:val="18"/>
        </w:rPr>
      </w:pPr>
    </w:p>
    <w:p w:rsidR="00B45869" w:rsidRPr="00A55E85" w:rsidRDefault="00B45869" w:rsidP="00A55E85">
      <w:pPr>
        <w:pStyle w:val="ListParagraph"/>
        <w:numPr>
          <w:ilvl w:val="0"/>
          <w:numId w:val="2"/>
        </w:numPr>
        <w:tabs>
          <w:tab w:val="left" w:pos="5954"/>
        </w:tabs>
        <w:ind w:left="4820" w:right="9" w:firstLine="567"/>
        <w:rPr>
          <w:i/>
          <w:spacing w:val="-2"/>
        </w:rPr>
      </w:pPr>
      <w:proofErr w:type="gramStart"/>
      <w:r w:rsidRPr="00A55E85">
        <w:rPr>
          <w:i/>
          <w:spacing w:val="-2"/>
        </w:rPr>
        <w:t xml:space="preserve">consider possible “guidance to encourage members of the Union, on a voluntary basis, to take-over DUS test reports when the applicants could not submit plant material due to </w:t>
      </w:r>
      <w:proofErr w:type="spellStart"/>
      <w:r w:rsidRPr="00A55E85">
        <w:rPr>
          <w:i/>
          <w:spacing w:val="-2"/>
        </w:rPr>
        <w:t>phytosanitary</w:t>
      </w:r>
      <w:proofErr w:type="spellEnd"/>
      <w:r w:rsidRPr="00A55E85">
        <w:rPr>
          <w:i/>
          <w:spacing w:val="-2"/>
        </w:rPr>
        <w:t xml:space="preserve"> or other related issues where acceptable to the members of the Union concerned” as part of the proposals and possible future work to be considered by the CAJ under document</w:t>
      </w:r>
      <w:r w:rsidR="00753040" w:rsidRPr="00A55E85">
        <w:rPr>
          <w:i/>
          <w:spacing w:val="-2"/>
        </w:rPr>
        <w:t> </w:t>
      </w:r>
      <w:r w:rsidRPr="00A55E85">
        <w:rPr>
          <w:i/>
          <w:spacing w:val="-2"/>
        </w:rPr>
        <w:t>CAJ/78/9.</w:t>
      </w:r>
      <w:proofErr w:type="gramEnd"/>
    </w:p>
    <w:p w:rsidR="00050E16" w:rsidRPr="00A110F5" w:rsidRDefault="00A55E85" w:rsidP="00050E16">
      <w:pPr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4613910</wp:posOffset>
                </wp:positionH>
                <wp:positionV relativeFrom="paragraph">
                  <wp:posOffset>66675</wp:posOffset>
                </wp:positionV>
                <wp:extent cx="1568450" cy="361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E85" w:rsidRDefault="00A55E85" w:rsidP="00A55E85">
                            <w:pPr>
                              <w:jc w:val="right"/>
                            </w:pPr>
                            <w:bookmarkStart w:id="6" w:name="_GoBack"/>
                            <w:r w:rsidRPr="00C5280D">
                              <w:t xml:space="preserve">[End </w:t>
                            </w:r>
                            <w:r>
                              <w:t xml:space="preserve">of </w:t>
                            </w:r>
                            <w:r w:rsidRPr="00C5280D">
                              <w:t>document]</w:t>
                            </w:r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3.3pt;margin-top:5.25pt;width:123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" filled="f" stroked="f" strokeweight=".5pt">
                <v:textbox>
                  <w:txbxContent>
                    <w:p w:rsidR="00A55E85" w:rsidRDefault="00A55E85" w:rsidP="00A55E85">
                      <w:pPr>
                        <w:jc w:val="right"/>
                      </w:pPr>
                      <w:bookmarkStart w:id="7" w:name="_GoBack"/>
                      <w:r w:rsidRPr="00C5280D">
                        <w:t xml:space="preserve">[End </w:t>
                      </w:r>
                      <w:r>
                        <w:t xml:space="preserve">of </w:t>
                      </w:r>
                      <w:r w:rsidRPr="00C5280D">
                        <w:t>document]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50E16" w:rsidRPr="00A110F5" w:rsidSect="00A55E85">
      <w:headerReference w:type="default" r:id="rId9"/>
      <w:pgSz w:w="11907" w:h="16840" w:code="9"/>
      <w:pgMar w:top="510" w:right="1134" w:bottom="1080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371" w:rsidRDefault="00234371" w:rsidP="006655D3">
      <w:r>
        <w:separator/>
      </w:r>
    </w:p>
    <w:p w:rsidR="00234371" w:rsidRDefault="00234371" w:rsidP="006655D3"/>
    <w:p w:rsidR="00234371" w:rsidRDefault="00234371" w:rsidP="006655D3"/>
  </w:endnote>
  <w:endnote w:type="continuationSeparator" w:id="0">
    <w:p w:rsidR="00234371" w:rsidRDefault="00234371" w:rsidP="006655D3">
      <w:r>
        <w:separator/>
      </w:r>
    </w:p>
    <w:p w:rsidR="00234371" w:rsidRPr="00294751" w:rsidRDefault="0023437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34371" w:rsidRPr="00294751" w:rsidRDefault="00234371" w:rsidP="006655D3">
      <w:pPr>
        <w:rPr>
          <w:lang w:val="fr-FR"/>
        </w:rPr>
      </w:pPr>
    </w:p>
    <w:p w:rsidR="00234371" w:rsidRPr="00294751" w:rsidRDefault="00234371" w:rsidP="006655D3">
      <w:pPr>
        <w:rPr>
          <w:lang w:val="fr-FR"/>
        </w:rPr>
      </w:pPr>
    </w:p>
  </w:endnote>
  <w:endnote w:type="continuationNotice" w:id="1">
    <w:p w:rsidR="00234371" w:rsidRPr="00294751" w:rsidRDefault="0023437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34371" w:rsidRPr="00294751" w:rsidRDefault="00234371" w:rsidP="006655D3">
      <w:pPr>
        <w:rPr>
          <w:lang w:val="fr-FR"/>
        </w:rPr>
      </w:pPr>
    </w:p>
    <w:p w:rsidR="00234371" w:rsidRPr="00294751" w:rsidRDefault="0023437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371" w:rsidRDefault="00234371" w:rsidP="006655D3">
      <w:r>
        <w:separator/>
      </w:r>
    </w:p>
  </w:footnote>
  <w:footnote w:type="continuationSeparator" w:id="0">
    <w:p w:rsidR="00234371" w:rsidRDefault="00234371" w:rsidP="006655D3">
      <w:r>
        <w:separator/>
      </w:r>
    </w:p>
  </w:footnote>
  <w:footnote w:type="continuationNotice" w:id="1">
    <w:p w:rsidR="00234371" w:rsidRPr="00AB530F" w:rsidRDefault="00234371" w:rsidP="00AB530F">
      <w:pPr>
        <w:pStyle w:val="Footer"/>
      </w:pPr>
    </w:p>
  </w:footnote>
  <w:footnote w:id="2">
    <w:p w:rsidR="00EC49C1" w:rsidRDefault="00EC49C1">
      <w:pPr>
        <w:pStyle w:val="FootnoteText"/>
      </w:pPr>
      <w:r>
        <w:rPr>
          <w:rStyle w:val="FootnoteReference"/>
        </w:rPr>
        <w:footnoteRef/>
      </w:r>
      <w:r>
        <w:t xml:space="preserve"> Held via electronic means on October 26 and 27, 2020</w:t>
      </w:r>
    </w:p>
  </w:footnote>
  <w:footnote w:id="3">
    <w:p w:rsidR="00EC49C1" w:rsidRDefault="00EC49C1">
      <w:pPr>
        <w:pStyle w:val="FootnoteText"/>
      </w:pPr>
      <w:r>
        <w:rPr>
          <w:rStyle w:val="FootnoteReference"/>
        </w:rPr>
        <w:footnoteRef/>
      </w:r>
      <w:r>
        <w:t xml:space="preserve"> Held via electronic means on October 28, 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47C" w:rsidRPr="00C5280D" w:rsidRDefault="0054347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CAJ/78/10</w:t>
    </w:r>
  </w:p>
  <w:p w:rsidR="0054347C" w:rsidRPr="00C5280D" w:rsidRDefault="0054347C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A3FA2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54347C" w:rsidRPr="00C5280D" w:rsidRDefault="0054347C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C07"/>
    <w:multiLevelType w:val="hybridMultilevel"/>
    <w:tmpl w:val="22EAE1DC"/>
    <w:lvl w:ilvl="0" w:tplc="727A4694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0538784E"/>
    <w:multiLevelType w:val="hybridMultilevel"/>
    <w:tmpl w:val="22EAE1DC"/>
    <w:lvl w:ilvl="0" w:tplc="727A4694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0A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005A"/>
    <w:rsid w:val="000E636A"/>
    <w:rsid w:val="000F2F11"/>
    <w:rsid w:val="00100A5F"/>
    <w:rsid w:val="00105929"/>
    <w:rsid w:val="00110BED"/>
    <w:rsid w:val="00110C36"/>
    <w:rsid w:val="001131D5"/>
    <w:rsid w:val="00114547"/>
    <w:rsid w:val="001237A4"/>
    <w:rsid w:val="00141DB8"/>
    <w:rsid w:val="0014736E"/>
    <w:rsid w:val="00166B32"/>
    <w:rsid w:val="00172084"/>
    <w:rsid w:val="0017474A"/>
    <w:rsid w:val="001758C6"/>
    <w:rsid w:val="00182B99"/>
    <w:rsid w:val="001A3FA2"/>
    <w:rsid w:val="001C1525"/>
    <w:rsid w:val="0021332C"/>
    <w:rsid w:val="00213982"/>
    <w:rsid w:val="00234371"/>
    <w:rsid w:val="0024416D"/>
    <w:rsid w:val="00265496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61FD"/>
    <w:rsid w:val="00327436"/>
    <w:rsid w:val="00344BD6"/>
    <w:rsid w:val="0035528D"/>
    <w:rsid w:val="00361821"/>
    <w:rsid w:val="00361E9E"/>
    <w:rsid w:val="003753EE"/>
    <w:rsid w:val="00376017"/>
    <w:rsid w:val="0039756E"/>
    <w:rsid w:val="003A0835"/>
    <w:rsid w:val="003A5AAF"/>
    <w:rsid w:val="003B700A"/>
    <w:rsid w:val="003C7FBE"/>
    <w:rsid w:val="003D227C"/>
    <w:rsid w:val="003D2B4D"/>
    <w:rsid w:val="003F37F5"/>
    <w:rsid w:val="00444A88"/>
    <w:rsid w:val="00474DA4"/>
    <w:rsid w:val="00476B4D"/>
    <w:rsid w:val="004805FA"/>
    <w:rsid w:val="004935D2"/>
    <w:rsid w:val="004B1215"/>
    <w:rsid w:val="004D047D"/>
    <w:rsid w:val="004D330A"/>
    <w:rsid w:val="004F1C47"/>
    <w:rsid w:val="004F1E9E"/>
    <w:rsid w:val="004F305A"/>
    <w:rsid w:val="004F79F3"/>
    <w:rsid w:val="00512164"/>
    <w:rsid w:val="00520297"/>
    <w:rsid w:val="005338F9"/>
    <w:rsid w:val="0054281C"/>
    <w:rsid w:val="0054347C"/>
    <w:rsid w:val="00544581"/>
    <w:rsid w:val="0055268D"/>
    <w:rsid w:val="0056083A"/>
    <w:rsid w:val="00575DE2"/>
    <w:rsid w:val="00576BE4"/>
    <w:rsid w:val="005779DB"/>
    <w:rsid w:val="005A400A"/>
    <w:rsid w:val="005B269D"/>
    <w:rsid w:val="005E5B90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E790B"/>
    <w:rsid w:val="0071271E"/>
    <w:rsid w:val="00732DEC"/>
    <w:rsid w:val="00735BD5"/>
    <w:rsid w:val="007451EC"/>
    <w:rsid w:val="00751613"/>
    <w:rsid w:val="00753040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25A9"/>
    <w:rsid w:val="00846D7C"/>
    <w:rsid w:val="008655E7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7339"/>
    <w:rsid w:val="009B440E"/>
    <w:rsid w:val="009D690D"/>
    <w:rsid w:val="009E65B6"/>
    <w:rsid w:val="009F0A51"/>
    <w:rsid w:val="009F77CF"/>
    <w:rsid w:val="00A06E96"/>
    <w:rsid w:val="00A110F5"/>
    <w:rsid w:val="00A24C10"/>
    <w:rsid w:val="00A42AC3"/>
    <w:rsid w:val="00A430CF"/>
    <w:rsid w:val="00A54309"/>
    <w:rsid w:val="00A55E85"/>
    <w:rsid w:val="00A610A9"/>
    <w:rsid w:val="00A77080"/>
    <w:rsid w:val="00A80F2A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5869"/>
    <w:rsid w:val="00B46575"/>
    <w:rsid w:val="00B61777"/>
    <w:rsid w:val="00B622E6"/>
    <w:rsid w:val="00B83E82"/>
    <w:rsid w:val="00B84BBD"/>
    <w:rsid w:val="00BA43FB"/>
    <w:rsid w:val="00BC127D"/>
    <w:rsid w:val="00BC1FE6"/>
    <w:rsid w:val="00C061B6"/>
    <w:rsid w:val="00C2446C"/>
    <w:rsid w:val="00C32BB0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B5BF1"/>
    <w:rsid w:val="00CC11B0"/>
    <w:rsid w:val="00CC2841"/>
    <w:rsid w:val="00CF1330"/>
    <w:rsid w:val="00CF2D13"/>
    <w:rsid w:val="00CF7E36"/>
    <w:rsid w:val="00D36A78"/>
    <w:rsid w:val="00D3708D"/>
    <w:rsid w:val="00D40426"/>
    <w:rsid w:val="00D404A7"/>
    <w:rsid w:val="00D57C96"/>
    <w:rsid w:val="00D57D18"/>
    <w:rsid w:val="00D70E65"/>
    <w:rsid w:val="00D76356"/>
    <w:rsid w:val="00D91203"/>
    <w:rsid w:val="00D95174"/>
    <w:rsid w:val="00D96D93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56621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49C1"/>
    <w:rsid w:val="00ED6903"/>
    <w:rsid w:val="00EE34DF"/>
    <w:rsid w:val="00EF2F89"/>
    <w:rsid w:val="00F03E98"/>
    <w:rsid w:val="00F06E56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3DBF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FB9EE9C9-BDA8-434B-81E4-BD65E5A3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A55E85"/>
    <w:pPr>
      <w:tabs>
        <w:tab w:val="right" w:leader="dot" w:pos="9639"/>
      </w:tabs>
      <w:spacing w:after="120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3Char">
    <w:name w:val="Heading 3 Char"/>
    <w:basedOn w:val="DefaultParagraphFont"/>
    <w:link w:val="Heading3"/>
    <w:rsid w:val="004F79F3"/>
    <w:rPr>
      <w:rFonts w:ascii="Arial" w:hAnsi="Arial"/>
      <w:i/>
    </w:rPr>
  </w:style>
  <w:style w:type="character" w:customStyle="1" w:styleId="FootnoteTextChar">
    <w:name w:val="Footnote Text Char"/>
    <w:basedOn w:val="DefaultParagraphFont"/>
    <w:link w:val="FootnoteText"/>
    <w:rsid w:val="005E5B90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5E5B90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B4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6C0E9-01D1-41D0-BEC1-9A46DCF9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882</Words>
  <Characters>5081</Characters>
  <Application>Microsoft Office Word</Application>
  <DocSecurity>0</DocSecurity>
  <Lines>130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CAJ/78/10</vt:lpstr>
    </vt:vector>
  </TitlesOfParts>
  <Company>UPOV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CAJ/78/10</dc:title>
  <dc:creator>SANCHEZ VIZCAINO GOMEZ Rosa Maria</dc:creator>
  <cp:lastModifiedBy>SANTOS Carla Marina</cp:lastModifiedBy>
  <cp:revision>17</cp:revision>
  <cp:lastPrinted>2016-11-22T15:41:00Z</cp:lastPrinted>
  <dcterms:created xsi:type="dcterms:W3CDTF">2021-09-07T06:56:00Z</dcterms:created>
  <dcterms:modified xsi:type="dcterms:W3CDTF">2021-09-13T15:33:00Z</dcterms:modified>
</cp:coreProperties>
</file>