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B51B4" w:rsidTr="00EB4E9C">
        <w:tc>
          <w:tcPr>
            <w:tcW w:w="6522" w:type="dxa"/>
          </w:tcPr>
          <w:p w:rsidR="00DC3802" w:rsidRPr="00DB51B4" w:rsidRDefault="00DC3802" w:rsidP="00AC2883">
            <w:r w:rsidRPr="00DB51B4">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B51B4" w:rsidRDefault="00DC3802" w:rsidP="00AC2883">
            <w:pPr>
              <w:pStyle w:val="Lettrine"/>
            </w:pPr>
            <w:r w:rsidRPr="00DB51B4">
              <w:t>E</w:t>
            </w:r>
          </w:p>
        </w:tc>
      </w:tr>
      <w:tr w:rsidR="00DC3802" w:rsidRPr="00DB51B4" w:rsidTr="00645CA8">
        <w:trPr>
          <w:trHeight w:val="219"/>
        </w:trPr>
        <w:tc>
          <w:tcPr>
            <w:tcW w:w="6522" w:type="dxa"/>
          </w:tcPr>
          <w:p w:rsidR="00DC3802" w:rsidRPr="00DB51B4" w:rsidRDefault="00DC3802" w:rsidP="00AC2883">
            <w:pPr>
              <w:pStyle w:val="upove"/>
            </w:pPr>
            <w:r w:rsidRPr="00DB51B4">
              <w:t>International Union for the Protection of New Varieties of Plants</w:t>
            </w:r>
          </w:p>
        </w:tc>
        <w:tc>
          <w:tcPr>
            <w:tcW w:w="3117" w:type="dxa"/>
          </w:tcPr>
          <w:p w:rsidR="00DC3802" w:rsidRPr="00DB51B4" w:rsidRDefault="00DC3802" w:rsidP="00DA4973"/>
        </w:tc>
      </w:tr>
    </w:tbl>
    <w:p w:rsidR="00DC3802" w:rsidRPr="00DB51B4" w:rsidRDefault="00DC3802" w:rsidP="00DC3802"/>
    <w:p w:rsidR="00DA4973" w:rsidRPr="00DB51B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B51B4" w:rsidTr="00EB4E9C">
        <w:tc>
          <w:tcPr>
            <w:tcW w:w="6512" w:type="dxa"/>
          </w:tcPr>
          <w:p w:rsidR="00EB4E9C" w:rsidRPr="00DB51B4" w:rsidRDefault="00B622E6" w:rsidP="00AC2883">
            <w:pPr>
              <w:pStyle w:val="Sessiontc"/>
              <w:spacing w:line="240" w:lineRule="auto"/>
            </w:pPr>
            <w:r w:rsidRPr="00DB51B4">
              <w:t>Administrative and Legal</w:t>
            </w:r>
            <w:r w:rsidR="00EB4E9C" w:rsidRPr="00DB51B4">
              <w:t xml:space="preserve"> Committee</w:t>
            </w:r>
          </w:p>
          <w:p w:rsidR="00EB4E9C" w:rsidRPr="00DB51B4" w:rsidRDefault="00B622E6" w:rsidP="00F31412">
            <w:pPr>
              <w:pStyle w:val="Sessiontcplacedate"/>
              <w:rPr>
                <w:sz w:val="22"/>
              </w:rPr>
            </w:pPr>
            <w:r w:rsidRPr="00DB51B4">
              <w:t>Seventy-</w:t>
            </w:r>
            <w:r w:rsidR="00F31412" w:rsidRPr="00DB51B4">
              <w:t>Six</w:t>
            </w:r>
            <w:r w:rsidR="00110BED" w:rsidRPr="00DB51B4">
              <w:t>th</w:t>
            </w:r>
            <w:r w:rsidR="00EB4E9C" w:rsidRPr="00DB51B4">
              <w:t xml:space="preserve"> Session</w:t>
            </w:r>
            <w:r w:rsidR="00EB4E9C" w:rsidRPr="00DB51B4">
              <w:br/>
              <w:t xml:space="preserve">Geneva, </w:t>
            </w:r>
            <w:r w:rsidRPr="00DB51B4">
              <w:t>October 3</w:t>
            </w:r>
            <w:r w:rsidR="00F31412" w:rsidRPr="00DB51B4">
              <w:t>0, 2019</w:t>
            </w:r>
          </w:p>
        </w:tc>
        <w:tc>
          <w:tcPr>
            <w:tcW w:w="3127" w:type="dxa"/>
          </w:tcPr>
          <w:p w:rsidR="00EB4E9C" w:rsidRPr="00DB51B4" w:rsidRDefault="00F31412" w:rsidP="003C7FBE">
            <w:pPr>
              <w:pStyle w:val="Doccode"/>
            </w:pPr>
            <w:r w:rsidRPr="00DB51B4">
              <w:t>CAJ</w:t>
            </w:r>
            <w:r w:rsidR="005638F9" w:rsidRPr="00DB51B4">
              <w:t>/76/3</w:t>
            </w:r>
          </w:p>
          <w:p w:rsidR="00EB4E9C" w:rsidRPr="00DB51B4" w:rsidRDefault="00EB4E9C" w:rsidP="003C7FBE">
            <w:pPr>
              <w:pStyle w:val="Docoriginal"/>
            </w:pPr>
            <w:r w:rsidRPr="00DB51B4">
              <w:t>Original:</w:t>
            </w:r>
            <w:r w:rsidRPr="00DB51B4">
              <w:rPr>
                <w:b w:val="0"/>
                <w:spacing w:val="0"/>
              </w:rPr>
              <w:t xml:space="preserve">  English</w:t>
            </w:r>
          </w:p>
          <w:p w:rsidR="00EB4E9C" w:rsidRPr="00DB51B4" w:rsidRDefault="00EB4E9C" w:rsidP="00D76A2D">
            <w:pPr>
              <w:pStyle w:val="Docoriginal"/>
            </w:pPr>
            <w:r w:rsidRPr="00DB51B4">
              <w:t>Date:</w:t>
            </w:r>
            <w:r w:rsidRPr="00DB51B4">
              <w:rPr>
                <w:b w:val="0"/>
                <w:spacing w:val="0"/>
              </w:rPr>
              <w:t xml:space="preserve">  </w:t>
            </w:r>
            <w:r w:rsidR="00DB51B4" w:rsidRPr="00EB5BCE">
              <w:rPr>
                <w:b w:val="0"/>
                <w:spacing w:val="0"/>
              </w:rPr>
              <w:t xml:space="preserve">July </w:t>
            </w:r>
            <w:r w:rsidR="00D76A2D" w:rsidRPr="00EB5BCE">
              <w:rPr>
                <w:b w:val="0"/>
                <w:spacing w:val="0"/>
              </w:rPr>
              <w:t>23</w:t>
            </w:r>
            <w:r w:rsidRPr="00EB5BCE">
              <w:rPr>
                <w:b w:val="0"/>
                <w:spacing w:val="0"/>
              </w:rPr>
              <w:t>, 201</w:t>
            </w:r>
            <w:r w:rsidR="00F31412" w:rsidRPr="00EB5BCE">
              <w:rPr>
                <w:b w:val="0"/>
                <w:spacing w:val="0"/>
              </w:rPr>
              <w:t>9</w:t>
            </w:r>
          </w:p>
        </w:tc>
      </w:tr>
    </w:tbl>
    <w:p w:rsidR="000D7780" w:rsidRPr="00DB51B4" w:rsidRDefault="005638F9" w:rsidP="006A644A">
      <w:pPr>
        <w:pStyle w:val="Titleofdoc0"/>
      </w:pPr>
      <w:bookmarkStart w:id="0" w:name="TitleOfDoc"/>
      <w:bookmarkEnd w:id="0"/>
      <w:r w:rsidRPr="00DB51B4">
        <w:t>Essentially derived varieties</w:t>
      </w:r>
    </w:p>
    <w:p w:rsidR="006A644A" w:rsidRPr="00DB51B4" w:rsidRDefault="00AE0EF1" w:rsidP="006A644A">
      <w:pPr>
        <w:pStyle w:val="preparedby1"/>
        <w:jc w:val="left"/>
      </w:pPr>
      <w:bookmarkStart w:id="1" w:name="Prepared"/>
      <w:bookmarkEnd w:id="1"/>
      <w:r w:rsidRPr="00DB51B4">
        <w:t xml:space="preserve">Document </w:t>
      </w:r>
      <w:r w:rsidR="0061555F" w:rsidRPr="00DB51B4">
        <w:t>prepared by the Office of the Union</w:t>
      </w:r>
    </w:p>
    <w:p w:rsidR="00050E16" w:rsidRPr="00DB51B4" w:rsidRDefault="00050E16" w:rsidP="006A644A">
      <w:pPr>
        <w:pStyle w:val="Disclaimer"/>
      </w:pPr>
      <w:r w:rsidRPr="00DB51B4">
        <w:t>Disclaimer:  this document does not represent UPOV policies or guidance</w:t>
      </w:r>
    </w:p>
    <w:p w:rsidR="00CA61EA" w:rsidRPr="00DB51B4" w:rsidRDefault="00CA61EA" w:rsidP="00CA61EA">
      <w:pPr>
        <w:pStyle w:val="Heading1"/>
        <w:rPr>
          <w:b/>
          <w:snapToGrid w:val="0"/>
        </w:rPr>
      </w:pPr>
      <w:bookmarkStart w:id="2" w:name="_Toc522523019"/>
      <w:bookmarkStart w:id="3" w:name="_Toc522523121"/>
      <w:bookmarkStart w:id="4" w:name="_Toc14799780"/>
      <w:r w:rsidRPr="00DB51B4">
        <w:rPr>
          <w:snapToGrid w:val="0"/>
        </w:rPr>
        <w:t>EXECUTIVE SUMMARY</w:t>
      </w:r>
      <w:bookmarkEnd w:id="2"/>
      <w:bookmarkEnd w:id="3"/>
      <w:bookmarkEnd w:id="4"/>
      <w:r w:rsidR="00B746A5" w:rsidRPr="00DB51B4">
        <w:rPr>
          <w:snapToGrid w:val="0"/>
        </w:rPr>
        <w:t xml:space="preserve"> </w:t>
      </w:r>
    </w:p>
    <w:p w:rsidR="00CA61EA" w:rsidRPr="00DB51B4" w:rsidRDefault="00CA61EA" w:rsidP="00CA61EA">
      <w:pPr>
        <w:rPr>
          <w:snapToGrid w:val="0"/>
        </w:rPr>
      </w:pPr>
    </w:p>
    <w:p w:rsidR="00CA61EA" w:rsidRPr="00DB51B4" w:rsidRDefault="00CA61EA" w:rsidP="00CA61EA">
      <w:r w:rsidRPr="00DB51B4">
        <w:fldChar w:fldCharType="begin"/>
      </w:r>
      <w:r w:rsidRPr="00DB51B4">
        <w:instrText xml:space="preserve"> AUTONUM  </w:instrText>
      </w:r>
      <w:r w:rsidRPr="00DB51B4">
        <w:fldChar w:fldCharType="end"/>
      </w:r>
      <w:r w:rsidRPr="00DB51B4">
        <w:tab/>
        <w:t>The purpose of this document is</w:t>
      </w:r>
      <w:r w:rsidR="00A30861" w:rsidRPr="00DB51B4">
        <w:t xml:space="preserve"> to provide background information and report on developments concerning essentially derived varieties, including relevant matters on the “Seminar on the impact of policy on essentially derived varieties (EDVs) on breeding strategy”</w:t>
      </w:r>
      <w:r w:rsidRPr="00DB51B4">
        <w:t xml:space="preserve"> </w:t>
      </w:r>
      <w:r w:rsidR="00A30861" w:rsidRPr="00DB51B4">
        <w:t>in order to</w:t>
      </w:r>
      <w:r w:rsidRPr="00DB51B4">
        <w:t xml:space="preserve"> assist the </w:t>
      </w:r>
      <w:r w:rsidR="00A9066D">
        <w:t>Administrative and Legal </w:t>
      </w:r>
      <w:r w:rsidRPr="00DB51B4">
        <w:t xml:space="preserve">Committee (CAJ) in its consideration of </w:t>
      </w:r>
      <w:r w:rsidR="00A30861" w:rsidRPr="00DB51B4">
        <w:t>the review of the guidan</w:t>
      </w:r>
      <w:r w:rsidR="00DB51B4" w:rsidRPr="00DB51B4">
        <w:t xml:space="preserve">ce on EDV provided in document </w:t>
      </w:r>
      <w:r w:rsidR="00A30861" w:rsidRPr="00DB51B4">
        <w:t>UPOV/EXN/EDV/2 “Explanatory Notes on Variety Denominations under the UPOV Convention”.</w:t>
      </w:r>
    </w:p>
    <w:p w:rsidR="004A55FB" w:rsidRPr="00DB51B4" w:rsidRDefault="004A55FB" w:rsidP="004A55FB">
      <w:pPr>
        <w:jc w:val="left"/>
        <w:rPr>
          <w:rFonts w:cs="Arial"/>
          <w:u w:val="single"/>
        </w:rPr>
      </w:pPr>
    </w:p>
    <w:p w:rsidR="00DB51B4" w:rsidRPr="00DB51B4" w:rsidRDefault="00DB51B4" w:rsidP="004A55FB">
      <w:pPr>
        <w:jc w:val="left"/>
        <w:rPr>
          <w:rFonts w:eastAsiaTheme="minorEastAsia" w:cs="Arial"/>
          <w:snapToGrid w:val="0"/>
        </w:rPr>
      </w:pPr>
      <w:r w:rsidRPr="00DB51B4">
        <w:fldChar w:fldCharType="begin"/>
      </w:r>
      <w:r w:rsidRPr="00DB51B4">
        <w:instrText xml:space="preserve"> AUTONUM  </w:instrText>
      </w:r>
      <w:r w:rsidRPr="00DB51B4">
        <w:fldChar w:fldCharType="end"/>
      </w:r>
      <w:r w:rsidRPr="00DB51B4">
        <w:tab/>
        <w:t xml:space="preserve">The </w:t>
      </w:r>
      <w:r w:rsidRPr="00DB51B4">
        <w:rPr>
          <w:rFonts w:eastAsiaTheme="minorEastAsia" w:cs="Arial"/>
          <w:snapToGrid w:val="0"/>
        </w:rPr>
        <w:t>CAJ is invited to:</w:t>
      </w:r>
    </w:p>
    <w:p w:rsidR="00DB51B4" w:rsidRPr="00DB51B4" w:rsidRDefault="00DB51B4" w:rsidP="004A55FB">
      <w:pPr>
        <w:jc w:val="left"/>
        <w:rPr>
          <w:rFonts w:cs="Arial"/>
          <w:u w:val="single"/>
        </w:rPr>
      </w:pPr>
    </w:p>
    <w:p w:rsidR="00A15F46" w:rsidRPr="00A15F46" w:rsidRDefault="00A15F46" w:rsidP="00A15F46">
      <w:pPr>
        <w:rPr>
          <w:rFonts w:eastAsiaTheme="minorEastAsia"/>
          <w:snapToGrid w:val="0"/>
        </w:rPr>
      </w:pPr>
      <w:r w:rsidRPr="00A15F46">
        <w:rPr>
          <w:rFonts w:eastAsiaTheme="minorEastAsia"/>
          <w:snapToGrid w:val="0"/>
        </w:rPr>
        <w:tab/>
        <w:t>(a)</w:t>
      </w:r>
      <w:r w:rsidRPr="00A15F46">
        <w:rPr>
          <w:rFonts w:eastAsiaTheme="minorEastAsia"/>
          <w:snapToGrid w:val="0"/>
        </w:rPr>
        <w:tab/>
        <w:t>note the background information and developments concerning EDVs, including relevant matters on the “Seminar on the impact of policy on essentially derived varieties (EDVs</w:t>
      </w:r>
      <w:r w:rsidR="008E6B2B">
        <w:rPr>
          <w:rFonts w:eastAsiaTheme="minorEastAsia"/>
          <w:snapToGrid w:val="0"/>
        </w:rPr>
        <w:t>) on breeding strategy”, as set </w:t>
      </w:r>
      <w:r w:rsidRPr="00A15F46">
        <w:rPr>
          <w:rFonts w:eastAsiaTheme="minorEastAsia"/>
          <w:snapToGrid w:val="0"/>
        </w:rPr>
        <w:t>out in paragraphs 4 to 15 of this document;</w:t>
      </w:r>
    </w:p>
    <w:p w:rsidR="00A15F46" w:rsidRPr="00A15F46" w:rsidRDefault="00A15F46" w:rsidP="00A15F46">
      <w:pPr>
        <w:rPr>
          <w:rFonts w:eastAsiaTheme="minorEastAsia"/>
          <w:snapToGrid w:val="0"/>
        </w:rPr>
      </w:pPr>
    </w:p>
    <w:p w:rsidR="00A15F46" w:rsidRPr="00A15F46" w:rsidRDefault="00A15F46" w:rsidP="00A15F46">
      <w:pPr>
        <w:rPr>
          <w:rFonts w:eastAsiaTheme="minorEastAsia"/>
          <w:snapToGrid w:val="0"/>
        </w:rPr>
      </w:pPr>
      <w:r w:rsidRPr="00A15F46">
        <w:rPr>
          <w:rFonts w:eastAsiaTheme="minorEastAsia"/>
          <w:snapToGrid w:val="0"/>
        </w:rPr>
        <w:tab/>
        <w:t>(b)</w:t>
      </w:r>
      <w:r w:rsidRPr="00A15F46">
        <w:rPr>
          <w:rFonts w:eastAsiaTheme="minorEastAsia"/>
          <w:snapToGrid w:val="0"/>
        </w:rPr>
        <w:tab/>
        <w:t xml:space="preserve">consider the outcome of the EDV Seminar to be presented to the CAJ, at its seventy-sixth session, in an oral report by the Chair of the CAJ; as set out in paragraphs 16 to 18 of this document;  </w:t>
      </w:r>
    </w:p>
    <w:p w:rsidR="00A15F46" w:rsidRPr="00A15F46" w:rsidRDefault="00A15F46" w:rsidP="00A15F46">
      <w:pPr>
        <w:rPr>
          <w:rFonts w:eastAsiaTheme="minorEastAsia"/>
          <w:snapToGrid w:val="0"/>
        </w:rPr>
      </w:pPr>
    </w:p>
    <w:p w:rsidR="004A55FB" w:rsidRDefault="00A15F46" w:rsidP="00A15F46">
      <w:pPr>
        <w:rPr>
          <w:rFonts w:eastAsiaTheme="minorEastAsia"/>
          <w:snapToGrid w:val="0"/>
        </w:rPr>
      </w:pPr>
      <w:r w:rsidRPr="00A15F46">
        <w:rPr>
          <w:rFonts w:eastAsiaTheme="minorEastAsia"/>
          <w:snapToGrid w:val="0"/>
        </w:rPr>
        <w:tab/>
        <w:t>(c)</w:t>
      </w:r>
      <w:r w:rsidRPr="00A15F46">
        <w:rPr>
          <w:rFonts w:eastAsiaTheme="minorEastAsia"/>
          <w:snapToGrid w:val="0"/>
        </w:rPr>
        <w:tab/>
        <w:t>note that there have been no developments concerning a possib</w:t>
      </w:r>
      <w:r>
        <w:rPr>
          <w:rFonts w:eastAsiaTheme="minorEastAsia"/>
          <w:snapToGrid w:val="0"/>
        </w:rPr>
        <w:t>le meeting of the Office of the </w:t>
      </w:r>
      <w:r w:rsidRPr="00A15F46">
        <w:rPr>
          <w:rFonts w:eastAsiaTheme="minorEastAsia"/>
          <w:snapToGrid w:val="0"/>
        </w:rPr>
        <w:t>Union with CIOPORA, ISF and WIPO in order to explore the poss</w:t>
      </w:r>
      <w:bookmarkStart w:id="5" w:name="_GoBack"/>
      <w:bookmarkEnd w:id="5"/>
      <w:r w:rsidRPr="00A15F46">
        <w:rPr>
          <w:rFonts w:eastAsiaTheme="minorEastAsia"/>
          <w:snapToGrid w:val="0"/>
        </w:rPr>
        <w:t>ible role of UPOV in alternative dispute settlement mechanisms for matters concerning EDVs, including the provision of experts on EDV matters.</w:t>
      </w:r>
    </w:p>
    <w:p w:rsidR="00A15F46" w:rsidRPr="00DB51B4" w:rsidRDefault="00A15F46" w:rsidP="00A15F46">
      <w:pPr>
        <w:rPr>
          <w:u w:val="single"/>
        </w:rPr>
      </w:pPr>
    </w:p>
    <w:p w:rsidR="00DB51B4" w:rsidRPr="00DB51B4" w:rsidRDefault="00DB51B4" w:rsidP="00DB51B4">
      <w:pPr>
        <w:jc w:val="left"/>
        <w:rPr>
          <w:rFonts w:cs="Arial"/>
          <w:color w:val="000000"/>
        </w:rPr>
      </w:pPr>
      <w:r w:rsidRPr="00DB51B4">
        <w:rPr>
          <w:rFonts w:cs="Arial"/>
        </w:rPr>
        <w:fldChar w:fldCharType="begin"/>
      </w:r>
      <w:r w:rsidRPr="00DB51B4">
        <w:rPr>
          <w:rFonts w:cs="Arial"/>
        </w:rPr>
        <w:instrText xml:space="preserve"> AUTONUM  </w:instrText>
      </w:r>
      <w:r w:rsidRPr="00DB51B4">
        <w:rPr>
          <w:rFonts w:cs="Arial"/>
        </w:rPr>
        <w:fldChar w:fldCharType="end"/>
      </w:r>
      <w:r w:rsidRPr="00DB51B4">
        <w:rPr>
          <w:rFonts w:cs="Arial"/>
        </w:rPr>
        <w:tab/>
      </w:r>
      <w:r w:rsidRPr="00DB51B4">
        <w:rPr>
          <w:rFonts w:cs="Arial"/>
          <w:lang w:eastAsia="ja-JP"/>
        </w:rPr>
        <w:t>The structure of this document is as follows:</w:t>
      </w:r>
    </w:p>
    <w:p w:rsidR="00DB51B4" w:rsidRPr="00DB51B4" w:rsidRDefault="00DB51B4" w:rsidP="00DB51B4">
      <w:pPr>
        <w:rPr>
          <w:snapToGrid w:val="0"/>
        </w:rPr>
      </w:pPr>
    </w:p>
    <w:p w:rsidR="007C76BA" w:rsidRDefault="00DB51B4">
      <w:pPr>
        <w:pStyle w:val="TOC1"/>
        <w:rPr>
          <w:rFonts w:asciiTheme="minorHAnsi" w:eastAsiaTheme="minorEastAsia" w:hAnsiTheme="minorHAnsi" w:cstheme="minorBidi"/>
          <w:caps w:val="0"/>
          <w:noProof/>
          <w:sz w:val="22"/>
          <w:szCs w:val="22"/>
        </w:rPr>
      </w:pPr>
      <w:r w:rsidRPr="00DB51B4">
        <w:rPr>
          <w:snapToGrid w:val="0"/>
        </w:rPr>
        <w:fldChar w:fldCharType="begin"/>
      </w:r>
      <w:r w:rsidRPr="00DB51B4">
        <w:rPr>
          <w:snapToGrid w:val="0"/>
        </w:rPr>
        <w:instrText xml:space="preserve"> TOC \o "1-3" \h \z \u </w:instrText>
      </w:r>
      <w:r w:rsidRPr="00DB51B4">
        <w:rPr>
          <w:snapToGrid w:val="0"/>
        </w:rPr>
        <w:fldChar w:fldCharType="separate"/>
      </w:r>
      <w:hyperlink w:anchor="_Toc14799780" w:history="1">
        <w:r w:rsidR="007C76BA" w:rsidRPr="00C27305">
          <w:rPr>
            <w:rStyle w:val="Hyperlink"/>
            <w:noProof/>
            <w:snapToGrid w:val="0"/>
          </w:rPr>
          <w:t>EXECUTIVE SUMMARY</w:t>
        </w:r>
        <w:r w:rsidR="007C76BA">
          <w:rPr>
            <w:noProof/>
            <w:webHidden/>
          </w:rPr>
          <w:tab/>
        </w:r>
        <w:r w:rsidR="007C76BA">
          <w:rPr>
            <w:noProof/>
            <w:webHidden/>
          </w:rPr>
          <w:fldChar w:fldCharType="begin"/>
        </w:r>
        <w:r w:rsidR="007C76BA">
          <w:rPr>
            <w:noProof/>
            <w:webHidden/>
          </w:rPr>
          <w:instrText xml:space="preserve"> PAGEREF _Toc14799780 \h </w:instrText>
        </w:r>
        <w:r w:rsidR="007C76BA">
          <w:rPr>
            <w:noProof/>
            <w:webHidden/>
          </w:rPr>
        </w:r>
        <w:r w:rsidR="007C76BA">
          <w:rPr>
            <w:noProof/>
            <w:webHidden/>
          </w:rPr>
          <w:fldChar w:fldCharType="separate"/>
        </w:r>
        <w:r w:rsidR="007C76BA">
          <w:rPr>
            <w:noProof/>
            <w:webHidden/>
          </w:rPr>
          <w:t>1</w:t>
        </w:r>
        <w:r w:rsidR="007C76BA">
          <w:rPr>
            <w:noProof/>
            <w:webHidden/>
          </w:rPr>
          <w:fldChar w:fldCharType="end"/>
        </w:r>
      </w:hyperlink>
    </w:p>
    <w:p w:rsidR="007C76BA" w:rsidRDefault="004F3740">
      <w:pPr>
        <w:pStyle w:val="TOC1"/>
        <w:rPr>
          <w:rFonts w:asciiTheme="minorHAnsi" w:eastAsiaTheme="minorEastAsia" w:hAnsiTheme="minorHAnsi" w:cstheme="minorBidi"/>
          <w:caps w:val="0"/>
          <w:noProof/>
          <w:sz w:val="22"/>
          <w:szCs w:val="22"/>
        </w:rPr>
      </w:pPr>
      <w:hyperlink w:anchor="_Toc14799781" w:history="1">
        <w:r w:rsidR="007C76BA" w:rsidRPr="00C27305">
          <w:rPr>
            <w:rStyle w:val="Hyperlink"/>
            <w:noProof/>
          </w:rPr>
          <w:t>Background</w:t>
        </w:r>
        <w:r w:rsidR="007C76BA">
          <w:rPr>
            <w:noProof/>
            <w:webHidden/>
          </w:rPr>
          <w:tab/>
        </w:r>
        <w:r w:rsidR="007C76BA">
          <w:rPr>
            <w:noProof/>
            <w:webHidden/>
          </w:rPr>
          <w:fldChar w:fldCharType="begin"/>
        </w:r>
        <w:r w:rsidR="007C76BA">
          <w:rPr>
            <w:noProof/>
            <w:webHidden/>
          </w:rPr>
          <w:instrText xml:space="preserve"> PAGEREF _Toc14799781 \h </w:instrText>
        </w:r>
        <w:r w:rsidR="007C76BA">
          <w:rPr>
            <w:noProof/>
            <w:webHidden/>
          </w:rPr>
        </w:r>
        <w:r w:rsidR="007C76BA">
          <w:rPr>
            <w:noProof/>
            <w:webHidden/>
          </w:rPr>
          <w:fldChar w:fldCharType="separate"/>
        </w:r>
        <w:r w:rsidR="007C76BA">
          <w:rPr>
            <w:noProof/>
            <w:webHidden/>
          </w:rPr>
          <w:t>2</w:t>
        </w:r>
        <w:r w:rsidR="007C76BA">
          <w:rPr>
            <w:noProof/>
            <w:webHidden/>
          </w:rPr>
          <w:fldChar w:fldCharType="end"/>
        </w:r>
      </w:hyperlink>
    </w:p>
    <w:p w:rsidR="007C76BA" w:rsidRDefault="004F3740" w:rsidP="004F3740">
      <w:pPr>
        <w:pStyle w:val="TOC2"/>
        <w:rPr>
          <w:rFonts w:asciiTheme="minorHAnsi" w:eastAsiaTheme="minorEastAsia" w:hAnsiTheme="minorHAnsi" w:cstheme="minorBidi"/>
          <w:noProof/>
          <w:sz w:val="22"/>
          <w:szCs w:val="22"/>
        </w:rPr>
      </w:pPr>
      <w:hyperlink w:anchor="_Toc14799782" w:history="1">
        <w:r w:rsidR="007C76BA" w:rsidRPr="00C27305">
          <w:rPr>
            <w:rStyle w:val="Hyperlink"/>
            <w:noProof/>
          </w:rPr>
          <w:t>Replies to UPOV Circular E-19/032 with proposed questions and issues to be addressed in the EDV Seminar</w:t>
        </w:r>
        <w:r w:rsidR="007C76BA">
          <w:rPr>
            <w:noProof/>
            <w:webHidden/>
          </w:rPr>
          <w:tab/>
        </w:r>
        <w:r w:rsidR="007C76BA">
          <w:rPr>
            <w:noProof/>
            <w:webHidden/>
          </w:rPr>
          <w:fldChar w:fldCharType="begin"/>
        </w:r>
        <w:r w:rsidR="007C76BA">
          <w:rPr>
            <w:noProof/>
            <w:webHidden/>
          </w:rPr>
          <w:instrText xml:space="preserve"> PAGEREF _Toc14799782 \h </w:instrText>
        </w:r>
        <w:r w:rsidR="007C76BA">
          <w:rPr>
            <w:noProof/>
            <w:webHidden/>
          </w:rPr>
        </w:r>
        <w:r w:rsidR="007C76BA">
          <w:rPr>
            <w:noProof/>
            <w:webHidden/>
          </w:rPr>
          <w:fldChar w:fldCharType="separate"/>
        </w:r>
        <w:r w:rsidR="007C76BA">
          <w:rPr>
            <w:noProof/>
            <w:webHidden/>
          </w:rPr>
          <w:t>2</w:t>
        </w:r>
        <w:r w:rsidR="007C76BA">
          <w:rPr>
            <w:noProof/>
            <w:webHidden/>
          </w:rPr>
          <w:fldChar w:fldCharType="end"/>
        </w:r>
      </w:hyperlink>
    </w:p>
    <w:p w:rsidR="007C76BA" w:rsidRDefault="004F3740" w:rsidP="004F3740">
      <w:pPr>
        <w:pStyle w:val="TOC2"/>
        <w:rPr>
          <w:rFonts w:asciiTheme="minorHAnsi" w:eastAsiaTheme="minorEastAsia" w:hAnsiTheme="minorHAnsi" w:cstheme="minorBidi"/>
          <w:noProof/>
          <w:sz w:val="22"/>
          <w:szCs w:val="22"/>
        </w:rPr>
      </w:pPr>
      <w:hyperlink w:anchor="_Toc14799783" w:history="1">
        <w:r w:rsidR="007C76BA" w:rsidRPr="00C27305">
          <w:rPr>
            <w:rStyle w:val="Hyperlink"/>
            <w:noProof/>
          </w:rPr>
          <w:t>Preparation of the Draft Program for the EDV Seminar for approval by the CAJ by correspondence</w:t>
        </w:r>
        <w:r w:rsidR="007C76BA">
          <w:rPr>
            <w:noProof/>
            <w:webHidden/>
          </w:rPr>
          <w:tab/>
        </w:r>
        <w:r w:rsidR="007C76BA">
          <w:rPr>
            <w:noProof/>
            <w:webHidden/>
          </w:rPr>
          <w:fldChar w:fldCharType="begin"/>
        </w:r>
        <w:r w:rsidR="007C76BA">
          <w:rPr>
            <w:noProof/>
            <w:webHidden/>
          </w:rPr>
          <w:instrText xml:space="preserve"> PAGEREF _Toc14799783 \h </w:instrText>
        </w:r>
        <w:r w:rsidR="007C76BA">
          <w:rPr>
            <w:noProof/>
            <w:webHidden/>
          </w:rPr>
        </w:r>
        <w:r w:rsidR="007C76BA">
          <w:rPr>
            <w:noProof/>
            <w:webHidden/>
          </w:rPr>
          <w:fldChar w:fldCharType="separate"/>
        </w:r>
        <w:r w:rsidR="007C76BA">
          <w:rPr>
            <w:noProof/>
            <w:webHidden/>
          </w:rPr>
          <w:t>3</w:t>
        </w:r>
        <w:r w:rsidR="007C76BA">
          <w:rPr>
            <w:noProof/>
            <w:webHidden/>
          </w:rPr>
          <w:fldChar w:fldCharType="end"/>
        </w:r>
      </w:hyperlink>
    </w:p>
    <w:p w:rsidR="007C76BA" w:rsidRDefault="004F3740">
      <w:pPr>
        <w:pStyle w:val="TOC1"/>
        <w:rPr>
          <w:rFonts w:asciiTheme="minorHAnsi" w:eastAsiaTheme="minorEastAsia" w:hAnsiTheme="minorHAnsi" w:cstheme="minorBidi"/>
          <w:caps w:val="0"/>
          <w:noProof/>
          <w:sz w:val="22"/>
          <w:szCs w:val="22"/>
        </w:rPr>
      </w:pPr>
      <w:hyperlink w:anchor="_Toc14799784" w:history="1">
        <w:r w:rsidR="007C76BA" w:rsidRPr="00C27305">
          <w:rPr>
            <w:rStyle w:val="Hyperlink"/>
            <w:noProof/>
          </w:rPr>
          <w:t>Outcome of the EDV Seminar and review of the guidance on EDV provided in document UPOV/EXN/EDV/2 “Explanatory Notes on Essentially Derived Varieties under the 1991 Act of the UPOV Convention”</w:t>
        </w:r>
        <w:r w:rsidR="007C76BA">
          <w:rPr>
            <w:noProof/>
            <w:webHidden/>
          </w:rPr>
          <w:tab/>
        </w:r>
        <w:r w:rsidR="007C76BA">
          <w:rPr>
            <w:noProof/>
            <w:webHidden/>
          </w:rPr>
          <w:fldChar w:fldCharType="begin"/>
        </w:r>
        <w:r w:rsidR="007C76BA">
          <w:rPr>
            <w:noProof/>
            <w:webHidden/>
          </w:rPr>
          <w:instrText xml:space="preserve"> PAGEREF _Toc14799784 \h </w:instrText>
        </w:r>
        <w:r w:rsidR="007C76BA">
          <w:rPr>
            <w:noProof/>
            <w:webHidden/>
          </w:rPr>
        </w:r>
        <w:r w:rsidR="007C76BA">
          <w:rPr>
            <w:noProof/>
            <w:webHidden/>
          </w:rPr>
          <w:fldChar w:fldCharType="separate"/>
        </w:r>
        <w:r w:rsidR="007C76BA">
          <w:rPr>
            <w:noProof/>
            <w:webHidden/>
          </w:rPr>
          <w:t>3</w:t>
        </w:r>
        <w:r w:rsidR="007C76BA">
          <w:rPr>
            <w:noProof/>
            <w:webHidden/>
          </w:rPr>
          <w:fldChar w:fldCharType="end"/>
        </w:r>
      </w:hyperlink>
    </w:p>
    <w:p w:rsidR="007C76BA" w:rsidRDefault="004F3740">
      <w:pPr>
        <w:pStyle w:val="TOC1"/>
        <w:rPr>
          <w:rFonts w:asciiTheme="minorHAnsi" w:eastAsiaTheme="minorEastAsia" w:hAnsiTheme="minorHAnsi" w:cstheme="minorBidi"/>
          <w:caps w:val="0"/>
          <w:noProof/>
          <w:sz w:val="22"/>
          <w:szCs w:val="22"/>
        </w:rPr>
      </w:pPr>
      <w:hyperlink w:anchor="_Toc14799785" w:history="1">
        <w:r w:rsidR="007C76BA" w:rsidRPr="00C27305">
          <w:rPr>
            <w:rStyle w:val="Hyperlink"/>
            <w:noProof/>
          </w:rPr>
          <w:t>Alternative dispute settlement mechanisms for matters concerning essentially derived varieties</w:t>
        </w:r>
        <w:r w:rsidR="007C76BA">
          <w:rPr>
            <w:noProof/>
            <w:webHidden/>
          </w:rPr>
          <w:tab/>
        </w:r>
        <w:r w:rsidR="007C76BA">
          <w:rPr>
            <w:noProof/>
            <w:webHidden/>
          </w:rPr>
          <w:fldChar w:fldCharType="begin"/>
        </w:r>
        <w:r w:rsidR="007C76BA">
          <w:rPr>
            <w:noProof/>
            <w:webHidden/>
          </w:rPr>
          <w:instrText xml:space="preserve"> PAGEREF _Toc14799785 \h </w:instrText>
        </w:r>
        <w:r w:rsidR="007C76BA">
          <w:rPr>
            <w:noProof/>
            <w:webHidden/>
          </w:rPr>
        </w:r>
        <w:r w:rsidR="007C76BA">
          <w:rPr>
            <w:noProof/>
            <w:webHidden/>
          </w:rPr>
          <w:fldChar w:fldCharType="separate"/>
        </w:r>
        <w:r w:rsidR="007C76BA">
          <w:rPr>
            <w:noProof/>
            <w:webHidden/>
          </w:rPr>
          <w:t>4</w:t>
        </w:r>
        <w:r w:rsidR="007C76BA">
          <w:rPr>
            <w:noProof/>
            <w:webHidden/>
          </w:rPr>
          <w:fldChar w:fldCharType="end"/>
        </w:r>
      </w:hyperlink>
    </w:p>
    <w:p w:rsidR="00DB51B4" w:rsidRPr="00DB51B4" w:rsidRDefault="00DB51B4" w:rsidP="00DB51B4">
      <w:pPr>
        <w:tabs>
          <w:tab w:val="left" w:pos="1134"/>
        </w:tabs>
        <w:ind w:left="1134" w:hanging="1134"/>
        <w:rPr>
          <w:snapToGrid w:val="0"/>
        </w:rPr>
      </w:pPr>
      <w:r w:rsidRPr="00DB51B4">
        <w:rPr>
          <w:snapToGrid w:val="0"/>
        </w:rPr>
        <w:fldChar w:fldCharType="end"/>
      </w:r>
      <w:r w:rsidR="00284BA4" w:rsidRPr="007B4B4C">
        <w:t>ANNEX</w:t>
      </w:r>
      <w:r w:rsidRPr="007B4B4C">
        <w:t>:</w:t>
      </w:r>
      <w:r w:rsidRPr="007B4B4C">
        <w:tab/>
      </w:r>
      <w:r w:rsidR="00A33B9D" w:rsidRPr="007B4B4C">
        <w:t>DRAFT PROGRAM</w:t>
      </w:r>
      <w:r w:rsidR="00A33B9D" w:rsidRPr="00DB51B4">
        <w:t xml:space="preserve"> </w:t>
      </w:r>
      <w:r w:rsidR="00A33B9D">
        <w:t>F</w:t>
      </w:r>
      <w:r w:rsidR="006816C0">
        <w:t>OR</w:t>
      </w:r>
      <w:r w:rsidR="00A33B9D">
        <w:t xml:space="preserve"> THE “</w:t>
      </w:r>
      <w:r w:rsidR="00A33B9D" w:rsidRPr="00A33B9D">
        <w:t>SEMINAR ON THE IMPACT OF POLICY ON ESSENTIALLY DERIVED VARIETIES (EDVS) ON BREEDING STRATEGY”</w:t>
      </w:r>
    </w:p>
    <w:p w:rsidR="004A55FB" w:rsidRPr="00DB51B4" w:rsidRDefault="004A55FB" w:rsidP="004A55FB">
      <w:pPr>
        <w:jc w:val="left"/>
        <w:rPr>
          <w:rFonts w:cs="Arial"/>
          <w:u w:val="single"/>
        </w:rPr>
      </w:pPr>
    </w:p>
    <w:p w:rsidR="00DB51B4" w:rsidRDefault="00DB51B4" w:rsidP="004A55FB">
      <w:pPr>
        <w:jc w:val="left"/>
        <w:rPr>
          <w:rFonts w:cs="Arial"/>
          <w:u w:val="single"/>
        </w:rPr>
      </w:pPr>
    </w:p>
    <w:p w:rsidR="004C1CD0" w:rsidRDefault="004C1CD0">
      <w:pPr>
        <w:jc w:val="left"/>
        <w:rPr>
          <w:rFonts w:cs="Arial"/>
          <w:u w:val="single"/>
        </w:rPr>
      </w:pPr>
      <w:r>
        <w:rPr>
          <w:rFonts w:cs="Arial"/>
          <w:u w:val="single"/>
        </w:rPr>
        <w:br w:type="page"/>
      </w:r>
    </w:p>
    <w:p w:rsidR="004A55FB" w:rsidRPr="00DB51B4" w:rsidRDefault="004A55FB" w:rsidP="00DB51B4">
      <w:pPr>
        <w:pStyle w:val="Heading1"/>
      </w:pPr>
      <w:bookmarkStart w:id="6" w:name="_Toc14799781"/>
      <w:r w:rsidRPr="00DB51B4">
        <w:lastRenderedPageBreak/>
        <w:t>Background</w:t>
      </w:r>
      <w:bookmarkEnd w:id="6"/>
    </w:p>
    <w:p w:rsidR="004A55FB" w:rsidRPr="00DB51B4" w:rsidRDefault="004A55FB" w:rsidP="004A55FB">
      <w:pPr>
        <w:jc w:val="left"/>
        <w:rPr>
          <w:rFonts w:cs="Arial"/>
          <w:u w:val="single"/>
        </w:rPr>
      </w:pPr>
    </w:p>
    <w:p w:rsidR="004A55FB" w:rsidRPr="00DB51B4" w:rsidRDefault="004A55FB" w:rsidP="004A55FB">
      <w:pPr>
        <w:keepNext/>
        <w:rPr>
          <w:kern w:val="28"/>
        </w:rPr>
      </w:pPr>
      <w:r w:rsidRPr="006816C0">
        <w:rPr>
          <w:spacing w:val="-2"/>
        </w:rPr>
        <w:fldChar w:fldCharType="begin"/>
      </w:r>
      <w:r w:rsidRPr="006816C0">
        <w:rPr>
          <w:spacing w:val="-2"/>
        </w:rPr>
        <w:instrText xml:space="preserve"> AUTONUM  </w:instrText>
      </w:r>
      <w:r w:rsidRPr="006816C0">
        <w:rPr>
          <w:spacing w:val="-2"/>
        </w:rPr>
        <w:fldChar w:fldCharType="end"/>
      </w:r>
      <w:r w:rsidRPr="006816C0">
        <w:rPr>
          <w:spacing w:val="-2"/>
        </w:rPr>
        <w:tab/>
      </w:r>
      <w:r w:rsidRPr="006816C0">
        <w:rPr>
          <w:spacing w:val="-2"/>
          <w:kern w:val="28"/>
        </w:rPr>
        <w:t>The CAJ, at its seventy-fifth session</w:t>
      </w:r>
      <w:bookmarkStart w:id="7" w:name="_Ref14793986"/>
      <w:r w:rsidR="00822A0B">
        <w:rPr>
          <w:rStyle w:val="FootnoteReference"/>
          <w:spacing w:val="-2"/>
          <w:kern w:val="28"/>
        </w:rPr>
        <w:footnoteReference w:id="2"/>
      </w:r>
      <w:bookmarkEnd w:id="7"/>
      <w:r w:rsidRPr="006816C0">
        <w:rPr>
          <w:spacing w:val="-2"/>
          <w:kern w:val="28"/>
        </w:rPr>
        <w:t xml:space="preserve">, </w:t>
      </w:r>
      <w:r w:rsidR="006816C0">
        <w:rPr>
          <w:spacing w:val="-2"/>
          <w:kern w:val="28"/>
        </w:rPr>
        <w:t xml:space="preserve">considered document </w:t>
      </w:r>
      <w:r w:rsidRPr="006816C0">
        <w:rPr>
          <w:spacing w:val="-2"/>
          <w:kern w:val="28"/>
        </w:rPr>
        <w:t>CAJ/75/3</w:t>
      </w:r>
      <w:r w:rsidRPr="00DB51B4">
        <w:rPr>
          <w:spacing w:val="-2"/>
          <w:kern w:val="28"/>
        </w:rPr>
        <w:t xml:space="preserve"> “Presentations on essentially derived varieties” and the presentations made by the United States of America, the </w:t>
      </w:r>
      <w:r w:rsidRPr="00DB51B4">
        <w:rPr>
          <w:spacing w:val="-2"/>
        </w:rPr>
        <w:t>International Community of Breeders of Asexually Reproduced Ornamental and Fruit Varieties (CIOPORA), the European Seed Association (ESA)</w:t>
      </w:r>
      <w:r w:rsidRPr="00DB51B4">
        <w:t xml:space="preserve"> and the International Seed Federation (ISF) on essentially derived varieties</w:t>
      </w:r>
      <w:r w:rsidR="00822A0B">
        <w:t xml:space="preserve"> (EDVs)</w:t>
      </w:r>
      <w:r w:rsidRPr="00DB51B4">
        <w:t>.</w:t>
      </w:r>
    </w:p>
    <w:p w:rsidR="002E603E" w:rsidRPr="00DB51B4" w:rsidRDefault="002E603E" w:rsidP="002E603E"/>
    <w:p w:rsidR="002E603E" w:rsidRPr="00DB51B4" w:rsidRDefault="002E603E" w:rsidP="00212555">
      <w:pPr>
        <w:keepNext/>
      </w:pPr>
      <w:r w:rsidRPr="00DB51B4">
        <w:fldChar w:fldCharType="begin"/>
      </w:r>
      <w:r w:rsidRPr="00DB51B4">
        <w:instrText xml:space="preserve"> AUTONUM  </w:instrText>
      </w:r>
      <w:r w:rsidRPr="00DB51B4">
        <w:fldChar w:fldCharType="end"/>
      </w:r>
      <w:r w:rsidRPr="00DB51B4">
        <w:tab/>
        <w:t>The CAJ agreed:</w:t>
      </w:r>
    </w:p>
    <w:p w:rsidR="002E603E" w:rsidRPr="00DB51B4" w:rsidRDefault="002E603E" w:rsidP="00212555">
      <w:pPr>
        <w:keepNext/>
      </w:pPr>
    </w:p>
    <w:p w:rsidR="002E603E" w:rsidRPr="00DB51B4" w:rsidRDefault="002E603E" w:rsidP="00212555">
      <w:pPr>
        <w:keepNext/>
        <w:numPr>
          <w:ilvl w:val="0"/>
          <w:numId w:val="2"/>
        </w:numPr>
      </w:pPr>
      <w:r w:rsidRPr="00DB51B4">
        <w:t xml:space="preserve">“to propose to the Council to organize a ‘Seminar on the impact of policy on essentially derived varieties (EDVs) on breeding strategy’, to be held on </w:t>
      </w:r>
      <w:r w:rsidR="006816C0">
        <w:t>the morning of October 30, 2019</w:t>
      </w:r>
      <w:r w:rsidRPr="00DB51B4">
        <w:t>;</w:t>
      </w:r>
    </w:p>
    <w:p w:rsidR="002E603E" w:rsidRPr="00DB51B4" w:rsidRDefault="002E603E" w:rsidP="002E603E"/>
    <w:p w:rsidR="002E603E" w:rsidRPr="00DB51B4" w:rsidRDefault="002E603E" w:rsidP="002E603E">
      <w:pPr>
        <w:numPr>
          <w:ilvl w:val="0"/>
          <w:numId w:val="2"/>
        </w:numPr>
      </w:pPr>
      <w:r w:rsidRPr="00DB51B4">
        <w:t>“that the seminar should include presentations by breeders, judges, academics and UPOV member authorities to provide a range of perspectives on the subject.  The Office of the Union would invite members and observers to submit questions and issues which they would wish to be addressed in the seminar.  The Office of the Union, in consultation with the Chair of the CAJ, would then prepare a draft program for comment by the CAJ by correspondence.  On the basis of comments received, the Chair of the CAJ in conjunction with the Office of the U</w:t>
      </w:r>
      <w:r w:rsidR="007414D8">
        <w:t>nion would finalize the program;</w:t>
      </w:r>
    </w:p>
    <w:p w:rsidR="002E603E" w:rsidRPr="00DB51B4" w:rsidRDefault="002E603E" w:rsidP="002E603E"/>
    <w:p w:rsidR="002E603E" w:rsidRPr="00DB51B4" w:rsidRDefault="002E603E" w:rsidP="002E603E">
      <w:pPr>
        <w:numPr>
          <w:ilvl w:val="0"/>
          <w:numId w:val="2"/>
        </w:numPr>
      </w:pPr>
      <w:r w:rsidRPr="00DB51B4">
        <w:t>“that the seminar should be open to the public, with the recording of the seminar being made available on the UPOV website after a suitable</w:t>
      </w:r>
      <w:r w:rsidR="006816C0">
        <w:t xml:space="preserve"> broadcast delay” (see document CAJ/75/14 “Report”, paragraphs </w:t>
      </w:r>
      <w:r w:rsidRPr="00DB51B4">
        <w:t xml:space="preserve">15 and 16). </w:t>
      </w:r>
    </w:p>
    <w:p w:rsidR="002E603E" w:rsidRPr="00DB51B4" w:rsidRDefault="002E603E" w:rsidP="002E603E">
      <w:pPr>
        <w:pStyle w:val="ListParagraph"/>
      </w:pPr>
    </w:p>
    <w:p w:rsidR="002E603E" w:rsidRPr="00DB51B4" w:rsidRDefault="002E603E" w:rsidP="002E603E">
      <w:pPr>
        <w:rPr>
          <w:rFonts w:eastAsiaTheme="minorEastAsia"/>
        </w:rPr>
      </w:pPr>
      <w:r w:rsidRPr="00DB51B4">
        <w:fldChar w:fldCharType="begin"/>
      </w:r>
      <w:r w:rsidRPr="00DB51B4">
        <w:instrText xml:space="preserve"> AUTONUM  </w:instrText>
      </w:r>
      <w:r w:rsidRPr="00DB51B4">
        <w:fldChar w:fldCharType="end"/>
      </w:r>
      <w:r w:rsidRPr="00DB51B4">
        <w:tab/>
      </w:r>
      <w:r w:rsidRPr="00DB51B4">
        <w:rPr>
          <w:rFonts w:eastAsiaTheme="minorEastAsia"/>
        </w:rPr>
        <w:t xml:space="preserve">The CAJ agreed that the consideration of the revision of the Explanatory Notes on </w:t>
      </w:r>
      <w:r w:rsidRPr="00DB51B4">
        <w:t xml:space="preserve">EDVs </w:t>
      </w:r>
      <w:r w:rsidR="0056504E">
        <w:rPr>
          <w:rFonts w:eastAsiaTheme="minorEastAsia"/>
        </w:rPr>
        <w:t>sh</w:t>
      </w:r>
      <w:r w:rsidR="0056504E" w:rsidRPr="00DB51B4">
        <w:rPr>
          <w:rFonts w:eastAsiaTheme="minorEastAsia"/>
        </w:rPr>
        <w:t xml:space="preserve">ould </w:t>
      </w:r>
      <w:r w:rsidRPr="00DB51B4">
        <w:rPr>
          <w:rFonts w:eastAsiaTheme="minorEastAsia"/>
        </w:rPr>
        <w:t xml:space="preserve">be included in the agenda for the seventy-sixth session of the CAJ, and the outcome of the seminar </w:t>
      </w:r>
      <w:r w:rsidR="0056504E">
        <w:rPr>
          <w:rFonts w:eastAsiaTheme="minorEastAsia"/>
        </w:rPr>
        <w:t>should</w:t>
      </w:r>
      <w:r w:rsidR="0056504E" w:rsidRPr="00DB51B4">
        <w:rPr>
          <w:rFonts w:eastAsiaTheme="minorEastAsia"/>
        </w:rPr>
        <w:t xml:space="preserve"> </w:t>
      </w:r>
      <w:r w:rsidRPr="00DB51B4">
        <w:rPr>
          <w:rFonts w:eastAsiaTheme="minorEastAsia"/>
        </w:rPr>
        <w:t xml:space="preserve">be a basis </w:t>
      </w:r>
      <w:r w:rsidR="0056504E">
        <w:rPr>
          <w:rFonts w:eastAsiaTheme="minorEastAsia"/>
        </w:rPr>
        <w:t>for</w:t>
      </w:r>
      <w:r w:rsidR="0056504E" w:rsidRPr="00DB51B4">
        <w:rPr>
          <w:rFonts w:eastAsiaTheme="minorEastAsia"/>
        </w:rPr>
        <w:t xml:space="preserve"> </w:t>
      </w:r>
      <w:r w:rsidRPr="00DB51B4">
        <w:rPr>
          <w:rFonts w:eastAsiaTheme="minorEastAsia"/>
        </w:rPr>
        <w:t>that consideration (see document CAJ/75/14 “Report”, paragraph 17).</w:t>
      </w:r>
    </w:p>
    <w:p w:rsidR="002E603E" w:rsidRPr="00DB51B4" w:rsidRDefault="002E603E" w:rsidP="002E603E"/>
    <w:p w:rsidR="002E603E" w:rsidRPr="00DB51B4" w:rsidRDefault="002E603E" w:rsidP="002E603E">
      <w:r w:rsidRPr="00DB51B4">
        <w:fldChar w:fldCharType="begin"/>
      </w:r>
      <w:r w:rsidRPr="00DB51B4">
        <w:instrText xml:space="preserve"> AUTONUM  </w:instrText>
      </w:r>
      <w:r w:rsidRPr="00DB51B4">
        <w:fldChar w:fldCharType="end"/>
      </w:r>
      <w:r w:rsidRPr="00DB51B4">
        <w:tab/>
      </w:r>
      <w:r w:rsidR="0056504E">
        <w:t>T</w:t>
      </w:r>
      <w:r w:rsidRPr="00DB51B4">
        <w:t>he Council, at its fifty-second ordinary session</w:t>
      </w:r>
      <w:r w:rsidRPr="00DB51B4">
        <w:rPr>
          <w:rStyle w:val="FootnoteReference"/>
        </w:rPr>
        <w:footnoteReference w:id="3"/>
      </w:r>
      <w:r w:rsidR="006816C0">
        <w:t>,</w:t>
      </w:r>
      <w:r w:rsidRPr="00DB51B4">
        <w:t xml:space="preserve"> approved “the organization of a ‘Seminar on the impact of policy on essentially derived varieties (EDVs) on breeding strategy’, to be held in Geneva on the morning of October 30, 2019” (see document C/52/20 “Report”, paragraph 12(b)).</w:t>
      </w:r>
    </w:p>
    <w:p w:rsidR="002E603E" w:rsidRPr="00DB51B4" w:rsidRDefault="002E603E" w:rsidP="002E603E">
      <w:pPr>
        <w:rPr>
          <w:rFonts w:cs="Arial"/>
        </w:rPr>
      </w:pPr>
    </w:p>
    <w:p w:rsidR="004A55FB" w:rsidRPr="00DB51B4" w:rsidRDefault="004A55FB" w:rsidP="004A55FB">
      <w:pPr>
        <w:jc w:val="left"/>
        <w:rPr>
          <w:rFonts w:cs="Arial"/>
        </w:rPr>
      </w:pPr>
    </w:p>
    <w:p w:rsidR="004A55FB" w:rsidRPr="00DB51B4" w:rsidRDefault="004A55FB" w:rsidP="00EF6650">
      <w:pPr>
        <w:pStyle w:val="Heading2"/>
      </w:pPr>
      <w:bookmarkStart w:id="8" w:name="_Toc14799782"/>
      <w:r w:rsidRPr="00DB51B4">
        <w:t>Replies to UPOV Circular E-19/032 with proposed questions and issues</w:t>
      </w:r>
      <w:r w:rsidR="00A30861" w:rsidRPr="00DB51B4">
        <w:t xml:space="preserve"> </w:t>
      </w:r>
      <w:r w:rsidR="001F2922">
        <w:t>to be addressed in the EDV </w:t>
      </w:r>
      <w:r w:rsidR="00EF6650" w:rsidRPr="00DB51B4">
        <w:t>Seminar</w:t>
      </w:r>
      <w:bookmarkEnd w:id="8"/>
    </w:p>
    <w:p w:rsidR="004A55FB" w:rsidRPr="00DB51B4" w:rsidRDefault="004A55FB" w:rsidP="004A55FB">
      <w:pPr>
        <w:jc w:val="left"/>
        <w:rPr>
          <w:rFonts w:cs="Arial"/>
          <w:spacing w:val="-2"/>
        </w:rPr>
      </w:pPr>
    </w:p>
    <w:p w:rsidR="004A55FB" w:rsidRPr="00DB51B4" w:rsidRDefault="00E843F0" w:rsidP="00E843F0">
      <w:pPr>
        <w:rPr>
          <w:rFonts w:cs="Arial"/>
          <w:spacing w:val="-2"/>
        </w:rPr>
      </w:pPr>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4A55FB" w:rsidRPr="00DB51B4">
        <w:rPr>
          <w:rFonts w:cs="Arial"/>
          <w:spacing w:val="-2"/>
        </w:rPr>
        <w:t xml:space="preserve">In accordance with the above approach, the following members and observers </w:t>
      </w:r>
      <w:r w:rsidR="0056504E">
        <w:rPr>
          <w:rFonts w:cs="Arial"/>
          <w:spacing w:val="-2"/>
        </w:rPr>
        <w:t>submitted</w:t>
      </w:r>
      <w:r w:rsidR="004A55FB" w:rsidRPr="00DB51B4">
        <w:rPr>
          <w:rFonts w:cs="Arial"/>
          <w:spacing w:val="-2"/>
        </w:rPr>
        <w:t xml:space="preserve"> questions and</w:t>
      </w:r>
      <w:r w:rsidR="0056504E">
        <w:rPr>
          <w:rFonts w:cs="Arial"/>
          <w:spacing w:val="-2"/>
        </w:rPr>
        <w:t>/or</w:t>
      </w:r>
      <w:r w:rsidR="004A55FB" w:rsidRPr="00DB51B4">
        <w:rPr>
          <w:rFonts w:cs="Arial"/>
          <w:spacing w:val="-2"/>
        </w:rPr>
        <w:t xml:space="preserve"> issues </w:t>
      </w:r>
      <w:r w:rsidR="00EF6650" w:rsidRPr="00DB51B4">
        <w:rPr>
          <w:rFonts w:cs="Arial"/>
          <w:spacing w:val="-2"/>
        </w:rPr>
        <w:t xml:space="preserve">which they would wish to be addressed in the EDV seminar </w:t>
      </w:r>
      <w:r w:rsidR="004A55FB" w:rsidRPr="00DB51B4">
        <w:rPr>
          <w:rFonts w:cs="Arial"/>
          <w:spacing w:val="-2"/>
        </w:rPr>
        <w:t>in reply to UPOV Circular E-</w:t>
      </w:r>
      <w:r w:rsidR="00EF6650" w:rsidRPr="00DB51B4">
        <w:rPr>
          <w:rFonts w:cs="Arial"/>
          <w:spacing w:val="-2"/>
        </w:rPr>
        <w:t> </w:t>
      </w:r>
      <w:r w:rsidR="00822A0B">
        <w:rPr>
          <w:rFonts w:cs="Arial"/>
          <w:spacing w:val="-2"/>
        </w:rPr>
        <w:t>19/032 of March </w:t>
      </w:r>
      <w:r w:rsidR="004A55FB" w:rsidRPr="00DB51B4">
        <w:rPr>
          <w:rFonts w:cs="Arial"/>
          <w:spacing w:val="-2"/>
        </w:rPr>
        <w:t>8, 2019:  China, European Union, Russian Federation, Sweden, CIOPORA</w:t>
      </w:r>
      <w:r w:rsidR="00822A0B">
        <w:rPr>
          <w:rFonts w:cs="Arial"/>
          <w:spacing w:val="-2"/>
        </w:rPr>
        <w:t>,</w:t>
      </w:r>
      <w:r w:rsidR="004A55FB" w:rsidRPr="00DB51B4">
        <w:rPr>
          <w:rFonts w:cs="Arial"/>
          <w:spacing w:val="-2"/>
        </w:rPr>
        <w:t xml:space="preserve"> </w:t>
      </w:r>
      <w:r w:rsidR="00822A0B" w:rsidRPr="00DB51B4">
        <w:rPr>
          <w:rFonts w:cs="Arial"/>
          <w:spacing w:val="-2"/>
        </w:rPr>
        <w:t xml:space="preserve">ESA </w:t>
      </w:r>
      <w:r w:rsidR="004A55FB" w:rsidRPr="00DB51B4">
        <w:rPr>
          <w:rFonts w:cs="Arial"/>
          <w:spacing w:val="-2"/>
        </w:rPr>
        <w:t>and ISF.</w:t>
      </w:r>
    </w:p>
    <w:p w:rsidR="004A55FB" w:rsidRPr="00DB51B4" w:rsidRDefault="004A55FB" w:rsidP="00E843F0">
      <w:pPr>
        <w:rPr>
          <w:rFonts w:cs="Arial"/>
        </w:rPr>
      </w:pPr>
    </w:p>
    <w:p w:rsidR="004A55FB" w:rsidRPr="00DB51B4" w:rsidRDefault="00E843F0" w:rsidP="004A55FB">
      <w:pPr>
        <w:jc w:val="left"/>
        <w:rPr>
          <w:rFonts w:cs="Arial"/>
          <w:u w:val="single"/>
        </w:rPr>
      </w:pPr>
      <w:r w:rsidRPr="00822A0B">
        <w:rPr>
          <w:rFonts w:cs="Arial"/>
        </w:rPr>
        <w:fldChar w:fldCharType="begin"/>
      </w:r>
      <w:r w:rsidRPr="00822A0B">
        <w:rPr>
          <w:rFonts w:cs="Arial"/>
        </w:rPr>
        <w:instrText xml:space="preserve"> AUTONUM  </w:instrText>
      </w:r>
      <w:r w:rsidRPr="00822A0B">
        <w:rPr>
          <w:rFonts w:cs="Arial"/>
        </w:rPr>
        <w:fldChar w:fldCharType="end"/>
      </w:r>
      <w:r w:rsidRPr="00822A0B">
        <w:rPr>
          <w:rFonts w:cs="Arial"/>
        </w:rPr>
        <w:tab/>
      </w:r>
      <w:r w:rsidR="004A55FB" w:rsidRPr="00822A0B">
        <w:rPr>
          <w:rFonts w:cs="Arial"/>
        </w:rPr>
        <w:t xml:space="preserve">The questions and issues received </w:t>
      </w:r>
      <w:r w:rsidRPr="00822A0B">
        <w:rPr>
          <w:rFonts w:cs="Arial"/>
        </w:rPr>
        <w:t xml:space="preserve">in reply to </w:t>
      </w:r>
      <w:r w:rsidRPr="00822A0B">
        <w:rPr>
          <w:rFonts w:cs="Arial"/>
          <w:spacing w:val="-2"/>
        </w:rPr>
        <w:t xml:space="preserve">UPOV Circular E-19/032 </w:t>
      </w:r>
      <w:r w:rsidR="004A55FB" w:rsidRPr="00822A0B">
        <w:rPr>
          <w:rFonts w:cs="Arial"/>
        </w:rPr>
        <w:t>are summarized as follows:</w:t>
      </w:r>
    </w:p>
    <w:p w:rsidR="004A55FB" w:rsidRPr="00DB51B4" w:rsidRDefault="004A55FB" w:rsidP="004A55FB">
      <w:pPr>
        <w:jc w:val="left"/>
        <w:rPr>
          <w:rFonts w:cs="Arial"/>
        </w:rPr>
      </w:pPr>
    </w:p>
    <w:p w:rsidR="004A55FB" w:rsidRPr="00DB51B4" w:rsidRDefault="004A55FB" w:rsidP="00822A0B">
      <w:pPr>
        <w:numPr>
          <w:ilvl w:val="0"/>
          <w:numId w:val="1"/>
        </w:numPr>
        <w:ind w:left="1134" w:hanging="567"/>
        <w:rPr>
          <w:rFonts w:cs="Arial"/>
        </w:rPr>
      </w:pPr>
      <w:r w:rsidRPr="00DB51B4">
        <w:rPr>
          <w:rFonts w:cs="Arial"/>
        </w:rPr>
        <w:t>origin and experiences in the implementation of the EDV concept (e.g. mutants and modern techniques);</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relationship between breeding methods and determination of EDV;</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challenges of the increasing flow of new varieties developed using modern breeding techniques;</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 xml:space="preserve">how </w:t>
      </w:r>
      <w:r w:rsidR="00822A0B" w:rsidRPr="00DB51B4">
        <w:rPr>
          <w:rFonts w:cs="Arial"/>
        </w:rPr>
        <w:t xml:space="preserve">can </w:t>
      </w:r>
      <w:r w:rsidRPr="00DB51B4">
        <w:rPr>
          <w:rFonts w:cs="Arial"/>
        </w:rPr>
        <w:t>the EDV concept ensure that breeders of initial varieties have an additional source of remuneration</w:t>
      </w:r>
      <w:r w:rsidR="00822A0B">
        <w:rPr>
          <w:rFonts w:cs="Arial"/>
        </w:rPr>
        <w:t>?</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what is the balance between the EDV conc</w:t>
      </w:r>
      <w:r w:rsidR="00822A0B">
        <w:rPr>
          <w:rFonts w:cs="Arial"/>
        </w:rPr>
        <w:t>ept and the breeder’s exemption?</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 xml:space="preserve">possible guidance on the “conformity” requirement under Article 14(5)(b)(iii) of the 1991 Act, in relation to the notion of  “essential characteristics”; </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how is the EDV</w:t>
      </w:r>
      <w:r w:rsidR="00822A0B">
        <w:rPr>
          <w:rFonts w:cs="Arial"/>
        </w:rPr>
        <w:t xml:space="preserve"> concept interpreted by judges?</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what is the perception of the evolut</w:t>
      </w:r>
      <w:r w:rsidR="00822A0B">
        <w:rPr>
          <w:rFonts w:cs="Arial"/>
        </w:rPr>
        <w:t>ion of the number of EDV cases?</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lastRenderedPageBreak/>
        <w:t>what is the evidence on genetic conformity with the initial variety and on conformity in the expression of the essential characte</w:t>
      </w:r>
      <w:r w:rsidR="00822A0B">
        <w:rPr>
          <w:rFonts w:cs="Arial"/>
        </w:rPr>
        <w:t>ristics of the initial variety?</w:t>
      </w:r>
    </w:p>
    <w:p w:rsidR="004A55FB" w:rsidRPr="00DB51B4" w:rsidRDefault="004A55FB" w:rsidP="00822A0B">
      <w:pPr>
        <w:ind w:left="1134" w:hanging="567"/>
        <w:rPr>
          <w:rFonts w:cs="Arial"/>
        </w:rPr>
      </w:pPr>
    </w:p>
    <w:p w:rsidR="004A55FB" w:rsidRPr="00DB51B4" w:rsidRDefault="004A55FB" w:rsidP="00822A0B">
      <w:pPr>
        <w:numPr>
          <w:ilvl w:val="0"/>
          <w:numId w:val="1"/>
        </w:numPr>
        <w:ind w:left="1134" w:hanging="567"/>
        <w:rPr>
          <w:rFonts w:cs="Arial"/>
        </w:rPr>
      </w:pPr>
      <w:r w:rsidRPr="00DB51B4">
        <w:rPr>
          <w:rFonts w:cs="Arial"/>
        </w:rPr>
        <w:t>what should determine the reversal of th</w:t>
      </w:r>
      <w:r w:rsidR="00822A0B">
        <w:rPr>
          <w:rFonts w:cs="Arial"/>
        </w:rPr>
        <w:t>e burden of proof in EDV cases?</w:t>
      </w:r>
    </w:p>
    <w:p w:rsidR="004A55FB" w:rsidRPr="00DB51B4" w:rsidRDefault="004A55FB" w:rsidP="00822A0B">
      <w:pPr>
        <w:ind w:left="1134" w:hanging="567"/>
        <w:contextualSpacing/>
        <w:rPr>
          <w:rFonts w:cs="Arial"/>
        </w:rPr>
      </w:pPr>
    </w:p>
    <w:p w:rsidR="004A55FB" w:rsidRPr="00DB51B4" w:rsidRDefault="004A55FB" w:rsidP="00822A0B">
      <w:pPr>
        <w:numPr>
          <w:ilvl w:val="0"/>
          <w:numId w:val="1"/>
        </w:numPr>
        <w:ind w:left="1134" w:hanging="567"/>
        <w:rPr>
          <w:rFonts w:cs="Arial"/>
        </w:rPr>
      </w:pPr>
      <w:r w:rsidRPr="00DB51B4">
        <w:rPr>
          <w:rFonts w:cs="Arial"/>
        </w:rPr>
        <w:t>what are the strategies for breeding programs using different breeding methods and different crops and species (e.g. agricultural, fruits</w:t>
      </w:r>
      <w:r w:rsidR="00822A0B">
        <w:rPr>
          <w:rFonts w:cs="Arial"/>
        </w:rPr>
        <w:t>, vegetables, and ornamentals)?</w:t>
      </w:r>
    </w:p>
    <w:p w:rsidR="004A55FB" w:rsidRPr="00DB51B4" w:rsidRDefault="004A55FB" w:rsidP="00822A0B">
      <w:pPr>
        <w:ind w:left="1134" w:hanging="567"/>
        <w:contextualSpacing/>
        <w:rPr>
          <w:rFonts w:cs="Arial"/>
        </w:rPr>
      </w:pPr>
    </w:p>
    <w:p w:rsidR="004A55FB" w:rsidRPr="00DB51B4" w:rsidRDefault="004A55FB" w:rsidP="00822A0B">
      <w:pPr>
        <w:numPr>
          <w:ilvl w:val="0"/>
          <w:numId w:val="1"/>
        </w:numPr>
        <w:ind w:left="1134" w:hanging="567"/>
        <w:rPr>
          <w:rFonts w:cs="Arial"/>
        </w:rPr>
      </w:pPr>
      <w:r w:rsidRPr="00DB51B4">
        <w:rPr>
          <w:rFonts w:cs="Arial"/>
        </w:rPr>
        <w:t xml:space="preserve">experiences of differences in the essential characteristics of varieties with specific examples depending on the species and breeding methods; </w:t>
      </w:r>
    </w:p>
    <w:p w:rsidR="004A55FB" w:rsidRPr="00DB51B4" w:rsidRDefault="004A55FB" w:rsidP="00822A0B">
      <w:pPr>
        <w:ind w:left="1134" w:hanging="567"/>
        <w:contextualSpacing/>
        <w:rPr>
          <w:rFonts w:cs="Arial"/>
        </w:rPr>
      </w:pPr>
    </w:p>
    <w:p w:rsidR="004A55FB" w:rsidRPr="00DB51B4" w:rsidRDefault="004A55FB" w:rsidP="00822A0B">
      <w:pPr>
        <w:numPr>
          <w:ilvl w:val="0"/>
          <w:numId w:val="1"/>
        </w:numPr>
        <w:ind w:left="1134" w:hanging="567"/>
        <w:rPr>
          <w:rFonts w:cs="Arial"/>
        </w:rPr>
      </w:pPr>
      <w:r w:rsidRPr="00DB51B4">
        <w:rPr>
          <w:rFonts w:cs="Arial"/>
        </w:rPr>
        <w:t>impact on the EDV concept of developments in plant breeding (e.g. directed mutagenesis; genome of mutant almost identical to the initial variety while the phenotype can be significantly different;  repeated backcrossing; genome editing);  and</w:t>
      </w:r>
    </w:p>
    <w:p w:rsidR="004A55FB" w:rsidRPr="00DB51B4" w:rsidRDefault="004A55FB" w:rsidP="00822A0B">
      <w:pPr>
        <w:ind w:left="1134" w:hanging="567"/>
        <w:contextualSpacing/>
        <w:rPr>
          <w:rFonts w:cs="Arial"/>
        </w:rPr>
      </w:pPr>
    </w:p>
    <w:p w:rsidR="004A55FB" w:rsidRPr="00DB51B4" w:rsidRDefault="004A55FB" w:rsidP="00822A0B">
      <w:pPr>
        <w:numPr>
          <w:ilvl w:val="0"/>
          <w:numId w:val="1"/>
        </w:numPr>
        <w:ind w:left="1134" w:hanging="567"/>
        <w:rPr>
          <w:rFonts w:cs="Arial"/>
        </w:rPr>
      </w:pPr>
      <w:r w:rsidRPr="00DB51B4">
        <w:rPr>
          <w:rFonts w:cs="Arial"/>
        </w:rPr>
        <w:t>is the current guidance in document UPOV/EXN/EDV/2 addressing the needs of all types of breeding programs?</w:t>
      </w:r>
    </w:p>
    <w:p w:rsidR="00EF6650" w:rsidRPr="00DB51B4" w:rsidRDefault="00EF6650" w:rsidP="004A55FB">
      <w:pPr>
        <w:rPr>
          <w:rFonts w:cs="Arial"/>
        </w:rPr>
      </w:pPr>
    </w:p>
    <w:p w:rsidR="00EF6650" w:rsidRPr="00DB51B4" w:rsidRDefault="00EF6650" w:rsidP="004A55FB">
      <w:pPr>
        <w:rPr>
          <w:rFonts w:cs="Arial"/>
        </w:rPr>
      </w:pPr>
    </w:p>
    <w:p w:rsidR="00EF6650" w:rsidRPr="00DB51B4" w:rsidRDefault="001F2922" w:rsidP="00EF6650">
      <w:pPr>
        <w:pStyle w:val="Heading2"/>
      </w:pPr>
      <w:bookmarkStart w:id="9" w:name="_Toc14799783"/>
      <w:r>
        <w:t>Preparation of the Draft </w:t>
      </w:r>
      <w:r w:rsidR="00EF6650" w:rsidRPr="00DB51B4">
        <w:t xml:space="preserve">Program </w:t>
      </w:r>
      <w:r>
        <w:t>for the EDV </w:t>
      </w:r>
      <w:r w:rsidR="00EF6650" w:rsidRPr="00DB51B4">
        <w:t>Seminar for approval by the CAJ by correspondence</w:t>
      </w:r>
      <w:bookmarkEnd w:id="9"/>
    </w:p>
    <w:p w:rsidR="00EF6650" w:rsidRPr="00DB51B4" w:rsidRDefault="00EF6650" w:rsidP="004A55FB">
      <w:pPr>
        <w:rPr>
          <w:rFonts w:cs="Arial"/>
        </w:rPr>
      </w:pPr>
    </w:p>
    <w:p w:rsidR="004A55FB" w:rsidRPr="00DB51B4" w:rsidRDefault="00E843F0" w:rsidP="00E843F0">
      <w:r w:rsidRPr="00DB51B4">
        <w:fldChar w:fldCharType="begin"/>
      </w:r>
      <w:r w:rsidRPr="00DB51B4">
        <w:instrText xml:space="preserve"> AUTONUM  </w:instrText>
      </w:r>
      <w:r w:rsidRPr="00DB51B4">
        <w:fldChar w:fldCharType="end"/>
      </w:r>
      <w:r w:rsidRPr="00DB51B4">
        <w:tab/>
      </w:r>
      <w:r w:rsidR="004A55FB" w:rsidRPr="00DB51B4">
        <w:t>In discussions with the Chair of the CAJ</w:t>
      </w:r>
      <w:r w:rsidR="00EF6650" w:rsidRPr="00DB51B4">
        <w:t xml:space="preserve"> in the </w:t>
      </w:r>
      <w:r w:rsidR="00761618" w:rsidRPr="00DB51B4">
        <w:t xml:space="preserve">preparation of the </w:t>
      </w:r>
      <w:r w:rsidR="0056504E" w:rsidRPr="00DB51B4">
        <w:t xml:space="preserve">draft program </w:t>
      </w:r>
      <w:r w:rsidR="00EF6650" w:rsidRPr="00DB51B4">
        <w:t>for the EDV Seminar</w:t>
      </w:r>
      <w:r w:rsidR="004A55FB" w:rsidRPr="00DB51B4">
        <w:t xml:space="preserve">, it was recalled that </w:t>
      </w:r>
      <w:r w:rsidR="004A55FB" w:rsidRPr="00822A0B">
        <w:t xml:space="preserve">the </w:t>
      </w:r>
      <w:r w:rsidR="00822A0B">
        <w:t>“</w:t>
      </w:r>
      <w:r w:rsidR="004A55FB" w:rsidRPr="00822A0B">
        <w:t xml:space="preserve">Seminar on </w:t>
      </w:r>
      <w:r w:rsidR="00822A0B">
        <w:t>essentially derived varieties (</w:t>
      </w:r>
      <w:r w:rsidR="004A55FB" w:rsidRPr="00822A0B">
        <w:t>EDVs</w:t>
      </w:r>
      <w:r w:rsidR="00822A0B">
        <w:t>)”</w:t>
      </w:r>
      <w:r w:rsidR="004A55FB" w:rsidRPr="00DB51B4">
        <w:t xml:space="preserve"> held in 2013 had included presentations by UPOV member authorities and presentations concerning court decisions on EDVs (see </w:t>
      </w:r>
      <w:hyperlink r:id="rId9" w:history="1">
        <w:r w:rsidR="004A55FB" w:rsidRPr="00DB51B4">
          <w:rPr>
            <w:color w:val="0000FF"/>
            <w:u w:val="single"/>
          </w:rPr>
          <w:t>https://www.upov.int/meetings/en/details.jsp?meeting_id=29782</w:t>
        </w:r>
      </w:hyperlink>
      <w:r w:rsidR="004A55FB" w:rsidRPr="00DB51B4">
        <w:t>).</w:t>
      </w:r>
    </w:p>
    <w:p w:rsidR="004A55FB" w:rsidRPr="00DB51B4" w:rsidRDefault="004A55FB" w:rsidP="00E843F0"/>
    <w:p w:rsidR="004A55FB" w:rsidRPr="00DB51B4" w:rsidRDefault="00E843F0" w:rsidP="00E843F0">
      <w:r w:rsidRPr="00DB51B4">
        <w:fldChar w:fldCharType="begin"/>
      </w:r>
      <w:r w:rsidRPr="00DB51B4">
        <w:instrText xml:space="preserve"> AUTONUM  </w:instrText>
      </w:r>
      <w:r w:rsidRPr="00DB51B4">
        <w:fldChar w:fldCharType="end"/>
      </w:r>
      <w:r w:rsidRPr="00DB51B4">
        <w:tab/>
      </w:r>
      <w:r w:rsidR="004A55FB" w:rsidRPr="00DB51B4">
        <w:t xml:space="preserve">Therefore, Session I in the draft program is intended to provide an overview of the developments that have arisen since the Seminar on EDVs of 2013 concerning academic perspectives and experiences from judges and authorities.  </w:t>
      </w:r>
    </w:p>
    <w:p w:rsidR="004A55FB" w:rsidRPr="00DB51B4" w:rsidRDefault="004A55FB" w:rsidP="00E843F0"/>
    <w:p w:rsidR="004A55FB" w:rsidRPr="00DB51B4" w:rsidRDefault="00E843F0" w:rsidP="00E843F0">
      <w:r w:rsidRPr="00DB51B4">
        <w:fldChar w:fldCharType="begin"/>
      </w:r>
      <w:r w:rsidRPr="00DB51B4">
        <w:instrText xml:space="preserve"> AUTONUM  </w:instrText>
      </w:r>
      <w:r w:rsidRPr="00DB51B4">
        <w:fldChar w:fldCharType="end"/>
      </w:r>
      <w:r w:rsidRPr="00DB51B4">
        <w:tab/>
      </w:r>
      <w:r w:rsidR="004A55FB" w:rsidRPr="00DB51B4">
        <w:t>It was further recalled that the aim of the Seminar was to consider the impact of EDVs on breeding strategy, which would require input from breeders</w:t>
      </w:r>
      <w:r w:rsidR="0056504E">
        <w:t>,</w:t>
      </w:r>
      <w:r w:rsidR="004A55FB" w:rsidRPr="00DB51B4">
        <w:t xml:space="preserve"> in particular.  Therefore, and in recognition of the limited duration of the Seminar, </w:t>
      </w:r>
      <w:r w:rsidRPr="00DB51B4">
        <w:t xml:space="preserve">the </w:t>
      </w:r>
      <w:r w:rsidR="004A55FB" w:rsidRPr="00DB51B4">
        <w:t xml:space="preserve">presentations in Session II focus on breeders’ perspectives.  The speakers will </w:t>
      </w:r>
      <w:r w:rsidR="004A55FB" w:rsidRPr="00E85C19">
        <w:t>be invited to address the issues and questions</w:t>
      </w:r>
      <w:r w:rsidR="0056504E" w:rsidRPr="00E85C19">
        <w:t xml:space="preserve"> raised in response to Circular E-19/032 </w:t>
      </w:r>
      <w:r w:rsidR="00EF6650" w:rsidRPr="00E85C19">
        <w:t xml:space="preserve">(see paragraph </w:t>
      </w:r>
      <w:r w:rsidR="00E85C19">
        <w:t>9</w:t>
      </w:r>
      <w:r w:rsidR="00EF6650" w:rsidRPr="00E85C19">
        <w:t>)</w:t>
      </w:r>
      <w:r w:rsidR="004A55FB" w:rsidRPr="00E85C19">
        <w:t>, as</w:t>
      </w:r>
      <w:r w:rsidR="004A55FB" w:rsidRPr="00DB51B4">
        <w:t xml:space="preserve"> appropriate. </w:t>
      </w:r>
    </w:p>
    <w:p w:rsidR="004A55FB" w:rsidRPr="00DB51B4" w:rsidRDefault="004A55FB" w:rsidP="00E843F0">
      <w:pPr>
        <w:rPr>
          <w:rFonts w:cs="Arial"/>
        </w:rPr>
      </w:pPr>
    </w:p>
    <w:p w:rsidR="00761618" w:rsidRPr="00DB51B4" w:rsidRDefault="00761618" w:rsidP="00E843F0">
      <w:pPr>
        <w:rPr>
          <w:rFonts w:cs="Arial"/>
        </w:rPr>
      </w:pPr>
      <w:r w:rsidRPr="00DB51B4">
        <w:rPr>
          <w:rFonts w:cs="Arial"/>
        </w:rPr>
        <w:fldChar w:fldCharType="begin"/>
      </w:r>
      <w:r w:rsidRPr="00DB51B4">
        <w:rPr>
          <w:rFonts w:cs="Arial"/>
        </w:rPr>
        <w:instrText xml:space="preserve"> AUTONUM  </w:instrText>
      </w:r>
      <w:r w:rsidRPr="00DB51B4">
        <w:rPr>
          <w:rFonts w:cs="Arial"/>
        </w:rPr>
        <w:fldChar w:fldCharType="end"/>
      </w:r>
      <w:r w:rsidRPr="00DB51B4">
        <w:rPr>
          <w:rFonts w:cs="Arial"/>
        </w:rPr>
        <w:tab/>
      </w:r>
      <w:r w:rsidR="0056504E">
        <w:rPr>
          <w:rFonts w:cs="Arial"/>
        </w:rPr>
        <w:t>T</w:t>
      </w:r>
      <w:r w:rsidRPr="00DB51B4">
        <w:rPr>
          <w:rFonts w:cs="Arial"/>
        </w:rPr>
        <w:t xml:space="preserve">he Draft Program for the EDV Seminar, prepared in consultation with the Chair of the CAJ, was circulated to the CAJ for approval by correspondence with UPOV Circular E-19/090 of June 20, 2019.  </w:t>
      </w:r>
      <w:r w:rsidRPr="00E85C19">
        <w:rPr>
          <w:rFonts w:cs="Arial"/>
        </w:rPr>
        <w:t>No comments were received</w:t>
      </w:r>
      <w:r w:rsidR="0056504E" w:rsidRPr="00E85C19">
        <w:rPr>
          <w:rFonts w:cs="Arial"/>
        </w:rPr>
        <w:t xml:space="preserve"> on the draft program as</w:t>
      </w:r>
      <w:r w:rsidR="00CF1E57" w:rsidRPr="00E85C19">
        <w:rPr>
          <w:rFonts w:cs="Arial"/>
        </w:rPr>
        <w:t xml:space="preserve"> </w:t>
      </w:r>
      <w:r w:rsidRPr="00E85C19">
        <w:rPr>
          <w:rFonts w:cs="Arial"/>
        </w:rPr>
        <w:t>reproduced in the Annex to this document.</w:t>
      </w:r>
      <w:r w:rsidRPr="00DB51B4">
        <w:rPr>
          <w:rFonts w:cs="Arial"/>
        </w:rPr>
        <w:t xml:space="preserve">  </w:t>
      </w:r>
    </w:p>
    <w:p w:rsidR="00E843F0" w:rsidRPr="00DB51B4" w:rsidRDefault="00E843F0" w:rsidP="004A55FB">
      <w:pPr>
        <w:rPr>
          <w:rFonts w:cs="Arial"/>
          <w:spacing w:val="-2"/>
        </w:rPr>
      </w:pPr>
    </w:p>
    <w:p w:rsidR="00600A9C" w:rsidRPr="00DB51B4" w:rsidRDefault="00AD316B" w:rsidP="004A55FB">
      <w:pPr>
        <w:rPr>
          <w:rFonts w:cs="Arial"/>
          <w:spacing w:val="-2"/>
        </w:rPr>
      </w:pPr>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600A9C" w:rsidRPr="00DB51B4">
        <w:rPr>
          <w:rFonts w:cs="Arial"/>
          <w:spacing w:val="-2"/>
        </w:rPr>
        <w:t xml:space="preserve">The CAJ agreed that the EDV Seminar should be open to the public, with the recording of the Seminar being made available on the UPOV website after a suitable broadcast delay.  The online registration </w:t>
      </w:r>
      <w:r w:rsidR="00E85C19">
        <w:rPr>
          <w:rFonts w:cs="Arial"/>
          <w:spacing w:val="-2"/>
        </w:rPr>
        <w:br/>
      </w:r>
      <w:r w:rsidR="00600A9C" w:rsidRPr="00DB51B4">
        <w:rPr>
          <w:rFonts w:cs="Arial"/>
          <w:spacing w:val="-2"/>
        </w:rPr>
        <w:t xml:space="preserve">and the Draft Program of the EDV Seminar approved by the CAJ are available at </w:t>
      </w:r>
      <w:hyperlink r:id="rId10" w:history="1">
        <w:r w:rsidR="00600A9C" w:rsidRPr="00DB51B4">
          <w:rPr>
            <w:rStyle w:val="Hyperlink"/>
            <w:rFonts w:cs="Arial"/>
            <w:spacing w:val="-2"/>
          </w:rPr>
          <w:t>https://www.upov.int/meetings/en/details.jsp?meeting_id=50787</w:t>
        </w:r>
      </w:hyperlink>
      <w:r w:rsidR="008636A2" w:rsidRPr="008636A2">
        <w:rPr>
          <w:rStyle w:val="Hyperlink"/>
          <w:rFonts w:cs="Arial"/>
          <w:color w:val="auto"/>
          <w:spacing w:val="-2"/>
          <w:u w:val="none"/>
        </w:rPr>
        <w:t>.</w:t>
      </w:r>
    </w:p>
    <w:p w:rsidR="00600A9C" w:rsidRPr="00DB51B4" w:rsidRDefault="00600A9C" w:rsidP="004A55FB">
      <w:pPr>
        <w:rPr>
          <w:rFonts w:cs="Arial"/>
          <w:spacing w:val="-2"/>
        </w:rPr>
      </w:pPr>
    </w:p>
    <w:p w:rsidR="00600A9C" w:rsidRPr="00DB51B4" w:rsidRDefault="00D100ED" w:rsidP="004A55FB">
      <w:pPr>
        <w:rPr>
          <w:rFonts w:cs="Arial"/>
          <w:spacing w:val="-2"/>
        </w:rPr>
      </w:pPr>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A30861" w:rsidRPr="00DB51B4">
        <w:rPr>
          <w:rFonts w:cs="Arial"/>
          <w:spacing w:val="-2"/>
        </w:rPr>
        <w:t xml:space="preserve">It is </w:t>
      </w:r>
      <w:r w:rsidR="0056504E">
        <w:rPr>
          <w:rFonts w:cs="Arial"/>
          <w:spacing w:val="-2"/>
        </w:rPr>
        <w:t>planned to publish the</w:t>
      </w:r>
      <w:r w:rsidR="00A30861" w:rsidRPr="00DB51B4">
        <w:rPr>
          <w:rFonts w:cs="Arial"/>
          <w:spacing w:val="-2"/>
        </w:rPr>
        <w:t xml:space="preserve"> proceedings of the EDV Seminar</w:t>
      </w:r>
      <w:r w:rsidR="00CF1E57">
        <w:rPr>
          <w:rFonts w:cs="Arial"/>
          <w:spacing w:val="-2"/>
        </w:rPr>
        <w:t xml:space="preserve"> in the four UPOV languages (English, French, German and Spanish),</w:t>
      </w:r>
      <w:r w:rsidR="00A30861" w:rsidRPr="00DB51B4">
        <w:rPr>
          <w:rFonts w:cs="Arial"/>
          <w:spacing w:val="-2"/>
        </w:rPr>
        <w:t xml:space="preserve"> including the presentations and discussions</w:t>
      </w:r>
      <w:r w:rsidR="00CF1E57">
        <w:rPr>
          <w:rFonts w:cs="Arial"/>
          <w:spacing w:val="-2"/>
        </w:rPr>
        <w:t>,</w:t>
      </w:r>
      <w:r w:rsidR="00A30861" w:rsidRPr="00DB51B4">
        <w:rPr>
          <w:rFonts w:cs="Arial"/>
          <w:spacing w:val="-2"/>
        </w:rPr>
        <w:t xml:space="preserve"> </w:t>
      </w:r>
      <w:r w:rsidR="0056504E">
        <w:rPr>
          <w:rFonts w:cs="Arial"/>
          <w:spacing w:val="-2"/>
        </w:rPr>
        <w:t xml:space="preserve">as soon as possible after the </w:t>
      </w:r>
      <w:r w:rsidR="00CF1E57">
        <w:rPr>
          <w:rFonts w:cs="Arial"/>
          <w:spacing w:val="-2"/>
        </w:rPr>
        <w:t>Seminar</w:t>
      </w:r>
      <w:r w:rsidR="00A30861" w:rsidRPr="00DB51B4">
        <w:rPr>
          <w:rFonts w:cs="Arial"/>
          <w:spacing w:val="-2"/>
        </w:rPr>
        <w:t xml:space="preserve">. </w:t>
      </w:r>
    </w:p>
    <w:p w:rsidR="00A30861" w:rsidRDefault="00A30861" w:rsidP="004A55FB">
      <w:pPr>
        <w:rPr>
          <w:rFonts w:cs="Arial"/>
          <w:spacing w:val="-2"/>
        </w:rPr>
      </w:pPr>
    </w:p>
    <w:p w:rsidR="00AD316B" w:rsidRDefault="00AD316B" w:rsidP="004A55FB">
      <w:pPr>
        <w:rPr>
          <w:rFonts w:cs="Arial"/>
          <w:spacing w:val="-2"/>
        </w:rPr>
      </w:pPr>
    </w:p>
    <w:p w:rsidR="009D5818" w:rsidRPr="00DB51B4" w:rsidRDefault="009D5818" w:rsidP="004A55FB">
      <w:pPr>
        <w:rPr>
          <w:rFonts w:cs="Arial"/>
          <w:spacing w:val="-2"/>
        </w:rPr>
      </w:pPr>
    </w:p>
    <w:p w:rsidR="00E843F0" w:rsidRPr="00DB51B4" w:rsidRDefault="00A33B9D" w:rsidP="004C1CD0">
      <w:pPr>
        <w:pStyle w:val="Heading1"/>
      </w:pPr>
      <w:bookmarkStart w:id="10" w:name="_Toc14799784"/>
      <w:r>
        <w:t xml:space="preserve">Outcome of the EDV </w:t>
      </w:r>
      <w:r w:rsidR="00AD316B" w:rsidRPr="00DB51B4">
        <w:t xml:space="preserve">Seminar and </w:t>
      </w:r>
      <w:r w:rsidR="00600A9C" w:rsidRPr="00DB51B4">
        <w:t xml:space="preserve">review </w:t>
      </w:r>
      <w:r w:rsidR="00AD316B" w:rsidRPr="00DB51B4">
        <w:t>of the guidan</w:t>
      </w:r>
      <w:r w:rsidR="001F2922">
        <w:t xml:space="preserve">ce on EDV provided in </w:t>
      </w:r>
      <w:r>
        <w:t xml:space="preserve">document </w:t>
      </w:r>
      <w:r w:rsidR="00AD316B" w:rsidRPr="00DB51B4">
        <w:t>UPOV/EXN/EDV/2 “</w:t>
      </w:r>
      <w:r w:rsidR="00E85C19" w:rsidRPr="00E85C19">
        <w:t>Explanatory Notes on Essentially Derived Varieties under the 1991 Act of the UPOV Convention</w:t>
      </w:r>
      <w:r w:rsidR="00AD316B" w:rsidRPr="00DB51B4">
        <w:t>”</w:t>
      </w:r>
      <w:bookmarkEnd w:id="10"/>
    </w:p>
    <w:p w:rsidR="00AD316B" w:rsidRPr="00DB51B4" w:rsidRDefault="00AD316B" w:rsidP="004A55FB">
      <w:pPr>
        <w:rPr>
          <w:rFonts w:cs="Arial"/>
          <w:spacing w:val="-2"/>
        </w:rPr>
      </w:pPr>
    </w:p>
    <w:p w:rsidR="00761618" w:rsidRPr="00A15F46" w:rsidRDefault="00D100ED" w:rsidP="004A55FB">
      <w:pPr>
        <w:rPr>
          <w:rFonts w:cs="Arial"/>
          <w:spacing w:val="-2"/>
        </w:rPr>
      </w:pPr>
      <w:r w:rsidRPr="00A15F46">
        <w:rPr>
          <w:rFonts w:cs="Arial"/>
          <w:spacing w:val="-2"/>
        </w:rPr>
        <w:fldChar w:fldCharType="begin"/>
      </w:r>
      <w:r w:rsidRPr="00A15F46">
        <w:rPr>
          <w:rFonts w:cs="Arial"/>
          <w:spacing w:val="-2"/>
        </w:rPr>
        <w:instrText xml:space="preserve"> AUTONUM  </w:instrText>
      </w:r>
      <w:r w:rsidRPr="00A15F46">
        <w:rPr>
          <w:rFonts w:cs="Arial"/>
          <w:spacing w:val="-2"/>
        </w:rPr>
        <w:fldChar w:fldCharType="end"/>
      </w:r>
      <w:r w:rsidRPr="00A15F46">
        <w:rPr>
          <w:rFonts w:cs="Arial"/>
          <w:spacing w:val="-2"/>
        </w:rPr>
        <w:tab/>
      </w:r>
      <w:r w:rsidR="00AD316B" w:rsidRPr="00A15F46">
        <w:rPr>
          <w:rFonts w:cs="Arial"/>
          <w:spacing w:val="-2"/>
        </w:rPr>
        <w:t xml:space="preserve">The CAJ, </w:t>
      </w:r>
      <w:r w:rsidR="00AD316B" w:rsidRPr="00A15F46">
        <w:rPr>
          <w:spacing w:val="-2"/>
          <w:kern w:val="28"/>
        </w:rPr>
        <w:t>at its seventy-fifth session</w:t>
      </w:r>
      <w:r w:rsidR="00E85C19" w:rsidRPr="00A15F46">
        <w:rPr>
          <w:spacing w:val="-2"/>
          <w:kern w:val="28"/>
          <w:vertAlign w:val="superscript"/>
        </w:rPr>
        <w:fldChar w:fldCharType="begin"/>
      </w:r>
      <w:r w:rsidR="00E85C19" w:rsidRPr="00A15F46">
        <w:rPr>
          <w:spacing w:val="-2"/>
          <w:kern w:val="28"/>
          <w:vertAlign w:val="superscript"/>
        </w:rPr>
        <w:instrText xml:space="preserve"> NOTEREF _Ref14793986 \h  \* MERGEFORMAT </w:instrText>
      </w:r>
      <w:r w:rsidR="00E85C19" w:rsidRPr="00A15F46">
        <w:rPr>
          <w:spacing w:val="-2"/>
          <w:kern w:val="28"/>
          <w:vertAlign w:val="superscript"/>
        </w:rPr>
      </w:r>
      <w:r w:rsidR="00E85C19" w:rsidRPr="00A15F46">
        <w:rPr>
          <w:spacing w:val="-2"/>
          <w:kern w:val="28"/>
          <w:vertAlign w:val="superscript"/>
        </w:rPr>
        <w:fldChar w:fldCharType="separate"/>
      </w:r>
      <w:r w:rsidR="00E85C19" w:rsidRPr="00A15F46">
        <w:rPr>
          <w:spacing w:val="-2"/>
          <w:kern w:val="28"/>
          <w:vertAlign w:val="superscript"/>
        </w:rPr>
        <w:t>1</w:t>
      </w:r>
      <w:r w:rsidR="00E85C19" w:rsidRPr="00A15F46">
        <w:rPr>
          <w:spacing w:val="-2"/>
          <w:kern w:val="28"/>
          <w:vertAlign w:val="superscript"/>
        </w:rPr>
        <w:fldChar w:fldCharType="end"/>
      </w:r>
      <w:r w:rsidR="00AD316B" w:rsidRPr="00A15F46">
        <w:rPr>
          <w:spacing w:val="-2"/>
          <w:kern w:val="28"/>
        </w:rPr>
        <w:t xml:space="preserve">, </w:t>
      </w:r>
      <w:r w:rsidR="00AD316B" w:rsidRPr="00A15F46">
        <w:rPr>
          <w:rFonts w:cs="Arial"/>
          <w:spacing w:val="-2"/>
        </w:rPr>
        <w:t xml:space="preserve">agreed that the consideration of </w:t>
      </w:r>
      <w:r w:rsidR="00E85C19" w:rsidRPr="00A15F46">
        <w:rPr>
          <w:rFonts w:cs="Arial"/>
          <w:spacing w:val="-2"/>
        </w:rPr>
        <w:t>the revision of the Explanatory </w:t>
      </w:r>
      <w:r w:rsidR="00AD316B" w:rsidRPr="00A15F46">
        <w:rPr>
          <w:rFonts w:cs="Arial"/>
          <w:spacing w:val="-2"/>
        </w:rPr>
        <w:t xml:space="preserve">Notes on EDVs </w:t>
      </w:r>
      <w:r w:rsidR="0056504E" w:rsidRPr="00A15F46">
        <w:rPr>
          <w:rFonts w:cs="Arial"/>
          <w:spacing w:val="-2"/>
        </w:rPr>
        <w:t xml:space="preserve">should </w:t>
      </w:r>
      <w:r w:rsidR="00AD316B" w:rsidRPr="00A15F46">
        <w:rPr>
          <w:rFonts w:cs="Arial"/>
          <w:spacing w:val="-2"/>
        </w:rPr>
        <w:t xml:space="preserve">be included in the agenda for the seventy-sixth session of the CAJ, and </w:t>
      </w:r>
      <w:r w:rsidR="000857C9" w:rsidRPr="00A15F46">
        <w:rPr>
          <w:rFonts w:cs="Arial"/>
          <w:spacing w:val="-2"/>
        </w:rPr>
        <w:t xml:space="preserve">that </w:t>
      </w:r>
      <w:r w:rsidR="00AD316B" w:rsidRPr="00A15F46">
        <w:rPr>
          <w:rFonts w:cs="Arial"/>
          <w:spacing w:val="-2"/>
        </w:rPr>
        <w:t xml:space="preserve">the outcome of the seminar </w:t>
      </w:r>
      <w:r w:rsidR="000857C9" w:rsidRPr="00A15F46">
        <w:rPr>
          <w:rFonts w:cs="Arial"/>
          <w:spacing w:val="-2"/>
        </w:rPr>
        <w:t xml:space="preserve">should </w:t>
      </w:r>
      <w:r w:rsidR="00AD316B" w:rsidRPr="00A15F46">
        <w:rPr>
          <w:rFonts w:cs="Arial"/>
          <w:spacing w:val="-2"/>
        </w:rPr>
        <w:t>be a basis to that consideration (see documen</w:t>
      </w:r>
      <w:r w:rsidR="00E85C19" w:rsidRPr="00A15F46">
        <w:rPr>
          <w:rFonts w:cs="Arial"/>
          <w:spacing w:val="-2"/>
        </w:rPr>
        <w:t>t CAJ/75/14 “Report”, paragraph </w:t>
      </w:r>
      <w:r w:rsidR="00AD316B" w:rsidRPr="00A15F46">
        <w:rPr>
          <w:rFonts w:cs="Arial"/>
          <w:spacing w:val="-2"/>
        </w:rPr>
        <w:t>17).</w:t>
      </w:r>
    </w:p>
    <w:p w:rsidR="00761618" w:rsidRPr="00A15F46" w:rsidRDefault="00761618" w:rsidP="004A55FB">
      <w:pPr>
        <w:rPr>
          <w:rFonts w:cs="Arial"/>
          <w:spacing w:val="-2"/>
        </w:rPr>
      </w:pPr>
    </w:p>
    <w:p w:rsidR="009D5818" w:rsidRDefault="00600A9C" w:rsidP="00600A9C">
      <w:pPr>
        <w:rPr>
          <w:rFonts w:cs="Arial"/>
          <w:spacing w:val="-2"/>
        </w:rPr>
      </w:pPr>
      <w:r w:rsidRPr="00A15F46">
        <w:rPr>
          <w:rFonts w:cs="Arial"/>
          <w:spacing w:val="-2"/>
        </w:rPr>
        <w:fldChar w:fldCharType="begin"/>
      </w:r>
      <w:r w:rsidRPr="00A15F46">
        <w:rPr>
          <w:rFonts w:cs="Arial"/>
          <w:spacing w:val="-2"/>
        </w:rPr>
        <w:instrText xml:space="preserve"> AUTONUM  </w:instrText>
      </w:r>
      <w:r w:rsidRPr="00A15F46">
        <w:rPr>
          <w:rFonts w:cs="Arial"/>
          <w:spacing w:val="-2"/>
        </w:rPr>
        <w:fldChar w:fldCharType="end"/>
      </w:r>
      <w:r w:rsidRPr="00A15F46">
        <w:rPr>
          <w:rFonts w:cs="Arial"/>
          <w:spacing w:val="-2"/>
        </w:rPr>
        <w:tab/>
        <w:t>A summary of the outcome of the EDV Seminar will be presented to the CAJ, at its seventy-sixth session</w:t>
      </w:r>
      <w:bookmarkStart w:id="11" w:name="_Ref14794265"/>
      <w:r w:rsidRPr="00A15F46">
        <w:rPr>
          <w:rStyle w:val="FootnoteReference"/>
          <w:rFonts w:cs="Arial"/>
          <w:spacing w:val="-2"/>
        </w:rPr>
        <w:footnoteReference w:id="4"/>
      </w:r>
      <w:bookmarkEnd w:id="11"/>
      <w:r w:rsidRPr="00A15F46">
        <w:rPr>
          <w:rFonts w:cs="Arial"/>
          <w:spacing w:val="-2"/>
        </w:rPr>
        <w:t xml:space="preserve">, in an oral report by the Chair of the CAJ. </w:t>
      </w:r>
      <w:r w:rsidR="009D5818">
        <w:rPr>
          <w:rFonts w:cs="Arial"/>
          <w:spacing w:val="-2"/>
        </w:rPr>
        <w:br w:type="page"/>
      </w:r>
    </w:p>
    <w:p w:rsidR="00600A9C" w:rsidRPr="00DB51B4" w:rsidRDefault="00600A9C" w:rsidP="00600A9C">
      <w:pPr>
        <w:rPr>
          <w:rFonts w:cs="Arial"/>
          <w:spacing w:val="-2"/>
        </w:rPr>
      </w:pPr>
      <w:r w:rsidRPr="00A15F46">
        <w:rPr>
          <w:rFonts w:cs="Arial"/>
          <w:spacing w:val="-2"/>
        </w:rPr>
        <w:lastRenderedPageBreak/>
        <w:fldChar w:fldCharType="begin"/>
      </w:r>
      <w:r w:rsidRPr="00A15F46">
        <w:rPr>
          <w:rFonts w:cs="Arial"/>
          <w:spacing w:val="-2"/>
        </w:rPr>
        <w:instrText xml:space="preserve"> AUTONUM  </w:instrText>
      </w:r>
      <w:r w:rsidRPr="00A15F46">
        <w:rPr>
          <w:rFonts w:cs="Arial"/>
          <w:spacing w:val="-2"/>
        </w:rPr>
        <w:fldChar w:fldCharType="end"/>
      </w:r>
      <w:r w:rsidRPr="00A15F46">
        <w:rPr>
          <w:rFonts w:cs="Arial"/>
          <w:spacing w:val="-2"/>
        </w:rPr>
        <w:tab/>
        <w:t xml:space="preserve">On the above basis, the CAJ will be invited to consider </w:t>
      </w:r>
      <w:r w:rsidR="000857C9" w:rsidRPr="00A15F46">
        <w:rPr>
          <w:rFonts w:cs="Arial"/>
          <w:spacing w:val="-2"/>
        </w:rPr>
        <w:t>whether to initiate a</w:t>
      </w:r>
      <w:r w:rsidRPr="00A15F46">
        <w:rPr>
          <w:rFonts w:cs="Arial"/>
          <w:spacing w:val="-2"/>
        </w:rPr>
        <w:t xml:space="preserve"> revision of the guidance on EDV</w:t>
      </w:r>
      <w:r w:rsidR="00E85C19" w:rsidRPr="00A15F46">
        <w:rPr>
          <w:rFonts w:cs="Arial"/>
          <w:spacing w:val="-2"/>
        </w:rPr>
        <w:t>s</w:t>
      </w:r>
      <w:r w:rsidRPr="00A15F46">
        <w:rPr>
          <w:rFonts w:cs="Arial"/>
          <w:spacing w:val="-2"/>
        </w:rPr>
        <w:t xml:space="preserve"> provided in document UPOV/EXN/EDV/2 “</w:t>
      </w:r>
      <w:r w:rsidR="00E85C19" w:rsidRPr="00A15F46">
        <w:rPr>
          <w:rFonts w:cs="Arial"/>
          <w:spacing w:val="-2"/>
        </w:rPr>
        <w:t>Explanatory Notes on Essentially Derived Varieties under the</w:t>
      </w:r>
      <w:r w:rsidR="00E85C19" w:rsidRPr="00E85C19">
        <w:rPr>
          <w:rFonts w:cs="Arial"/>
          <w:spacing w:val="-2"/>
        </w:rPr>
        <w:t xml:space="preserve"> 1991 Act of the UPOV Convention</w:t>
      </w:r>
      <w:r w:rsidRPr="00DB51B4">
        <w:rPr>
          <w:rFonts w:cs="Arial"/>
          <w:spacing w:val="-2"/>
        </w:rPr>
        <w:t>”.</w:t>
      </w:r>
    </w:p>
    <w:p w:rsidR="00600A9C" w:rsidRDefault="00600A9C" w:rsidP="004A55FB">
      <w:pPr>
        <w:rPr>
          <w:rFonts w:cs="Arial"/>
          <w:spacing w:val="-2"/>
        </w:rPr>
      </w:pPr>
    </w:p>
    <w:p w:rsidR="001F0334" w:rsidRPr="00DB51B4" w:rsidRDefault="001F0334" w:rsidP="004A55FB">
      <w:pPr>
        <w:rPr>
          <w:rFonts w:cs="Arial"/>
          <w:spacing w:val="-2"/>
        </w:rPr>
      </w:pPr>
    </w:p>
    <w:p w:rsidR="00761618" w:rsidRDefault="00761618" w:rsidP="004A55FB">
      <w:pPr>
        <w:rPr>
          <w:rFonts w:cs="Arial"/>
          <w:spacing w:val="-2"/>
        </w:rPr>
      </w:pPr>
    </w:p>
    <w:p w:rsidR="00E843F0" w:rsidRPr="00DB51B4" w:rsidRDefault="00EF6650" w:rsidP="004C1CD0">
      <w:pPr>
        <w:pStyle w:val="Heading1"/>
        <w:rPr>
          <w:rFonts w:cs="Arial"/>
          <w:spacing w:val="-2"/>
        </w:rPr>
      </w:pPr>
      <w:bookmarkStart w:id="12" w:name="_Toc14799785"/>
      <w:r w:rsidRPr="00DB51B4">
        <w:t>Alternative dispute settlement mechanisms for matters concerning e</w:t>
      </w:r>
      <w:r w:rsidR="001F2922">
        <w:t xml:space="preserve">ssentially </w:t>
      </w:r>
      <w:r w:rsidRPr="00DB51B4">
        <w:t>derived varieties</w:t>
      </w:r>
      <w:bookmarkEnd w:id="12"/>
    </w:p>
    <w:p w:rsidR="004A55FB" w:rsidRPr="00DB51B4" w:rsidRDefault="004A55FB" w:rsidP="004A55FB">
      <w:pPr>
        <w:rPr>
          <w:rFonts w:cs="Arial"/>
        </w:rPr>
      </w:pPr>
    </w:p>
    <w:p w:rsidR="00E843F0" w:rsidRPr="00DB51B4" w:rsidRDefault="00E843F0" w:rsidP="00E843F0">
      <w:pPr>
        <w:rPr>
          <w:rFonts w:eastAsiaTheme="minorEastAsia"/>
        </w:rPr>
      </w:pPr>
      <w:r w:rsidRPr="00DB51B4">
        <w:rPr>
          <w:rFonts w:eastAsiaTheme="minorEastAsia"/>
        </w:rPr>
        <w:fldChar w:fldCharType="begin"/>
      </w:r>
      <w:r w:rsidRPr="00DB51B4">
        <w:rPr>
          <w:rFonts w:eastAsiaTheme="minorEastAsia"/>
        </w:rPr>
        <w:instrText xml:space="preserve"> AUTONUM  </w:instrText>
      </w:r>
      <w:r w:rsidRPr="00DB51B4">
        <w:rPr>
          <w:rFonts w:eastAsiaTheme="minorEastAsia"/>
        </w:rPr>
        <w:fldChar w:fldCharType="end"/>
      </w:r>
      <w:r w:rsidRPr="00DB51B4">
        <w:rPr>
          <w:rFonts w:eastAsiaTheme="minorEastAsia"/>
        </w:rPr>
        <w:tab/>
      </w:r>
      <w:r w:rsidR="000857C9">
        <w:t>T</w:t>
      </w:r>
      <w:r w:rsidRPr="00DB51B4">
        <w:t>here ha</w:t>
      </w:r>
      <w:r w:rsidR="000857C9">
        <w:t>ve</w:t>
      </w:r>
      <w:r w:rsidRPr="00DB51B4">
        <w:t xml:space="preserve"> been no developments concerning a possible meeting of the Office of the Union with CIOPORA, ISF and </w:t>
      </w:r>
      <w:r w:rsidR="00137DAE">
        <w:t xml:space="preserve">the </w:t>
      </w:r>
      <w:r w:rsidR="00137DAE" w:rsidRPr="00137DAE">
        <w:t xml:space="preserve">World Intellectual Property Organization </w:t>
      </w:r>
      <w:r w:rsidR="00137DAE">
        <w:t>(</w:t>
      </w:r>
      <w:r w:rsidRPr="00DB51B4">
        <w:t>WIPO</w:t>
      </w:r>
      <w:r w:rsidR="00137DAE">
        <w:t>)</w:t>
      </w:r>
      <w:r w:rsidRPr="00DB51B4">
        <w:t xml:space="preserve"> in order to explore the possible role of UPOV in alternative dispute settlement mechanisms for matters concerning </w:t>
      </w:r>
      <w:r w:rsidR="00E85C19">
        <w:t>EDVs</w:t>
      </w:r>
      <w:r w:rsidRPr="00DB51B4">
        <w:t>, including the provision of experts on EDV matters</w:t>
      </w:r>
      <w:r w:rsidR="00E85C19">
        <w:t>,</w:t>
      </w:r>
      <w:r w:rsidR="000857C9">
        <w:t xml:space="preserve"> and the </w:t>
      </w:r>
      <w:r w:rsidR="000857C9" w:rsidRPr="00F41032">
        <w:t>Office of the Union</w:t>
      </w:r>
      <w:r w:rsidR="000857C9">
        <w:t xml:space="preserve"> has no plans to pursue this matter further unless there is a change of circumstances</w:t>
      </w:r>
      <w:r w:rsidRPr="00DB51B4">
        <w:t xml:space="preserve">.  </w:t>
      </w:r>
    </w:p>
    <w:p w:rsidR="004A55FB" w:rsidRPr="00DB51B4" w:rsidRDefault="004A55FB" w:rsidP="00CA61EA"/>
    <w:p w:rsidR="00A30861" w:rsidRPr="00DB51B4" w:rsidRDefault="00EF6650" w:rsidP="007040FB">
      <w:pPr>
        <w:pStyle w:val="DecisionParagraphs"/>
      </w:pPr>
      <w:r w:rsidRPr="00DB51B4">
        <w:fldChar w:fldCharType="begin"/>
      </w:r>
      <w:r w:rsidRPr="00DB51B4">
        <w:instrText xml:space="preserve"> AUTONUM  </w:instrText>
      </w:r>
      <w:r w:rsidRPr="00DB51B4">
        <w:fldChar w:fldCharType="end"/>
      </w:r>
      <w:r w:rsidRPr="00DB51B4">
        <w:tab/>
        <w:t>The CAJ is invited to</w:t>
      </w:r>
      <w:r w:rsidR="00A30861" w:rsidRPr="00DB51B4">
        <w:t>:</w:t>
      </w:r>
    </w:p>
    <w:p w:rsidR="00A30861" w:rsidRPr="00DB51B4" w:rsidRDefault="00A30861" w:rsidP="007040FB">
      <w:pPr>
        <w:pStyle w:val="DecisionParagraphs"/>
      </w:pPr>
    </w:p>
    <w:p w:rsidR="007040FB" w:rsidRPr="00DB51B4" w:rsidRDefault="007040FB" w:rsidP="007040FB">
      <w:pPr>
        <w:pStyle w:val="DecisionParagraphs"/>
      </w:pPr>
      <w:r w:rsidRPr="00DB51B4">
        <w:tab/>
        <w:t>(a)</w:t>
      </w:r>
      <w:r w:rsidRPr="00DB51B4">
        <w:tab/>
        <w:t xml:space="preserve">note the background information and developments concerning </w:t>
      </w:r>
      <w:r w:rsidR="00E85C19">
        <w:t>EDVs</w:t>
      </w:r>
      <w:r w:rsidRPr="00DB51B4">
        <w:t xml:space="preserve">, including relevant matters on the “Seminar on the impact of policy on essentially derived varieties (EDVs) on breeding </w:t>
      </w:r>
      <w:r w:rsidRPr="00E85C19">
        <w:t>strategy”</w:t>
      </w:r>
      <w:r w:rsidR="001F2922" w:rsidRPr="00E85C19">
        <w:t>, as set out in paragraphs </w:t>
      </w:r>
      <w:r w:rsidR="00387E9E" w:rsidRPr="00E85C19">
        <w:t>4</w:t>
      </w:r>
      <w:r w:rsidR="00D100ED" w:rsidRPr="00E85C19">
        <w:t xml:space="preserve"> to 1</w:t>
      </w:r>
      <w:r w:rsidR="00387E9E" w:rsidRPr="00E85C19">
        <w:t>5</w:t>
      </w:r>
      <w:r w:rsidR="00D100ED" w:rsidRPr="00E85C19">
        <w:t xml:space="preserve"> </w:t>
      </w:r>
      <w:r w:rsidRPr="00E85C19">
        <w:t>of this document;</w:t>
      </w:r>
    </w:p>
    <w:p w:rsidR="007040FB" w:rsidRPr="00DB51B4" w:rsidRDefault="007040FB" w:rsidP="007040FB">
      <w:pPr>
        <w:pStyle w:val="DecisionParagraphs"/>
      </w:pPr>
    </w:p>
    <w:p w:rsidR="007040FB" w:rsidRPr="00DB51B4" w:rsidRDefault="007040FB" w:rsidP="007040FB">
      <w:pPr>
        <w:pStyle w:val="DecisionParagraphs"/>
      </w:pPr>
      <w:r w:rsidRPr="00DB51B4">
        <w:tab/>
        <w:t>(b)</w:t>
      </w:r>
      <w:r w:rsidRPr="00DB51B4">
        <w:tab/>
        <w:t xml:space="preserve">consider the outcome of the </w:t>
      </w:r>
      <w:r w:rsidR="00E85C19">
        <w:t xml:space="preserve">EDV </w:t>
      </w:r>
      <w:r w:rsidRPr="00DB51B4">
        <w:t xml:space="preserve">Seminar </w:t>
      </w:r>
      <w:r w:rsidRPr="00E85C19">
        <w:rPr>
          <w:spacing w:val="-2"/>
        </w:rPr>
        <w:t>to be presented to the CAJ, at its seventy-sixth session</w:t>
      </w:r>
      <w:r w:rsidR="00E85C19" w:rsidRPr="00E85C19">
        <w:rPr>
          <w:spacing w:val="-2"/>
          <w:vertAlign w:val="superscript"/>
        </w:rPr>
        <w:fldChar w:fldCharType="begin"/>
      </w:r>
      <w:r w:rsidR="00E85C19" w:rsidRPr="00E85C19">
        <w:rPr>
          <w:spacing w:val="-2"/>
          <w:vertAlign w:val="superscript"/>
        </w:rPr>
        <w:instrText xml:space="preserve"> NOTEREF _Ref14794265 \h  \* MERGEFORMAT </w:instrText>
      </w:r>
      <w:r w:rsidR="00E85C19" w:rsidRPr="00E85C19">
        <w:rPr>
          <w:spacing w:val="-2"/>
          <w:vertAlign w:val="superscript"/>
        </w:rPr>
      </w:r>
      <w:r w:rsidR="00E85C19" w:rsidRPr="00E85C19">
        <w:rPr>
          <w:spacing w:val="-2"/>
          <w:vertAlign w:val="superscript"/>
        </w:rPr>
        <w:fldChar w:fldCharType="separate"/>
      </w:r>
      <w:r w:rsidR="00E85C19" w:rsidRPr="00E85C19">
        <w:rPr>
          <w:spacing w:val="-2"/>
          <w:vertAlign w:val="superscript"/>
        </w:rPr>
        <w:t>3</w:t>
      </w:r>
      <w:r w:rsidR="00E85C19" w:rsidRPr="00E85C19">
        <w:rPr>
          <w:spacing w:val="-2"/>
          <w:vertAlign w:val="superscript"/>
        </w:rPr>
        <w:fldChar w:fldCharType="end"/>
      </w:r>
      <w:r w:rsidRPr="00E85C19">
        <w:rPr>
          <w:spacing w:val="-2"/>
        </w:rPr>
        <w:t>,</w:t>
      </w:r>
      <w:r w:rsidRPr="00DB51B4">
        <w:t xml:space="preserve"> in an oral report by the Chair of th</w:t>
      </w:r>
      <w:r w:rsidR="001F2922">
        <w:t xml:space="preserve">e CAJ; as set out in </w:t>
      </w:r>
      <w:r w:rsidR="001F2922" w:rsidRPr="00E85C19">
        <w:t>paragraphs </w:t>
      </w:r>
      <w:r w:rsidRPr="00E85C19">
        <w:t>1</w:t>
      </w:r>
      <w:r w:rsidR="00387E9E" w:rsidRPr="00E85C19">
        <w:t>6</w:t>
      </w:r>
      <w:r w:rsidR="00D100ED" w:rsidRPr="00E85C19">
        <w:t xml:space="preserve"> to 1</w:t>
      </w:r>
      <w:r w:rsidR="00387E9E" w:rsidRPr="00E85C19">
        <w:t>8</w:t>
      </w:r>
      <w:r w:rsidRPr="00E85C19">
        <w:t xml:space="preserve"> of this document;</w:t>
      </w:r>
      <w:r w:rsidRPr="00DB51B4">
        <w:t xml:space="preserve">  </w:t>
      </w:r>
    </w:p>
    <w:p w:rsidR="007040FB" w:rsidRPr="00DB51B4" w:rsidRDefault="007040FB" w:rsidP="007040FB">
      <w:pPr>
        <w:pStyle w:val="DecisionParagraphs"/>
      </w:pPr>
    </w:p>
    <w:p w:rsidR="00E843F0" w:rsidRPr="00DB51B4" w:rsidRDefault="007040FB" w:rsidP="007040FB">
      <w:pPr>
        <w:pStyle w:val="DecisionParagraphs"/>
      </w:pPr>
      <w:r w:rsidRPr="00DB51B4">
        <w:tab/>
        <w:t>(c)</w:t>
      </w:r>
      <w:r w:rsidRPr="00DB51B4">
        <w:tab/>
      </w:r>
      <w:r w:rsidR="00EF6650" w:rsidRPr="00DB51B4">
        <w:t xml:space="preserve">note </w:t>
      </w:r>
      <w:r w:rsidR="00E843F0" w:rsidRPr="00DB51B4">
        <w:t>that there have been no developments concerning a possib</w:t>
      </w:r>
      <w:r w:rsidR="00E85C19">
        <w:t xml:space="preserve">le meeting of the Office of the </w:t>
      </w:r>
      <w:r w:rsidR="00E843F0" w:rsidRPr="00DB51B4">
        <w:t xml:space="preserve">Union with CIOPORA, ISF and WIPO in order to explore the possible role of UPOV in alternative dispute settlement mechanisms for matters concerning </w:t>
      </w:r>
      <w:r w:rsidR="00E85C19">
        <w:t>EDVs</w:t>
      </w:r>
      <w:r w:rsidR="00E843F0" w:rsidRPr="00DB51B4">
        <w:t>, including the provision of experts on EDV matters.</w:t>
      </w:r>
    </w:p>
    <w:p w:rsidR="00544581" w:rsidRPr="00DB51B4" w:rsidRDefault="00544581">
      <w:pPr>
        <w:jc w:val="left"/>
      </w:pPr>
    </w:p>
    <w:p w:rsidR="00050E16" w:rsidRDefault="00050E16" w:rsidP="00050E16"/>
    <w:p w:rsidR="0080591C" w:rsidRPr="00DB51B4" w:rsidRDefault="0080591C" w:rsidP="00050E16"/>
    <w:p w:rsidR="009B440E" w:rsidRPr="00DB51B4" w:rsidRDefault="00050E16" w:rsidP="00050E16">
      <w:pPr>
        <w:jc w:val="right"/>
      </w:pPr>
      <w:r w:rsidRPr="00DB51B4">
        <w:t>[</w:t>
      </w:r>
      <w:r w:rsidR="00E843F0" w:rsidRPr="00DB51B4">
        <w:t>Annex follows</w:t>
      </w:r>
      <w:r w:rsidRPr="00DB51B4">
        <w:t>]</w:t>
      </w:r>
    </w:p>
    <w:p w:rsidR="00903264" w:rsidRPr="00DB51B4" w:rsidRDefault="00903264">
      <w:pPr>
        <w:jc w:val="left"/>
      </w:pPr>
    </w:p>
    <w:p w:rsidR="004D0FC7" w:rsidRDefault="004D0FC7" w:rsidP="009B440E">
      <w:pPr>
        <w:jc w:val="left"/>
        <w:sectPr w:rsidR="004D0FC7" w:rsidSect="000771B1">
          <w:headerReference w:type="default" r:id="rId11"/>
          <w:pgSz w:w="11907" w:h="16840" w:code="9"/>
          <w:pgMar w:top="567" w:right="1134" w:bottom="1134" w:left="1134" w:header="510" w:footer="680"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7D299D" w:rsidRPr="00815738" w:rsidTr="00321EA6">
        <w:tc>
          <w:tcPr>
            <w:tcW w:w="6522" w:type="dxa"/>
          </w:tcPr>
          <w:p w:rsidR="007D299D" w:rsidRPr="00AC2883" w:rsidRDefault="007D299D" w:rsidP="00321EA6">
            <w:r w:rsidRPr="00D250C5">
              <w:rPr>
                <w:noProof/>
              </w:rPr>
              <w:lastRenderedPageBreak/>
              <w:drawing>
                <wp:inline distT="0" distB="0" distL="0" distR="0" wp14:anchorId="503396D1" wp14:editId="662D9E13">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D299D" w:rsidRPr="007C1D92" w:rsidRDefault="007D299D" w:rsidP="00321EA6">
            <w:pPr>
              <w:pStyle w:val="Lettrine"/>
            </w:pPr>
            <w:r w:rsidRPr="00172084">
              <w:t>E</w:t>
            </w:r>
          </w:p>
        </w:tc>
      </w:tr>
      <w:tr w:rsidR="007D299D" w:rsidRPr="00DA4973" w:rsidTr="00321EA6">
        <w:trPr>
          <w:trHeight w:val="219"/>
        </w:trPr>
        <w:tc>
          <w:tcPr>
            <w:tcW w:w="6522" w:type="dxa"/>
          </w:tcPr>
          <w:p w:rsidR="007D299D" w:rsidRPr="00AC2883" w:rsidRDefault="007D299D" w:rsidP="00321EA6">
            <w:pPr>
              <w:pStyle w:val="upove"/>
            </w:pPr>
            <w:r w:rsidRPr="00AC2883">
              <w:t>International Union for the Protection of New Varieties of Plants</w:t>
            </w:r>
          </w:p>
        </w:tc>
        <w:tc>
          <w:tcPr>
            <w:tcW w:w="3117" w:type="dxa"/>
          </w:tcPr>
          <w:p w:rsidR="007D299D" w:rsidRPr="00DA4973" w:rsidRDefault="007D299D" w:rsidP="00321EA6"/>
        </w:tc>
      </w:tr>
    </w:tbl>
    <w:p w:rsidR="007D299D" w:rsidRDefault="007D299D" w:rsidP="007D299D"/>
    <w:p w:rsidR="007D299D" w:rsidRPr="00365DC1" w:rsidRDefault="007D299D" w:rsidP="007D29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D299D" w:rsidRPr="00C5280D" w:rsidTr="00321EA6">
        <w:tc>
          <w:tcPr>
            <w:tcW w:w="6512" w:type="dxa"/>
          </w:tcPr>
          <w:p w:rsidR="007D299D" w:rsidRDefault="007D299D" w:rsidP="00321EA6">
            <w:pPr>
              <w:pStyle w:val="Sessiontcplacedate"/>
              <w:spacing w:before="0"/>
            </w:pPr>
            <w:r>
              <w:t>Seminar on the impact of policy on essentially derived varieties (EDVs) on breeding strategy</w:t>
            </w:r>
            <w:r>
              <w:br/>
            </w:r>
          </w:p>
          <w:p w:rsidR="007D299D" w:rsidRPr="00DC3802" w:rsidRDefault="007D299D" w:rsidP="00321EA6">
            <w:pPr>
              <w:pStyle w:val="Sessiontcplacedate"/>
              <w:rPr>
                <w:sz w:val="22"/>
              </w:rPr>
            </w:pPr>
            <w:r w:rsidRPr="00DA4973">
              <w:t xml:space="preserve">Geneva, </w:t>
            </w:r>
            <w:r>
              <w:t>October 30, 2019</w:t>
            </w:r>
          </w:p>
        </w:tc>
        <w:tc>
          <w:tcPr>
            <w:tcW w:w="3127" w:type="dxa"/>
          </w:tcPr>
          <w:p w:rsidR="007D299D" w:rsidRPr="003C7FBE" w:rsidRDefault="007D299D" w:rsidP="00321EA6">
            <w:pPr>
              <w:pStyle w:val="Doccode"/>
            </w:pPr>
            <w:r>
              <w:t>UPOV/SEM/GE</w:t>
            </w:r>
            <w:r w:rsidRPr="00AC2883">
              <w:t>/</w:t>
            </w:r>
            <w:r>
              <w:t>19/1 Prov. 1</w:t>
            </w:r>
          </w:p>
          <w:p w:rsidR="007D299D" w:rsidRPr="003C7FBE" w:rsidRDefault="007D299D" w:rsidP="00321EA6">
            <w:pPr>
              <w:pStyle w:val="Docoriginal"/>
            </w:pPr>
            <w:r w:rsidRPr="00AC2883">
              <w:t>Original:</w:t>
            </w:r>
            <w:r w:rsidRPr="000E636A">
              <w:rPr>
                <w:b w:val="0"/>
                <w:spacing w:val="0"/>
              </w:rPr>
              <w:t xml:space="preserve">  English</w:t>
            </w:r>
          </w:p>
          <w:p w:rsidR="007D299D" w:rsidRPr="007C1D92" w:rsidRDefault="007D299D" w:rsidP="00321EA6">
            <w:pPr>
              <w:pStyle w:val="Docoriginal"/>
            </w:pPr>
            <w:r w:rsidRPr="00311595">
              <w:t>Date:</w:t>
            </w:r>
            <w:r w:rsidRPr="00311595">
              <w:rPr>
                <w:b w:val="0"/>
                <w:spacing w:val="0"/>
              </w:rPr>
              <w:t xml:space="preserve">  </w:t>
            </w:r>
            <w:r w:rsidRPr="007324BB">
              <w:rPr>
                <w:b w:val="0"/>
                <w:spacing w:val="0"/>
              </w:rPr>
              <w:t>July 2</w:t>
            </w:r>
            <w:r>
              <w:rPr>
                <w:b w:val="0"/>
                <w:spacing w:val="0"/>
              </w:rPr>
              <w:t>5</w:t>
            </w:r>
            <w:r w:rsidRPr="007324BB">
              <w:rPr>
                <w:b w:val="0"/>
                <w:spacing w:val="0"/>
              </w:rPr>
              <w:t>, 2019</w:t>
            </w:r>
          </w:p>
        </w:tc>
      </w:tr>
    </w:tbl>
    <w:p w:rsidR="007D299D" w:rsidRPr="006A644A" w:rsidRDefault="007D299D" w:rsidP="007D299D">
      <w:pPr>
        <w:pStyle w:val="Titleofdoc0"/>
      </w:pPr>
      <w:r>
        <w:t xml:space="preserve">Draft Program </w:t>
      </w:r>
    </w:p>
    <w:p w:rsidR="007D299D" w:rsidRPr="00DB51B4" w:rsidRDefault="007D299D" w:rsidP="007D299D">
      <w:pPr>
        <w:pStyle w:val="preparedby1"/>
        <w:jc w:val="left"/>
      </w:pPr>
      <w:r>
        <w:t>approved</w:t>
      </w:r>
      <w:r w:rsidRPr="00DB51B4">
        <w:t xml:space="preserve"> by the </w:t>
      </w:r>
      <w:r w:rsidRPr="004705F9">
        <w:t>Administrative and Legal Committee</w:t>
      </w:r>
    </w:p>
    <w:p w:rsidR="007D299D" w:rsidRDefault="007D299D" w:rsidP="007D299D">
      <w:pPr>
        <w:pStyle w:val="Disclaimer"/>
      </w:pPr>
      <w:r w:rsidRPr="006A644A">
        <w:t>Disclaimer:  this document does not rep</w:t>
      </w:r>
      <w:r>
        <w:t>resent UPOV policies or guidance</w:t>
      </w:r>
    </w:p>
    <w:tbl>
      <w:tblPr>
        <w:tblW w:w="8085" w:type="dxa"/>
        <w:jc w:val="center"/>
        <w:tblBorders>
          <w:top w:val="single" w:sz="4" w:space="0" w:color="auto"/>
          <w:left w:val="single" w:sz="4" w:space="0" w:color="auto"/>
          <w:bottom w:val="single" w:sz="4" w:space="0" w:color="auto"/>
          <w:right w:val="single" w:sz="4" w:space="0" w:color="auto"/>
        </w:tblBorders>
        <w:tblCellMar>
          <w:top w:w="113" w:type="dxa"/>
          <w:left w:w="113" w:type="dxa"/>
          <w:bottom w:w="113" w:type="dxa"/>
          <w:right w:w="113" w:type="dxa"/>
        </w:tblCellMar>
        <w:tblLook w:val="01E0" w:firstRow="1" w:lastRow="1" w:firstColumn="1" w:lastColumn="1" w:noHBand="0" w:noVBand="0"/>
      </w:tblPr>
      <w:tblGrid>
        <w:gridCol w:w="8085"/>
      </w:tblGrid>
      <w:tr w:rsidR="007D299D" w:rsidRPr="00836C25" w:rsidTr="00321EA6">
        <w:trPr>
          <w:cantSplit/>
          <w:trHeight w:val="255"/>
          <w:jc w:val="center"/>
        </w:trPr>
        <w:tc>
          <w:tcPr>
            <w:tcW w:w="8085" w:type="dxa"/>
            <w:shd w:val="clear" w:color="auto" w:fill="auto"/>
            <w:noWrap/>
          </w:tcPr>
          <w:p w:rsidR="007D299D" w:rsidRPr="00836C25" w:rsidRDefault="007D299D" w:rsidP="00321EA6">
            <w:pPr>
              <w:rPr>
                <w:b/>
                <w:color w:val="006600"/>
                <w:sz w:val="18"/>
              </w:rPr>
            </w:pPr>
            <w:r w:rsidRPr="00836C25">
              <w:rPr>
                <w:b/>
                <w:color w:val="006600"/>
                <w:sz w:val="18"/>
              </w:rPr>
              <w:t>Abstract</w:t>
            </w:r>
          </w:p>
          <w:p w:rsidR="007D299D" w:rsidRPr="00836C25" w:rsidRDefault="007D299D" w:rsidP="00321EA6">
            <w:pPr>
              <w:rPr>
                <w:sz w:val="18"/>
              </w:rPr>
            </w:pPr>
          </w:p>
          <w:p w:rsidR="007D299D" w:rsidRPr="00836C25" w:rsidRDefault="007D299D" w:rsidP="00321EA6">
            <w:pPr>
              <w:rPr>
                <w:sz w:val="18"/>
              </w:rPr>
            </w:pPr>
            <w:r w:rsidRPr="00836C25">
              <w:rPr>
                <w:sz w:val="18"/>
              </w:rPr>
              <w:t xml:space="preserve">The concept of Essentially Derived Varieties (EDVs) was introduced in the 1991 Act of the UPOV Convention with the aim of providing an effective incentive for plant breeding that would maximize progress in the development of new, improved varieties for the benefit of society. </w:t>
            </w:r>
          </w:p>
          <w:p w:rsidR="007D299D" w:rsidRPr="00836C25" w:rsidRDefault="007D299D" w:rsidP="00321EA6">
            <w:pPr>
              <w:rPr>
                <w:sz w:val="18"/>
              </w:rPr>
            </w:pPr>
          </w:p>
          <w:p w:rsidR="007D299D" w:rsidRPr="00836C25" w:rsidRDefault="007D299D" w:rsidP="00321EA6">
            <w:pPr>
              <w:rPr>
                <w:sz w:val="18"/>
              </w:rPr>
            </w:pPr>
            <w:r w:rsidRPr="00836C25">
              <w:rPr>
                <w:sz w:val="18"/>
              </w:rPr>
              <w:t>The purpose of the Seminar is to consider the impact of EDV policy on breeding strategies and the consequences for the development of new, improved varieties of plants.  The Seminar will provide perspectives covering various breeding methods and different types of plants.  The Seminar is expected to assist the Administrative and Legal Committee (CAJ) in its review of</w:t>
            </w:r>
            <w:r>
              <w:rPr>
                <w:sz w:val="18"/>
              </w:rPr>
              <w:t xml:space="preserve"> the</w:t>
            </w:r>
            <w:r w:rsidRPr="00836C25">
              <w:rPr>
                <w:sz w:val="18"/>
              </w:rPr>
              <w:t xml:space="preserve"> guidance on EDV provided in document </w:t>
            </w:r>
            <w:hyperlink r:id="rId12" w:history="1">
              <w:r w:rsidRPr="00836C25">
                <w:rPr>
                  <w:rStyle w:val="Hyperlink"/>
                  <w:sz w:val="18"/>
                </w:rPr>
                <w:t>UPOV/EXN/EDV/2</w:t>
              </w:r>
            </w:hyperlink>
            <w:r w:rsidRPr="00836C25">
              <w:rPr>
                <w:sz w:val="18"/>
              </w:rPr>
              <w:t>.</w:t>
            </w:r>
          </w:p>
        </w:tc>
      </w:tr>
    </w:tbl>
    <w:p w:rsidR="007D299D" w:rsidRDefault="007D299D" w:rsidP="007D299D">
      <w:pPr>
        <w:rPr>
          <w:rFonts w:cs="Arial"/>
          <w:highlight w:val="yellow"/>
        </w:rPr>
      </w:pPr>
    </w:p>
    <w:p w:rsidR="007D299D" w:rsidRPr="007A4B07" w:rsidRDefault="007D299D" w:rsidP="007D299D"/>
    <w:tbl>
      <w:tblPr>
        <w:tblW w:w="9273" w:type="dxa"/>
        <w:tblCellMar>
          <w:left w:w="57" w:type="dxa"/>
          <w:right w:w="57" w:type="dxa"/>
        </w:tblCellMar>
        <w:tblLook w:val="01E0" w:firstRow="1" w:lastRow="1" w:firstColumn="1" w:lastColumn="1" w:noHBand="0" w:noVBand="0"/>
      </w:tblPr>
      <w:tblGrid>
        <w:gridCol w:w="722"/>
        <w:gridCol w:w="8551"/>
      </w:tblGrid>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sidRPr="00482CF4">
              <w:rPr>
                <w:rFonts w:cs="Arial"/>
                <w:b/>
                <w:color w:val="006600"/>
              </w:rPr>
              <w:t>8.30</w:t>
            </w:r>
          </w:p>
        </w:tc>
        <w:tc>
          <w:tcPr>
            <w:tcW w:w="8551" w:type="dxa"/>
            <w:shd w:val="clear" w:color="auto" w:fill="auto"/>
            <w:noWrap/>
          </w:tcPr>
          <w:p w:rsidR="007D299D" w:rsidRPr="00482CF4" w:rsidRDefault="007D299D" w:rsidP="00321EA6">
            <w:pPr>
              <w:jc w:val="left"/>
              <w:rPr>
                <w:rFonts w:cs="Arial"/>
                <w:b/>
                <w:color w:val="006600"/>
              </w:rPr>
            </w:pPr>
            <w:r w:rsidRPr="00482CF4">
              <w:rPr>
                <w:rFonts w:cs="Arial"/>
                <w:b/>
                <w:color w:val="006600"/>
              </w:rPr>
              <w:t>Registration</w:t>
            </w:r>
          </w:p>
        </w:tc>
      </w:tr>
      <w:tr w:rsidR="007D299D" w:rsidRPr="00EA5810" w:rsidTr="00321EA6">
        <w:trPr>
          <w:cantSplit/>
        </w:trPr>
        <w:tc>
          <w:tcPr>
            <w:tcW w:w="722" w:type="dxa"/>
            <w:shd w:val="clear" w:color="auto" w:fill="auto"/>
            <w:noWrap/>
          </w:tcPr>
          <w:p w:rsidR="007D299D" w:rsidRPr="00EA5810" w:rsidRDefault="007D299D" w:rsidP="00321EA6">
            <w:pPr>
              <w:jc w:val="left"/>
              <w:rPr>
                <w:rFonts w:cs="Arial"/>
                <w:sz w:val="16"/>
                <w:szCs w:val="16"/>
              </w:rPr>
            </w:pPr>
          </w:p>
        </w:tc>
        <w:tc>
          <w:tcPr>
            <w:tcW w:w="8551" w:type="dxa"/>
            <w:shd w:val="clear" w:color="auto" w:fill="auto"/>
            <w:noWrap/>
          </w:tcPr>
          <w:p w:rsidR="007D299D" w:rsidRPr="00EA5810" w:rsidRDefault="007D299D" w:rsidP="00321EA6">
            <w:pPr>
              <w:jc w:val="left"/>
              <w:rPr>
                <w:rFonts w:cs="Arial"/>
                <w:sz w:val="16"/>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sidRPr="00482CF4">
              <w:rPr>
                <w:rFonts w:cs="Arial"/>
                <w:b/>
                <w:color w:val="006600"/>
              </w:rPr>
              <w:t>9.30</w:t>
            </w:r>
          </w:p>
        </w:tc>
        <w:tc>
          <w:tcPr>
            <w:tcW w:w="8551" w:type="dxa"/>
            <w:shd w:val="clear" w:color="auto" w:fill="auto"/>
            <w:noWrap/>
          </w:tcPr>
          <w:p w:rsidR="007D299D" w:rsidRPr="00482CF4" w:rsidRDefault="007D299D" w:rsidP="00321EA6">
            <w:pPr>
              <w:jc w:val="left"/>
              <w:rPr>
                <w:rFonts w:cs="Arial"/>
                <w:b/>
                <w:color w:val="006600"/>
              </w:rPr>
            </w:pPr>
            <w:r w:rsidRPr="00482CF4">
              <w:rPr>
                <w:rFonts w:cs="Arial"/>
                <w:b/>
                <w:color w:val="006600"/>
              </w:rPr>
              <w:t xml:space="preserve">Welcome address and opening </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10281B" w:rsidRDefault="007D299D" w:rsidP="00321EA6">
            <w:pPr>
              <w:jc w:val="left"/>
              <w:rPr>
                <w:rFonts w:cs="Arial"/>
                <w:sz w:val="18"/>
                <w:szCs w:val="18"/>
              </w:rPr>
            </w:pPr>
            <w:r w:rsidRPr="0010281B">
              <w:rPr>
                <w:rFonts w:cs="Arial"/>
                <w:i/>
                <w:sz w:val="18"/>
                <w:szCs w:val="18"/>
              </w:rPr>
              <w:t>Mr. Peter Button, Vice Secretary-General, UPOV</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10281B" w:rsidRDefault="007D299D" w:rsidP="00321EA6">
            <w:pPr>
              <w:jc w:val="left"/>
              <w:rPr>
                <w:rFonts w:cs="Arial"/>
                <w:i/>
                <w:sz w:val="18"/>
                <w:szCs w:val="18"/>
              </w:rPr>
            </w:pPr>
          </w:p>
        </w:tc>
      </w:tr>
      <w:tr w:rsidR="007D299D" w:rsidRPr="00EA5810" w:rsidTr="00321EA6">
        <w:trPr>
          <w:cantSplit/>
        </w:trPr>
        <w:tc>
          <w:tcPr>
            <w:tcW w:w="722" w:type="dxa"/>
            <w:shd w:val="clear" w:color="auto" w:fill="auto"/>
            <w:noWrap/>
          </w:tcPr>
          <w:p w:rsidR="007D299D" w:rsidRPr="00B7138F" w:rsidRDefault="007D299D" w:rsidP="00321EA6">
            <w:pPr>
              <w:spacing w:before="360"/>
              <w:jc w:val="left"/>
              <w:rPr>
                <w:rFonts w:cs="Arial"/>
                <w:b/>
                <w:sz w:val="16"/>
                <w:szCs w:val="16"/>
                <w:u w:val="single"/>
              </w:rPr>
            </w:pPr>
          </w:p>
        </w:tc>
        <w:tc>
          <w:tcPr>
            <w:tcW w:w="8551" w:type="dxa"/>
            <w:shd w:val="clear" w:color="auto" w:fill="auto"/>
          </w:tcPr>
          <w:p w:rsidR="007D299D" w:rsidRPr="00B7138F" w:rsidRDefault="007D299D" w:rsidP="00321EA6">
            <w:pPr>
              <w:spacing w:before="360"/>
              <w:jc w:val="left"/>
              <w:rPr>
                <w:rFonts w:cs="Arial"/>
                <w:b/>
                <w:sz w:val="16"/>
                <w:szCs w:val="16"/>
                <w:u w:val="single"/>
              </w:rPr>
            </w:pPr>
            <w:r w:rsidRPr="00B7138F">
              <w:rPr>
                <w:rFonts w:cs="Arial"/>
                <w:b/>
                <w:color w:val="006600"/>
                <w:u w:val="single"/>
              </w:rPr>
              <w:t xml:space="preserve">SESSION I:  TO AN EDV CONCEPT </w:t>
            </w:r>
            <w:r>
              <w:rPr>
                <w:rFonts w:cs="Arial"/>
                <w:b/>
                <w:color w:val="006600"/>
                <w:u w:val="single"/>
              </w:rPr>
              <w:t>FOR THE PRESENT AND THE FUTURE</w:t>
            </w:r>
          </w:p>
        </w:tc>
      </w:tr>
      <w:tr w:rsidR="007D299D" w:rsidRPr="00EA5810" w:rsidTr="00321EA6">
        <w:trPr>
          <w:cantSplit/>
        </w:trPr>
        <w:tc>
          <w:tcPr>
            <w:tcW w:w="722" w:type="dxa"/>
            <w:shd w:val="clear" w:color="auto" w:fill="auto"/>
            <w:noWrap/>
          </w:tcPr>
          <w:p w:rsidR="007D299D" w:rsidRPr="00EA5810" w:rsidRDefault="007D299D" w:rsidP="00321EA6">
            <w:pPr>
              <w:jc w:val="right"/>
              <w:rPr>
                <w:rFonts w:cs="Arial"/>
                <w:sz w:val="16"/>
                <w:szCs w:val="16"/>
              </w:rPr>
            </w:pPr>
          </w:p>
        </w:tc>
        <w:tc>
          <w:tcPr>
            <w:tcW w:w="8551" w:type="dxa"/>
            <w:shd w:val="clear" w:color="auto" w:fill="auto"/>
            <w:noWrap/>
          </w:tcPr>
          <w:p w:rsidR="007D299D" w:rsidRPr="00FE2339" w:rsidRDefault="007D299D" w:rsidP="00321EA6">
            <w:pPr>
              <w:rPr>
                <w:rFonts w:cs="Arial"/>
                <w:sz w:val="12"/>
                <w:szCs w:val="16"/>
              </w:rPr>
            </w:pPr>
            <w:r w:rsidRPr="0010281B">
              <w:rPr>
                <w:rFonts w:cs="Arial"/>
                <w:i/>
                <w:sz w:val="18"/>
                <w:szCs w:val="18"/>
              </w:rPr>
              <w:t xml:space="preserve">Moderator:  Mr. </w:t>
            </w:r>
            <w:r>
              <w:rPr>
                <w:rFonts w:cs="Arial"/>
                <w:i/>
                <w:sz w:val="18"/>
                <w:szCs w:val="18"/>
              </w:rPr>
              <w:t xml:space="preserve">Peter </w:t>
            </w:r>
            <w:r w:rsidRPr="0010281B">
              <w:rPr>
                <w:rFonts w:cs="Arial"/>
                <w:i/>
                <w:sz w:val="18"/>
                <w:szCs w:val="18"/>
              </w:rPr>
              <w:t>Button</w:t>
            </w:r>
          </w:p>
        </w:tc>
      </w:tr>
      <w:tr w:rsidR="007D299D" w:rsidRPr="00EA5810" w:rsidTr="00321EA6">
        <w:trPr>
          <w:cantSplit/>
        </w:trPr>
        <w:tc>
          <w:tcPr>
            <w:tcW w:w="722" w:type="dxa"/>
            <w:shd w:val="clear" w:color="auto" w:fill="auto"/>
            <w:noWrap/>
          </w:tcPr>
          <w:p w:rsidR="007D299D" w:rsidRPr="00EA5810" w:rsidRDefault="007D299D" w:rsidP="00321EA6">
            <w:pPr>
              <w:jc w:val="right"/>
              <w:rPr>
                <w:rFonts w:cs="Arial"/>
                <w:sz w:val="16"/>
                <w:szCs w:val="16"/>
              </w:rPr>
            </w:pPr>
          </w:p>
        </w:tc>
        <w:tc>
          <w:tcPr>
            <w:tcW w:w="8551" w:type="dxa"/>
            <w:shd w:val="clear" w:color="auto" w:fill="auto"/>
            <w:noWrap/>
          </w:tcPr>
          <w:p w:rsidR="007D299D" w:rsidRPr="0010281B" w:rsidRDefault="007D299D" w:rsidP="00321EA6">
            <w:pPr>
              <w:rPr>
                <w:rFonts w:cs="Arial"/>
                <w:i/>
                <w:sz w:val="18"/>
                <w:szCs w:val="18"/>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sidRPr="00482CF4">
              <w:rPr>
                <w:rFonts w:cs="Arial"/>
                <w:b/>
                <w:color w:val="006600"/>
              </w:rPr>
              <w:t>9.40</w:t>
            </w:r>
          </w:p>
        </w:tc>
        <w:tc>
          <w:tcPr>
            <w:tcW w:w="8551" w:type="dxa"/>
            <w:shd w:val="clear" w:color="auto" w:fill="auto"/>
            <w:noWrap/>
          </w:tcPr>
          <w:p w:rsidR="007D299D" w:rsidRPr="00482CF4" w:rsidRDefault="007D299D" w:rsidP="00321EA6">
            <w:pPr>
              <w:jc w:val="left"/>
              <w:rPr>
                <w:rFonts w:cs="Arial"/>
                <w:b/>
                <w:color w:val="006600"/>
              </w:rPr>
            </w:pPr>
            <w:r w:rsidRPr="006C79BF">
              <w:rPr>
                <w:rFonts w:cs="Arial"/>
                <w:b/>
                <w:color w:val="006600"/>
              </w:rPr>
              <w:t>Plant breeding and the EDV concept: challenges of the past, opportunities for the future?</w:t>
            </w:r>
          </w:p>
        </w:tc>
      </w:tr>
      <w:tr w:rsidR="007D299D" w:rsidRPr="00EA5810" w:rsidTr="00321EA6">
        <w:trPr>
          <w:cantSplit/>
        </w:trPr>
        <w:tc>
          <w:tcPr>
            <w:tcW w:w="722" w:type="dxa"/>
            <w:shd w:val="clear" w:color="auto" w:fill="auto"/>
            <w:noWrap/>
          </w:tcPr>
          <w:p w:rsidR="007D299D" w:rsidRPr="00EA5810" w:rsidRDefault="007D299D" w:rsidP="00321EA6">
            <w:pPr>
              <w:jc w:val="left"/>
              <w:rPr>
                <w:rFonts w:cs="Arial"/>
                <w:sz w:val="16"/>
                <w:szCs w:val="16"/>
              </w:rPr>
            </w:pPr>
          </w:p>
        </w:tc>
        <w:tc>
          <w:tcPr>
            <w:tcW w:w="8551" w:type="dxa"/>
            <w:shd w:val="clear" w:color="auto" w:fill="auto"/>
            <w:noWrap/>
          </w:tcPr>
          <w:p w:rsidR="007D299D" w:rsidRPr="00482CF4" w:rsidRDefault="007D299D" w:rsidP="00321EA6">
            <w:pPr>
              <w:jc w:val="left"/>
              <w:rPr>
                <w:rFonts w:cs="Arial"/>
                <w:i/>
                <w:sz w:val="16"/>
                <w:szCs w:val="16"/>
              </w:rPr>
            </w:pPr>
            <w:r w:rsidRPr="0010281B">
              <w:rPr>
                <w:rFonts w:cs="Arial"/>
                <w:i/>
                <w:iCs/>
                <w:sz w:val="18"/>
              </w:rPr>
              <w:t>Key note Speaker:  Mr. Sven J.R. Bostyn, University of Copenhagen, Faculty of Law, Centre for Advanced studies in Biomedical Innovation Law (CeBIL), Denmark</w:t>
            </w:r>
          </w:p>
        </w:tc>
      </w:tr>
      <w:tr w:rsidR="007D299D" w:rsidRPr="00EA5810" w:rsidTr="00321EA6">
        <w:trPr>
          <w:cantSplit/>
        </w:trPr>
        <w:tc>
          <w:tcPr>
            <w:tcW w:w="722" w:type="dxa"/>
            <w:shd w:val="clear" w:color="auto" w:fill="auto"/>
            <w:noWrap/>
          </w:tcPr>
          <w:p w:rsidR="007D299D" w:rsidRPr="00FE2339" w:rsidRDefault="007D299D" w:rsidP="00321EA6">
            <w:pPr>
              <w:jc w:val="left"/>
              <w:rPr>
                <w:rFonts w:cs="Arial"/>
                <w:sz w:val="16"/>
                <w:szCs w:val="16"/>
              </w:rPr>
            </w:pPr>
          </w:p>
        </w:tc>
        <w:tc>
          <w:tcPr>
            <w:tcW w:w="8551" w:type="dxa"/>
            <w:shd w:val="clear" w:color="auto" w:fill="auto"/>
            <w:noWrap/>
          </w:tcPr>
          <w:p w:rsidR="007D299D" w:rsidRPr="00FE2339" w:rsidRDefault="007D299D" w:rsidP="00321EA6">
            <w:pPr>
              <w:rPr>
                <w:rFonts w:cs="Arial"/>
                <w:sz w:val="16"/>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sz w:val="16"/>
                <w:szCs w:val="16"/>
              </w:rPr>
            </w:pPr>
            <w:r>
              <w:rPr>
                <w:rFonts w:cs="Arial"/>
                <w:b/>
                <w:color w:val="006600"/>
              </w:rPr>
              <w:t>10.10</w:t>
            </w:r>
          </w:p>
        </w:tc>
        <w:tc>
          <w:tcPr>
            <w:tcW w:w="8551" w:type="dxa"/>
            <w:shd w:val="clear" w:color="auto" w:fill="auto"/>
            <w:noWrap/>
          </w:tcPr>
          <w:p w:rsidR="007D299D" w:rsidRPr="00482CF4" w:rsidRDefault="007D299D" w:rsidP="00321EA6">
            <w:pPr>
              <w:rPr>
                <w:rFonts w:cs="Arial"/>
                <w:b/>
                <w:color w:val="006600"/>
              </w:rPr>
            </w:pPr>
            <w:r>
              <w:rPr>
                <w:rFonts w:cs="Arial"/>
                <w:b/>
                <w:color w:val="006600"/>
              </w:rPr>
              <w:t>UPOV guidance on EDV</w:t>
            </w:r>
          </w:p>
        </w:tc>
      </w:tr>
      <w:tr w:rsidR="007D299D" w:rsidRPr="00D45D03" w:rsidTr="00321EA6">
        <w:trPr>
          <w:cantSplit/>
        </w:trPr>
        <w:tc>
          <w:tcPr>
            <w:tcW w:w="722" w:type="dxa"/>
            <w:shd w:val="clear" w:color="auto" w:fill="auto"/>
            <w:noWrap/>
          </w:tcPr>
          <w:p w:rsidR="007D299D" w:rsidRDefault="007D299D" w:rsidP="00321EA6">
            <w:pPr>
              <w:jc w:val="left"/>
              <w:rPr>
                <w:rFonts w:cs="Arial"/>
              </w:rPr>
            </w:pPr>
          </w:p>
        </w:tc>
        <w:tc>
          <w:tcPr>
            <w:tcW w:w="8551" w:type="dxa"/>
            <w:shd w:val="clear" w:color="auto" w:fill="auto"/>
            <w:noWrap/>
          </w:tcPr>
          <w:p w:rsidR="007D299D" w:rsidRPr="0010281B" w:rsidRDefault="007D299D" w:rsidP="00321EA6">
            <w:pPr>
              <w:rPr>
                <w:rFonts w:cs="Arial"/>
                <w:i/>
                <w:sz w:val="18"/>
              </w:rPr>
            </w:pPr>
            <w:r w:rsidRPr="0010281B">
              <w:rPr>
                <w:rFonts w:cs="Arial"/>
                <w:i/>
                <w:sz w:val="18"/>
              </w:rPr>
              <w:t>Ms. Yolanda Huerta, Legal Counsel and Director of Training and Assistance, UPOV</w:t>
            </w:r>
            <w:r w:rsidRPr="0010281B">
              <w:rPr>
                <w:rFonts w:cs="Arial"/>
                <w:i/>
                <w:iCs/>
                <w:sz w:val="18"/>
              </w:rPr>
              <w:t xml:space="preserve"> </w:t>
            </w:r>
          </w:p>
        </w:tc>
      </w:tr>
      <w:tr w:rsidR="007D299D" w:rsidRPr="00D45D03" w:rsidTr="00321EA6">
        <w:trPr>
          <w:cantSplit/>
        </w:trPr>
        <w:tc>
          <w:tcPr>
            <w:tcW w:w="722" w:type="dxa"/>
            <w:shd w:val="clear" w:color="auto" w:fill="auto"/>
            <w:noWrap/>
          </w:tcPr>
          <w:p w:rsidR="007D299D" w:rsidRPr="00DD212F" w:rsidRDefault="007D299D" w:rsidP="00321EA6">
            <w:pPr>
              <w:jc w:val="left"/>
              <w:rPr>
                <w:rFonts w:cs="Arial"/>
                <w:sz w:val="14"/>
                <w:szCs w:val="16"/>
              </w:rPr>
            </w:pPr>
          </w:p>
        </w:tc>
        <w:tc>
          <w:tcPr>
            <w:tcW w:w="8551" w:type="dxa"/>
            <w:shd w:val="clear" w:color="auto" w:fill="auto"/>
            <w:noWrap/>
          </w:tcPr>
          <w:p w:rsidR="007D299D" w:rsidRPr="00DD212F" w:rsidRDefault="007D299D" w:rsidP="00321EA6">
            <w:pPr>
              <w:rPr>
                <w:rFonts w:cs="Arial"/>
                <w:sz w:val="14"/>
                <w:szCs w:val="16"/>
              </w:rPr>
            </w:pPr>
          </w:p>
        </w:tc>
      </w:tr>
      <w:tr w:rsidR="007D299D" w:rsidRPr="00EA5810" w:rsidTr="00321EA6">
        <w:trPr>
          <w:cantSplit/>
        </w:trPr>
        <w:tc>
          <w:tcPr>
            <w:tcW w:w="722" w:type="dxa"/>
            <w:shd w:val="clear" w:color="auto" w:fill="auto"/>
            <w:noWrap/>
          </w:tcPr>
          <w:p w:rsidR="007D299D" w:rsidRPr="00B7138F" w:rsidRDefault="007D299D" w:rsidP="00321EA6">
            <w:pPr>
              <w:spacing w:before="360"/>
              <w:jc w:val="left"/>
              <w:rPr>
                <w:rFonts w:cs="Arial"/>
                <w:b/>
                <w:sz w:val="16"/>
                <w:szCs w:val="16"/>
                <w:u w:val="single"/>
              </w:rPr>
            </w:pPr>
          </w:p>
        </w:tc>
        <w:tc>
          <w:tcPr>
            <w:tcW w:w="8551" w:type="dxa"/>
            <w:shd w:val="clear" w:color="auto" w:fill="auto"/>
          </w:tcPr>
          <w:p w:rsidR="007D299D" w:rsidRPr="00B7138F" w:rsidRDefault="007D299D" w:rsidP="00321EA6">
            <w:pPr>
              <w:spacing w:before="360"/>
              <w:jc w:val="left"/>
              <w:rPr>
                <w:rFonts w:cs="Arial"/>
                <w:b/>
                <w:sz w:val="16"/>
                <w:szCs w:val="16"/>
                <w:u w:val="single"/>
              </w:rPr>
            </w:pPr>
            <w:r>
              <w:rPr>
                <w:rFonts w:cs="Arial"/>
                <w:b/>
                <w:color w:val="006600"/>
                <w:u w:val="single"/>
              </w:rPr>
              <w:t>SESSION II:  IMPACT OF EDV CONCEPT ON PLANT BREEDING</w:t>
            </w:r>
            <w:r w:rsidRPr="00482CF4">
              <w:rPr>
                <w:rFonts w:cs="Arial"/>
                <w:b/>
                <w:color w:val="006600"/>
                <w:u w:val="single"/>
              </w:rPr>
              <w:t xml:space="preserve">   </w:t>
            </w:r>
          </w:p>
        </w:tc>
      </w:tr>
      <w:tr w:rsidR="007D299D" w:rsidRPr="00EA5810" w:rsidTr="00321EA6">
        <w:trPr>
          <w:cantSplit/>
        </w:trPr>
        <w:tc>
          <w:tcPr>
            <w:tcW w:w="722" w:type="dxa"/>
            <w:shd w:val="clear" w:color="auto" w:fill="auto"/>
            <w:noWrap/>
          </w:tcPr>
          <w:p w:rsidR="007D299D" w:rsidRPr="00EA5810" w:rsidRDefault="007D299D" w:rsidP="00321EA6">
            <w:pPr>
              <w:jc w:val="right"/>
              <w:rPr>
                <w:rFonts w:cs="Arial"/>
                <w:sz w:val="16"/>
                <w:szCs w:val="16"/>
              </w:rPr>
            </w:pPr>
          </w:p>
        </w:tc>
        <w:tc>
          <w:tcPr>
            <w:tcW w:w="8551" w:type="dxa"/>
            <w:shd w:val="clear" w:color="auto" w:fill="auto"/>
            <w:noWrap/>
          </w:tcPr>
          <w:p w:rsidR="007D299D" w:rsidRPr="00FE2339" w:rsidRDefault="007D299D" w:rsidP="00321EA6">
            <w:pPr>
              <w:rPr>
                <w:rFonts w:cs="Arial"/>
                <w:sz w:val="12"/>
                <w:szCs w:val="16"/>
              </w:rPr>
            </w:pPr>
            <w:r w:rsidRPr="0010281B">
              <w:rPr>
                <w:rFonts w:cs="Arial"/>
                <w:i/>
                <w:spacing w:val="-2"/>
                <w:sz w:val="18"/>
              </w:rPr>
              <w:t>Moderator:  Mr. Anthony Parker,</w:t>
            </w:r>
            <w:r w:rsidRPr="0010281B">
              <w:rPr>
                <w:i/>
                <w:spacing w:val="-2"/>
                <w:sz w:val="18"/>
              </w:rPr>
              <w:t xml:space="preserve"> </w:t>
            </w:r>
            <w:r w:rsidRPr="0010281B">
              <w:rPr>
                <w:rFonts w:cs="Arial"/>
                <w:i/>
                <w:spacing w:val="-2"/>
                <w:sz w:val="18"/>
              </w:rPr>
              <w:t>Chair, Administrative and Legal Committee (CAJ), UPOV</w:t>
            </w:r>
          </w:p>
        </w:tc>
      </w:tr>
      <w:tr w:rsidR="007D299D" w:rsidRPr="00EA5810" w:rsidTr="00321EA6">
        <w:trPr>
          <w:cantSplit/>
        </w:trPr>
        <w:tc>
          <w:tcPr>
            <w:tcW w:w="722" w:type="dxa"/>
            <w:shd w:val="clear" w:color="auto" w:fill="auto"/>
            <w:noWrap/>
          </w:tcPr>
          <w:p w:rsidR="007D299D" w:rsidRPr="00EA5810" w:rsidRDefault="007D299D" w:rsidP="00321EA6">
            <w:pPr>
              <w:jc w:val="right"/>
              <w:rPr>
                <w:rFonts w:cs="Arial"/>
                <w:sz w:val="16"/>
                <w:szCs w:val="16"/>
              </w:rPr>
            </w:pPr>
          </w:p>
        </w:tc>
        <w:tc>
          <w:tcPr>
            <w:tcW w:w="8551" w:type="dxa"/>
            <w:shd w:val="clear" w:color="auto" w:fill="auto"/>
            <w:noWrap/>
          </w:tcPr>
          <w:p w:rsidR="007D299D" w:rsidRPr="00FE2339" w:rsidRDefault="007D299D" w:rsidP="00321EA6">
            <w:pPr>
              <w:rPr>
                <w:rFonts w:cs="Arial"/>
                <w:sz w:val="12"/>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Pr>
                <w:rFonts w:cs="Arial"/>
                <w:b/>
                <w:color w:val="006600"/>
              </w:rPr>
              <w:t>10.20</w:t>
            </w:r>
          </w:p>
        </w:tc>
        <w:tc>
          <w:tcPr>
            <w:tcW w:w="8551" w:type="dxa"/>
            <w:shd w:val="clear" w:color="auto" w:fill="auto"/>
            <w:noWrap/>
          </w:tcPr>
          <w:p w:rsidR="007D299D" w:rsidRPr="00482CF4" w:rsidRDefault="007D299D" w:rsidP="00321EA6">
            <w:pPr>
              <w:rPr>
                <w:rFonts w:cs="Arial"/>
                <w:b/>
                <w:color w:val="006600"/>
              </w:rPr>
            </w:pPr>
            <w:r>
              <w:rPr>
                <w:rFonts w:cs="Arial"/>
                <w:b/>
                <w:color w:val="006600"/>
              </w:rPr>
              <w:t>Outlook for agricultural crops</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pacing w:val="-4"/>
                <w:sz w:val="18"/>
                <w:szCs w:val="18"/>
              </w:rPr>
            </w:pPr>
          </w:p>
        </w:tc>
        <w:tc>
          <w:tcPr>
            <w:tcW w:w="8551" w:type="dxa"/>
            <w:shd w:val="clear" w:color="auto" w:fill="auto"/>
            <w:noWrap/>
          </w:tcPr>
          <w:p w:rsidR="007D299D" w:rsidRPr="0010281B" w:rsidRDefault="007D299D" w:rsidP="00321EA6">
            <w:pPr>
              <w:rPr>
                <w:rFonts w:cs="Arial"/>
                <w:spacing w:val="-4"/>
                <w:sz w:val="18"/>
                <w:szCs w:val="18"/>
              </w:rPr>
            </w:pPr>
            <w:r w:rsidRPr="0010281B">
              <w:rPr>
                <w:rFonts w:cs="Arial"/>
                <w:i/>
                <w:iCs/>
                <w:spacing w:val="-4"/>
                <w:sz w:val="18"/>
                <w:szCs w:val="18"/>
              </w:rPr>
              <w:t>Ms. Magali Pla, Deputy Manager of Industrial Property, Limagrain, France</w:t>
            </w:r>
          </w:p>
        </w:tc>
      </w:tr>
      <w:tr w:rsidR="007D299D" w:rsidRPr="00EA5810" w:rsidTr="00321EA6">
        <w:trPr>
          <w:cantSplit/>
        </w:trPr>
        <w:tc>
          <w:tcPr>
            <w:tcW w:w="722" w:type="dxa"/>
            <w:shd w:val="clear" w:color="auto" w:fill="auto"/>
            <w:noWrap/>
          </w:tcPr>
          <w:p w:rsidR="007D299D" w:rsidRPr="00DD212F" w:rsidRDefault="007D299D" w:rsidP="00321EA6">
            <w:pPr>
              <w:jc w:val="left"/>
              <w:rPr>
                <w:rFonts w:cs="Arial"/>
                <w:sz w:val="14"/>
                <w:szCs w:val="16"/>
              </w:rPr>
            </w:pPr>
          </w:p>
        </w:tc>
        <w:tc>
          <w:tcPr>
            <w:tcW w:w="8551" w:type="dxa"/>
            <w:shd w:val="clear" w:color="auto" w:fill="auto"/>
            <w:noWrap/>
          </w:tcPr>
          <w:p w:rsidR="007D299D" w:rsidRPr="00DD212F" w:rsidRDefault="007D299D" w:rsidP="00321EA6">
            <w:pPr>
              <w:rPr>
                <w:rFonts w:cs="Arial"/>
                <w:sz w:val="14"/>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Pr>
                <w:rFonts w:cs="Arial"/>
                <w:b/>
                <w:color w:val="006600"/>
              </w:rPr>
              <w:t>10.40</w:t>
            </w:r>
          </w:p>
        </w:tc>
        <w:tc>
          <w:tcPr>
            <w:tcW w:w="8551" w:type="dxa"/>
            <w:shd w:val="clear" w:color="auto" w:fill="auto"/>
            <w:noWrap/>
          </w:tcPr>
          <w:p w:rsidR="007D299D" w:rsidRPr="00482CF4" w:rsidRDefault="007D299D" w:rsidP="00321EA6">
            <w:pPr>
              <w:rPr>
                <w:rFonts w:cs="Arial"/>
                <w:b/>
                <w:color w:val="006600"/>
              </w:rPr>
            </w:pPr>
            <w:r>
              <w:rPr>
                <w:rFonts w:cs="Arial"/>
                <w:b/>
                <w:color w:val="006600"/>
              </w:rPr>
              <w:t>Outlook for ornamental plants</w:t>
            </w:r>
          </w:p>
        </w:tc>
      </w:tr>
      <w:tr w:rsidR="007D299D" w:rsidRPr="009D5818"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10281B" w:rsidRDefault="007D299D" w:rsidP="00321EA6">
            <w:pPr>
              <w:rPr>
                <w:rFonts w:cs="Arial"/>
                <w:i/>
                <w:iCs/>
                <w:sz w:val="18"/>
                <w:szCs w:val="18"/>
                <w:lang w:val="de-DE"/>
              </w:rPr>
            </w:pPr>
            <w:r w:rsidRPr="0010281B">
              <w:rPr>
                <w:rFonts w:cs="Arial"/>
                <w:i/>
                <w:iCs/>
                <w:sz w:val="18"/>
                <w:szCs w:val="18"/>
                <w:lang w:val="de-DE"/>
              </w:rPr>
              <w:t>Mr. Micha Danziger, Danziger "Dan" Flower Farm, Israel</w:t>
            </w:r>
          </w:p>
        </w:tc>
      </w:tr>
      <w:tr w:rsidR="007D299D" w:rsidRPr="009D5818" w:rsidTr="00321EA6">
        <w:trPr>
          <w:cantSplit/>
        </w:trPr>
        <w:tc>
          <w:tcPr>
            <w:tcW w:w="722" w:type="dxa"/>
            <w:shd w:val="clear" w:color="auto" w:fill="auto"/>
            <w:noWrap/>
          </w:tcPr>
          <w:p w:rsidR="007D299D" w:rsidRPr="00A16DE7" w:rsidRDefault="007D299D" w:rsidP="00321EA6">
            <w:pPr>
              <w:jc w:val="left"/>
              <w:rPr>
                <w:rFonts w:cs="Arial"/>
                <w:sz w:val="14"/>
                <w:szCs w:val="16"/>
                <w:lang w:val="de-DE"/>
              </w:rPr>
            </w:pPr>
          </w:p>
        </w:tc>
        <w:tc>
          <w:tcPr>
            <w:tcW w:w="8551" w:type="dxa"/>
            <w:shd w:val="clear" w:color="auto" w:fill="auto"/>
            <w:noWrap/>
          </w:tcPr>
          <w:p w:rsidR="007D299D" w:rsidRPr="00A16DE7" w:rsidRDefault="007D299D" w:rsidP="00321EA6">
            <w:pPr>
              <w:rPr>
                <w:rFonts w:cs="Arial"/>
                <w:sz w:val="14"/>
                <w:szCs w:val="16"/>
                <w:lang w:val="de-DE"/>
              </w:rPr>
            </w:pPr>
          </w:p>
        </w:tc>
      </w:tr>
      <w:tr w:rsidR="007D299D" w:rsidRPr="00AE4F63" w:rsidTr="00321EA6">
        <w:trPr>
          <w:cantSplit/>
        </w:trPr>
        <w:tc>
          <w:tcPr>
            <w:tcW w:w="722" w:type="dxa"/>
            <w:shd w:val="clear" w:color="auto" w:fill="auto"/>
            <w:noWrap/>
          </w:tcPr>
          <w:p w:rsidR="007D299D" w:rsidRPr="00AE4F63" w:rsidRDefault="007D299D" w:rsidP="00321EA6">
            <w:pPr>
              <w:jc w:val="left"/>
              <w:rPr>
                <w:rFonts w:cs="Arial"/>
                <w:b/>
                <w:sz w:val="18"/>
                <w:szCs w:val="18"/>
              </w:rPr>
            </w:pPr>
            <w:r w:rsidRPr="00AE4F63">
              <w:rPr>
                <w:rFonts w:cs="Arial"/>
                <w:b/>
                <w:i/>
                <w:sz w:val="18"/>
                <w:szCs w:val="18"/>
              </w:rPr>
              <w:t>11.00</w:t>
            </w:r>
          </w:p>
        </w:tc>
        <w:tc>
          <w:tcPr>
            <w:tcW w:w="8551" w:type="dxa"/>
            <w:shd w:val="clear" w:color="auto" w:fill="auto"/>
            <w:noWrap/>
          </w:tcPr>
          <w:p w:rsidR="007D299D" w:rsidRPr="00AE4F63" w:rsidRDefault="007D299D" w:rsidP="00321EA6">
            <w:pPr>
              <w:rPr>
                <w:rFonts w:cs="Arial"/>
                <w:b/>
                <w:sz w:val="18"/>
                <w:szCs w:val="18"/>
              </w:rPr>
            </w:pPr>
            <w:r w:rsidRPr="00AE4F63">
              <w:rPr>
                <w:rFonts w:cs="Arial"/>
                <w:b/>
                <w:bCs/>
                <w:i/>
                <w:sz w:val="18"/>
                <w:szCs w:val="18"/>
              </w:rPr>
              <w:t>Coffee break</w:t>
            </w:r>
          </w:p>
        </w:tc>
      </w:tr>
      <w:tr w:rsidR="007D299D" w:rsidRPr="00EA5810" w:rsidTr="00321EA6">
        <w:trPr>
          <w:cantSplit/>
        </w:trPr>
        <w:tc>
          <w:tcPr>
            <w:tcW w:w="722" w:type="dxa"/>
            <w:shd w:val="clear" w:color="auto" w:fill="auto"/>
            <w:noWrap/>
          </w:tcPr>
          <w:p w:rsidR="007D299D" w:rsidRPr="00DD212F" w:rsidRDefault="007D299D" w:rsidP="00321EA6">
            <w:pPr>
              <w:jc w:val="left"/>
              <w:rPr>
                <w:rFonts w:cs="Arial"/>
                <w:sz w:val="14"/>
                <w:szCs w:val="16"/>
              </w:rPr>
            </w:pPr>
          </w:p>
        </w:tc>
        <w:tc>
          <w:tcPr>
            <w:tcW w:w="8551" w:type="dxa"/>
            <w:shd w:val="clear" w:color="auto" w:fill="auto"/>
            <w:noWrap/>
          </w:tcPr>
          <w:p w:rsidR="007D299D" w:rsidRPr="00DD212F" w:rsidRDefault="007D299D" w:rsidP="00321EA6">
            <w:pPr>
              <w:rPr>
                <w:rFonts w:cs="Arial"/>
                <w:sz w:val="14"/>
                <w:szCs w:val="16"/>
              </w:rPr>
            </w:pPr>
          </w:p>
        </w:tc>
      </w:tr>
      <w:tr w:rsidR="007D299D" w:rsidRPr="00EA5810" w:rsidTr="00321EA6">
        <w:trPr>
          <w:cantSplit/>
        </w:trPr>
        <w:tc>
          <w:tcPr>
            <w:tcW w:w="722" w:type="dxa"/>
            <w:shd w:val="clear" w:color="auto" w:fill="auto"/>
            <w:noWrap/>
          </w:tcPr>
          <w:p w:rsidR="007D299D" w:rsidRPr="00482CF4" w:rsidRDefault="007D299D" w:rsidP="00321EA6">
            <w:pPr>
              <w:keepNext/>
              <w:pageBreakBefore/>
              <w:jc w:val="left"/>
              <w:rPr>
                <w:rFonts w:cs="Arial"/>
                <w:b/>
                <w:color w:val="006600"/>
              </w:rPr>
            </w:pPr>
            <w:r>
              <w:rPr>
                <w:rFonts w:cs="Arial"/>
                <w:b/>
                <w:color w:val="006600"/>
              </w:rPr>
              <w:lastRenderedPageBreak/>
              <w:t>11.20</w:t>
            </w:r>
          </w:p>
        </w:tc>
        <w:tc>
          <w:tcPr>
            <w:tcW w:w="8551" w:type="dxa"/>
            <w:shd w:val="clear" w:color="auto" w:fill="auto"/>
            <w:noWrap/>
          </w:tcPr>
          <w:p w:rsidR="007D299D" w:rsidRPr="00482CF4" w:rsidRDefault="007D299D" w:rsidP="00321EA6">
            <w:pPr>
              <w:keepNext/>
              <w:rPr>
                <w:rFonts w:cs="Arial"/>
                <w:b/>
                <w:color w:val="006600"/>
                <w:lang w:val="en-GB"/>
              </w:rPr>
            </w:pPr>
            <w:r>
              <w:rPr>
                <w:rFonts w:cs="Arial"/>
                <w:b/>
                <w:color w:val="006600"/>
              </w:rPr>
              <w:t xml:space="preserve">Outlook for vegetables </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10281B" w:rsidRDefault="007D299D" w:rsidP="00321EA6">
            <w:pPr>
              <w:rPr>
                <w:rFonts w:cs="Arial"/>
                <w:i/>
                <w:iCs/>
                <w:sz w:val="18"/>
                <w:szCs w:val="18"/>
              </w:rPr>
            </w:pPr>
            <w:r w:rsidRPr="0010281B">
              <w:rPr>
                <w:rFonts w:cs="Arial"/>
                <w:i/>
                <w:iCs/>
                <w:sz w:val="18"/>
                <w:szCs w:val="18"/>
              </w:rPr>
              <w:t>Mr. Laurens Kroon, Head of Research, Bejo, Netherlands</w:t>
            </w:r>
          </w:p>
        </w:tc>
      </w:tr>
      <w:tr w:rsidR="007D299D" w:rsidRPr="00EA5810" w:rsidTr="00321EA6">
        <w:trPr>
          <w:cantSplit/>
        </w:trPr>
        <w:tc>
          <w:tcPr>
            <w:tcW w:w="722" w:type="dxa"/>
            <w:shd w:val="clear" w:color="auto" w:fill="auto"/>
            <w:noWrap/>
          </w:tcPr>
          <w:p w:rsidR="007D299D" w:rsidRPr="00DD212F" w:rsidRDefault="007D299D" w:rsidP="00321EA6">
            <w:pPr>
              <w:jc w:val="left"/>
              <w:rPr>
                <w:rFonts w:cs="Arial"/>
                <w:sz w:val="14"/>
                <w:szCs w:val="16"/>
              </w:rPr>
            </w:pPr>
          </w:p>
        </w:tc>
        <w:tc>
          <w:tcPr>
            <w:tcW w:w="8551" w:type="dxa"/>
            <w:shd w:val="clear" w:color="auto" w:fill="auto"/>
            <w:noWrap/>
          </w:tcPr>
          <w:p w:rsidR="007D299D" w:rsidRPr="00DD212F" w:rsidRDefault="007D299D" w:rsidP="00321EA6">
            <w:pPr>
              <w:rPr>
                <w:rFonts w:cs="Arial"/>
                <w:sz w:val="14"/>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Pr>
                <w:rFonts w:cs="Arial"/>
                <w:b/>
                <w:color w:val="006600"/>
              </w:rPr>
              <w:t>11.4</w:t>
            </w:r>
            <w:r w:rsidRPr="00482CF4">
              <w:rPr>
                <w:rFonts w:cs="Arial"/>
                <w:b/>
                <w:color w:val="006600"/>
              </w:rPr>
              <w:t>0</w:t>
            </w:r>
          </w:p>
        </w:tc>
        <w:tc>
          <w:tcPr>
            <w:tcW w:w="8551" w:type="dxa"/>
            <w:shd w:val="clear" w:color="auto" w:fill="auto"/>
            <w:noWrap/>
          </w:tcPr>
          <w:p w:rsidR="007D299D" w:rsidRPr="00482CF4" w:rsidRDefault="007D299D" w:rsidP="00321EA6">
            <w:pPr>
              <w:rPr>
                <w:rFonts w:cs="Arial"/>
                <w:b/>
                <w:color w:val="006600"/>
                <w:lang w:val="en-GB"/>
              </w:rPr>
            </w:pPr>
            <w:r>
              <w:rPr>
                <w:rFonts w:cs="Arial"/>
                <w:b/>
                <w:color w:val="006600"/>
              </w:rPr>
              <w:t>Outlook for fruit</w:t>
            </w:r>
            <w:r w:rsidRPr="007E408F">
              <w:rPr>
                <w:rFonts w:cs="Arial"/>
                <w:b/>
                <w:color w:val="006600"/>
              </w:rPr>
              <w:t xml:space="preserve"> </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10281B" w:rsidRDefault="007D299D" w:rsidP="00321EA6">
            <w:pPr>
              <w:jc w:val="left"/>
              <w:rPr>
                <w:rFonts w:cs="Arial"/>
                <w:i/>
                <w:iCs/>
                <w:sz w:val="18"/>
                <w:szCs w:val="18"/>
              </w:rPr>
            </w:pPr>
            <w:r w:rsidRPr="0010281B">
              <w:rPr>
                <w:rFonts w:cs="Arial"/>
                <w:i/>
                <w:iCs/>
                <w:sz w:val="18"/>
                <w:szCs w:val="18"/>
              </w:rPr>
              <w:t xml:space="preserve">Ms. Emma Brown, Business Development Manager, Plant &amp; Food Research, New Zealand </w:t>
            </w:r>
          </w:p>
        </w:tc>
      </w:tr>
      <w:tr w:rsidR="007D299D" w:rsidRPr="00A16DE7" w:rsidTr="00321EA6">
        <w:trPr>
          <w:cantSplit/>
        </w:trPr>
        <w:tc>
          <w:tcPr>
            <w:tcW w:w="722" w:type="dxa"/>
            <w:shd w:val="clear" w:color="auto" w:fill="auto"/>
            <w:noWrap/>
          </w:tcPr>
          <w:p w:rsidR="007D299D" w:rsidRPr="00A16DE7" w:rsidRDefault="007D299D" w:rsidP="00321EA6">
            <w:pPr>
              <w:jc w:val="left"/>
              <w:rPr>
                <w:rFonts w:cs="Arial"/>
                <w:sz w:val="14"/>
                <w:szCs w:val="14"/>
              </w:rPr>
            </w:pPr>
          </w:p>
        </w:tc>
        <w:tc>
          <w:tcPr>
            <w:tcW w:w="8551" w:type="dxa"/>
            <w:shd w:val="clear" w:color="auto" w:fill="auto"/>
            <w:noWrap/>
          </w:tcPr>
          <w:p w:rsidR="007D299D" w:rsidRPr="00A16DE7" w:rsidRDefault="007D299D" w:rsidP="00321EA6">
            <w:pPr>
              <w:rPr>
                <w:rFonts w:cs="Arial"/>
                <w:sz w:val="14"/>
                <w:szCs w:val="14"/>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rPr>
            </w:pPr>
            <w:r>
              <w:rPr>
                <w:rFonts w:cs="Arial"/>
                <w:b/>
                <w:color w:val="006600"/>
              </w:rPr>
              <w:t>12.0</w:t>
            </w:r>
            <w:r w:rsidRPr="00482CF4">
              <w:rPr>
                <w:rFonts w:cs="Arial"/>
                <w:b/>
                <w:color w:val="006600"/>
              </w:rPr>
              <w:t>0</w:t>
            </w:r>
          </w:p>
        </w:tc>
        <w:tc>
          <w:tcPr>
            <w:tcW w:w="8551" w:type="dxa"/>
            <w:shd w:val="clear" w:color="auto" w:fill="auto"/>
            <w:noWrap/>
          </w:tcPr>
          <w:p w:rsidR="007D299D" w:rsidRPr="00482CF4" w:rsidRDefault="007D299D" w:rsidP="00321EA6">
            <w:pPr>
              <w:jc w:val="left"/>
              <w:rPr>
                <w:rFonts w:cs="Arial"/>
                <w:b/>
                <w:bCs/>
                <w:i/>
                <w:color w:val="006600"/>
              </w:rPr>
            </w:pPr>
            <w:r>
              <w:rPr>
                <w:rFonts w:cs="Arial"/>
                <w:b/>
                <w:bCs/>
                <w:color w:val="006600"/>
              </w:rPr>
              <w:t xml:space="preserve">Panel discussion and questions </w:t>
            </w:r>
          </w:p>
        </w:tc>
      </w:tr>
      <w:tr w:rsidR="007D299D" w:rsidRPr="00EA5810" w:rsidTr="00321EA6">
        <w:trPr>
          <w:cantSplit/>
        </w:trPr>
        <w:tc>
          <w:tcPr>
            <w:tcW w:w="722" w:type="dxa"/>
            <w:shd w:val="clear" w:color="auto" w:fill="auto"/>
            <w:noWrap/>
          </w:tcPr>
          <w:p w:rsidR="007D299D" w:rsidRPr="00DD212F" w:rsidRDefault="007D299D" w:rsidP="00321EA6">
            <w:pPr>
              <w:jc w:val="left"/>
              <w:rPr>
                <w:rFonts w:cs="Arial"/>
                <w:sz w:val="14"/>
                <w:szCs w:val="16"/>
              </w:rPr>
            </w:pPr>
          </w:p>
        </w:tc>
        <w:tc>
          <w:tcPr>
            <w:tcW w:w="8551" w:type="dxa"/>
            <w:shd w:val="clear" w:color="auto" w:fill="auto"/>
            <w:noWrap/>
          </w:tcPr>
          <w:p w:rsidR="007D299D" w:rsidRPr="00DD212F" w:rsidRDefault="007D299D" w:rsidP="00321EA6">
            <w:pPr>
              <w:jc w:val="left"/>
              <w:rPr>
                <w:rFonts w:cs="Arial"/>
                <w:sz w:val="14"/>
                <w:szCs w:val="16"/>
              </w:rPr>
            </w:pPr>
          </w:p>
        </w:tc>
      </w:tr>
      <w:tr w:rsidR="007D299D" w:rsidRPr="00EA5810" w:rsidTr="00321EA6">
        <w:trPr>
          <w:cantSplit/>
        </w:trPr>
        <w:tc>
          <w:tcPr>
            <w:tcW w:w="722" w:type="dxa"/>
            <w:shd w:val="clear" w:color="auto" w:fill="auto"/>
            <w:noWrap/>
          </w:tcPr>
          <w:p w:rsidR="007D299D" w:rsidRPr="00482CF4" w:rsidRDefault="007D299D" w:rsidP="00321EA6">
            <w:pPr>
              <w:jc w:val="left"/>
              <w:rPr>
                <w:rFonts w:cs="Arial"/>
                <w:b/>
                <w:color w:val="006600"/>
                <w:sz w:val="16"/>
                <w:szCs w:val="16"/>
              </w:rPr>
            </w:pPr>
            <w:r>
              <w:rPr>
                <w:rFonts w:cs="Arial"/>
                <w:b/>
                <w:color w:val="006600"/>
              </w:rPr>
              <w:t>12.25</w:t>
            </w:r>
          </w:p>
        </w:tc>
        <w:tc>
          <w:tcPr>
            <w:tcW w:w="8551" w:type="dxa"/>
            <w:shd w:val="clear" w:color="auto" w:fill="auto"/>
            <w:noWrap/>
          </w:tcPr>
          <w:p w:rsidR="007D299D" w:rsidRPr="00482CF4" w:rsidRDefault="007D299D" w:rsidP="00321EA6">
            <w:pPr>
              <w:jc w:val="left"/>
              <w:rPr>
                <w:rFonts w:cs="Arial"/>
                <w:b/>
                <w:bCs/>
                <w:color w:val="006600"/>
              </w:rPr>
            </w:pPr>
            <w:r w:rsidRPr="00482CF4">
              <w:rPr>
                <w:rFonts w:cs="Arial"/>
                <w:b/>
                <w:bCs/>
                <w:color w:val="006600"/>
              </w:rPr>
              <w:t>Closing</w:t>
            </w:r>
            <w:r>
              <w:rPr>
                <w:rFonts w:cs="Arial"/>
                <w:b/>
                <w:bCs/>
                <w:color w:val="006600"/>
              </w:rPr>
              <w:t xml:space="preserve"> remarks </w:t>
            </w:r>
          </w:p>
        </w:tc>
      </w:tr>
      <w:tr w:rsidR="007D299D" w:rsidRPr="0010281B" w:rsidTr="00321EA6">
        <w:trPr>
          <w:cantSplit/>
        </w:trPr>
        <w:tc>
          <w:tcPr>
            <w:tcW w:w="722" w:type="dxa"/>
            <w:shd w:val="clear" w:color="auto" w:fill="auto"/>
            <w:noWrap/>
          </w:tcPr>
          <w:p w:rsidR="007D299D" w:rsidRPr="0010281B" w:rsidRDefault="007D299D" w:rsidP="00321EA6">
            <w:pPr>
              <w:jc w:val="left"/>
              <w:rPr>
                <w:rFonts w:cs="Arial"/>
                <w:sz w:val="18"/>
                <w:szCs w:val="18"/>
              </w:rPr>
            </w:pPr>
          </w:p>
        </w:tc>
        <w:tc>
          <w:tcPr>
            <w:tcW w:w="8551" w:type="dxa"/>
            <w:shd w:val="clear" w:color="auto" w:fill="auto"/>
            <w:noWrap/>
          </w:tcPr>
          <w:p w:rsidR="007D299D" w:rsidRPr="00B7138F" w:rsidRDefault="007D299D" w:rsidP="00321EA6">
            <w:pPr>
              <w:jc w:val="left"/>
            </w:pPr>
            <w:r w:rsidRPr="0010281B">
              <w:rPr>
                <w:rFonts w:cs="Arial"/>
                <w:i/>
                <w:spacing w:val="-2"/>
                <w:sz w:val="18"/>
                <w:szCs w:val="18"/>
              </w:rPr>
              <w:t>Mr. Anthony Parker</w:t>
            </w:r>
          </w:p>
        </w:tc>
      </w:tr>
      <w:tr w:rsidR="007D299D" w:rsidRPr="00EA5810" w:rsidTr="00321EA6">
        <w:trPr>
          <w:cantSplit/>
        </w:trPr>
        <w:tc>
          <w:tcPr>
            <w:tcW w:w="722" w:type="dxa"/>
            <w:shd w:val="clear" w:color="auto" w:fill="auto"/>
            <w:noWrap/>
          </w:tcPr>
          <w:p w:rsidR="007D299D" w:rsidRPr="00DD212F" w:rsidRDefault="007D299D" w:rsidP="00321EA6">
            <w:pPr>
              <w:jc w:val="right"/>
              <w:rPr>
                <w:rFonts w:cs="Arial"/>
                <w:sz w:val="14"/>
                <w:szCs w:val="16"/>
              </w:rPr>
            </w:pPr>
          </w:p>
        </w:tc>
        <w:tc>
          <w:tcPr>
            <w:tcW w:w="8551" w:type="dxa"/>
            <w:shd w:val="clear" w:color="auto" w:fill="auto"/>
            <w:noWrap/>
          </w:tcPr>
          <w:p w:rsidR="007D299D" w:rsidRDefault="007D299D" w:rsidP="00321EA6">
            <w:pPr>
              <w:jc w:val="left"/>
              <w:rPr>
                <w:rFonts w:cs="Arial"/>
                <w:i/>
                <w:spacing w:val="-2"/>
              </w:rPr>
            </w:pPr>
          </w:p>
        </w:tc>
      </w:tr>
    </w:tbl>
    <w:p w:rsidR="007D299D" w:rsidRPr="00FE2339" w:rsidRDefault="007D299D" w:rsidP="007D299D">
      <w:pPr>
        <w:rPr>
          <w:sz w:val="12"/>
        </w:rPr>
      </w:pPr>
    </w:p>
    <w:p w:rsidR="007D299D" w:rsidRDefault="007D299D" w:rsidP="007D299D">
      <w:pPr>
        <w:jc w:val="right"/>
      </w:pPr>
    </w:p>
    <w:p w:rsidR="00CF7DE5" w:rsidRDefault="00CF7DE5" w:rsidP="00CF7DE5">
      <w:pPr>
        <w:jc w:val="right"/>
      </w:pPr>
    </w:p>
    <w:p w:rsidR="00CF7DE5" w:rsidRDefault="00CF7DE5" w:rsidP="007A6080">
      <w:pPr>
        <w:jc w:val="right"/>
      </w:pPr>
    </w:p>
    <w:p w:rsidR="007A6080" w:rsidRPr="005921B0" w:rsidRDefault="007A6080" w:rsidP="007A6080">
      <w:pPr>
        <w:jc w:val="right"/>
      </w:pPr>
      <w:r>
        <w:t xml:space="preserve">[End of Annex </w:t>
      </w:r>
      <w:r w:rsidRPr="00272741">
        <w:t>and of document]</w:t>
      </w:r>
    </w:p>
    <w:sectPr w:rsidR="007A6080" w:rsidRPr="005921B0" w:rsidSect="007D299D">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38" w:rsidRDefault="009D1F38" w:rsidP="006655D3">
      <w:r>
        <w:separator/>
      </w:r>
    </w:p>
    <w:p w:rsidR="009D1F38" w:rsidRDefault="009D1F38" w:rsidP="006655D3"/>
    <w:p w:rsidR="009D1F38" w:rsidRDefault="009D1F38" w:rsidP="006655D3"/>
  </w:endnote>
  <w:endnote w:type="continuationSeparator" w:id="0">
    <w:p w:rsidR="009D1F38" w:rsidRDefault="009D1F38" w:rsidP="006655D3">
      <w:r>
        <w:separator/>
      </w:r>
    </w:p>
    <w:p w:rsidR="009D1F38" w:rsidRPr="00294751" w:rsidRDefault="009D1F38">
      <w:pPr>
        <w:pStyle w:val="Footer"/>
        <w:spacing w:after="60"/>
        <w:rPr>
          <w:sz w:val="18"/>
          <w:lang w:val="fr-FR"/>
        </w:rPr>
      </w:pPr>
      <w:r w:rsidRPr="00294751">
        <w:rPr>
          <w:sz w:val="18"/>
          <w:lang w:val="fr-FR"/>
        </w:rPr>
        <w:t>[Suite de la note de la page précédente]</w:t>
      </w:r>
    </w:p>
    <w:p w:rsidR="009D1F38" w:rsidRPr="00294751" w:rsidRDefault="009D1F38" w:rsidP="006655D3">
      <w:pPr>
        <w:rPr>
          <w:lang w:val="fr-FR"/>
        </w:rPr>
      </w:pPr>
    </w:p>
    <w:p w:rsidR="009D1F38" w:rsidRPr="00294751" w:rsidRDefault="009D1F38" w:rsidP="006655D3">
      <w:pPr>
        <w:rPr>
          <w:lang w:val="fr-FR"/>
        </w:rPr>
      </w:pPr>
    </w:p>
  </w:endnote>
  <w:endnote w:type="continuationNotice" w:id="1">
    <w:p w:rsidR="009D1F38" w:rsidRPr="00294751" w:rsidRDefault="009D1F38" w:rsidP="006655D3">
      <w:pPr>
        <w:rPr>
          <w:lang w:val="fr-FR"/>
        </w:rPr>
      </w:pPr>
      <w:r w:rsidRPr="00294751">
        <w:rPr>
          <w:lang w:val="fr-FR"/>
        </w:rPr>
        <w:t>[Suite de la note page suivante]</w:t>
      </w:r>
    </w:p>
    <w:p w:rsidR="009D1F38" w:rsidRPr="00294751" w:rsidRDefault="009D1F38" w:rsidP="006655D3">
      <w:pPr>
        <w:rPr>
          <w:lang w:val="fr-FR"/>
        </w:rPr>
      </w:pPr>
    </w:p>
    <w:p w:rsidR="009D1F38" w:rsidRPr="00294751" w:rsidRDefault="009D1F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38" w:rsidRDefault="009D1F38" w:rsidP="006655D3">
      <w:r>
        <w:separator/>
      </w:r>
    </w:p>
  </w:footnote>
  <w:footnote w:type="continuationSeparator" w:id="0">
    <w:p w:rsidR="009D1F38" w:rsidRDefault="009D1F38" w:rsidP="006655D3">
      <w:r>
        <w:separator/>
      </w:r>
    </w:p>
  </w:footnote>
  <w:footnote w:type="continuationNotice" w:id="1">
    <w:p w:rsidR="009D1F38" w:rsidRPr="00AB530F" w:rsidRDefault="009D1F38" w:rsidP="00AB530F">
      <w:pPr>
        <w:pStyle w:val="Footer"/>
      </w:pPr>
    </w:p>
  </w:footnote>
  <w:footnote w:id="2">
    <w:p w:rsidR="00822A0B" w:rsidRDefault="00822A0B" w:rsidP="00822A0B">
      <w:pPr>
        <w:pStyle w:val="FootnoteText"/>
      </w:pPr>
      <w:r>
        <w:rPr>
          <w:rStyle w:val="FootnoteReference"/>
        </w:rPr>
        <w:footnoteRef/>
      </w:r>
      <w:r>
        <w:tab/>
      </w:r>
      <w:r w:rsidRPr="006816C0">
        <w:t>Held in Geneva on Octobe</w:t>
      </w:r>
      <w:r>
        <w:t>r 31, 2018.</w:t>
      </w:r>
    </w:p>
  </w:footnote>
  <w:footnote w:id="3">
    <w:p w:rsidR="002E603E" w:rsidRDefault="002E603E" w:rsidP="00822A0B">
      <w:pPr>
        <w:pStyle w:val="FootnoteText"/>
      </w:pPr>
      <w:r>
        <w:rPr>
          <w:rStyle w:val="FootnoteReference"/>
        </w:rPr>
        <w:footnoteRef/>
      </w:r>
      <w:r w:rsidR="00822A0B">
        <w:tab/>
      </w:r>
      <w:r>
        <w:t>H</w:t>
      </w:r>
      <w:r w:rsidRPr="004E4103">
        <w:t>eld in Geneva on November 2, 2018</w:t>
      </w:r>
      <w:r>
        <w:t>.</w:t>
      </w:r>
    </w:p>
  </w:footnote>
  <w:footnote w:id="4">
    <w:p w:rsidR="00600A9C" w:rsidRDefault="00600A9C" w:rsidP="00822A0B">
      <w:pPr>
        <w:pStyle w:val="FootnoteText"/>
      </w:pPr>
      <w:r>
        <w:rPr>
          <w:rStyle w:val="FootnoteReference"/>
        </w:rPr>
        <w:footnoteRef/>
      </w:r>
      <w:r w:rsidR="00E85C19">
        <w:tab/>
      </w:r>
      <w:r>
        <w:t>To be held in Geneva on October 30,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31412" w:rsidP="00EB048E">
    <w:pPr>
      <w:pStyle w:val="Header"/>
      <w:rPr>
        <w:rStyle w:val="PageNumber"/>
        <w:lang w:val="en-US"/>
      </w:rPr>
    </w:pPr>
    <w:r>
      <w:rPr>
        <w:rStyle w:val="PageNumber"/>
        <w:lang w:val="en-US"/>
      </w:rPr>
      <w:t>CAJ</w:t>
    </w:r>
    <w:r w:rsidR="005638F9">
      <w:rPr>
        <w:rStyle w:val="PageNumber"/>
        <w:lang w:val="en-US"/>
      </w:rPr>
      <w:t>/76/3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3740">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80" w:rsidRDefault="007A6080" w:rsidP="007A6080">
    <w:pPr>
      <w:pStyle w:val="Header"/>
      <w:rPr>
        <w:rStyle w:val="PageNumber"/>
        <w:lang w:val="en-US"/>
      </w:rPr>
    </w:pPr>
    <w:r>
      <w:rPr>
        <w:rStyle w:val="PageNumber"/>
        <w:lang w:val="en-US"/>
      </w:rPr>
      <w:t>CAJ/76/3</w:t>
    </w:r>
  </w:p>
  <w:p w:rsidR="007A6080" w:rsidRPr="00C5280D" w:rsidRDefault="007A6080" w:rsidP="007A6080">
    <w:pPr>
      <w:pStyle w:val="Header"/>
      <w:rPr>
        <w:lang w:val="en-US"/>
      </w:rPr>
    </w:pPr>
    <w:r>
      <w:rPr>
        <w:rStyle w:val="PageNumbe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3740">
      <w:rPr>
        <w:rStyle w:val="PageNumber"/>
        <w:noProof/>
        <w:lang w:val="en-US"/>
      </w:rPr>
      <w:t>2</w:t>
    </w:r>
    <w:r w:rsidRPr="00C5280D">
      <w:rPr>
        <w:rStyle w:val="PageNumber"/>
        <w:lang w:val="en-US"/>
      </w:rPr>
      <w:fldChar w:fldCharType="end"/>
    </w:r>
  </w:p>
  <w:p w:rsidR="007A6080" w:rsidRPr="00C5280D" w:rsidRDefault="007A608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C7" w:rsidRDefault="004D0FC7" w:rsidP="004D0FC7">
    <w:pPr>
      <w:pStyle w:val="Header"/>
      <w:rPr>
        <w:lang w:val="en-US"/>
      </w:rPr>
    </w:pPr>
    <w:r>
      <w:rPr>
        <w:lang w:val="en-US"/>
      </w:rPr>
      <w:t>CAJ/76/3</w:t>
    </w:r>
  </w:p>
  <w:p w:rsidR="004D0FC7" w:rsidRDefault="004D0FC7" w:rsidP="004D0FC7">
    <w:pPr>
      <w:pStyle w:val="Header"/>
      <w:rPr>
        <w:lang w:val="en-US"/>
      </w:rPr>
    </w:pPr>
  </w:p>
  <w:p w:rsidR="004D0FC7" w:rsidRDefault="004D0FC7" w:rsidP="004D0FC7">
    <w:pPr>
      <w:pStyle w:val="Header"/>
      <w:rPr>
        <w:lang w:val="en-US"/>
      </w:rPr>
    </w:pPr>
    <w:r>
      <w:rPr>
        <w:lang w:val="en-US"/>
      </w:rPr>
      <w:t>ANNEX</w:t>
    </w:r>
  </w:p>
  <w:p w:rsidR="004D0FC7" w:rsidRDefault="004D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0CEC"/>
    <w:multiLevelType w:val="hybridMultilevel"/>
    <w:tmpl w:val="AF3C35B2"/>
    <w:lvl w:ilvl="0" w:tplc="6EC0539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1B61"/>
    <w:multiLevelType w:val="hybridMultilevel"/>
    <w:tmpl w:val="AE928E16"/>
    <w:lvl w:ilvl="0" w:tplc="0E925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834DF"/>
    <w:multiLevelType w:val="hybridMultilevel"/>
    <w:tmpl w:val="AA8A1BC4"/>
    <w:lvl w:ilvl="0" w:tplc="03C05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33CB8"/>
    <w:multiLevelType w:val="hybridMultilevel"/>
    <w:tmpl w:val="786AFC40"/>
    <w:lvl w:ilvl="0" w:tplc="83D892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81B7B"/>
    <w:multiLevelType w:val="hybridMultilevel"/>
    <w:tmpl w:val="56B60C34"/>
    <w:lvl w:ilvl="0" w:tplc="12CEB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6028"/>
    <w:rsid w:val="00044642"/>
    <w:rsid w:val="000446B9"/>
    <w:rsid w:val="00047E21"/>
    <w:rsid w:val="00050E16"/>
    <w:rsid w:val="000771B1"/>
    <w:rsid w:val="00085505"/>
    <w:rsid w:val="000857C9"/>
    <w:rsid w:val="000C4E25"/>
    <w:rsid w:val="000C7021"/>
    <w:rsid w:val="000D6BBC"/>
    <w:rsid w:val="000D7780"/>
    <w:rsid w:val="000E636A"/>
    <w:rsid w:val="000F2F11"/>
    <w:rsid w:val="00105929"/>
    <w:rsid w:val="00110BED"/>
    <w:rsid w:val="00110C36"/>
    <w:rsid w:val="001131D5"/>
    <w:rsid w:val="00137DAE"/>
    <w:rsid w:val="00141DB8"/>
    <w:rsid w:val="00172084"/>
    <w:rsid w:val="0017474A"/>
    <w:rsid w:val="001758C6"/>
    <w:rsid w:val="00182B99"/>
    <w:rsid w:val="001C1525"/>
    <w:rsid w:val="001F0334"/>
    <w:rsid w:val="001F2922"/>
    <w:rsid w:val="00212555"/>
    <w:rsid w:val="0021332C"/>
    <w:rsid w:val="00213982"/>
    <w:rsid w:val="0024416D"/>
    <w:rsid w:val="00251ADF"/>
    <w:rsid w:val="00264BEF"/>
    <w:rsid w:val="00271911"/>
    <w:rsid w:val="002800A0"/>
    <w:rsid w:val="002801B3"/>
    <w:rsid w:val="00281060"/>
    <w:rsid w:val="00284BA4"/>
    <w:rsid w:val="002940E8"/>
    <w:rsid w:val="00294751"/>
    <w:rsid w:val="002A6E50"/>
    <w:rsid w:val="002B4298"/>
    <w:rsid w:val="002B7A36"/>
    <w:rsid w:val="002C256A"/>
    <w:rsid w:val="002E603E"/>
    <w:rsid w:val="00305A7F"/>
    <w:rsid w:val="003152FE"/>
    <w:rsid w:val="00327436"/>
    <w:rsid w:val="00344BD6"/>
    <w:rsid w:val="0035528D"/>
    <w:rsid w:val="00361821"/>
    <w:rsid w:val="00361E9E"/>
    <w:rsid w:val="00387E9E"/>
    <w:rsid w:val="003C7FBE"/>
    <w:rsid w:val="003D227C"/>
    <w:rsid w:val="003D2B4D"/>
    <w:rsid w:val="00444A88"/>
    <w:rsid w:val="00474DA4"/>
    <w:rsid w:val="00476B4D"/>
    <w:rsid w:val="004805FA"/>
    <w:rsid w:val="004935D2"/>
    <w:rsid w:val="004A55FB"/>
    <w:rsid w:val="004B1215"/>
    <w:rsid w:val="004C02D2"/>
    <w:rsid w:val="004C1CD0"/>
    <w:rsid w:val="004D047D"/>
    <w:rsid w:val="004D0FC7"/>
    <w:rsid w:val="004F1E9E"/>
    <w:rsid w:val="004F305A"/>
    <w:rsid w:val="004F3740"/>
    <w:rsid w:val="00512164"/>
    <w:rsid w:val="00520297"/>
    <w:rsid w:val="005338F9"/>
    <w:rsid w:val="0054281C"/>
    <w:rsid w:val="00544581"/>
    <w:rsid w:val="0055268D"/>
    <w:rsid w:val="005638F9"/>
    <w:rsid w:val="0056504E"/>
    <w:rsid w:val="00576BE4"/>
    <w:rsid w:val="005779DB"/>
    <w:rsid w:val="005A400A"/>
    <w:rsid w:val="005F7B92"/>
    <w:rsid w:val="00600A9C"/>
    <w:rsid w:val="00612379"/>
    <w:rsid w:val="006153B6"/>
    <w:rsid w:val="0061555F"/>
    <w:rsid w:val="00636CA6"/>
    <w:rsid w:val="00641200"/>
    <w:rsid w:val="00645CA8"/>
    <w:rsid w:val="006655D3"/>
    <w:rsid w:val="00667404"/>
    <w:rsid w:val="006816C0"/>
    <w:rsid w:val="00687EB4"/>
    <w:rsid w:val="00695C56"/>
    <w:rsid w:val="006A5CDE"/>
    <w:rsid w:val="006A644A"/>
    <w:rsid w:val="006B17D2"/>
    <w:rsid w:val="006C224E"/>
    <w:rsid w:val="006D224A"/>
    <w:rsid w:val="006D780A"/>
    <w:rsid w:val="007040FB"/>
    <w:rsid w:val="0070548A"/>
    <w:rsid w:val="0071271E"/>
    <w:rsid w:val="00732DEC"/>
    <w:rsid w:val="00735371"/>
    <w:rsid w:val="00735BD5"/>
    <w:rsid w:val="007414D8"/>
    <w:rsid w:val="007451EC"/>
    <w:rsid w:val="00751613"/>
    <w:rsid w:val="00753EE9"/>
    <w:rsid w:val="007556F6"/>
    <w:rsid w:val="00760EEF"/>
    <w:rsid w:val="00761618"/>
    <w:rsid w:val="00767E42"/>
    <w:rsid w:val="00777EE5"/>
    <w:rsid w:val="00784836"/>
    <w:rsid w:val="0079023E"/>
    <w:rsid w:val="007A2854"/>
    <w:rsid w:val="007A6080"/>
    <w:rsid w:val="007B4B4C"/>
    <w:rsid w:val="007B59E8"/>
    <w:rsid w:val="007C1D92"/>
    <w:rsid w:val="007C4CB9"/>
    <w:rsid w:val="007C76BA"/>
    <w:rsid w:val="007D0B9D"/>
    <w:rsid w:val="007D19B0"/>
    <w:rsid w:val="007D299D"/>
    <w:rsid w:val="007F498F"/>
    <w:rsid w:val="0080591C"/>
    <w:rsid w:val="0080679D"/>
    <w:rsid w:val="008108B0"/>
    <w:rsid w:val="00811B20"/>
    <w:rsid w:val="00812609"/>
    <w:rsid w:val="008211B5"/>
    <w:rsid w:val="0082296E"/>
    <w:rsid w:val="00822A0B"/>
    <w:rsid w:val="00824099"/>
    <w:rsid w:val="00825B6F"/>
    <w:rsid w:val="00846D7C"/>
    <w:rsid w:val="008636A2"/>
    <w:rsid w:val="00867AC1"/>
    <w:rsid w:val="00890DF8"/>
    <w:rsid w:val="008A743F"/>
    <w:rsid w:val="008C0970"/>
    <w:rsid w:val="008D0BC5"/>
    <w:rsid w:val="008D2430"/>
    <w:rsid w:val="008D2CF7"/>
    <w:rsid w:val="008E6B2B"/>
    <w:rsid w:val="00900C26"/>
    <w:rsid w:val="0090197F"/>
    <w:rsid w:val="009031FC"/>
    <w:rsid w:val="00903264"/>
    <w:rsid w:val="00906DDC"/>
    <w:rsid w:val="00934E09"/>
    <w:rsid w:val="00936253"/>
    <w:rsid w:val="00940D46"/>
    <w:rsid w:val="00952DD4"/>
    <w:rsid w:val="00965AE7"/>
    <w:rsid w:val="00970FED"/>
    <w:rsid w:val="00992D82"/>
    <w:rsid w:val="00997029"/>
    <w:rsid w:val="009A7339"/>
    <w:rsid w:val="009B440E"/>
    <w:rsid w:val="009D1F38"/>
    <w:rsid w:val="009D5818"/>
    <w:rsid w:val="009D690D"/>
    <w:rsid w:val="009E65B6"/>
    <w:rsid w:val="009F77CF"/>
    <w:rsid w:val="00A15F46"/>
    <w:rsid w:val="00A24C10"/>
    <w:rsid w:val="00A30861"/>
    <w:rsid w:val="00A33B9D"/>
    <w:rsid w:val="00A42AC3"/>
    <w:rsid w:val="00A430CF"/>
    <w:rsid w:val="00A54309"/>
    <w:rsid w:val="00A710E1"/>
    <w:rsid w:val="00A80F2A"/>
    <w:rsid w:val="00A9066D"/>
    <w:rsid w:val="00AB2B93"/>
    <w:rsid w:val="00AB530F"/>
    <w:rsid w:val="00AB7E5B"/>
    <w:rsid w:val="00AC2883"/>
    <w:rsid w:val="00AD316B"/>
    <w:rsid w:val="00AD6D1D"/>
    <w:rsid w:val="00AE0EF1"/>
    <w:rsid w:val="00AE2937"/>
    <w:rsid w:val="00B07301"/>
    <w:rsid w:val="00B11F3E"/>
    <w:rsid w:val="00B224DE"/>
    <w:rsid w:val="00B324D4"/>
    <w:rsid w:val="00B46575"/>
    <w:rsid w:val="00B61777"/>
    <w:rsid w:val="00B622E6"/>
    <w:rsid w:val="00B746A5"/>
    <w:rsid w:val="00B84BBD"/>
    <w:rsid w:val="00BA43FB"/>
    <w:rsid w:val="00BC127D"/>
    <w:rsid w:val="00BC1FE6"/>
    <w:rsid w:val="00BF010E"/>
    <w:rsid w:val="00C061B6"/>
    <w:rsid w:val="00C2446C"/>
    <w:rsid w:val="00C36AE5"/>
    <w:rsid w:val="00C41F17"/>
    <w:rsid w:val="00C527FA"/>
    <w:rsid w:val="00C5280D"/>
    <w:rsid w:val="00C53EB3"/>
    <w:rsid w:val="00C5791C"/>
    <w:rsid w:val="00C66290"/>
    <w:rsid w:val="00C72B7A"/>
    <w:rsid w:val="00C973F2"/>
    <w:rsid w:val="00CA304C"/>
    <w:rsid w:val="00CA61EA"/>
    <w:rsid w:val="00CA774A"/>
    <w:rsid w:val="00CB2272"/>
    <w:rsid w:val="00CC11B0"/>
    <w:rsid w:val="00CC2841"/>
    <w:rsid w:val="00CF1330"/>
    <w:rsid w:val="00CF1E57"/>
    <w:rsid w:val="00CF2E1D"/>
    <w:rsid w:val="00CF7DE5"/>
    <w:rsid w:val="00CF7E36"/>
    <w:rsid w:val="00D040C3"/>
    <w:rsid w:val="00D100ED"/>
    <w:rsid w:val="00D3708D"/>
    <w:rsid w:val="00D40426"/>
    <w:rsid w:val="00D4657A"/>
    <w:rsid w:val="00D560FA"/>
    <w:rsid w:val="00D57C96"/>
    <w:rsid w:val="00D57D18"/>
    <w:rsid w:val="00D76A2D"/>
    <w:rsid w:val="00D91203"/>
    <w:rsid w:val="00D95174"/>
    <w:rsid w:val="00DA4973"/>
    <w:rsid w:val="00DA6F36"/>
    <w:rsid w:val="00DB51B4"/>
    <w:rsid w:val="00DB596E"/>
    <w:rsid w:val="00DB7773"/>
    <w:rsid w:val="00DC00EA"/>
    <w:rsid w:val="00DC3802"/>
    <w:rsid w:val="00E07D87"/>
    <w:rsid w:val="00E249C8"/>
    <w:rsid w:val="00E32F7E"/>
    <w:rsid w:val="00E5267B"/>
    <w:rsid w:val="00E63C0E"/>
    <w:rsid w:val="00E72D49"/>
    <w:rsid w:val="00E7593C"/>
    <w:rsid w:val="00E7678A"/>
    <w:rsid w:val="00E843F0"/>
    <w:rsid w:val="00E85C19"/>
    <w:rsid w:val="00E935F1"/>
    <w:rsid w:val="00E94A81"/>
    <w:rsid w:val="00EA1FFB"/>
    <w:rsid w:val="00EB048E"/>
    <w:rsid w:val="00EB4E9C"/>
    <w:rsid w:val="00EB5BCE"/>
    <w:rsid w:val="00ED4EA4"/>
    <w:rsid w:val="00EE34DF"/>
    <w:rsid w:val="00EF2F89"/>
    <w:rsid w:val="00EF6650"/>
    <w:rsid w:val="00EF7FB8"/>
    <w:rsid w:val="00F03E98"/>
    <w:rsid w:val="00F1237A"/>
    <w:rsid w:val="00F22CBD"/>
    <w:rsid w:val="00F272F1"/>
    <w:rsid w:val="00F31412"/>
    <w:rsid w:val="00F45372"/>
    <w:rsid w:val="00F560F7"/>
    <w:rsid w:val="00F6334D"/>
    <w:rsid w:val="00F63599"/>
    <w:rsid w:val="00FA49AB"/>
    <w:rsid w:val="00FE39C7"/>
    <w:rsid w:val="00FF4D0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FB38F7"/>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EF665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822A0B"/>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F3740"/>
    <w:pPr>
      <w:tabs>
        <w:tab w:val="right" w:leader="dot" w:pos="9639"/>
      </w:tabs>
      <w:spacing w:after="120"/>
      <w:ind w:left="425" w:right="567"/>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33B9D"/>
    <w:pPr>
      <w:tabs>
        <w:tab w:val="right" w:leader="dot" w:pos="9639"/>
      </w:tabs>
      <w:spacing w:after="120"/>
      <w:ind w:right="284"/>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CA61EA"/>
    <w:rPr>
      <w:rFonts w:ascii="Arial" w:hAnsi="Arial"/>
      <w:i/>
    </w:rPr>
  </w:style>
  <w:style w:type="character" w:customStyle="1" w:styleId="FootnoteTextChar">
    <w:name w:val="Footnote Text Char"/>
    <w:basedOn w:val="DefaultParagraphFont"/>
    <w:link w:val="FootnoteText"/>
    <w:rsid w:val="00822A0B"/>
    <w:rPr>
      <w:rFonts w:ascii="Arial" w:hAnsi="Arial"/>
      <w:sz w:val="16"/>
    </w:rPr>
  </w:style>
  <w:style w:type="character" w:customStyle="1" w:styleId="Heading1Char">
    <w:name w:val="Heading 1 Char"/>
    <w:basedOn w:val="DefaultParagraphFont"/>
    <w:link w:val="Heading1"/>
    <w:rsid w:val="00CA61EA"/>
    <w:rPr>
      <w:rFonts w:ascii="Arial" w:hAnsi="Arial"/>
      <w:caps/>
    </w:rPr>
  </w:style>
  <w:style w:type="paragraph" w:styleId="ListParagraph">
    <w:name w:val="List Paragraph"/>
    <w:basedOn w:val="Normal"/>
    <w:uiPriority w:val="34"/>
    <w:qFormat/>
    <w:rsid w:val="002E603E"/>
    <w:pPr>
      <w:ind w:left="720"/>
      <w:contextualSpacing/>
    </w:pPr>
  </w:style>
  <w:style w:type="character" w:customStyle="1" w:styleId="HeaderChar">
    <w:name w:val="Header Char"/>
    <w:basedOn w:val="DefaultParagraphFont"/>
    <w:link w:val="Header"/>
    <w:uiPriority w:val="99"/>
    <w:rsid w:val="004D0FC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expndocs/en/upov_exn_edv.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50787" TargetMode="External"/><Relationship Id="rId4" Type="http://schemas.openxmlformats.org/officeDocument/2006/relationships/settings" Target="settings.xml"/><Relationship Id="rId9" Type="http://schemas.openxmlformats.org/officeDocument/2006/relationships/hyperlink" Target="https://www.upov.int/meetings/en/details.jsp?meeting_id=29782"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D9D0-CD78-4E24-B44E-8F5F391C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148</TotalTime>
  <Pages>6</Pages>
  <Words>2046</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CAJ/76/3</vt:lpstr>
    </vt:vector>
  </TitlesOfParts>
  <Company>UPOV</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CAJ/76/3</dc:title>
  <dc:creator>SANCHEZ VIZCAINO GOMEZ Rosa Maria</dc:creator>
  <cp:lastModifiedBy>SANTOS Carla Marina</cp:lastModifiedBy>
  <cp:revision>29</cp:revision>
  <cp:lastPrinted>2019-07-23T13:59:00Z</cp:lastPrinted>
  <dcterms:created xsi:type="dcterms:W3CDTF">2019-07-23T14:00:00Z</dcterms:created>
  <dcterms:modified xsi:type="dcterms:W3CDTF">2019-08-01T09:50:00Z</dcterms:modified>
</cp:coreProperties>
</file>