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A2FEE" w:rsidTr="00EB4E9C">
        <w:tc>
          <w:tcPr>
            <w:tcW w:w="6522" w:type="dxa"/>
          </w:tcPr>
          <w:p w:rsidR="00DC3802" w:rsidRPr="00AA2FEE" w:rsidRDefault="00DC3802" w:rsidP="00AC2883">
            <w:r w:rsidRPr="00AA2FEE">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AA2FEE" w:rsidRDefault="00DC3802" w:rsidP="00AC2883">
            <w:pPr>
              <w:pStyle w:val="Lettrine"/>
            </w:pPr>
            <w:r w:rsidRPr="00AA2FEE">
              <w:t>E</w:t>
            </w:r>
          </w:p>
        </w:tc>
      </w:tr>
      <w:tr w:rsidR="00DC3802" w:rsidRPr="00AA2FEE" w:rsidTr="00645CA8">
        <w:trPr>
          <w:trHeight w:val="219"/>
        </w:trPr>
        <w:tc>
          <w:tcPr>
            <w:tcW w:w="6522" w:type="dxa"/>
          </w:tcPr>
          <w:p w:rsidR="00DC3802" w:rsidRPr="00AA2FEE" w:rsidRDefault="00DC3802" w:rsidP="00AC2883">
            <w:pPr>
              <w:pStyle w:val="upove"/>
            </w:pPr>
            <w:r w:rsidRPr="00AA2FEE">
              <w:t>International Union for the Protection of New Varieties of Plants</w:t>
            </w:r>
          </w:p>
        </w:tc>
        <w:tc>
          <w:tcPr>
            <w:tcW w:w="3117" w:type="dxa"/>
          </w:tcPr>
          <w:p w:rsidR="00DC3802" w:rsidRPr="00AA2FEE" w:rsidRDefault="00DC3802" w:rsidP="00DA4973"/>
        </w:tc>
      </w:tr>
    </w:tbl>
    <w:p w:rsidR="00DC3802" w:rsidRPr="00AA2FEE" w:rsidRDefault="00DC3802" w:rsidP="00DC3802"/>
    <w:p w:rsidR="001D736D" w:rsidRPr="00AA2FEE" w:rsidRDefault="001D736D" w:rsidP="001D736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AA2FEE" w:rsidTr="00115400">
        <w:tc>
          <w:tcPr>
            <w:tcW w:w="6512" w:type="dxa"/>
          </w:tcPr>
          <w:p w:rsidR="001D736D" w:rsidRPr="00AA2FEE" w:rsidRDefault="001D736D" w:rsidP="00115400">
            <w:pPr>
              <w:pStyle w:val="Sessiontc"/>
              <w:spacing w:line="240" w:lineRule="auto"/>
            </w:pPr>
            <w:r w:rsidRPr="00AA2FEE">
              <w:t>Council</w:t>
            </w:r>
          </w:p>
          <w:p w:rsidR="005A5958" w:rsidRPr="00AA2FEE" w:rsidRDefault="005A5958" w:rsidP="005A5958">
            <w:pPr>
              <w:pStyle w:val="Sessiontcplacedate"/>
            </w:pPr>
            <w:r w:rsidRPr="00AA2FEE">
              <w:t>Fifty-Sixth Ordinary Session</w:t>
            </w:r>
          </w:p>
          <w:p w:rsidR="001D736D" w:rsidRPr="00AA2FEE" w:rsidRDefault="005A5958" w:rsidP="005A5958">
            <w:pPr>
              <w:pStyle w:val="Sessiontcplacedate"/>
              <w:rPr>
                <w:sz w:val="22"/>
              </w:rPr>
            </w:pPr>
            <w:r w:rsidRPr="00AA2FEE">
              <w:t>Geneva, October 28, 2022</w:t>
            </w:r>
          </w:p>
        </w:tc>
        <w:tc>
          <w:tcPr>
            <w:tcW w:w="3127" w:type="dxa"/>
          </w:tcPr>
          <w:p w:rsidR="001D736D" w:rsidRPr="00AA2FEE" w:rsidRDefault="005A5958" w:rsidP="00115400">
            <w:pPr>
              <w:pStyle w:val="Doccode"/>
            </w:pPr>
            <w:r w:rsidRPr="00AA2FEE">
              <w:t>C/56</w:t>
            </w:r>
            <w:r w:rsidR="00544B5B" w:rsidRPr="00AA2FEE">
              <w:t>/INF/4</w:t>
            </w:r>
          </w:p>
          <w:p w:rsidR="001D736D" w:rsidRPr="00AA2FEE" w:rsidRDefault="001D736D" w:rsidP="00115400">
            <w:pPr>
              <w:pStyle w:val="Docoriginal"/>
            </w:pPr>
            <w:r w:rsidRPr="00AA2FEE">
              <w:t>Original:</w:t>
            </w:r>
            <w:r w:rsidRPr="00AA2FEE">
              <w:rPr>
                <w:b w:val="0"/>
                <w:spacing w:val="0"/>
              </w:rPr>
              <w:t xml:space="preserve">  English</w:t>
            </w:r>
            <w:r w:rsidR="002145CE" w:rsidRPr="00AA2FEE">
              <w:rPr>
                <w:b w:val="0"/>
                <w:spacing w:val="0"/>
              </w:rPr>
              <w:t>/German/Spanish</w:t>
            </w:r>
          </w:p>
          <w:p w:rsidR="001D736D" w:rsidRPr="00AA2FEE" w:rsidRDefault="001D736D" w:rsidP="000F0BD0">
            <w:pPr>
              <w:pStyle w:val="Docoriginal"/>
            </w:pPr>
            <w:r w:rsidRPr="00AA2FEE">
              <w:t>Date:</w:t>
            </w:r>
            <w:r w:rsidRPr="00AA2FEE">
              <w:rPr>
                <w:b w:val="0"/>
                <w:spacing w:val="0"/>
              </w:rPr>
              <w:t xml:space="preserve">  </w:t>
            </w:r>
            <w:r w:rsidR="005A5958" w:rsidRPr="00CC32DF">
              <w:rPr>
                <w:b w:val="0"/>
                <w:spacing w:val="0"/>
              </w:rPr>
              <w:t xml:space="preserve">September </w:t>
            </w:r>
            <w:r w:rsidR="009621DA">
              <w:rPr>
                <w:b w:val="0"/>
                <w:spacing w:val="0"/>
              </w:rPr>
              <w:t>22</w:t>
            </w:r>
            <w:r w:rsidR="000362AD" w:rsidRPr="00CC32DF">
              <w:rPr>
                <w:b w:val="0"/>
                <w:spacing w:val="0"/>
              </w:rPr>
              <w:t>, 202</w:t>
            </w:r>
            <w:r w:rsidR="005A5958" w:rsidRPr="00CC32DF">
              <w:rPr>
                <w:b w:val="0"/>
                <w:spacing w:val="0"/>
              </w:rPr>
              <w:t>2</w:t>
            </w:r>
          </w:p>
        </w:tc>
      </w:tr>
    </w:tbl>
    <w:p w:rsidR="001D736D" w:rsidRPr="00AA2FEE" w:rsidRDefault="00544B5B" w:rsidP="001D736D">
      <w:pPr>
        <w:pStyle w:val="Titleofdoc0"/>
      </w:pPr>
      <w:r w:rsidRPr="00AA2FEE">
        <w:t xml:space="preserve">Situation in the legislative, administrative and technical fields: </w:t>
      </w:r>
      <w:r w:rsidRPr="00AA2FEE">
        <w:br/>
        <w:t>Reports by representatives of members and observers</w:t>
      </w:r>
    </w:p>
    <w:p w:rsidR="001D736D" w:rsidRPr="00AA2FEE" w:rsidRDefault="001D736D" w:rsidP="001D736D">
      <w:pPr>
        <w:pStyle w:val="preparedby1"/>
        <w:jc w:val="left"/>
      </w:pPr>
      <w:r w:rsidRPr="00AA2FEE">
        <w:t>Document prepared by the Office of the Union</w:t>
      </w:r>
    </w:p>
    <w:p w:rsidR="001D736D" w:rsidRPr="00AA2FEE" w:rsidRDefault="001D736D" w:rsidP="001D736D">
      <w:pPr>
        <w:pStyle w:val="Disclaimer"/>
      </w:pPr>
      <w:r w:rsidRPr="00AA2FEE">
        <w:t>Disclaimer:  this document does not represent UPOV policies or guidance</w:t>
      </w:r>
    </w:p>
    <w:p w:rsidR="000362AD" w:rsidRPr="00AA2FEE" w:rsidRDefault="00190BB2" w:rsidP="000362AD">
      <w:pPr>
        <w:tabs>
          <w:tab w:val="left" w:pos="567"/>
          <w:tab w:val="left" w:pos="2694"/>
        </w:tabs>
      </w:pPr>
      <w:fldSimple w:instr=" AUTONUM ">
        <w:r w:rsidR="000362AD" w:rsidRPr="00AA2FEE">
          <w:t>1.</w:t>
        </w:r>
      </w:fldSimple>
      <w:r w:rsidR="000362AD" w:rsidRPr="00AA2FEE">
        <w:tab/>
        <w:t>According to the practice introduced on the occasion of the twenty-sixth ordinary session of the Council, the reports from the representatives of members and observers on the situation in the legislative, administrative and technical fields of plant variety protection and related areas are requested to be submitted in writing, in advance, to increase the ability of the Council to carry out its tasks effectively.</w:t>
      </w:r>
    </w:p>
    <w:p w:rsidR="000362AD" w:rsidRPr="00AA2FEE" w:rsidRDefault="000362AD" w:rsidP="000362AD">
      <w:pPr>
        <w:tabs>
          <w:tab w:val="left" w:pos="567"/>
          <w:tab w:val="left" w:pos="2694"/>
        </w:tabs>
      </w:pPr>
    </w:p>
    <w:p w:rsidR="000362AD" w:rsidRPr="00AA2FEE" w:rsidRDefault="00190BB2" w:rsidP="000362AD">
      <w:pPr>
        <w:tabs>
          <w:tab w:val="left" w:pos="567"/>
          <w:tab w:val="left" w:pos="2694"/>
        </w:tabs>
      </w:pPr>
      <w:fldSimple w:instr=" AUTONUM ">
        <w:r w:rsidR="000362AD" w:rsidRPr="00AA2FEE">
          <w:t>2.</w:t>
        </w:r>
      </w:fldSimple>
      <w:r w:rsidR="000362AD" w:rsidRPr="00AA2FEE">
        <w:tab/>
        <w:t>Written reports were requested by the Office of the Union in the invitation circular relating to this session and a model format was proposed.  The following reports were submitted (in alphabetical order of the names in French):</w:t>
      </w:r>
    </w:p>
    <w:p w:rsidR="000362AD" w:rsidRPr="00AA2FEE" w:rsidRDefault="000362AD" w:rsidP="000362AD">
      <w:pPr>
        <w:tabs>
          <w:tab w:val="left" w:pos="567"/>
          <w:tab w:val="left" w:pos="2694"/>
        </w:tabs>
      </w:pPr>
    </w:p>
    <w:p w:rsidR="000362AD" w:rsidRPr="00AA2FEE" w:rsidRDefault="000362AD" w:rsidP="000362AD">
      <w:pPr>
        <w:ind w:left="567" w:hanging="567"/>
        <w:rPr>
          <w:szCs w:val="24"/>
        </w:rPr>
      </w:pPr>
      <w:r w:rsidRPr="00AA2FEE">
        <w:tab/>
      </w:r>
      <w:r w:rsidRPr="00AA2FEE">
        <w:rPr>
          <w:spacing w:val="-2"/>
          <w:u w:val="single"/>
        </w:rPr>
        <w:t>Members</w:t>
      </w:r>
      <w:r w:rsidR="002723EF" w:rsidRPr="00AA2FEE">
        <w:rPr>
          <w:spacing w:val="-2"/>
        </w:rPr>
        <w:t>: Annexes I to X</w:t>
      </w:r>
      <w:r w:rsidR="00FC35F1" w:rsidRPr="00AA2FEE">
        <w:rPr>
          <w:spacing w:val="-2"/>
        </w:rPr>
        <w:t>I</w:t>
      </w:r>
      <w:r w:rsidR="002723EF" w:rsidRPr="00AA2FEE">
        <w:rPr>
          <w:spacing w:val="-2"/>
        </w:rPr>
        <w:t>X</w:t>
      </w:r>
      <w:r w:rsidRPr="00AA2FEE">
        <w:rPr>
          <w:spacing w:val="-2"/>
        </w:rPr>
        <w:t xml:space="preserve">:  </w:t>
      </w:r>
      <w:r w:rsidR="00991884" w:rsidRPr="00AA2FEE">
        <w:rPr>
          <w:szCs w:val="24"/>
        </w:rPr>
        <w:t xml:space="preserve">South Africa, Germany, Bosnia and Herzegovina, China, Denmark, Egypt, Ghana, Japan, </w:t>
      </w:r>
      <w:r w:rsidR="002723EF" w:rsidRPr="00AA2FEE">
        <w:rPr>
          <w:szCs w:val="24"/>
        </w:rPr>
        <w:t xml:space="preserve">Kenya, </w:t>
      </w:r>
      <w:r w:rsidR="00991884" w:rsidRPr="00AA2FEE">
        <w:rPr>
          <w:szCs w:val="24"/>
        </w:rPr>
        <w:t xml:space="preserve">Mexico, New Zealand, Poland, Republic of Korea, Republic of Moldova, </w:t>
      </w:r>
      <w:r w:rsidR="002723EF" w:rsidRPr="00AA2FEE">
        <w:rPr>
          <w:szCs w:val="24"/>
        </w:rPr>
        <w:t>Czech</w:t>
      </w:r>
      <w:r w:rsidR="00BC377A" w:rsidRPr="00AA2FEE">
        <w:rPr>
          <w:szCs w:val="24"/>
        </w:rPr>
        <w:t> </w:t>
      </w:r>
      <w:r w:rsidR="00991884" w:rsidRPr="00AA2FEE">
        <w:rPr>
          <w:szCs w:val="24"/>
        </w:rPr>
        <w:t>Republic, Serbia, Singapore</w:t>
      </w:r>
      <w:r w:rsidR="00FC35F1" w:rsidRPr="00AA2FEE">
        <w:rPr>
          <w:szCs w:val="24"/>
        </w:rPr>
        <w:t>, Ukraine and</w:t>
      </w:r>
      <w:r w:rsidR="00991884" w:rsidRPr="00AA2FEE">
        <w:rPr>
          <w:szCs w:val="24"/>
        </w:rPr>
        <w:t xml:space="preserve"> European Union</w:t>
      </w:r>
    </w:p>
    <w:p w:rsidR="000362AD" w:rsidRPr="00AA2FEE" w:rsidRDefault="000362AD" w:rsidP="000362AD">
      <w:pPr>
        <w:ind w:left="567" w:hanging="567"/>
        <w:rPr>
          <w:szCs w:val="24"/>
        </w:rPr>
      </w:pPr>
    </w:p>
    <w:p w:rsidR="000362AD" w:rsidRPr="00AA2FEE" w:rsidRDefault="000362AD" w:rsidP="000362AD">
      <w:r w:rsidRPr="00AA2FEE">
        <w:t>3.</w:t>
      </w:r>
      <w:r w:rsidRPr="00AA2FEE">
        <w:tab/>
        <w:t xml:space="preserve">Reports received after </w:t>
      </w:r>
      <w:r w:rsidRPr="009621DA">
        <w:t xml:space="preserve">September </w:t>
      </w:r>
      <w:r w:rsidR="002D5B78" w:rsidRPr="009621DA">
        <w:t>12</w:t>
      </w:r>
      <w:r w:rsidRPr="009621DA">
        <w:t>,</w:t>
      </w:r>
      <w:r w:rsidRPr="00AA2FEE">
        <w:t xml:space="preserve"> 202</w:t>
      </w:r>
      <w:r w:rsidR="000F5128" w:rsidRPr="00AA2FEE">
        <w:t>2</w:t>
      </w:r>
      <w:r w:rsidRPr="00AA2FEE">
        <w:t>, will be included as an addendum to this document, which will be published after the Council session.</w:t>
      </w:r>
    </w:p>
    <w:p w:rsidR="000362AD" w:rsidRPr="00AA2FEE" w:rsidRDefault="000362AD" w:rsidP="000362AD"/>
    <w:p w:rsidR="000362AD" w:rsidRPr="00AA2FEE" w:rsidRDefault="000362AD" w:rsidP="000362AD">
      <w:pPr>
        <w:rPr>
          <w:snapToGrid w:val="0"/>
        </w:rPr>
      </w:pPr>
    </w:p>
    <w:p w:rsidR="000362AD" w:rsidRPr="00AA2FEE" w:rsidRDefault="000362AD" w:rsidP="000362AD">
      <w:bookmarkStart w:id="0" w:name="_GoBack"/>
      <w:bookmarkEnd w:id="0"/>
    </w:p>
    <w:p w:rsidR="000362AD" w:rsidRPr="00AA2FEE" w:rsidRDefault="000362AD" w:rsidP="000362AD">
      <w:pPr>
        <w:jc w:val="right"/>
      </w:pPr>
      <w:r w:rsidRPr="00AA2FEE">
        <w:t>[Annexes follow]</w:t>
      </w:r>
    </w:p>
    <w:p w:rsidR="000362AD" w:rsidRPr="00AA2FEE" w:rsidRDefault="000362AD" w:rsidP="000362AD">
      <w:pPr>
        <w:jc w:val="left"/>
      </w:pPr>
    </w:p>
    <w:p w:rsidR="000362AD" w:rsidRPr="00AA2FEE" w:rsidRDefault="000362AD" w:rsidP="000362AD">
      <w:pPr>
        <w:sectPr w:rsidR="000362AD" w:rsidRPr="00AA2FEE" w:rsidSect="00906DDC">
          <w:headerReference w:type="default" r:id="rId9"/>
          <w:pgSz w:w="11907" w:h="16840" w:code="9"/>
          <w:pgMar w:top="510" w:right="1134" w:bottom="1134" w:left="1134" w:header="510" w:footer="680" w:gutter="0"/>
          <w:cols w:space="720"/>
          <w:titlePg/>
        </w:sectPr>
      </w:pPr>
    </w:p>
    <w:p w:rsidR="00F86A05" w:rsidRPr="00AA2FEE" w:rsidRDefault="00F86A05" w:rsidP="00F86A05">
      <w:pPr>
        <w:jc w:val="center"/>
      </w:pPr>
      <w:r w:rsidRPr="00AA2FEE">
        <w:lastRenderedPageBreak/>
        <w:t>C/56/INF/4</w:t>
      </w:r>
    </w:p>
    <w:p w:rsidR="00F86A05" w:rsidRPr="00AA2FEE" w:rsidRDefault="00F86A05" w:rsidP="00F86A05">
      <w:pPr>
        <w:jc w:val="center"/>
      </w:pPr>
    </w:p>
    <w:p w:rsidR="00F86A05" w:rsidRPr="00AA2FEE" w:rsidRDefault="00F86A05" w:rsidP="00F86A05">
      <w:pPr>
        <w:jc w:val="center"/>
      </w:pPr>
      <w:r w:rsidRPr="00AA2FEE">
        <w:t>ANNEX I</w:t>
      </w:r>
    </w:p>
    <w:p w:rsidR="00F86A05" w:rsidRPr="00AA2FEE" w:rsidRDefault="00F86A05" w:rsidP="00F86A05">
      <w:pPr>
        <w:jc w:val="center"/>
      </w:pPr>
    </w:p>
    <w:p w:rsidR="00F86A05" w:rsidRPr="00AA2FEE" w:rsidRDefault="00F86A05" w:rsidP="00F86A05">
      <w:pPr>
        <w:jc w:val="center"/>
      </w:pPr>
    </w:p>
    <w:p w:rsidR="00F86A05" w:rsidRPr="00AA2FEE" w:rsidRDefault="00F86A05" w:rsidP="00F86A05">
      <w:pPr>
        <w:jc w:val="center"/>
      </w:pPr>
      <w:r w:rsidRPr="00AA2FEE">
        <w:t>SOUTH AFRICA</w:t>
      </w:r>
    </w:p>
    <w:p w:rsidR="00F86A05" w:rsidRPr="00AA2FEE" w:rsidRDefault="00F86A05" w:rsidP="00F86A05"/>
    <w:p w:rsidR="00F86A05" w:rsidRPr="00AA2FEE" w:rsidRDefault="00F86A05" w:rsidP="00F86A05"/>
    <w:p w:rsidR="000B2CE0" w:rsidRPr="00AA2FEE" w:rsidRDefault="000B2CE0" w:rsidP="000B2CE0">
      <w:r w:rsidRPr="00AA2FEE">
        <w:t>I.</w:t>
      </w:r>
      <w:r w:rsidRPr="00AA2FEE">
        <w:tab/>
        <w:t>PLANT VARIETY PROTECTION</w:t>
      </w:r>
    </w:p>
    <w:p w:rsidR="000B2CE0" w:rsidRPr="00AA2FEE" w:rsidRDefault="000B2CE0" w:rsidP="000B2CE0"/>
    <w:p w:rsidR="000B2CE0" w:rsidRPr="00AA2FEE" w:rsidRDefault="000B2CE0" w:rsidP="000B2CE0">
      <w:r w:rsidRPr="00AA2FEE">
        <w:t xml:space="preserve">1. </w:t>
      </w:r>
      <w:r w:rsidRPr="00AA2FEE">
        <w:tab/>
      </w:r>
      <w:r w:rsidRPr="00AA2FEE">
        <w:rPr>
          <w:u w:val="single"/>
        </w:rPr>
        <w:t>Situation in the legislative field</w:t>
      </w:r>
    </w:p>
    <w:p w:rsidR="000B2CE0" w:rsidRPr="00AA2FEE" w:rsidRDefault="000B2CE0" w:rsidP="000B2CE0"/>
    <w:p w:rsidR="000B2CE0" w:rsidRPr="00AA2FEE" w:rsidRDefault="000B2CE0" w:rsidP="000B2CE0">
      <w:r w:rsidRPr="00AA2FEE">
        <w:t>1.1</w:t>
      </w:r>
      <w:r w:rsidRPr="00AA2FEE">
        <w:tab/>
        <w:t>Amendments of the law and the implementing regulations</w:t>
      </w:r>
    </w:p>
    <w:p w:rsidR="000B2CE0" w:rsidRPr="00AA2FEE" w:rsidRDefault="000B2CE0" w:rsidP="000B2CE0"/>
    <w:p w:rsidR="000B2CE0" w:rsidRPr="00AA2FEE" w:rsidRDefault="000B2CE0" w:rsidP="000B2CE0">
      <w:pPr>
        <w:ind w:left="567"/>
        <w:rPr>
          <w:iCs/>
        </w:rPr>
      </w:pPr>
      <w:r w:rsidRPr="00AA2FEE">
        <w:rPr>
          <w:iCs/>
        </w:rPr>
        <w:t>Regulations for Plant Breeder’s Rights Act No. 12 of 2018 published in the SA Government Gazette No. 46543 on 10 June 2022 for public comments.</w:t>
      </w:r>
    </w:p>
    <w:p w:rsidR="000B2CE0" w:rsidRPr="00AA2FEE" w:rsidRDefault="000B2CE0" w:rsidP="000B2CE0">
      <w:pPr>
        <w:rPr>
          <w:i/>
          <w:iCs/>
        </w:rPr>
      </w:pPr>
    </w:p>
    <w:p w:rsidR="000B2CE0" w:rsidRPr="00AA2FEE" w:rsidRDefault="000B2CE0" w:rsidP="000B2CE0">
      <w:pPr>
        <w:ind w:left="851" w:hanging="284"/>
      </w:pPr>
      <w:bookmarkStart w:id="1" w:name="_Hlk112671344"/>
      <w:r w:rsidRPr="00AA2FEE">
        <w:t>-</w:t>
      </w:r>
      <w:bookmarkEnd w:id="1"/>
      <w:r w:rsidRPr="00AA2FEE">
        <w:tab/>
        <w:t xml:space="preserve">adaptation to the 1991 Act of the Convention:  </w:t>
      </w:r>
    </w:p>
    <w:p w:rsidR="000B2CE0" w:rsidRPr="00AA2FEE" w:rsidRDefault="000B2CE0" w:rsidP="000B2CE0">
      <w:pPr>
        <w:ind w:left="851" w:hanging="284"/>
      </w:pPr>
    </w:p>
    <w:p w:rsidR="000B2CE0" w:rsidRPr="00AA2FEE" w:rsidRDefault="000B2CE0" w:rsidP="000B2CE0">
      <w:pPr>
        <w:ind w:left="851" w:hanging="284"/>
        <w:rPr>
          <w:iCs/>
        </w:rPr>
      </w:pPr>
      <w:r w:rsidRPr="00AA2FEE">
        <w:rPr>
          <w:iCs/>
        </w:rPr>
        <w:t>None to report.</w:t>
      </w:r>
    </w:p>
    <w:p w:rsidR="000B2CE0" w:rsidRPr="00AA2FEE" w:rsidRDefault="000B2CE0" w:rsidP="000B2CE0">
      <w:pPr>
        <w:ind w:left="851" w:hanging="284"/>
      </w:pPr>
    </w:p>
    <w:p w:rsidR="000B2CE0" w:rsidRPr="00AA2FEE" w:rsidRDefault="000B2CE0" w:rsidP="000B2CE0">
      <w:pPr>
        <w:ind w:left="851" w:hanging="284"/>
      </w:pPr>
      <w:r w:rsidRPr="00AA2FEE">
        <w:t>-</w:t>
      </w:r>
      <w:r w:rsidRPr="00AA2FEE">
        <w:tab/>
        <w:t>other amendments, including in respect of fees:</w:t>
      </w:r>
    </w:p>
    <w:p w:rsidR="000B2CE0" w:rsidRPr="00AA2FEE" w:rsidRDefault="000B2CE0" w:rsidP="000B2CE0">
      <w:pPr>
        <w:ind w:left="851" w:hanging="284"/>
      </w:pPr>
    </w:p>
    <w:p w:rsidR="000B2CE0" w:rsidRPr="00AA2FEE" w:rsidRDefault="000B2CE0" w:rsidP="000B2CE0">
      <w:pPr>
        <w:ind w:left="567"/>
        <w:rPr>
          <w:iCs/>
        </w:rPr>
      </w:pPr>
      <w:r w:rsidRPr="00AA2FEE">
        <w:rPr>
          <w:iCs/>
        </w:rPr>
        <w:t>The fees on plant breeders’ rights for the 2022/23 financial year, ending 31 March 2023, were published in the SA Government Gazette No. 46242 on 14 April 2022.</w:t>
      </w:r>
    </w:p>
    <w:p w:rsidR="000B2CE0" w:rsidRPr="00AA2FEE" w:rsidRDefault="000B2CE0" w:rsidP="000B2CE0"/>
    <w:p w:rsidR="000B2CE0" w:rsidRPr="00AA2FEE" w:rsidRDefault="000B2CE0" w:rsidP="000B2CE0">
      <w:r w:rsidRPr="00AA2FEE">
        <w:t>1.2</w:t>
      </w:r>
      <w:r w:rsidRPr="00AA2FEE">
        <w:tab/>
        <w:t>Extension of protection to further genera and species (made or planned)</w:t>
      </w:r>
    </w:p>
    <w:p w:rsidR="000B2CE0" w:rsidRPr="00AA2FEE" w:rsidRDefault="000B2CE0" w:rsidP="000B2CE0"/>
    <w:p w:rsidR="000B2CE0" w:rsidRPr="00AA2FEE" w:rsidRDefault="000B2CE0" w:rsidP="000B2CE0">
      <w:pPr>
        <w:rPr>
          <w:iCs/>
        </w:rPr>
      </w:pPr>
      <w:r w:rsidRPr="00AA2FEE">
        <w:rPr>
          <w:iCs/>
        </w:rPr>
        <w:t>The declaration of Cannabis L. [Hemp] published in the SA Government gazette No. 46382 on 10 June 2022.</w:t>
      </w:r>
    </w:p>
    <w:p w:rsidR="000B2CE0" w:rsidRDefault="000B2CE0" w:rsidP="000B2CE0"/>
    <w:p w:rsidR="002D4898" w:rsidRPr="00AA2FEE" w:rsidRDefault="002D4898" w:rsidP="000B2CE0"/>
    <w:p w:rsidR="000B2CE0" w:rsidRPr="00AA2FEE" w:rsidRDefault="000B2CE0" w:rsidP="000B2CE0">
      <w:r w:rsidRPr="00AA2FEE">
        <w:t>2.</w:t>
      </w:r>
      <w:r w:rsidRPr="00AA2FEE">
        <w:tab/>
      </w:r>
      <w:r w:rsidRPr="00AA2FEE">
        <w:rPr>
          <w:u w:val="single"/>
        </w:rPr>
        <w:t>Cooperation in examination</w:t>
      </w:r>
    </w:p>
    <w:p w:rsidR="000B2CE0" w:rsidRPr="00AA2FEE" w:rsidRDefault="000B2CE0" w:rsidP="000B2CE0"/>
    <w:p w:rsidR="000B2CE0" w:rsidRPr="00AA2FEE" w:rsidRDefault="000B2CE0" w:rsidP="000B2CE0">
      <w:pPr>
        <w:rPr>
          <w:iCs/>
        </w:rPr>
      </w:pPr>
      <w:r w:rsidRPr="00AA2FEE">
        <w:rPr>
          <w:iCs/>
        </w:rPr>
        <w:t>None to report.</w:t>
      </w:r>
    </w:p>
    <w:p w:rsidR="000B2CE0" w:rsidRDefault="000B2CE0" w:rsidP="000B2CE0"/>
    <w:p w:rsidR="002D4898" w:rsidRPr="00AA2FEE" w:rsidRDefault="002D4898" w:rsidP="000B2CE0"/>
    <w:p w:rsidR="000B2CE0" w:rsidRPr="00AA2FEE" w:rsidRDefault="000B2CE0" w:rsidP="000B2CE0">
      <w:pPr>
        <w:rPr>
          <w:u w:val="single"/>
        </w:rPr>
      </w:pPr>
      <w:r w:rsidRPr="00AA2FEE">
        <w:t>3.</w:t>
      </w:r>
      <w:r w:rsidRPr="00AA2FEE">
        <w:tab/>
      </w:r>
      <w:r w:rsidRPr="00AA2FEE">
        <w:rPr>
          <w:u w:val="single"/>
        </w:rPr>
        <w:t>Situation in the administrative field</w:t>
      </w:r>
    </w:p>
    <w:p w:rsidR="000B2CE0" w:rsidRPr="00AA2FEE" w:rsidRDefault="000B2CE0" w:rsidP="000B2CE0"/>
    <w:p w:rsidR="000B2CE0" w:rsidRPr="00AA2FEE" w:rsidRDefault="000B2CE0" w:rsidP="000B2CE0">
      <w:r w:rsidRPr="00AA2FEE">
        <w:t>No changes to report</w:t>
      </w:r>
    </w:p>
    <w:p w:rsidR="000B2CE0" w:rsidRDefault="000B2CE0" w:rsidP="000B2CE0"/>
    <w:p w:rsidR="002D4898" w:rsidRPr="00AA2FEE" w:rsidRDefault="002D4898" w:rsidP="000B2CE0"/>
    <w:p w:rsidR="000B2CE0" w:rsidRPr="00AA2FEE" w:rsidRDefault="000B2CE0" w:rsidP="000B2CE0">
      <w:r w:rsidRPr="00AA2FEE">
        <w:t>4.</w:t>
      </w:r>
      <w:r w:rsidRPr="00AA2FEE">
        <w:tab/>
      </w:r>
      <w:r w:rsidRPr="00AA2FEE">
        <w:rPr>
          <w:u w:val="single"/>
        </w:rPr>
        <w:t>Situation in the technical field for the period January to December 2021</w:t>
      </w:r>
    </w:p>
    <w:p w:rsidR="000B2CE0" w:rsidRPr="00AA2FEE" w:rsidRDefault="000B2CE0" w:rsidP="000B2CE0"/>
    <w:p w:rsidR="000B2CE0" w:rsidRPr="00AA2FEE" w:rsidRDefault="000B2CE0" w:rsidP="000B2CE0">
      <w:pPr>
        <w:rPr>
          <w:rFonts w:eastAsia="Calibri" w:cs="Arial"/>
        </w:rPr>
      </w:pPr>
      <w:r w:rsidRPr="00AA2FEE">
        <w:rPr>
          <w:rFonts w:eastAsia="Calibri" w:cs="Arial"/>
          <w:bCs/>
        </w:rPr>
        <w:t>1</w:t>
      </w:r>
      <w:r w:rsidRPr="00AA2FEE">
        <w:rPr>
          <w:rFonts w:eastAsia="Calibri" w:cs="Arial"/>
        </w:rPr>
        <w:t xml:space="preserve"> additional taxa have been declared in terms of the Plant Breeders’ Rights Act during. </w:t>
      </w:r>
    </w:p>
    <w:p w:rsidR="000B2CE0" w:rsidRPr="00AA2FEE" w:rsidRDefault="000B2CE0" w:rsidP="000B2CE0">
      <w:pPr>
        <w:rPr>
          <w:rFonts w:eastAsia="Calibri" w:cs="Arial"/>
        </w:rPr>
      </w:pPr>
    </w:p>
    <w:p w:rsidR="000B2CE0" w:rsidRPr="00AA2FEE" w:rsidRDefault="000B2CE0" w:rsidP="000B2CE0">
      <w:pPr>
        <w:rPr>
          <w:rFonts w:eastAsia="Calibri" w:cs="Arial"/>
        </w:rPr>
      </w:pPr>
      <w:r w:rsidRPr="00AA2FEE">
        <w:rPr>
          <w:rFonts w:eastAsia="Calibri" w:cs="Arial"/>
        </w:rPr>
        <w:t xml:space="preserve">308 PBR applications were received of which 44% [137] were for Agricultural crops, 12% [35] for Ornamental crops, 40% [123] for Fruit crops and 4% [13] for Vegetable crops. </w:t>
      </w:r>
    </w:p>
    <w:p w:rsidR="000B2CE0" w:rsidRPr="00AA2FEE" w:rsidRDefault="000B2CE0" w:rsidP="000B2CE0">
      <w:pPr>
        <w:rPr>
          <w:rFonts w:eastAsia="Calibri" w:cs="Arial"/>
        </w:rPr>
      </w:pPr>
    </w:p>
    <w:p w:rsidR="000B2CE0" w:rsidRPr="00AA2FEE" w:rsidRDefault="000B2CE0" w:rsidP="000B2CE0">
      <w:pPr>
        <w:rPr>
          <w:rFonts w:eastAsia="Calibri" w:cs="Arial"/>
        </w:rPr>
      </w:pPr>
      <w:r w:rsidRPr="00AA2FEE">
        <w:rPr>
          <w:rFonts w:eastAsia="Calibri" w:cs="Arial"/>
        </w:rPr>
        <w:t xml:space="preserve">Total of </w:t>
      </w:r>
      <w:r w:rsidRPr="00AA2FEE">
        <w:rPr>
          <w:rFonts w:eastAsia="Calibri" w:cs="Arial"/>
          <w:bCs/>
        </w:rPr>
        <w:t>325</w:t>
      </w:r>
      <w:r w:rsidRPr="00AA2FEE">
        <w:rPr>
          <w:rFonts w:eastAsia="Calibri" w:cs="Arial"/>
        </w:rPr>
        <w:t xml:space="preserve"> PBR</w:t>
      </w:r>
      <w:r w:rsidRPr="00AA2FEE">
        <w:rPr>
          <w:rFonts w:eastAsia="Calibri" w:cs="Arial"/>
          <w:bCs/>
        </w:rPr>
        <w:t xml:space="preserve"> grants</w:t>
      </w:r>
      <w:r w:rsidRPr="00AA2FEE">
        <w:rPr>
          <w:rFonts w:eastAsia="Calibri" w:cs="Arial"/>
        </w:rPr>
        <w:t xml:space="preserve"> from</w:t>
      </w:r>
      <w:r w:rsidRPr="00AA2FEE">
        <w:t xml:space="preserve"> January to December</w:t>
      </w:r>
      <w:r w:rsidRPr="00AA2FEE">
        <w:rPr>
          <w:rFonts w:eastAsia="Calibri" w:cs="Arial"/>
        </w:rPr>
        <w:t xml:space="preserve"> 2021 were :</w:t>
      </w:r>
    </w:p>
    <w:p w:rsidR="000B2CE0" w:rsidRPr="00AA2FEE" w:rsidRDefault="000B2CE0" w:rsidP="000B2CE0">
      <w:pPr>
        <w:rPr>
          <w:rFonts w:eastAsia="Calibri" w:cs="Arial"/>
        </w:rPr>
      </w:pPr>
    </w:p>
    <w:p w:rsidR="000B2CE0" w:rsidRPr="00AA2FEE" w:rsidRDefault="000B2CE0" w:rsidP="000B2CE0">
      <w:pPr>
        <w:tabs>
          <w:tab w:val="right" w:pos="2268"/>
        </w:tabs>
        <w:rPr>
          <w:rFonts w:eastAsia="Calibri" w:cs="Arial"/>
          <w:bCs/>
        </w:rPr>
      </w:pPr>
      <w:r w:rsidRPr="00AA2FEE">
        <w:rPr>
          <w:rFonts w:eastAsia="Calibri" w:cs="Arial"/>
        </w:rPr>
        <w:t>Agricultural crops</w:t>
      </w:r>
      <w:r w:rsidRPr="00AA2FEE">
        <w:rPr>
          <w:rFonts w:eastAsia="Calibri" w:cs="Arial"/>
        </w:rPr>
        <w:tab/>
      </w:r>
      <w:r w:rsidRPr="00AA2FEE">
        <w:rPr>
          <w:rFonts w:eastAsia="Calibri" w:cs="Arial"/>
          <w:bCs/>
        </w:rPr>
        <w:t>127</w:t>
      </w:r>
    </w:p>
    <w:p w:rsidR="000B2CE0" w:rsidRPr="00AA2FEE" w:rsidRDefault="000B2CE0" w:rsidP="000B2CE0">
      <w:pPr>
        <w:tabs>
          <w:tab w:val="right" w:pos="2268"/>
        </w:tabs>
        <w:rPr>
          <w:rFonts w:eastAsia="Calibri" w:cs="Arial"/>
          <w:bCs/>
        </w:rPr>
      </w:pPr>
      <w:r w:rsidRPr="00AA2FEE">
        <w:rPr>
          <w:rFonts w:eastAsia="Calibri" w:cs="Arial"/>
        </w:rPr>
        <w:t>Vegetable crops</w:t>
      </w:r>
      <w:r w:rsidRPr="00AA2FEE">
        <w:rPr>
          <w:rFonts w:eastAsia="Calibri" w:cs="Arial"/>
        </w:rPr>
        <w:tab/>
      </w:r>
      <w:r w:rsidRPr="00AA2FEE">
        <w:rPr>
          <w:rFonts w:eastAsia="Calibri" w:cs="Arial"/>
          <w:bCs/>
        </w:rPr>
        <w:t>15</w:t>
      </w:r>
    </w:p>
    <w:p w:rsidR="000B2CE0" w:rsidRPr="00AA2FEE" w:rsidRDefault="000B2CE0" w:rsidP="000B2CE0">
      <w:pPr>
        <w:tabs>
          <w:tab w:val="right" w:pos="2268"/>
        </w:tabs>
        <w:rPr>
          <w:rFonts w:eastAsia="Calibri" w:cs="Arial"/>
          <w:bCs/>
        </w:rPr>
      </w:pPr>
      <w:r w:rsidRPr="00AA2FEE">
        <w:rPr>
          <w:rFonts w:eastAsia="Calibri" w:cs="Arial"/>
        </w:rPr>
        <w:t>Fruit crops</w:t>
      </w:r>
      <w:r w:rsidRPr="00AA2FEE">
        <w:rPr>
          <w:rFonts w:eastAsia="Calibri" w:cs="Arial"/>
        </w:rPr>
        <w:tab/>
      </w:r>
      <w:r w:rsidRPr="00AA2FEE">
        <w:rPr>
          <w:rFonts w:eastAsia="Calibri" w:cs="Arial"/>
          <w:bCs/>
        </w:rPr>
        <w:t>108</w:t>
      </w:r>
    </w:p>
    <w:p w:rsidR="000B2CE0" w:rsidRPr="00AA2FEE" w:rsidRDefault="000B2CE0" w:rsidP="000B2CE0">
      <w:pPr>
        <w:tabs>
          <w:tab w:val="right" w:pos="2268"/>
        </w:tabs>
        <w:rPr>
          <w:rFonts w:eastAsia="Calibri" w:cs="Arial"/>
          <w:bCs/>
        </w:rPr>
      </w:pPr>
      <w:r w:rsidRPr="00AA2FEE">
        <w:rPr>
          <w:rFonts w:eastAsia="Calibri" w:cs="Arial"/>
        </w:rPr>
        <w:t>Ornamental crops</w:t>
      </w:r>
      <w:r w:rsidRPr="00AA2FEE">
        <w:rPr>
          <w:rFonts w:eastAsia="Calibri" w:cs="Arial"/>
        </w:rPr>
        <w:tab/>
      </w:r>
      <w:r w:rsidRPr="00AA2FEE">
        <w:rPr>
          <w:rFonts w:eastAsia="Calibri" w:cs="Arial"/>
          <w:bCs/>
        </w:rPr>
        <w:t>75</w:t>
      </w:r>
    </w:p>
    <w:p w:rsidR="000B2CE0" w:rsidRPr="00AA2FEE" w:rsidRDefault="000B2CE0" w:rsidP="000B2CE0">
      <w:pPr>
        <w:rPr>
          <w:rFonts w:eastAsia="Calibri" w:cs="Arial"/>
          <w:bCs/>
        </w:rPr>
      </w:pPr>
    </w:p>
    <w:p w:rsidR="000B2CE0" w:rsidRPr="00AA2FEE" w:rsidRDefault="000B2CE0" w:rsidP="000B2CE0">
      <w:pPr>
        <w:rPr>
          <w:rFonts w:eastAsia="Calibri" w:cs="Arial"/>
        </w:rPr>
      </w:pPr>
      <w:r w:rsidRPr="00AA2FEE">
        <w:rPr>
          <w:rFonts w:eastAsia="Calibri" w:cs="Arial"/>
        </w:rPr>
        <w:t xml:space="preserve">As of December 2021, a TOTAL of 3482 varieties had valid plant breeder’s rights in South Africa, of which 29% were for Ornamental crops, 36% for Agricultural crops, 28% for Fruit crops and 7% for Vegetable crops.  </w:t>
      </w:r>
    </w:p>
    <w:p w:rsidR="000B2CE0" w:rsidRPr="00AA2FEE" w:rsidRDefault="000B2CE0" w:rsidP="000B2CE0"/>
    <w:p w:rsidR="002D4898" w:rsidRDefault="002D4898">
      <w:pPr>
        <w:jc w:val="left"/>
      </w:pPr>
      <w:r>
        <w:br w:type="page"/>
      </w:r>
    </w:p>
    <w:p w:rsidR="000B2CE0" w:rsidRPr="00AA2FEE" w:rsidRDefault="000B2CE0" w:rsidP="000B2CE0">
      <w:pPr>
        <w:rPr>
          <w:u w:val="single"/>
        </w:rPr>
      </w:pPr>
      <w:r w:rsidRPr="00AA2FEE">
        <w:lastRenderedPageBreak/>
        <w:t>5.</w:t>
      </w:r>
      <w:r w:rsidRPr="00AA2FEE">
        <w:tab/>
      </w:r>
      <w:r w:rsidRPr="00AA2FEE">
        <w:rPr>
          <w:u w:val="single"/>
        </w:rPr>
        <w:t>Activities for the promotion of plant variety protection</w:t>
      </w:r>
    </w:p>
    <w:p w:rsidR="000B2CE0" w:rsidRPr="00AA2FEE" w:rsidRDefault="000B2CE0" w:rsidP="000B2CE0"/>
    <w:tbl>
      <w:tblPr>
        <w:tblStyle w:val="TableGrid"/>
        <w:tblW w:w="9776" w:type="dxa"/>
        <w:tblLayout w:type="fixed"/>
        <w:tblCellMar>
          <w:top w:w="28" w:type="dxa"/>
          <w:left w:w="57" w:type="dxa"/>
          <w:bottom w:w="28" w:type="dxa"/>
          <w:right w:w="57" w:type="dxa"/>
        </w:tblCellMar>
        <w:tblLook w:val="01E0" w:firstRow="1" w:lastRow="1" w:firstColumn="1" w:lastColumn="1" w:noHBand="0" w:noVBand="0"/>
      </w:tblPr>
      <w:tblGrid>
        <w:gridCol w:w="1555"/>
        <w:gridCol w:w="708"/>
        <w:gridCol w:w="2410"/>
        <w:gridCol w:w="1134"/>
        <w:gridCol w:w="1985"/>
        <w:gridCol w:w="1984"/>
      </w:tblGrid>
      <w:tr w:rsidR="000B2CE0" w:rsidRPr="00AA2FEE" w:rsidTr="000B2CE0">
        <w:tc>
          <w:tcPr>
            <w:tcW w:w="1555" w:type="dxa"/>
          </w:tcPr>
          <w:p w:rsidR="000B2CE0" w:rsidRPr="00AA2FEE" w:rsidRDefault="000B2CE0" w:rsidP="00647E67">
            <w:pPr>
              <w:jc w:val="left"/>
              <w:rPr>
                <w:sz w:val="16"/>
              </w:rPr>
            </w:pPr>
            <w:r w:rsidRPr="00AA2FEE">
              <w:rPr>
                <w:sz w:val="16"/>
              </w:rPr>
              <w:t>Title of activity</w:t>
            </w:r>
          </w:p>
        </w:tc>
        <w:tc>
          <w:tcPr>
            <w:tcW w:w="708" w:type="dxa"/>
          </w:tcPr>
          <w:p w:rsidR="000B2CE0" w:rsidRPr="00AA2FEE" w:rsidRDefault="000B2CE0" w:rsidP="00647E67">
            <w:pPr>
              <w:jc w:val="left"/>
              <w:rPr>
                <w:sz w:val="16"/>
              </w:rPr>
            </w:pPr>
            <w:r w:rsidRPr="00AA2FEE">
              <w:rPr>
                <w:sz w:val="16"/>
              </w:rPr>
              <w:t>Date</w:t>
            </w:r>
          </w:p>
        </w:tc>
        <w:tc>
          <w:tcPr>
            <w:tcW w:w="2410" w:type="dxa"/>
          </w:tcPr>
          <w:p w:rsidR="000B2CE0" w:rsidRPr="00AA2FEE" w:rsidRDefault="000B2CE0" w:rsidP="00647E67">
            <w:pPr>
              <w:jc w:val="left"/>
              <w:rPr>
                <w:sz w:val="16"/>
              </w:rPr>
            </w:pPr>
            <w:r w:rsidRPr="00AA2FEE">
              <w:rPr>
                <w:sz w:val="16"/>
              </w:rPr>
              <w:t>Location</w:t>
            </w:r>
          </w:p>
        </w:tc>
        <w:tc>
          <w:tcPr>
            <w:tcW w:w="1134" w:type="dxa"/>
          </w:tcPr>
          <w:p w:rsidR="000B2CE0" w:rsidRPr="00AA2FEE" w:rsidRDefault="000B2CE0" w:rsidP="00647E67">
            <w:pPr>
              <w:jc w:val="left"/>
              <w:rPr>
                <w:sz w:val="16"/>
              </w:rPr>
            </w:pPr>
            <w:r w:rsidRPr="00AA2FEE">
              <w:rPr>
                <w:sz w:val="16"/>
              </w:rPr>
              <w:t>Organizer(s)</w:t>
            </w:r>
          </w:p>
        </w:tc>
        <w:tc>
          <w:tcPr>
            <w:tcW w:w="1985" w:type="dxa"/>
          </w:tcPr>
          <w:p w:rsidR="000B2CE0" w:rsidRPr="00AA2FEE" w:rsidRDefault="000B2CE0" w:rsidP="00647E67">
            <w:pPr>
              <w:jc w:val="left"/>
              <w:rPr>
                <w:sz w:val="16"/>
              </w:rPr>
            </w:pPr>
            <w:r w:rsidRPr="00AA2FEE">
              <w:rPr>
                <w:sz w:val="16"/>
              </w:rPr>
              <w:t>Purpose of activity</w:t>
            </w:r>
          </w:p>
        </w:tc>
        <w:tc>
          <w:tcPr>
            <w:tcW w:w="1984" w:type="dxa"/>
          </w:tcPr>
          <w:p w:rsidR="000B2CE0" w:rsidRPr="00AA2FEE" w:rsidRDefault="000B2CE0" w:rsidP="00647E67">
            <w:pPr>
              <w:jc w:val="left"/>
              <w:rPr>
                <w:sz w:val="16"/>
              </w:rPr>
            </w:pPr>
            <w:r w:rsidRPr="00AA2FEE">
              <w:rPr>
                <w:sz w:val="16"/>
              </w:rPr>
              <w:t>Participating countries/ organizations (number of participants from each)</w:t>
            </w:r>
          </w:p>
        </w:tc>
      </w:tr>
      <w:tr w:rsidR="000B2CE0" w:rsidRPr="00AA2FEE" w:rsidTr="000B2CE0">
        <w:tc>
          <w:tcPr>
            <w:tcW w:w="1555" w:type="dxa"/>
          </w:tcPr>
          <w:p w:rsidR="000B2CE0" w:rsidRPr="00AA2FEE" w:rsidRDefault="000B2CE0" w:rsidP="00647E67">
            <w:pPr>
              <w:jc w:val="left"/>
              <w:rPr>
                <w:sz w:val="16"/>
              </w:rPr>
            </w:pPr>
            <w:r w:rsidRPr="00AA2FEE">
              <w:rPr>
                <w:sz w:val="16"/>
              </w:rPr>
              <w:t>NUMPRO Meeting [Nuclear Material Producers]</w:t>
            </w:r>
          </w:p>
        </w:tc>
        <w:tc>
          <w:tcPr>
            <w:tcW w:w="708" w:type="dxa"/>
          </w:tcPr>
          <w:p w:rsidR="000B2CE0" w:rsidRPr="00AA2FEE" w:rsidRDefault="000B2CE0" w:rsidP="00647E67">
            <w:pPr>
              <w:jc w:val="left"/>
              <w:rPr>
                <w:sz w:val="16"/>
              </w:rPr>
            </w:pPr>
            <w:r w:rsidRPr="00AA2FEE">
              <w:rPr>
                <w:sz w:val="16"/>
              </w:rPr>
              <w:t>17 May 2022</w:t>
            </w:r>
          </w:p>
        </w:tc>
        <w:tc>
          <w:tcPr>
            <w:tcW w:w="2410" w:type="dxa"/>
          </w:tcPr>
          <w:p w:rsidR="000B2CE0" w:rsidRPr="00AA2FEE" w:rsidRDefault="000B2CE0" w:rsidP="00647E67">
            <w:pPr>
              <w:jc w:val="left"/>
              <w:rPr>
                <w:sz w:val="16"/>
              </w:rPr>
            </w:pPr>
            <w:r w:rsidRPr="00AA2FEE">
              <w:rPr>
                <w:sz w:val="16"/>
              </w:rPr>
              <w:t>Willows Country Lodge and Conference Centre, Pretoria SA</w:t>
            </w:r>
          </w:p>
        </w:tc>
        <w:tc>
          <w:tcPr>
            <w:tcW w:w="1134" w:type="dxa"/>
          </w:tcPr>
          <w:p w:rsidR="000B2CE0" w:rsidRPr="00AA2FEE" w:rsidRDefault="000B2CE0" w:rsidP="00647E67">
            <w:pPr>
              <w:jc w:val="left"/>
              <w:rPr>
                <w:sz w:val="16"/>
              </w:rPr>
            </w:pPr>
            <w:r w:rsidRPr="00AA2FEE">
              <w:rPr>
                <w:sz w:val="16"/>
              </w:rPr>
              <w:t>Potato Certification Service</w:t>
            </w:r>
          </w:p>
        </w:tc>
        <w:tc>
          <w:tcPr>
            <w:tcW w:w="1985" w:type="dxa"/>
          </w:tcPr>
          <w:p w:rsidR="000B2CE0" w:rsidRPr="00AA2FEE" w:rsidRDefault="000B2CE0" w:rsidP="00647E67">
            <w:pPr>
              <w:jc w:val="left"/>
              <w:rPr>
                <w:sz w:val="16"/>
              </w:rPr>
            </w:pPr>
            <w:r w:rsidRPr="00AA2FEE">
              <w:rPr>
                <w:sz w:val="16"/>
              </w:rPr>
              <w:t>Report on PBR on potato varieties</w:t>
            </w:r>
          </w:p>
        </w:tc>
        <w:tc>
          <w:tcPr>
            <w:tcW w:w="1984" w:type="dxa"/>
          </w:tcPr>
          <w:p w:rsidR="000B2CE0" w:rsidRPr="00AA2FEE" w:rsidRDefault="000B2CE0" w:rsidP="00647E67">
            <w:pPr>
              <w:jc w:val="left"/>
              <w:rPr>
                <w:sz w:val="16"/>
              </w:rPr>
            </w:pPr>
            <w:r w:rsidRPr="00AA2FEE">
              <w:rPr>
                <w:sz w:val="16"/>
              </w:rPr>
              <w:t>SA Potato Industry</w:t>
            </w:r>
          </w:p>
          <w:p w:rsidR="000B2CE0" w:rsidRPr="00AA2FEE" w:rsidRDefault="000B2CE0" w:rsidP="00647E67">
            <w:pPr>
              <w:jc w:val="left"/>
              <w:rPr>
                <w:sz w:val="16"/>
              </w:rPr>
            </w:pPr>
            <w:r w:rsidRPr="00AA2FEE">
              <w:rPr>
                <w:rFonts w:cs="Arial"/>
                <w:sz w:val="16"/>
              </w:rPr>
              <w:t>±</w:t>
            </w:r>
            <w:r w:rsidRPr="00AA2FEE">
              <w:rPr>
                <w:sz w:val="16"/>
              </w:rPr>
              <w:t xml:space="preserve"> 60 participants</w:t>
            </w:r>
          </w:p>
        </w:tc>
      </w:tr>
    </w:tbl>
    <w:p w:rsidR="000B2CE0" w:rsidRPr="00AA2FEE" w:rsidRDefault="000B2CE0" w:rsidP="000B2CE0"/>
    <w:p w:rsidR="000B2CE0" w:rsidRPr="00AA2FEE" w:rsidRDefault="000B2CE0" w:rsidP="000B2CE0"/>
    <w:p w:rsidR="002D4898" w:rsidRPr="009C07A5" w:rsidRDefault="002D4898" w:rsidP="002D4898">
      <w:r w:rsidRPr="009C07A5">
        <w:t>II.</w:t>
      </w:r>
      <w:r w:rsidRPr="009C07A5">
        <w:tab/>
        <w:t>OTHER DEVELOPMENTS OF RELEVANCE TO UPOV</w:t>
      </w:r>
    </w:p>
    <w:p w:rsidR="002D4898" w:rsidRDefault="002D4898" w:rsidP="002D4898"/>
    <w:p w:rsidR="002D4898" w:rsidRPr="009C07A5" w:rsidRDefault="002D4898" w:rsidP="002D4898">
      <w:r w:rsidRPr="009C07A5">
        <w:t>None to report</w:t>
      </w:r>
      <w:r>
        <w:t>.</w:t>
      </w:r>
    </w:p>
    <w:p w:rsidR="000B2CE0" w:rsidRDefault="000B2CE0" w:rsidP="000B2CE0">
      <w:pPr>
        <w:rPr>
          <w:iCs/>
        </w:rPr>
      </w:pPr>
    </w:p>
    <w:p w:rsidR="002D4898" w:rsidRDefault="002D4898" w:rsidP="000B2CE0">
      <w:pPr>
        <w:rPr>
          <w:iCs/>
        </w:rPr>
      </w:pPr>
    </w:p>
    <w:p w:rsidR="002D4898" w:rsidRPr="00AA2FEE" w:rsidRDefault="002D4898" w:rsidP="000B2CE0">
      <w:pPr>
        <w:rPr>
          <w:iCs/>
        </w:rPr>
      </w:pPr>
    </w:p>
    <w:p w:rsidR="00F86A05" w:rsidRPr="00AA2FEE" w:rsidRDefault="00F86A05" w:rsidP="000B2CE0">
      <w:pPr>
        <w:jc w:val="right"/>
      </w:pPr>
      <w:r w:rsidRPr="00AA2FEE">
        <w:t>[Annex II follows]</w:t>
      </w:r>
    </w:p>
    <w:p w:rsidR="00F86A05" w:rsidRPr="00AA2FEE" w:rsidRDefault="00F86A05" w:rsidP="00F86A05">
      <w:pPr>
        <w:sectPr w:rsidR="00F86A05" w:rsidRPr="00AA2FEE" w:rsidSect="000B2CE0">
          <w:headerReference w:type="default" r:id="rId10"/>
          <w:pgSz w:w="11907" w:h="16840" w:code="9"/>
          <w:pgMar w:top="510" w:right="1134" w:bottom="568" w:left="1134" w:header="510" w:footer="680" w:gutter="0"/>
          <w:pgNumType w:start="1"/>
          <w:cols w:space="720"/>
          <w:titlePg/>
        </w:sectPr>
      </w:pPr>
    </w:p>
    <w:p w:rsidR="000362AD" w:rsidRPr="00AA2FEE" w:rsidRDefault="005A5958" w:rsidP="000362AD">
      <w:pPr>
        <w:jc w:val="center"/>
      </w:pPr>
      <w:r w:rsidRPr="00AA2FEE">
        <w:lastRenderedPageBreak/>
        <w:t>C/56</w:t>
      </w:r>
      <w:r w:rsidR="000362AD" w:rsidRPr="00AA2FEE">
        <w:t>/INF/4</w:t>
      </w:r>
    </w:p>
    <w:p w:rsidR="000362AD" w:rsidRPr="00AA2FEE" w:rsidRDefault="000362AD" w:rsidP="000362AD">
      <w:pPr>
        <w:jc w:val="center"/>
      </w:pPr>
    </w:p>
    <w:p w:rsidR="000362AD" w:rsidRPr="00AA2FEE" w:rsidRDefault="000362AD" w:rsidP="000362AD">
      <w:pPr>
        <w:jc w:val="center"/>
      </w:pPr>
      <w:r w:rsidRPr="00AA2FEE">
        <w:t>ANNEX I</w:t>
      </w:r>
      <w:r w:rsidR="00032BF0" w:rsidRPr="00AA2FEE">
        <w:t>I</w:t>
      </w:r>
    </w:p>
    <w:p w:rsidR="000362AD" w:rsidRPr="00AA2FEE" w:rsidRDefault="000362AD" w:rsidP="000362AD">
      <w:pPr>
        <w:jc w:val="center"/>
      </w:pPr>
    </w:p>
    <w:p w:rsidR="000362AD" w:rsidRPr="00AA2FEE" w:rsidRDefault="000362AD" w:rsidP="000362AD">
      <w:pPr>
        <w:jc w:val="center"/>
      </w:pPr>
    </w:p>
    <w:p w:rsidR="007B1027" w:rsidRPr="00AA2FEE" w:rsidRDefault="007B1027" w:rsidP="007B1027">
      <w:pPr>
        <w:jc w:val="center"/>
      </w:pPr>
      <w:r w:rsidRPr="00AA2FEE">
        <w:t>GERMANY</w:t>
      </w:r>
    </w:p>
    <w:p w:rsidR="007B1027" w:rsidRPr="00AA2FEE" w:rsidRDefault="007B1027" w:rsidP="007B1027"/>
    <w:p w:rsidR="007B1027" w:rsidRPr="00AA2FEE" w:rsidRDefault="007B1027" w:rsidP="007B1027"/>
    <w:p w:rsidR="00F55EC6" w:rsidRPr="00AA2FEE" w:rsidRDefault="00F55EC6" w:rsidP="00F55EC6">
      <w:r w:rsidRPr="00AA2FEE">
        <w:t>I.</w:t>
      </w:r>
      <w:r w:rsidRPr="00AA2FEE">
        <w:tab/>
        <w:t>PLANT VARIETY PROTECTION</w:t>
      </w:r>
    </w:p>
    <w:p w:rsidR="00F55EC6" w:rsidRPr="00AA2FEE" w:rsidRDefault="00F55EC6" w:rsidP="00F55EC6"/>
    <w:p w:rsidR="00F55EC6" w:rsidRPr="00AA2FEE" w:rsidRDefault="00F55EC6" w:rsidP="00F55EC6">
      <w:pPr>
        <w:rPr>
          <w:u w:val="single"/>
        </w:rPr>
      </w:pPr>
      <w:r w:rsidRPr="00AA2FEE">
        <w:t>1.</w:t>
      </w:r>
      <w:r w:rsidRPr="00AA2FEE">
        <w:tab/>
      </w:r>
      <w:r w:rsidRPr="00AA2FEE">
        <w:rPr>
          <w:u w:val="single"/>
        </w:rPr>
        <w:t>Situation in the legislative field</w:t>
      </w:r>
    </w:p>
    <w:p w:rsidR="00F55EC6" w:rsidRPr="00AA2FEE" w:rsidRDefault="00F55EC6" w:rsidP="00F55EC6"/>
    <w:p w:rsidR="00F55EC6" w:rsidRPr="00AA2FEE" w:rsidRDefault="00F55EC6" w:rsidP="00F55EC6">
      <w:pPr>
        <w:ind w:left="567"/>
      </w:pPr>
      <w:r w:rsidRPr="00AA2FEE">
        <w:t>No remarks</w:t>
      </w:r>
    </w:p>
    <w:p w:rsidR="00F55EC6" w:rsidRPr="00AA2FEE" w:rsidRDefault="00F55EC6" w:rsidP="00F55EC6"/>
    <w:p w:rsidR="00F55EC6" w:rsidRPr="00AA2FEE" w:rsidRDefault="00F55EC6" w:rsidP="00F55EC6"/>
    <w:p w:rsidR="00F55EC6" w:rsidRPr="00AA2FEE" w:rsidRDefault="00F55EC6" w:rsidP="00F55EC6">
      <w:pPr>
        <w:rPr>
          <w:u w:val="single"/>
        </w:rPr>
      </w:pPr>
      <w:r w:rsidRPr="00AA2FEE">
        <w:t>2.</w:t>
      </w:r>
      <w:r w:rsidRPr="00AA2FEE">
        <w:tab/>
      </w:r>
      <w:r w:rsidRPr="00AA2FEE">
        <w:rPr>
          <w:u w:val="single"/>
        </w:rPr>
        <w:t>Cooperation in examination</w:t>
      </w:r>
    </w:p>
    <w:p w:rsidR="00F55EC6" w:rsidRPr="00AA2FEE" w:rsidRDefault="00F55EC6" w:rsidP="00F55EC6"/>
    <w:p w:rsidR="00F55EC6" w:rsidRPr="00AA2FEE" w:rsidRDefault="00F55EC6" w:rsidP="00F55EC6">
      <w:pPr>
        <w:ind w:left="567"/>
      </w:pPr>
      <w:r w:rsidRPr="00AA2FEE">
        <w:t>No remarks</w:t>
      </w:r>
    </w:p>
    <w:p w:rsidR="00F55EC6" w:rsidRPr="00AA2FEE" w:rsidRDefault="00F55EC6" w:rsidP="00F55EC6"/>
    <w:p w:rsidR="00F55EC6" w:rsidRPr="00AA2FEE" w:rsidRDefault="00F55EC6" w:rsidP="00F55EC6"/>
    <w:p w:rsidR="00F55EC6" w:rsidRPr="00AA2FEE" w:rsidRDefault="00F55EC6" w:rsidP="00F55EC6">
      <w:pPr>
        <w:rPr>
          <w:u w:val="single"/>
        </w:rPr>
      </w:pPr>
      <w:r w:rsidRPr="00AA2FEE">
        <w:t>3.</w:t>
      </w:r>
      <w:r w:rsidRPr="00AA2FEE">
        <w:tab/>
      </w:r>
      <w:r w:rsidRPr="00AA2FEE">
        <w:rPr>
          <w:u w:val="single"/>
        </w:rPr>
        <w:t>Situation in the administrative field</w:t>
      </w:r>
    </w:p>
    <w:p w:rsidR="00F55EC6" w:rsidRPr="00AA2FEE" w:rsidRDefault="00F55EC6" w:rsidP="00F55EC6"/>
    <w:p w:rsidR="00F55EC6" w:rsidRPr="00AA2FEE" w:rsidRDefault="00F55EC6" w:rsidP="00F55EC6">
      <w:pPr>
        <w:ind w:left="567"/>
      </w:pPr>
      <w:r w:rsidRPr="00AA2FEE">
        <w:t>The Federal Plant Variety Office is proceeding according to schedule with implementation of the provisions of the Online Access Act. A key step in that process, the creation of individual mailboxes for breeders, which will make it possible to send them fee notices online, should be complete by October.</w:t>
      </w:r>
    </w:p>
    <w:p w:rsidR="00F55EC6" w:rsidRPr="00AA2FEE" w:rsidRDefault="00F55EC6" w:rsidP="00F55EC6"/>
    <w:p w:rsidR="00F55EC6" w:rsidRPr="00AA2FEE" w:rsidRDefault="00F55EC6" w:rsidP="00F55EC6"/>
    <w:p w:rsidR="00F55EC6" w:rsidRPr="00AA2FEE" w:rsidRDefault="00F55EC6" w:rsidP="00F55EC6">
      <w:pPr>
        <w:rPr>
          <w:u w:val="single"/>
        </w:rPr>
      </w:pPr>
      <w:r w:rsidRPr="00AA2FEE">
        <w:t>4.</w:t>
      </w:r>
      <w:r w:rsidRPr="00AA2FEE">
        <w:tab/>
      </w:r>
      <w:r w:rsidRPr="00AA2FEE">
        <w:rPr>
          <w:u w:val="single"/>
        </w:rPr>
        <w:t>Situation in the technical field</w:t>
      </w:r>
    </w:p>
    <w:p w:rsidR="00F55EC6" w:rsidRPr="00AA2FEE" w:rsidRDefault="00F55EC6" w:rsidP="00F55EC6"/>
    <w:p w:rsidR="00F55EC6" w:rsidRPr="00AA2FEE" w:rsidRDefault="00F55EC6" w:rsidP="00F55EC6">
      <w:pPr>
        <w:ind w:left="567"/>
      </w:pPr>
      <w:r w:rsidRPr="00AA2FEE">
        <w:t>No remarks</w:t>
      </w:r>
    </w:p>
    <w:p w:rsidR="00F55EC6" w:rsidRDefault="00F55EC6" w:rsidP="007B1027"/>
    <w:p w:rsidR="00AA25BC" w:rsidRDefault="00AA25BC" w:rsidP="007B1027"/>
    <w:p w:rsidR="00AA25BC" w:rsidRPr="00AA2FEE" w:rsidRDefault="00AA25BC" w:rsidP="007B1027"/>
    <w:p w:rsidR="00F55EC6" w:rsidRPr="00AA2FEE" w:rsidRDefault="00F55EC6" w:rsidP="007B1027">
      <w:pPr>
        <w:sectPr w:rsidR="00F55EC6" w:rsidRPr="00AA2FEE" w:rsidSect="0049108C">
          <w:pgSz w:w="11907" w:h="16840" w:code="9"/>
          <w:pgMar w:top="510" w:right="1134" w:bottom="1134" w:left="1134" w:header="510" w:footer="680" w:gutter="0"/>
          <w:pgNumType w:start="1"/>
          <w:cols w:space="720"/>
          <w:titlePg/>
        </w:sectPr>
      </w:pPr>
    </w:p>
    <w:p w:rsidR="00F55EC6" w:rsidRPr="00AA2FEE" w:rsidRDefault="00F55EC6" w:rsidP="00F55EC6">
      <w:pPr>
        <w:rPr>
          <w:u w:val="single"/>
        </w:rPr>
      </w:pPr>
      <w:r w:rsidRPr="00AA2FEE">
        <w:lastRenderedPageBreak/>
        <w:t>5.</w:t>
      </w:r>
      <w:r w:rsidRPr="00AA2FEE">
        <w:tab/>
      </w:r>
      <w:r w:rsidRPr="00AA2FEE">
        <w:rPr>
          <w:u w:val="single"/>
        </w:rPr>
        <w:t>Activities to promote the protection of plant varieties</w:t>
      </w:r>
    </w:p>
    <w:p w:rsidR="00F55EC6" w:rsidRPr="00AA2FEE" w:rsidRDefault="00F55EC6" w:rsidP="00F55EC6"/>
    <w:tbl>
      <w:tblPr>
        <w:tblStyle w:val="TableNormal1"/>
        <w:tblW w:w="14489" w:type="dxa"/>
        <w:tblLayout w:type="fixed"/>
        <w:tblCellMar>
          <w:top w:w="28" w:type="dxa"/>
          <w:left w:w="57" w:type="dxa"/>
          <w:bottom w:w="28" w:type="dxa"/>
          <w:right w:w="57" w:type="dxa"/>
        </w:tblCellMar>
        <w:tblLook w:val="01E0" w:firstRow="1" w:lastRow="1" w:firstColumn="1" w:lastColumn="1" w:noHBand="0" w:noVBand="0"/>
      </w:tblPr>
      <w:tblGrid>
        <w:gridCol w:w="2187"/>
        <w:gridCol w:w="1066"/>
        <w:gridCol w:w="922"/>
        <w:gridCol w:w="1697"/>
        <w:gridCol w:w="3692"/>
        <w:gridCol w:w="2572"/>
        <w:gridCol w:w="2353"/>
      </w:tblGrid>
      <w:tr w:rsidR="00F55EC6" w:rsidRPr="00AA2FEE" w:rsidTr="00647E67">
        <w:trPr>
          <w:trHeight w:val="824"/>
        </w:trPr>
        <w:tc>
          <w:tcPr>
            <w:tcW w:w="2187" w:type="dxa"/>
            <w:tcBorders>
              <w:top w:val="single" w:sz="6" w:space="0" w:color="000000"/>
              <w:left w:val="single" w:sz="6" w:space="0" w:color="000000"/>
              <w:right w:val="single" w:sz="6" w:space="0" w:color="000000"/>
            </w:tcBorders>
          </w:tcPr>
          <w:p w:rsidR="00F55EC6" w:rsidRPr="00AA2FEE" w:rsidRDefault="00F55EC6" w:rsidP="00647E67">
            <w:pPr>
              <w:pStyle w:val="TableParagraph"/>
              <w:spacing w:line="201" w:lineRule="exact"/>
              <w:ind w:left="0"/>
              <w:rPr>
                <w:sz w:val="16"/>
                <w:szCs w:val="18"/>
                <w:lang w:val="en-US"/>
              </w:rPr>
            </w:pPr>
            <w:r w:rsidRPr="00AA2FEE">
              <w:rPr>
                <w:sz w:val="16"/>
                <w:lang w:val="en-US"/>
              </w:rPr>
              <w:t>Type of activity</w:t>
            </w:r>
          </w:p>
        </w:tc>
        <w:tc>
          <w:tcPr>
            <w:tcW w:w="1066" w:type="dxa"/>
            <w:tcBorders>
              <w:top w:val="single" w:sz="6" w:space="0" w:color="000000"/>
              <w:left w:val="single" w:sz="6" w:space="0" w:color="000000"/>
              <w:right w:val="single" w:sz="6" w:space="0" w:color="000000"/>
            </w:tcBorders>
          </w:tcPr>
          <w:p w:rsidR="00F55EC6" w:rsidRPr="00AA2FEE" w:rsidRDefault="00F55EC6" w:rsidP="00647E67">
            <w:pPr>
              <w:pStyle w:val="TableParagraph"/>
              <w:spacing w:line="201" w:lineRule="exact"/>
              <w:ind w:left="0"/>
              <w:rPr>
                <w:sz w:val="16"/>
                <w:szCs w:val="18"/>
                <w:lang w:val="en-US"/>
              </w:rPr>
            </w:pPr>
            <w:r w:rsidRPr="00AA2FEE">
              <w:rPr>
                <w:sz w:val="16"/>
                <w:lang w:val="en-US"/>
              </w:rPr>
              <w:t>Date</w:t>
            </w:r>
          </w:p>
        </w:tc>
        <w:tc>
          <w:tcPr>
            <w:tcW w:w="922" w:type="dxa"/>
            <w:tcBorders>
              <w:top w:val="single" w:sz="6" w:space="0" w:color="000000"/>
              <w:left w:val="single" w:sz="6" w:space="0" w:color="000000"/>
              <w:right w:val="single" w:sz="6" w:space="0" w:color="000000"/>
            </w:tcBorders>
          </w:tcPr>
          <w:p w:rsidR="00F55EC6" w:rsidRPr="00AA2FEE" w:rsidRDefault="00F55EC6" w:rsidP="00647E67">
            <w:pPr>
              <w:pStyle w:val="TableParagraph"/>
              <w:spacing w:line="201" w:lineRule="exact"/>
              <w:ind w:left="0"/>
              <w:rPr>
                <w:sz w:val="16"/>
                <w:szCs w:val="18"/>
                <w:lang w:val="en-US"/>
              </w:rPr>
            </w:pPr>
            <w:r w:rsidRPr="00AA2FEE">
              <w:rPr>
                <w:sz w:val="16"/>
                <w:lang w:val="en-US"/>
              </w:rPr>
              <w:t>Location</w:t>
            </w:r>
          </w:p>
        </w:tc>
        <w:tc>
          <w:tcPr>
            <w:tcW w:w="1697" w:type="dxa"/>
            <w:tcBorders>
              <w:top w:val="single" w:sz="6" w:space="0" w:color="000000"/>
              <w:left w:val="single" w:sz="6" w:space="0" w:color="000000"/>
              <w:right w:val="single" w:sz="6" w:space="0" w:color="000000"/>
            </w:tcBorders>
          </w:tcPr>
          <w:p w:rsidR="00F55EC6" w:rsidRPr="00AA2FEE" w:rsidRDefault="00F55EC6" w:rsidP="00647E67">
            <w:pPr>
              <w:pStyle w:val="TableParagraph"/>
              <w:spacing w:line="201" w:lineRule="exact"/>
              <w:ind w:left="0"/>
              <w:rPr>
                <w:sz w:val="16"/>
                <w:szCs w:val="18"/>
                <w:lang w:val="en-US"/>
              </w:rPr>
            </w:pPr>
            <w:r w:rsidRPr="00AA2FEE">
              <w:rPr>
                <w:sz w:val="16"/>
                <w:lang w:val="en-US"/>
              </w:rPr>
              <w:t>Organizer(s)</w:t>
            </w:r>
          </w:p>
        </w:tc>
        <w:tc>
          <w:tcPr>
            <w:tcW w:w="3692" w:type="dxa"/>
            <w:tcBorders>
              <w:top w:val="single" w:sz="6" w:space="0" w:color="000000"/>
              <w:left w:val="single" w:sz="6" w:space="0" w:color="000000"/>
              <w:right w:val="single" w:sz="4" w:space="0" w:color="auto"/>
            </w:tcBorders>
          </w:tcPr>
          <w:p w:rsidR="00F55EC6" w:rsidRPr="00AA2FEE" w:rsidRDefault="00F55EC6" w:rsidP="00647E67">
            <w:pPr>
              <w:pStyle w:val="TableParagraph"/>
              <w:spacing w:line="201" w:lineRule="exact"/>
              <w:ind w:left="0"/>
              <w:rPr>
                <w:sz w:val="16"/>
                <w:szCs w:val="18"/>
                <w:lang w:val="en-US"/>
              </w:rPr>
            </w:pPr>
            <w:r w:rsidRPr="00AA2FEE">
              <w:rPr>
                <w:sz w:val="16"/>
                <w:lang w:val="en-US"/>
              </w:rPr>
              <w:t>Purpose of the activity</w:t>
            </w:r>
          </w:p>
        </w:tc>
        <w:tc>
          <w:tcPr>
            <w:tcW w:w="2572" w:type="dxa"/>
            <w:tcBorders>
              <w:top w:val="single" w:sz="6" w:space="0" w:color="000000"/>
              <w:left w:val="single" w:sz="4" w:space="0" w:color="auto"/>
              <w:right w:val="single" w:sz="6" w:space="0" w:color="000000"/>
            </w:tcBorders>
          </w:tcPr>
          <w:p w:rsidR="002C0C6C" w:rsidRDefault="00F55BFD" w:rsidP="00647E67">
            <w:pPr>
              <w:pStyle w:val="TableParagraph"/>
              <w:spacing w:line="235" w:lineRule="auto"/>
              <w:ind w:left="0" w:hanging="15"/>
              <w:rPr>
                <w:sz w:val="16"/>
                <w:lang w:val="en-US"/>
              </w:rPr>
            </w:pPr>
            <w:r w:rsidRPr="00F55BFD">
              <w:rPr>
                <w:sz w:val="16"/>
                <w:lang w:val="en-US"/>
              </w:rPr>
              <w:t>Participants</w:t>
            </w:r>
            <w:r w:rsidRPr="00F55BFD" w:rsidDel="00F55BFD">
              <w:rPr>
                <w:sz w:val="16"/>
                <w:lang w:val="en-US"/>
              </w:rPr>
              <w:t xml:space="preserve"> </w:t>
            </w:r>
          </w:p>
          <w:p w:rsidR="00F55EC6" w:rsidRPr="00AA2FEE" w:rsidRDefault="00F55EC6" w:rsidP="00647E67">
            <w:pPr>
              <w:pStyle w:val="TableParagraph"/>
              <w:spacing w:line="235" w:lineRule="auto"/>
              <w:ind w:left="0" w:hanging="15"/>
              <w:rPr>
                <w:sz w:val="16"/>
                <w:szCs w:val="18"/>
                <w:lang w:val="en-US"/>
              </w:rPr>
            </w:pPr>
            <w:r w:rsidRPr="00AA2FEE">
              <w:rPr>
                <w:sz w:val="16"/>
                <w:lang w:val="en-US"/>
              </w:rPr>
              <w:t>(number of participants from each)</w:t>
            </w:r>
          </w:p>
        </w:tc>
        <w:tc>
          <w:tcPr>
            <w:tcW w:w="2353" w:type="dxa"/>
            <w:tcBorders>
              <w:top w:val="single" w:sz="6" w:space="0" w:color="000000"/>
              <w:left w:val="single" w:sz="6" w:space="0" w:color="000000"/>
              <w:right w:val="single" w:sz="4" w:space="0" w:color="000000"/>
            </w:tcBorders>
          </w:tcPr>
          <w:p w:rsidR="00F55EC6" w:rsidRPr="00AA2FEE" w:rsidRDefault="00F55EC6" w:rsidP="00647E67">
            <w:pPr>
              <w:pStyle w:val="TableParagraph"/>
              <w:spacing w:line="201" w:lineRule="exact"/>
              <w:ind w:left="0"/>
              <w:rPr>
                <w:sz w:val="16"/>
                <w:szCs w:val="18"/>
                <w:lang w:val="en-US"/>
              </w:rPr>
            </w:pPr>
            <w:r w:rsidRPr="00AA2FEE">
              <w:rPr>
                <w:sz w:val="16"/>
                <w:lang w:val="en-US"/>
              </w:rPr>
              <w:t>Comments</w:t>
            </w:r>
          </w:p>
        </w:tc>
      </w:tr>
      <w:tr w:rsidR="00F55EC6" w:rsidRPr="00AA2FEE" w:rsidTr="00647E67">
        <w:trPr>
          <w:trHeight w:hRule="exact" w:val="1302"/>
        </w:trPr>
        <w:tc>
          <w:tcPr>
            <w:tcW w:w="2187" w:type="dxa"/>
            <w:tcBorders>
              <w:top w:val="single" w:sz="6" w:space="0" w:color="000000"/>
              <w:left w:val="single" w:sz="6" w:space="0" w:color="000000"/>
              <w:bottom w:val="single" w:sz="6" w:space="0" w:color="000000"/>
              <w:right w:val="single" w:sz="6" w:space="0" w:color="000000"/>
            </w:tcBorders>
          </w:tcPr>
          <w:p w:rsidR="00F55EC6" w:rsidRPr="00AA2FEE" w:rsidRDefault="00F55EC6" w:rsidP="00647E67">
            <w:pPr>
              <w:pStyle w:val="TableParagraph"/>
              <w:spacing w:before="1"/>
              <w:ind w:left="0"/>
              <w:rPr>
                <w:sz w:val="16"/>
                <w:szCs w:val="18"/>
                <w:lang w:val="en-US"/>
              </w:rPr>
            </w:pPr>
            <w:r w:rsidRPr="00AA2FEE">
              <w:rPr>
                <w:sz w:val="16"/>
                <w:lang w:val="en-US"/>
              </w:rPr>
              <w:t>Technical Assistance and Information Exchange Instrument (TAIEX) study tour</w:t>
            </w:r>
          </w:p>
        </w:tc>
        <w:tc>
          <w:tcPr>
            <w:tcW w:w="1066" w:type="dxa"/>
            <w:tcBorders>
              <w:top w:val="single" w:sz="6" w:space="0" w:color="000000"/>
              <w:left w:val="single" w:sz="6" w:space="0" w:color="000000"/>
              <w:bottom w:val="single" w:sz="6" w:space="0" w:color="000000"/>
              <w:right w:val="single" w:sz="6" w:space="0" w:color="000000"/>
            </w:tcBorders>
          </w:tcPr>
          <w:p w:rsidR="00F55EC6" w:rsidRPr="00AA2FEE" w:rsidRDefault="00F55EC6" w:rsidP="00647E67">
            <w:pPr>
              <w:pStyle w:val="TableParagraph"/>
              <w:spacing w:line="211" w:lineRule="exact"/>
              <w:ind w:left="0"/>
              <w:rPr>
                <w:rFonts w:eastAsia="Times New Roman"/>
                <w:sz w:val="16"/>
                <w:szCs w:val="18"/>
                <w:lang w:val="en-US"/>
              </w:rPr>
            </w:pPr>
            <w:r w:rsidRPr="00AA2FEE">
              <w:rPr>
                <w:sz w:val="16"/>
                <w:lang w:val="en-US"/>
              </w:rPr>
              <w:t>June 2022</w:t>
            </w:r>
          </w:p>
        </w:tc>
        <w:tc>
          <w:tcPr>
            <w:tcW w:w="922" w:type="dxa"/>
            <w:tcBorders>
              <w:top w:val="single" w:sz="6" w:space="0" w:color="000000"/>
              <w:left w:val="single" w:sz="6" w:space="0" w:color="000000"/>
              <w:bottom w:val="single" w:sz="6" w:space="0" w:color="000000"/>
              <w:right w:val="single" w:sz="6" w:space="0" w:color="000000"/>
            </w:tcBorders>
          </w:tcPr>
          <w:p w:rsidR="00F55EC6" w:rsidRPr="00AA2FEE" w:rsidRDefault="00F55EC6" w:rsidP="00647E67">
            <w:pPr>
              <w:pStyle w:val="TableParagraph"/>
              <w:spacing w:before="5"/>
              <w:ind w:left="0"/>
              <w:rPr>
                <w:sz w:val="16"/>
                <w:szCs w:val="18"/>
                <w:lang w:val="en-US"/>
              </w:rPr>
            </w:pPr>
            <w:r w:rsidRPr="00AA2FEE">
              <w:rPr>
                <w:sz w:val="16"/>
                <w:lang w:val="en-US"/>
              </w:rPr>
              <w:t>Germany</w:t>
            </w:r>
          </w:p>
        </w:tc>
        <w:tc>
          <w:tcPr>
            <w:tcW w:w="1697" w:type="dxa"/>
            <w:tcBorders>
              <w:top w:val="single" w:sz="6" w:space="0" w:color="000000"/>
              <w:left w:val="single" w:sz="6" w:space="0" w:color="000000"/>
              <w:bottom w:val="single" w:sz="6" w:space="0" w:color="000000"/>
              <w:right w:val="single" w:sz="6" w:space="0" w:color="000000"/>
            </w:tcBorders>
          </w:tcPr>
          <w:p w:rsidR="00F55EC6" w:rsidRPr="00AA2FEE" w:rsidRDefault="00F55EC6" w:rsidP="00647E67">
            <w:pPr>
              <w:pStyle w:val="TableParagraph"/>
              <w:spacing w:before="1" w:line="244" w:lineRule="auto"/>
              <w:ind w:left="0" w:hanging="5"/>
              <w:rPr>
                <w:sz w:val="16"/>
                <w:szCs w:val="18"/>
                <w:lang w:val="en-US"/>
              </w:rPr>
            </w:pPr>
            <w:r w:rsidRPr="00AA2FEE">
              <w:rPr>
                <w:sz w:val="16"/>
                <w:lang w:val="en-US"/>
              </w:rPr>
              <w:t>TAIEX Department of the European Commission</w:t>
            </w:r>
          </w:p>
          <w:p w:rsidR="00F55EC6" w:rsidRPr="00AA2FEE" w:rsidRDefault="00F55EC6" w:rsidP="00647E67">
            <w:pPr>
              <w:pStyle w:val="TableParagraph"/>
              <w:spacing w:before="10"/>
              <w:ind w:left="0"/>
              <w:rPr>
                <w:sz w:val="16"/>
                <w:szCs w:val="18"/>
                <w:lang w:val="en-US"/>
              </w:rPr>
            </w:pPr>
          </w:p>
          <w:p w:rsidR="00F55EC6" w:rsidRPr="00AA2FEE" w:rsidRDefault="00F55EC6" w:rsidP="00647E67">
            <w:pPr>
              <w:pStyle w:val="TableParagraph"/>
              <w:spacing w:line="200" w:lineRule="exact"/>
              <w:ind w:left="0"/>
              <w:rPr>
                <w:sz w:val="16"/>
                <w:szCs w:val="18"/>
                <w:lang w:val="en-US"/>
              </w:rPr>
            </w:pPr>
            <w:r w:rsidRPr="00AA2FEE">
              <w:rPr>
                <w:sz w:val="16"/>
                <w:lang w:val="en-US"/>
              </w:rPr>
              <w:t>Federal Plant Variety Office</w:t>
            </w:r>
          </w:p>
        </w:tc>
        <w:tc>
          <w:tcPr>
            <w:tcW w:w="3692" w:type="dxa"/>
            <w:tcBorders>
              <w:top w:val="single" w:sz="6" w:space="0" w:color="000000"/>
              <w:left w:val="single" w:sz="6" w:space="0" w:color="000000"/>
              <w:bottom w:val="single" w:sz="6" w:space="0" w:color="000000"/>
              <w:right w:val="single" w:sz="4" w:space="0" w:color="000000"/>
            </w:tcBorders>
          </w:tcPr>
          <w:p w:rsidR="00F55EC6" w:rsidRPr="00AA2FEE" w:rsidRDefault="00F55EC6" w:rsidP="00647E67">
            <w:pPr>
              <w:pStyle w:val="TableParagraph"/>
              <w:spacing w:before="1" w:line="247" w:lineRule="auto"/>
              <w:ind w:left="0" w:hanging="5"/>
              <w:rPr>
                <w:sz w:val="16"/>
                <w:szCs w:val="18"/>
                <w:lang w:val="en-US"/>
              </w:rPr>
            </w:pPr>
            <w:r w:rsidRPr="00AA2FEE">
              <w:rPr>
                <w:sz w:val="16"/>
                <w:lang w:val="en-US"/>
              </w:rPr>
              <w:t>Support for the development of a Distinctness, Uniformity and Stability (DUS) testing system</w:t>
            </w:r>
          </w:p>
        </w:tc>
        <w:tc>
          <w:tcPr>
            <w:tcW w:w="2572" w:type="dxa"/>
            <w:tcBorders>
              <w:top w:val="single" w:sz="6" w:space="0" w:color="000000"/>
              <w:left w:val="single" w:sz="4" w:space="0" w:color="000000"/>
              <w:bottom w:val="single" w:sz="6" w:space="0" w:color="000000"/>
              <w:right w:val="single" w:sz="6" w:space="0" w:color="000000"/>
            </w:tcBorders>
          </w:tcPr>
          <w:p w:rsidR="00F55EC6" w:rsidRPr="00AA2FEE" w:rsidRDefault="00F55EC6" w:rsidP="00647E67">
            <w:pPr>
              <w:pStyle w:val="TableParagraph"/>
              <w:spacing w:before="1"/>
              <w:ind w:left="0"/>
              <w:rPr>
                <w:sz w:val="16"/>
                <w:szCs w:val="18"/>
                <w:lang w:val="en-US"/>
              </w:rPr>
            </w:pPr>
            <w:r w:rsidRPr="00190BB2">
              <w:rPr>
                <w:sz w:val="16"/>
                <w:lang w:val="en-US"/>
              </w:rPr>
              <w:t>Kosovo (3</w:t>
            </w:r>
            <w:r w:rsidRPr="00AA2FEE">
              <w:rPr>
                <w:sz w:val="16"/>
                <w:lang w:val="en-US"/>
              </w:rPr>
              <w:t xml:space="preserve"> participants)</w:t>
            </w:r>
          </w:p>
        </w:tc>
        <w:tc>
          <w:tcPr>
            <w:tcW w:w="2353" w:type="dxa"/>
            <w:tcBorders>
              <w:top w:val="single" w:sz="6" w:space="0" w:color="000000"/>
              <w:left w:val="single" w:sz="6" w:space="0" w:color="000000"/>
              <w:bottom w:val="single" w:sz="6" w:space="0" w:color="000000"/>
              <w:right w:val="single" w:sz="4" w:space="0" w:color="000000"/>
            </w:tcBorders>
          </w:tcPr>
          <w:p w:rsidR="00F55EC6" w:rsidRPr="00AA2FEE" w:rsidRDefault="00F55EC6" w:rsidP="00647E67">
            <w:pPr>
              <w:pStyle w:val="TableParagraph"/>
              <w:spacing w:before="1"/>
              <w:ind w:left="0" w:hanging="5"/>
              <w:rPr>
                <w:sz w:val="16"/>
                <w:szCs w:val="18"/>
                <w:lang w:val="en-US"/>
              </w:rPr>
            </w:pPr>
            <w:r w:rsidRPr="00AA2FEE">
              <w:rPr>
                <w:sz w:val="16"/>
                <w:lang w:val="en-US"/>
              </w:rPr>
              <w:t>TAlEX program of the European Commission</w:t>
            </w:r>
          </w:p>
        </w:tc>
      </w:tr>
      <w:tr w:rsidR="00F55EC6" w:rsidRPr="00AA2FEE" w:rsidTr="00647E67">
        <w:trPr>
          <w:trHeight w:hRule="exact" w:val="633"/>
        </w:trPr>
        <w:tc>
          <w:tcPr>
            <w:tcW w:w="2187" w:type="dxa"/>
            <w:tcBorders>
              <w:top w:val="single" w:sz="6" w:space="0" w:color="000000"/>
              <w:left w:val="single" w:sz="6" w:space="0" w:color="000000"/>
              <w:bottom w:val="single" w:sz="6" w:space="0" w:color="000000"/>
              <w:right w:val="single" w:sz="6" w:space="0" w:color="000000"/>
            </w:tcBorders>
          </w:tcPr>
          <w:p w:rsidR="00F55EC6" w:rsidRPr="00AA2FEE" w:rsidRDefault="00F55EC6" w:rsidP="00647E67">
            <w:pPr>
              <w:pStyle w:val="TableParagraph"/>
              <w:spacing w:before="3"/>
              <w:ind w:left="0"/>
              <w:rPr>
                <w:sz w:val="16"/>
                <w:szCs w:val="18"/>
                <w:lang w:val="en-US"/>
              </w:rPr>
            </w:pPr>
            <w:r w:rsidRPr="00AA2FEE">
              <w:rPr>
                <w:sz w:val="16"/>
                <w:lang w:val="en-US"/>
              </w:rPr>
              <w:t>Seminar on the use of biomolecular methods</w:t>
            </w:r>
          </w:p>
        </w:tc>
        <w:tc>
          <w:tcPr>
            <w:tcW w:w="1066" w:type="dxa"/>
            <w:tcBorders>
              <w:top w:val="single" w:sz="6" w:space="0" w:color="000000"/>
              <w:left w:val="single" w:sz="6" w:space="0" w:color="000000"/>
              <w:bottom w:val="single" w:sz="6" w:space="0" w:color="000000"/>
              <w:right w:val="single" w:sz="6" w:space="0" w:color="000000"/>
            </w:tcBorders>
          </w:tcPr>
          <w:p w:rsidR="00F55EC6" w:rsidRPr="00AA2FEE" w:rsidRDefault="00F55EC6" w:rsidP="00647E67">
            <w:pPr>
              <w:pStyle w:val="TableParagraph"/>
              <w:spacing w:line="213" w:lineRule="exact"/>
              <w:ind w:left="0"/>
              <w:rPr>
                <w:rFonts w:eastAsia="Times New Roman"/>
                <w:sz w:val="16"/>
                <w:szCs w:val="18"/>
                <w:lang w:val="en-US"/>
              </w:rPr>
            </w:pPr>
            <w:r w:rsidRPr="00AA2FEE">
              <w:rPr>
                <w:sz w:val="16"/>
                <w:lang w:val="en-US"/>
              </w:rPr>
              <w:t>December 2021</w:t>
            </w:r>
          </w:p>
        </w:tc>
        <w:tc>
          <w:tcPr>
            <w:tcW w:w="922" w:type="dxa"/>
            <w:tcBorders>
              <w:top w:val="single" w:sz="6" w:space="0" w:color="000000"/>
              <w:left w:val="single" w:sz="6" w:space="0" w:color="000000"/>
              <w:bottom w:val="single" w:sz="6" w:space="0" w:color="000000"/>
              <w:right w:val="single" w:sz="6" w:space="0" w:color="000000"/>
            </w:tcBorders>
          </w:tcPr>
          <w:p w:rsidR="00F55EC6" w:rsidRPr="00AA2FEE" w:rsidRDefault="00F55EC6" w:rsidP="00647E67">
            <w:pPr>
              <w:pStyle w:val="TableParagraph"/>
              <w:spacing w:before="3"/>
              <w:ind w:left="0"/>
              <w:rPr>
                <w:sz w:val="16"/>
                <w:szCs w:val="18"/>
                <w:lang w:val="en-US"/>
              </w:rPr>
            </w:pPr>
            <w:r w:rsidRPr="00AA2FEE">
              <w:rPr>
                <w:sz w:val="16"/>
                <w:lang w:val="en-US"/>
              </w:rPr>
              <w:t>Online</w:t>
            </w:r>
          </w:p>
        </w:tc>
        <w:tc>
          <w:tcPr>
            <w:tcW w:w="1697" w:type="dxa"/>
            <w:vMerge w:val="restart"/>
            <w:tcBorders>
              <w:top w:val="single" w:sz="6" w:space="0" w:color="000000"/>
              <w:left w:val="single" w:sz="6" w:space="0" w:color="000000"/>
              <w:right w:val="single" w:sz="6" w:space="0" w:color="000000"/>
            </w:tcBorders>
          </w:tcPr>
          <w:p w:rsidR="00F55EC6" w:rsidRPr="00AA2FEE" w:rsidRDefault="00F55EC6" w:rsidP="00647E67">
            <w:pPr>
              <w:pStyle w:val="TableParagraph"/>
              <w:spacing w:before="3"/>
              <w:ind w:left="0" w:firstLine="9"/>
              <w:rPr>
                <w:sz w:val="16"/>
                <w:szCs w:val="18"/>
                <w:lang w:val="en-US"/>
              </w:rPr>
            </w:pPr>
            <w:r w:rsidRPr="00AA2FEE">
              <w:rPr>
                <w:sz w:val="16"/>
                <w:lang w:val="en-US"/>
              </w:rPr>
              <w:t>Federal Ministry of Food and Agriculture</w:t>
            </w:r>
          </w:p>
          <w:p w:rsidR="00F55EC6" w:rsidRPr="00AA2FEE" w:rsidRDefault="00F55EC6" w:rsidP="00647E67">
            <w:pPr>
              <w:pStyle w:val="TableParagraph"/>
              <w:spacing w:before="10"/>
              <w:ind w:left="0"/>
              <w:rPr>
                <w:sz w:val="16"/>
                <w:szCs w:val="18"/>
                <w:lang w:val="en-US"/>
              </w:rPr>
            </w:pPr>
          </w:p>
          <w:p w:rsidR="00F55EC6" w:rsidRPr="00AA2FEE" w:rsidRDefault="00F55EC6" w:rsidP="00647E67">
            <w:pPr>
              <w:pStyle w:val="TableParagraph"/>
              <w:spacing w:line="200" w:lineRule="exact"/>
              <w:ind w:left="0"/>
              <w:rPr>
                <w:sz w:val="16"/>
                <w:szCs w:val="18"/>
                <w:lang w:val="en-US"/>
              </w:rPr>
            </w:pPr>
            <w:r w:rsidRPr="00AA2FEE">
              <w:rPr>
                <w:sz w:val="16"/>
                <w:lang w:val="en-US"/>
              </w:rPr>
              <w:t>Federal Plant Variety Office</w:t>
            </w:r>
          </w:p>
        </w:tc>
        <w:tc>
          <w:tcPr>
            <w:tcW w:w="3692" w:type="dxa"/>
            <w:tcBorders>
              <w:top w:val="single" w:sz="6" w:space="0" w:color="000000"/>
              <w:left w:val="single" w:sz="6" w:space="0" w:color="000000"/>
              <w:bottom w:val="single" w:sz="6" w:space="0" w:color="000000"/>
              <w:right w:val="single" w:sz="4" w:space="0" w:color="000000"/>
            </w:tcBorders>
            <w:noWrap/>
          </w:tcPr>
          <w:p w:rsidR="00F55EC6" w:rsidRPr="00AA2FEE" w:rsidRDefault="00F55EC6" w:rsidP="00647E67">
            <w:pPr>
              <w:pStyle w:val="TableParagraph"/>
              <w:ind w:left="0"/>
              <w:rPr>
                <w:sz w:val="16"/>
                <w:szCs w:val="18"/>
                <w:lang w:val="en-US"/>
              </w:rPr>
            </w:pPr>
            <w:r w:rsidRPr="00AA2FEE">
              <w:rPr>
                <w:sz w:val="16"/>
                <w:lang w:val="en-US"/>
              </w:rPr>
              <w:t>Technical exchange on the use of biomolecular methods in plant variety testing</w:t>
            </w:r>
          </w:p>
        </w:tc>
        <w:tc>
          <w:tcPr>
            <w:tcW w:w="2572" w:type="dxa"/>
            <w:tcBorders>
              <w:top w:val="single" w:sz="6" w:space="0" w:color="000000"/>
              <w:left w:val="single" w:sz="4" w:space="0" w:color="000000"/>
              <w:bottom w:val="single" w:sz="6" w:space="0" w:color="000000"/>
              <w:right w:val="single" w:sz="6" w:space="0" w:color="000000"/>
            </w:tcBorders>
          </w:tcPr>
          <w:p w:rsidR="00F55EC6" w:rsidRPr="00AA2FEE" w:rsidRDefault="00F55EC6" w:rsidP="00647E67">
            <w:pPr>
              <w:pStyle w:val="TableParagraph"/>
              <w:spacing w:line="208" w:lineRule="exact"/>
              <w:ind w:left="0"/>
              <w:rPr>
                <w:sz w:val="16"/>
                <w:szCs w:val="18"/>
                <w:lang w:val="en-US"/>
              </w:rPr>
            </w:pPr>
            <w:r w:rsidRPr="00AA2FEE">
              <w:rPr>
                <w:sz w:val="16"/>
                <w:lang w:val="en-US"/>
              </w:rPr>
              <w:t>India (around 160 participants)</w:t>
            </w:r>
          </w:p>
        </w:tc>
        <w:tc>
          <w:tcPr>
            <w:tcW w:w="2353" w:type="dxa"/>
            <w:vMerge w:val="restart"/>
            <w:tcBorders>
              <w:top w:val="single" w:sz="6" w:space="0" w:color="000000"/>
              <w:left w:val="single" w:sz="6" w:space="0" w:color="000000"/>
              <w:right w:val="single" w:sz="4" w:space="0" w:color="000000"/>
            </w:tcBorders>
            <w:noWrap/>
          </w:tcPr>
          <w:p w:rsidR="00F55EC6" w:rsidRPr="00AA2FEE" w:rsidRDefault="00F55EC6" w:rsidP="00647E67">
            <w:pPr>
              <w:pStyle w:val="TableParagraph"/>
              <w:spacing w:line="202" w:lineRule="exact"/>
              <w:ind w:left="0"/>
              <w:rPr>
                <w:sz w:val="16"/>
                <w:szCs w:val="18"/>
                <w:lang w:val="en-US"/>
              </w:rPr>
            </w:pPr>
            <w:r w:rsidRPr="00AA2FEE">
              <w:rPr>
                <w:sz w:val="16"/>
                <w:lang w:val="en-US"/>
              </w:rPr>
              <w:t>German-Indian cooperation project</w:t>
            </w:r>
          </w:p>
          <w:p w:rsidR="00F55EC6" w:rsidRPr="00AA2FEE" w:rsidRDefault="00F55EC6" w:rsidP="00647E67">
            <w:pPr>
              <w:pStyle w:val="TableParagraph"/>
              <w:spacing w:line="215" w:lineRule="exact"/>
              <w:ind w:left="0"/>
              <w:rPr>
                <w:rFonts w:eastAsia="Times New Roman"/>
                <w:sz w:val="16"/>
                <w:szCs w:val="18"/>
                <w:lang w:val="en-US"/>
              </w:rPr>
            </w:pPr>
            <w:r w:rsidRPr="00AA2FEE">
              <w:rPr>
                <w:sz w:val="16"/>
                <w:lang w:val="en-US"/>
              </w:rPr>
              <w:t>(July 2019 to December 2022)</w:t>
            </w:r>
          </w:p>
        </w:tc>
      </w:tr>
      <w:tr w:rsidR="00F55EC6" w:rsidRPr="00AA2FEE" w:rsidTr="00647E67">
        <w:trPr>
          <w:trHeight w:hRule="exact" w:val="834"/>
        </w:trPr>
        <w:tc>
          <w:tcPr>
            <w:tcW w:w="2187" w:type="dxa"/>
            <w:tcBorders>
              <w:top w:val="single" w:sz="6" w:space="0" w:color="000000"/>
              <w:left w:val="single" w:sz="6" w:space="0" w:color="000000"/>
              <w:bottom w:val="single" w:sz="6" w:space="0" w:color="000000"/>
              <w:right w:val="single" w:sz="6" w:space="0" w:color="000000"/>
            </w:tcBorders>
          </w:tcPr>
          <w:p w:rsidR="00F55EC6" w:rsidRPr="00AA2FEE" w:rsidRDefault="00F55EC6" w:rsidP="00647E67">
            <w:pPr>
              <w:pStyle w:val="TableParagraph"/>
              <w:spacing w:before="2" w:line="237" w:lineRule="auto"/>
              <w:ind w:left="0"/>
              <w:rPr>
                <w:sz w:val="16"/>
                <w:szCs w:val="18"/>
                <w:lang w:val="en-US"/>
              </w:rPr>
            </w:pPr>
            <w:r w:rsidRPr="00AA2FEE">
              <w:rPr>
                <w:sz w:val="16"/>
                <w:lang w:val="en-US"/>
              </w:rPr>
              <w:t>Seminar on the conduct of plant variety trials (DUS) in wheat and barley</w:t>
            </w:r>
          </w:p>
        </w:tc>
        <w:tc>
          <w:tcPr>
            <w:tcW w:w="1066" w:type="dxa"/>
            <w:tcBorders>
              <w:top w:val="single" w:sz="6" w:space="0" w:color="000000"/>
              <w:left w:val="single" w:sz="6" w:space="0" w:color="000000"/>
              <w:bottom w:val="single" w:sz="6" w:space="0" w:color="000000"/>
              <w:right w:val="single" w:sz="6" w:space="0" w:color="000000"/>
            </w:tcBorders>
          </w:tcPr>
          <w:p w:rsidR="00F55EC6" w:rsidRPr="00AA2FEE" w:rsidRDefault="00F55EC6" w:rsidP="00647E67">
            <w:pPr>
              <w:pStyle w:val="TableParagraph"/>
              <w:spacing w:line="211" w:lineRule="exact"/>
              <w:ind w:left="0"/>
              <w:rPr>
                <w:rFonts w:eastAsia="Times New Roman"/>
                <w:sz w:val="16"/>
                <w:szCs w:val="18"/>
                <w:lang w:val="en-US"/>
              </w:rPr>
            </w:pPr>
            <w:r w:rsidRPr="00AA2FEE">
              <w:rPr>
                <w:sz w:val="16"/>
                <w:lang w:val="en-US"/>
              </w:rPr>
              <w:t>June 2022</w:t>
            </w:r>
          </w:p>
        </w:tc>
        <w:tc>
          <w:tcPr>
            <w:tcW w:w="922" w:type="dxa"/>
            <w:tcBorders>
              <w:top w:val="single" w:sz="6" w:space="0" w:color="000000"/>
              <w:left w:val="single" w:sz="6" w:space="0" w:color="000000"/>
              <w:bottom w:val="single" w:sz="6" w:space="0" w:color="000000"/>
              <w:right w:val="single" w:sz="6" w:space="0" w:color="000000"/>
            </w:tcBorders>
          </w:tcPr>
          <w:p w:rsidR="00F55EC6" w:rsidRPr="00AA2FEE" w:rsidRDefault="00F55EC6" w:rsidP="00647E67">
            <w:pPr>
              <w:pStyle w:val="TableParagraph"/>
              <w:spacing w:before="1"/>
              <w:ind w:left="0"/>
              <w:rPr>
                <w:sz w:val="16"/>
                <w:szCs w:val="18"/>
                <w:lang w:val="en-US"/>
              </w:rPr>
            </w:pPr>
            <w:r w:rsidRPr="00AA2FEE">
              <w:rPr>
                <w:sz w:val="16"/>
                <w:lang w:val="en-US"/>
              </w:rPr>
              <w:t>Germany</w:t>
            </w:r>
          </w:p>
        </w:tc>
        <w:tc>
          <w:tcPr>
            <w:tcW w:w="1697" w:type="dxa"/>
            <w:vMerge/>
            <w:tcBorders>
              <w:left w:val="single" w:sz="6" w:space="0" w:color="000000"/>
              <w:right w:val="single" w:sz="6" w:space="0" w:color="000000"/>
            </w:tcBorders>
          </w:tcPr>
          <w:p w:rsidR="00F55EC6" w:rsidRPr="00AA2FEE" w:rsidRDefault="00F55EC6" w:rsidP="00647E67">
            <w:pPr>
              <w:pStyle w:val="TableParagraph"/>
              <w:spacing w:line="200" w:lineRule="exact"/>
              <w:ind w:left="0"/>
              <w:rPr>
                <w:sz w:val="16"/>
                <w:szCs w:val="18"/>
                <w:lang w:val="en-US"/>
              </w:rPr>
            </w:pPr>
          </w:p>
        </w:tc>
        <w:tc>
          <w:tcPr>
            <w:tcW w:w="3692" w:type="dxa"/>
            <w:tcBorders>
              <w:top w:val="single" w:sz="6" w:space="0" w:color="000000"/>
              <w:left w:val="single" w:sz="6" w:space="0" w:color="000000"/>
              <w:bottom w:val="single" w:sz="6" w:space="0" w:color="000000"/>
              <w:right w:val="single" w:sz="4" w:space="0" w:color="000000"/>
            </w:tcBorders>
          </w:tcPr>
          <w:p w:rsidR="00F55EC6" w:rsidRPr="00AA2FEE" w:rsidRDefault="00F55EC6" w:rsidP="00647E67">
            <w:pPr>
              <w:pStyle w:val="TableParagraph"/>
              <w:spacing w:before="6" w:line="204" w:lineRule="exact"/>
              <w:ind w:left="0"/>
              <w:rPr>
                <w:sz w:val="16"/>
                <w:szCs w:val="18"/>
                <w:lang w:val="en-US"/>
              </w:rPr>
            </w:pPr>
            <w:r w:rsidRPr="00AA2FEE">
              <w:rPr>
                <w:sz w:val="16"/>
                <w:lang w:val="en-US"/>
              </w:rPr>
              <w:t>Training in the conduct of plant variety trials, application of the test guidelines and trial evaluation</w:t>
            </w:r>
          </w:p>
        </w:tc>
        <w:tc>
          <w:tcPr>
            <w:tcW w:w="2572" w:type="dxa"/>
            <w:tcBorders>
              <w:top w:val="single" w:sz="6" w:space="0" w:color="000000"/>
              <w:left w:val="single" w:sz="4" w:space="0" w:color="000000"/>
              <w:bottom w:val="single" w:sz="6" w:space="0" w:color="000000"/>
              <w:right w:val="single" w:sz="6" w:space="0" w:color="000000"/>
            </w:tcBorders>
          </w:tcPr>
          <w:p w:rsidR="00F55EC6" w:rsidRPr="00AA2FEE" w:rsidRDefault="00F55EC6" w:rsidP="00647E67">
            <w:pPr>
              <w:pStyle w:val="TableParagraph"/>
              <w:spacing w:before="1"/>
              <w:ind w:left="0"/>
              <w:rPr>
                <w:sz w:val="16"/>
                <w:szCs w:val="18"/>
                <w:lang w:val="en-US"/>
              </w:rPr>
            </w:pPr>
            <w:r w:rsidRPr="00AA2FEE">
              <w:rPr>
                <w:sz w:val="16"/>
                <w:lang w:val="en-US"/>
              </w:rPr>
              <w:t>India (5 participants)</w:t>
            </w:r>
          </w:p>
        </w:tc>
        <w:tc>
          <w:tcPr>
            <w:tcW w:w="2353" w:type="dxa"/>
            <w:vMerge/>
            <w:tcBorders>
              <w:left w:val="single" w:sz="6" w:space="0" w:color="000000"/>
              <w:right w:val="single" w:sz="4" w:space="0" w:color="000000"/>
            </w:tcBorders>
          </w:tcPr>
          <w:p w:rsidR="00F55EC6" w:rsidRPr="00AA2FEE" w:rsidRDefault="00F55EC6" w:rsidP="00647E67">
            <w:pPr>
              <w:rPr>
                <w:rFonts w:cs="Arial"/>
                <w:sz w:val="16"/>
                <w:szCs w:val="18"/>
              </w:rPr>
            </w:pPr>
          </w:p>
        </w:tc>
      </w:tr>
      <w:tr w:rsidR="00F55EC6" w:rsidRPr="00AA2FEE" w:rsidTr="00647E67">
        <w:trPr>
          <w:trHeight w:hRule="exact" w:val="831"/>
        </w:trPr>
        <w:tc>
          <w:tcPr>
            <w:tcW w:w="2187" w:type="dxa"/>
            <w:tcBorders>
              <w:top w:val="single" w:sz="6" w:space="0" w:color="000000"/>
              <w:left w:val="single" w:sz="6" w:space="0" w:color="000000"/>
              <w:bottom w:val="single" w:sz="6" w:space="0" w:color="000000"/>
              <w:right w:val="single" w:sz="6" w:space="0" w:color="000000"/>
            </w:tcBorders>
          </w:tcPr>
          <w:p w:rsidR="00F55EC6" w:rsidRPr="00AA2FEE" w:rsidRDefault="00F55EC6" w:rsidP="00647E67">
            <w:pPr>
              <w:pStyle w:val="TableParagraph"/>
              <w:spacing w:before="4" w:line="235" w:lineRule="auto"/>
              <w:ind w:left="0" w:hanging="5"/>
              <w:rPr>
                <w:sz w:val="16"/>
                <w:szCs w:val="18"/>
                <w:lang w:val="en-US"/>
              </w:rPr>
            </w:pPr>
            <w:r w:rsidRPr="00AA2FEE">
              <w:rPr>
                <w:sz w:val="16"/>
                <w:lang w:val="en-US"/>
              </w:rPr>
              <w:t>Seminar on the conduct of plant variety trials (DUS) in rapeseed and mustard</w:t>
            </w:r>
          </w:p>
        </w:tc>
        <w:tc>
          <w:tcPr>
            <w:tcW w:w="1066" w:type="dxa"/>
            <w:tcBorders>
              <w:top w:val="single" w:sz="6" w:space="0" w:color="000000"/>
              <w:left w:val="single" w:sz="6" w:space="0" w:color="000000"/>
              <w:bottom w:val="single" w:sz="6" w:space="0" w:color="000000"/>
              <w:right w:val="single" w:sz="6" w:space="0" w:color="000000"/>
            </w:tcBorders>
          </w:tcPr>
          <w:p w:rsidR="00F55EC6" w:rsidRPr="00AA2FEE" w:rsidRDefault="00F55EC6" w:rsidP="00647E67">
            <w:pPr>
              <w:pStyle w:val="TableParagraph"/>
              <w:spacing w:line="211" w:lineRule="exact"/>
              <w:ind w:left="0"/>
              <w:rPr>
                <w:rFonts w:eastAsia="Times New Roman"/>
                <w:sz w:val="16"/>
                <w:szCs w:val="18"/>
                <w:lang w:val="en-US"/>
              </w:rPr>
            </w:pPr>
            <w:r w:rsidRPr="00AA2FEE">
              <w:rPr>
                <w:sz w:val="16"/>
                <w:lang w:val="en-US"/>
              </w:rPr>
              <w:t>June 2022</w:t>
            </w:r>
          </w:p>
        </w:tc>
        <w:tc>
          <w:tcPr>
            <w:tcW w:w="922" w:type="dxa"/>
            <w:tcBorders>
              <w:top w:val="single" w:sz="6" w:space="0" w:color="000000"/>
              <w:left w:val="single" w:sz="6" w:space="0" w:color="000000"/>
              <w:bottom w:val="single" w:sz="6" w:space="0" w:color="000000"/>
              <w:right w:val="single" w:sz="6" w:space="0" w:color="000000"/>
            </w:tcBorders>
          </w:tcPr>
          <w:p w:rsidR="00F55EC6" w:rsidRPr="00AA2FEE" w:rsidRDefault="00F55EC6" w:rsidP="00647E67">
            <w:pPr>
              <w:pStyle w:val="TableParagraph"/>
              <w:spacing w:before="1"/>
              <w:ind w:left="0"/>
              <w:rPr>
                <w:sz w:val="16"/>
                <w:szCs w:val="18"/>
                <w:lang w:val="en-US"/>
              </w:rPr>
            </w:pPr>
            <w:r w:rsidRPr="00AA2FEE">
              <w:rPr>
                <w:sz w:val="16"/>
                <w:lang w:val="en-US"/>
              </w:rPr>
              <w:t>Germany</w:t>
            </w:r>
          </w:p>
        </w:tc>
        <w:tc>
          <w:tcPr>
            <w:tcW w:w="1697" w:type="dxa"/>
            <w:vMerge/>
            <w:tcBorders>
              <w:left w:val="single" w:sz="6" w:space="0" w:color="000000"/>
              <w:right w:val="single" w:sz="6" w:space="0" w:color="000000"/>
            </w:tcBorders>
          </w:tcPr>
          <w:p w:rsidR="00F55EC6" w:rsidRPr="00AA2FEE" w:rsidRDefault="00F55EC6" w:rsidP="00647E67">
            <w:pPr>
              <w:pStyle w:val="TableParagraph"/>
              <w:spacing w:line="200" w:lineRule="exact"/>
              <w:ind w:left="0"/>
              <w:rPr>
                <w:sz w:val="16"/>
                <w:szCs w:val="18"/>
                <w:lang w:val="en-US"/>
              </w:rPr>
            </w:pPr>
          </w:p>
        </w:tc>
        <w:tc>
          <w:tcPr>
            <w:tcW w:w="3692" w:type="dxa"/>
            <w:tcBorders>
              <w:top w:val="single" w:sz="6" w:space="0" w:color="000000"/>
              <w:left w:val="single" w:sz="6" w:space="0" w:color="000000"/>
              <w:bottom w:val="single" w:sz="6" w:space="0" w:color="000000"/>
              <w:right w:val="single" w:sz="4" w:space="0" w:color="000000"/>
            </w:tcBorders>
          </w:tcPr>
          <w:p w:rsidR="00F55EC6" w:rsidRPr="00AA2FEE" w:rsidRDefault="00F55EC6" w:rsidP="00647E67">
            <w:pPr>
              <w:pStyle w:val="TableParagraph"/>
              <w:ind w:left="0"/>
              <w:rPr>
                <w:sz w:val="16"/>
                <w:szCs w:val="18"/>
                <w:lang w:val="en-US"/>
              </w:rPr>
            </w:pPr>
            <w:r w:rsidRPr="00AA2FEE">
              <w:rPr>
                <w:sz w:val="16"/>
                <w:lang w:val="en-US"/>
              </w:rPr>
              <w:t>Training in the conduct of plant variety trials, application of the test guidelines and trial evaluation</w:t>
            </w:r>
          </w:p>
        </w:tc>
        <w:tc>
          <w:tcPr>
            <w:tcW w:w="2572" w:type="dxa"/>
            <w:tcBorders>
              <w:top w:val="single" w:sz="6" w:space="0" w:color="000000"/>
              <w:left w:val="single" w:sz="4" w:space="0" w:color="000000"/>
              <w:bottom w:val="single" w:sz="6" w:space="0" w:color="000000"/>
              <w:right w:val="single" w:sz="6" w:space="0" w:color="000000"/>
            </w:tcBorders>
          </w:tcPr>
          <w:p w:rsidR="00F55EC6" w:rsidRPr="00AA2FEE" w:rsidRDefault="00F55EC6" w:rsidP="00647E67">
            <w:pPr>
              <w:pStyle w:val="TableParagraph"/>
              <w:spacing w:line="203" w:lineRule="exact"/>
              <w:ind w:left="0"/>
              <w:rPr>
                <w:sz w:val="16"/>
                <w:szCs w:val="18"/>
                <w:lang w:val="en-US"/>
              </w:rPr>
            </w:pPr>
            <w:r w:rsidRPr="00AA2FEE">
              <w:rPr>
                <w:sz w:val="16"/>
                <w:lang w:val="en-US"/>
              </w:rPr>
              <w:t>India (3 participants)</w:t>
            </w:r>
          </w:p>
        </w:tc>
        <w:tc>
          <w:tcPr>
            <w:tcW w:w="2353" w:type="dxa"/>
            <w:vMerge/>
            <w:tcBorders>
              <w:left w:val="single" w:sz="6" w:space="0" w:color="000000"/>
              <w:bottom w:val="single" w:sz="6" w:space="0" w:color="000000"/>
              <w:right w:val="single" w:sz="4" w:space="0" w:color="000000"/>
            </w:tcBorders>
          </w:tcPr>
          <w:p w:rsidR="00F55EC6" w:rsidRPr="00AA2FEE" w:rsidRDefault="00F55EC6" w:rsidP="00647E67">
            <w:pPr>
              <w:rPr>
                <w:rFonts w:cs="Arial"/>
                <w:sz w:val="16"/>
                <w:szCs w:val="18"/>
              </w:rPr>
            </w:pPr>
          </w:p>
        </w:tc>
      </w:tr>
      <w:tr w:rsidR="00F55EC6" w:rsidRPr="00AA2FEE" w:rsidTr="00647E67">
        <w:trPr>
          <w:trHeight w:hRule="exact" w:val="1255"/>
        </w:trPr>
        <w:tc>
          <w:tcPr>
            <w:tcW w:w="2187" w:type="dxa"/>
            <w:tcBorders>
              <w:top w:val="single" w:sz="6" w:space="0" w:color="000000"/>
              <w:left w:val="single" w:sz="6" w:space="0" w:color="000000"/>
              <w:bottom w:val="single" w:sz="4" w:space="0" w:color="auto"/>
              <w:right w:val="single" w:sz="6" w:space="0" w:color="000000"/>
            </w:tcBorders>
          </w:tcPr>
          <w:p w:rsidR="00F55EC6" w:rsidRPr="00AA2FEE" w:rsidRDefault="00F55EC6" w:rsidP="00647E67">
            <w:pPr>
              <w:pStyle w:val="TableParagraph"/>
              <w:spacing w:line="205" w:lineRule="exact"/>
              <w:ind w:left="0"/>
              <w:rPr>
                <w:sz w:val="16"/>
                <w:szCs w:val="18"/>
                <w:lang w:val="en-US"/>
              </w:rPr>
            </w:pPr>
            <w:r w:rsidRPr="00AA2FEE">
              <w:rPr>
                <w:sz w:val="16"/>
                <w:lang w:val="en-US"/>
              </w:rPr>
              <w:t>Internship</w:t>
            </w:r>
          </w:p>
        </w:tc>
        <w:tc>
          <w:tcPr>
            <w:tcW w:w="1066" w:type="dxa"/>
            <w:tcBorders>
              <w:top w:val="single" w:sz="6" w:space="0" w:color="000000"/>
              <w:left w:val="single" w:sz="6" w:space="0" w:color="000000"/>
              <w:bottom w:val="single" w:sz="4" w:space="0" w:color="auto"/>
              <w:right w:val="single" w:sz="6" w:space="0" w:color="000000"/>
            </w:tcBorders>
          </w:tcPr>
          <w:p w:rsidR="00F55EC6" w:rsidRPr="00AA2FEE" w:rsidRDefault="00F55EC6" w:rsidP="00647E67">
            <w:pPr>
              <w:pStyle w:val="TableParagraph"/>
              <w:spacing w:line="208" w:lineRule="exact"/>
              <w:ind w:left="0"/>
              <w:rPr>
                <w:rFonts w:eastAsia="Times New Roman"/>
                <w:sz w:val="16"/>
                <w:szCs w:val="18"/>
                <w:lang w:val="en-US"/>
              </w:rPr>
            </w:pPr>
            <w:r w:rsidRPr="00AA2FEE">
              <w:rPr>
                <w:sz w:val="16"/>
                <w:lang w:val="en-US"/>
              </w:rPr>
              <w:t>July 2022</w:t>
            </w:r>
          </w:p>
        </w:tc>
        <w:tc>
          <w:tcPr>
            <w:tcW w:w="922" w:type="dxa"/>
            <w:tcBorders>
              <w:top w:val="single" w:sz="6" w:space="0" w:color="000000"/>
              <w:left w:val="single" w:sz="6" w:space="0" w:color="000000"/>
              <w:bottom w:val="single" w:sz="4" w:space="0" w:color="auto"/>
              <w:right w:val="single" w:sz="6" w:space="0" w:color="000000"/>
            </w:tcBorders>
          </w:tcPr>
          <w:p w:rsidR="00F55EC6" w:rsidRPr="00AA2FEE" w:rsidRDefault="00F55EC6" w:rsidP="00647E67">
            <w:pPr>
              <w:pStyle w:val="TableParagraph"/>
              <w:spacing w:line="205" w:lineRule="exact"/>
              <w:ind w:left="0"/>
              <w:rPr>
                <w:sz w:val="16"/>
                <w:szCs w:val="18"/>
                <w:lang w:val="en-US"/>
              </w:rPr>
            </w:pPr>
            <w:r w:rsidRPr="00AA2FEE">
              <w:rPr>
                <w:sz w:val="16"/>
                <w:lang w:val="en-US"/>
              </w:rPr>
              <w:t>Germany</w:t>
            </w:r>
          </w:p>
        </w:tc>
        <w:tc>
          <w:tcPr>
            <w:tcW w:w="1697" w:type="dxa"/>
            <w:vMerge/>
            <w:tcBorders>
              <w:left w:val="single" w:sz="6" w:space="0" w:color="000000"/>
              <w:bottom w:val="single" w:sz="4" w:space="0" w:color="auto"/>
              <w:right w:val="single" w:sz="6" w:space="0" w:color="000000"/>
            </w:tcBorders>
          </w:tcPr>
          <w:p w:rsidR="00F55EC6" w:rsidRPr="00AA2FEE" w:rsidRDefault="00F55EC6" w:rsidP="00647E67">
            <w:pPr>
              <w:pStyle w:val="TableParagraph"/>
              <w:spacing w:line="200" w:lineRule="exact"/>
              <w:ind w:left="0"/>
              <w:rPr>
                <w:sz w:val="16"/>
                <w:szCs w:val="18"/>
                <w:lang w:val="en-US"/>
              </w:rPr>
            </w:pPr>
          </w:p>
        </w:tc>
        <w:tc>
          <w:tcPr>
            <w:tcW w:w="3692" w:type="dxa"/>
            <w:tcBorders>
              <w:top w:val="single" w:sz="6" w:space="0" w:color="000000"/>
              <w:left w:val="single" w:sz="6" w:space="0" w:color="000000"/>
              <w:bottom w:val="single" w:sz="4" w:space="0" w:color="auto"/>
              <w:right w:val="single" w:sz="4" w:space="0" w:color="000000"/>
            </w:tcBorders>
          </w:tcPr>
          <w:p w:rsidR="00F55EC6" w:rsidRPr="00AA2FEE" w:rsidRDefault="00F55EC6" w:rsidP="00647E67">
            <w:pPr>
              <w:pStyle w:val="TableParagraph"/>
              <w:spacing w:line="242" w:lineRule="auto"/>
              <w:ind w:left="0" w:firstLine="9"/>
              <w:rPr>
                <w:sz w:val="16"/>
                <w:szCs w:val="18"/>
                <w:lang w:val="en-US"/>
              </w:rPr>
            </w:pPr>
            <w:r w:rsidRPr="00AA2FEE">
              <w:rPr>
                <w:sz w:val="16"/>
                <w:lang w:val="en-US"/>
              </w:rPr>
              <w:t>Support for the development of a own testing system for approving and protecting plant varieties in Ethiopia</w:t>
            </w:r>
          </w:p>
        </w:tc>
        <w:tc>
          <w:tcPr>
            <w:tcW w:w="2572" w:type="dxa"/>
            <w:tcBorders>
              <w:top w:val="single" w:sz="6" w:space="0" w:color="000000"/>
              <w:left w:val="single" w:sz="4" w:space="0" w:color="000000"/>
              <w:bottom w:val="single" w:sz="4" w:space="0" w:color="auto"/>
              <w:right w:val="single" w:sz="6" w:space="0" w:color="000000"/>
            </w:tcBorders>
          </w:tcPr>
          <w:p w:rsidR="00F55EC6" w:rsidRPr="00AA2FEE" w:rsidRDefault="00F55EC6" w:rsidP="00647E67">
            <w:pPr>
              <w:pStyle w:val="TableParagraph"/>
              <w:spacing w:line="201" w:lineRule="exact"/>
              <w:ind w:left="0"/>
              <w:rPr>
                <w:sz w:val="16"/>
                <w:szCs w:val="18"/>
                <w:lang w:val="en-US"/>
              </w:rPr>
            </w:pPr>
            <w:r w:rsidRPr="00AA2FEE">
              <w:rPr>
                <w:sz w:val="16"/>
                <w:lang w:val="en-US"/>
              </w:rPr>
              <w:t>Ethiopia (1 participant)</w:t>
            </w:r>
          </w:p>
        </w:tc>
        <w:tc>
          <w:tcPr>
            <w:tcW w:w="2353" w:type="dxa"/>
            <w:tcBorders>
              <w:top w:val="single" w:sz="6" w:space="0" w:color="000000"/>
              <w:left w:val="single" w:sz="6" w:space="0" w:color="000000"/>
              <w:bottom w:val="single" w:sz="4" w:space="0" w:color="auto"/>
              <w:right w:val="single" w:sz="4" w:space="0" w:color="000000"/>
            </w:tcBorders>
            <w:noWrap/>
          </w:tcPr>
          <w:p w:rsidR="00F55EC6" w:rsidRPr="00AA2FEE" w:rsidRDefault="00F55EC6" w:rsidP="00647E67">
            <w:pPr>
              <w:pStyle w:val="TableParagraph"/>
              <w:ind w:left="0"/>
              <w:rPr>
                <w:sz w:val="16"/>
                <w:szCs w:val="18"/>
                <w:lang w:val="en-US"/>
              </w:rPr>
            </w:pPr>
            <w:r w:rsidRPr="00AA2FEE">
              <w:rPr>
                <w:sz w:val="16"/>
                <w:lang w:val="en-US"/>
              </w:rPr>
              <w:t>Federal Ministry of Food and Agriculture project to promote sustainable agricultural productivity in Ethiopia</w:t>
            </w:r>
          </w:p>
        </w:tc>
      </w:tr>
    </w:tbl>
    <w:p w:rsidR="00F55EC6" w:rsidRPr="00AA2FEE" w:rsidRDefault="00F55EC6" w:rsidP="00F55EC6"/>
    <w:p w:rsidR="00F55EC6" w:rsidRPr="00AA2FEE" w:rsidRDefault="00F55EC6" w:rsidP="00F55EC6"/>
    <w:p w:rsidR="00AA25BC" w:rsidRPr="00D91462" w:rsidRDefault="00AA25BC" w:rsidP="00AA25BC">
      <w:r>
        <w:t>II.</w:t>
      </w:r>
      <w:r>
        <w:tab/>
        <w:t>OTHER DEVELOPMENTS OF RELEVANCE TO UPOV</w:t>
      </w:r>
    </w:p>
    <w:p w:rsidR="00AA25BC" w:rsidRDefault="00AA25BC" w:rsidP="00AA25BC"/>
    <w:p w:rsidR="00AA25BC" w:rsidRPr="00D91462" w:rsidRDefault="00AA25BC" w:rsidP="00AA25BC">
      <w:r>
        <w:tab/>
        <w:t>No remarks</w:t>
      </w:r>
    </w:p>
    <w:p w:rsidR="00F55EC6" w:rsidRPr="00AA2FEE" w:rsidRDefault="00F55EC6" w:rsidP="007B1027"/>
    <w:p w:rsidR="00F55EC6" w:rsidRDefault="00F55EC6" w:rsidP="00AA25BC"/>
    <w:p w:rsidR="00AA25BC" w:rsidRPr="00AA25BC" w:rsidRDefault="00AA25BC" w:rsidP="00AA25BC"/>
    <w:p w:rsidR="000362AD" w:rsidRPr="00AA2FEE" w:rsidRDefault="000362AD" w:rsidP="007B1027">
      <w:pPr>
        <w:jc w:val="right"/>
      </w:pPr>
      <w:r w:rsidRPr="00AA2FEE">
        <w:t xml:space="preserve">[Annex </w:t>
      </w:r>
      <w:r w:rsidR="00032BF0" w:rsidRPr="00AA2FEE">
        <w:t>I</w:t>
      </w:r>
      <w:r w:rsidRPr="00AA2FEE">
        <w:t>II follows]</w:t>
      </w:r>
    </w:p>
    <w:p w:rsidR="000362AD" w:rsidRPr="00AA2FEE" w:rsidRDefault="000362AD" w:rsidP="000362AD">
      <w:pPr>
        <w:jc w:val="left"/>
        <w:sectPr w:rsidR="000362AD" w:rsidRPr="00AA2FEE" w:rsidSect="008A4F2E">
          <w:headerReference w:type="default" r:id="rId11"/>
          <w:headerReference w:type="first" r:id="rId12"/>
          <w:pgSz w:w="16840" w:h="11907" w:orient="landscape" w:code="9"/>
          <w:pgMar w:top="510" w:right="1134" w:bottom="1134" w:left="1134" w:header="510" w:footer="680" w:gutter="0"/>
          <w:cols w:space="720"/>
          <w:docGrid w:linePitch="272"/>
        </w:sectPr>
      </w:pPr>
    </w:p>
    <w:p w:rsidR="000362AD" w:rsidRPr="00AA2FEE" w:rsidRDefault="005A5958" w:rsidP="000362AD">
      <w:pPr>
        <w:jc w:val="center"/>
      </w:pPr>
      <w:r w:rsidRPr="00AA2FEE">
        <w:lastRenderedPageBreak/>
        <w:t>C/56</w:t>
      </w:r>
      <w:r w:rsidR="000362AD" w:rsidRPr="00AA2FEE">
        <w:t>/INF/4</w:t>
      </w:r>
    </w:p>
    <w:p w:rsidR="000362AD" w:rsidRPr="00AA2FEE" w:rsidRDefault="000362AD" w:rsidP="000362AD">
      <w:pPr>
        <w:jc w:val="center"/>
      </w:pPr>
    </w:p>
    <w:p w:rsidR="000362AD" w:rsidRPr="00AA2FEE" w:rsidRDefault="000362AD" w:rsidP="000362AD">
      <w:pPr>
        <w:jc w:val="center"/>
      </w:pPr>
      <w:r w:rsidRPr="00AA2FEE">
        <w:t>ANNEX II</w:t>
      </w:r>
      <w:r w:rsidR="00032BF0" w:rsidRPr="00AA2FEE">
        <w:t>I</w:t>
      </w:r>
    </w:p>
    <w:p w:rsidR="000362AD" w:rsidRPr="00AA2FEE" w:rsidRDefault="000362AD" w:rsidP="000362AD">
      <w:pPr>
        <w:jc w:val="center"/>
      </w:pPr>
    </w:p>
    <w:p w:rsidR="000362AD" w:rsidRPr="00AA2FEE" w:rsidRDefault="000362AD" w:rsidP="000362AD">
      <w:pPr>
        <w:jc w:val="center"/>
      </w:pPr>
    </w:p>
    <w:p w:rsidR="00D46C5A" w:rsidRPr="00AA2FEE" w:rsidRDefault="00032BF0" w:rsidP="00032BF0">
      <w:pPr>
        <w:jc w:val="center"/>
      </w:pPr>
      <w:r w:rsidRPr="00AA2FEE">
        <w:rPr>
          <w:szCs w:val="24"/>
        </w:rPr>
        <w:t>BOSNIA AND HERZEGOVINA</w:t>
      </w:r>
    </w:p>
    <w:p w:rsidR="00D46C5A" w:rsidRPr="00AA2FEE" w:rsidRDefault="00D46C5A" w:rsidP="00D46C5A">
      <w:pPr>
        <w:jc w:val="left"/>
      </w:pPr>
    </w:p>
    <w:p w:rsidR="00032BF0" w:rsidRPr="00AA2FEE" w:rsidRDefault="00032BF0" w:rsidP="00D46C5A">
      <w:pPr>
        <w:jc w:val="left"/>
      </w:pPr>
    </w:p>
    <w:p w:rsidR="008A4F2E" w:rsidRPr="004337B3" w:rsidRDefault="008A4F2E" w:rsidP="008A4F2E">
      <w:r w:rsidRPr="004337B3">
        <w:t>I.</w:t>
      </w:r>
      <w:r w:rsidRPr="004337B3">
        <w:tab/>
        <w:t>PLANT VARIETY PROTECTION</w:t>
      </w:r>
    </w:p>
    <w:p w:rsidR="008A4F2E" w:rsidRPr="00A67586" w:rsidRDefault="008A4F2E" w:rsidP="008A4F2E"/>
    <w:p w:rsidR="008A4F2E" w:rsidRPr="00A67586" w:rsidRDefault="008A4F2E" w:rsidP="008A4F2E">
      <w:pPr>
        <w:rPr>
          <w:u w:val="single"/>
        </w:rPr>
      </w:pPr>
      <w:r w:rsidRPr="00A67586">
        <w:rPr>
          <w:u w:val="single"/>
        </w:rPr>
        <w:t>Activities for the promotion of plant variety protection</w:t>
      </w:r>
    </w:p>
    <w:p w:rsidR="008A4F2E" w:rsidRPr="00A67586" w:rsidRDefault="008A4F2E" w:rsidP="008A4F2E"/>
    <w:tbl>
      <w:tblPr>
        <w:tblStyle w:val="TableGrid"/>
        <w:tblW w:w="9889" w:type="dxa"/>
        <w:tblLayout w:type="fixed"/>
        <w:tblCellMar>
          <w:top w:w="28" w:type="dxa"/>
          <w:left w:w="57" w:type="dxa"/>
          <w:bottom w:w="28" w:type="dxa"/>
          <w:right w:w="57" w:type="dxa"/>
        </w:tblCellMar>
        <w:tblLook w:val="01E0" w:firstRow="1" w:lastRow="1" w:firstColumn="1" w:lastColumn="1" w:noHBand="0" w:noVBand="0"/>
      </w:tblPr>
      <w:tblGrid>
        <w:gridCol w:w="704"/>
        <w:gridCol w:w="992"/>
        <w:gridCol w:w="1192"/>
        <w:gridCol w:w="1134"/>
        <w:gridCol w:w="1672"/>
        <w:gridCol w:w="2665"/>
        <w:gridCol w:w="1530"/>
      </w:tblGrid>
      <w:tr w:rsidR="008A4F2E" w:rsidRPr="00A67586" w:rsidTr="00647E67">
        <w:tc>
          <w:tcPr>
            <w:tcW w:w="704" w:type="dxa"/>
          </w:tcPr>
          <w:p w:rsidR="008A4F2E" w:rsidRPr="008A4F2E" w:rsidRDefault="008A4F2E" w:rsidP="00647E67">
            <w:pPr>
              <w:jc w:val="left"/>
              <w:rPr>
                <w:sz w:val="16"/>
              </w:rPr>
            </w:pPr>
            <w:r w:rsidRPr="008A4F2E">
              <w:rPr>
                <w:sz w:val="16"/>
              </w:rPr>
              <w:t>Title of activity</w:t>
            </w:r>
          </w:p>
        </w:tc>
        <w:tc>
          <w:tcPr>
            <w:tcW w:w="992" w:type="dxa"/>
          </w:tcPr>
          <w:p w:rsidR="008A4F2E" w:rsidRPr="008A4F2E" w:rsidRDefault="008A4F2E" w:rsidP="00647E67">
            <w:pPr>
              <w:jc w:val="left"/>
              <w:rPr>
                <w:sz w:val="16"/>
              </w:rPr>
            </w:pPr>
            <w:r w:rsidRPr="008A4F2E">
              <w:rPr>
                <w:sz w:val="16"/>
              </w:rPr>
              <w:t>Date</w:t>
            </w:r>
          </w:p>
        </w:tc>
        <w:tc>
          <w:tcPr>
            <w:tcW w:w="1192" w:type="dxa"/>
          </w:tcPr>
          <w:p w:rsidR="008A4F2E" w:rsidRPr="008A4F2E" w:rsidRDefault="008A4F2E" w:rsidP="00647E67">
            <w:pPr>
              <w:jc w:val="left"/>
              <w:rPr>
                <w:sz w:val="16"/>
              </w:rPr>
            </w:pPr>
            <w:r w:rsidRPr="008A4F2E">
              <w:rPr>
                <w:sz w:val="16"/>
              </w:rPr>
              <w:t>Location</w:t>
            </w:r>
          </w:p>
        </w:tc>
        <w:tc>
          <w:tcPr>
            <w:tcW w:w="1134" w:type="dxa"/>
          </w:tcPr>
          <w:p w:rsidR="008A4F2E" w:rsidRPr="008A4F2E" w:rsidRDefault="008A4F2E" w:rsidP="00647E67">
            <w:pPr>
              <w:jc w:val="left"/>
              <w:rPr>
                <w:sz w:val="16"/>
              </w:rPr>
            </w:pPr>
            <w:r w:rsidRPr="008A4F2E">
              <w:rPr>
                <w:sz w:val="16"/>
              </w:rPr>
              <w:t>Organizer(s)</w:t>
            </w:r>
          </w:p>
        </w:tc>
        <w:tc>
          <w:tcPr>
            <w:tcW w:w="1672" w:type="dxa"/>
          </w:tcPr>
          <w:p w:rsidR="008A4F2E" w:rsidRPr="008A4F2E" w:rsidRDefault="008A4F2E" w:rsidP="00647E67">
            <w:pPr>
              <w:jc w:val="left"/>
              <w:rPr>
                <w:sz w:val="16"/>
              </w:rPr>
            </w:pPr>
            <w:r w:rsidRPr="008A4F2E">
              <w:rPr>
                <w:sz w:val="16"/>
              </w:rPr>
              <w:t>Purpose of activity</w:t>
            </w:r>
          </w:p>
        </w:tc>
        <w:tc>
          <w:tcPr>
            <w:tcW w:w="2665" w:type="dxa"/>
          </w:tcPr>
          <w:p w:rsidR="008A4F2E" w:rsidRPr="008A4F2E" w:rsidRDefault="008A4F2E" w:rsidP="00647E67">
            <w:pPr>
              <w:jc w:val="left"/>
              <w:rPr>
                <w:sz w:val="16"/>
              </w:rPr>
            </w:pPr>
            <w:r w:rsidRPr="008A4F2E">
              <w:rPr>
                <w:sz w:val="16"/>
              </w:rPr>
              <w:t>Participating countries/ organizations (number of participants from each)</w:t>
            </w:r>
          </w:p>
        </w:tc>
        <w:tc>
          <w:tcPr>
            <w:tcW w:w="1530" w:type="dxa"/>
          </w:tcPr>
          <w:p w:rsidR="008A4F2E" w:rsidRPr="008A4F2E" w:rsidRDefault="008A4F2E" w:rsidP="00647E67">
            <w:pPr>
              <w:jc w:val="left"/>
              <w:rPr>
                <w:sz w:val="16"/>
              </w:rPr>
            </w:pPr>
            <w:r w:rsidRPr="008A4F2E">
              <w:rPr>
                <w:sz w:val="16"/>
              </w:rPr>
              <w:t>Comments</w:t>
            </w:r>
          </w:p>
        </w:tc>
      </w:tr>
      <w:tr w:rsidR="008A4F2E" w:rsidRPr="00A67586" w:rsidTr="00647E67">
        <w:tc>
          <w:tcPr>
            <w:tcW w:w="704" w:type="dxa"/>
          </w:tcPr>
          <w:p w:rsidR="008A4F2E" w:rsidRPr="008A4F2E" w:rsidRDefault="008A4F2E" w:rsidP="00647E67">
            <w:pPr>
              <w:jc w:val="left"/>
              <w:rPr>
                <w:sz w:val="16"/>
              </w:rPr>
            </w:pPr>
            <w:r w:rsidRPr="008A4F2E">
              <w:rPr>
                <w:sz w:val="16"/>
              </w:rPr>
              <w:t>1.</w:t>
            </w:r>
          </w:p>
          <w:p w:rsidR="008A4F2E" w:rsidRPr="008A4F2E" w:rsidRDefault="008A4F2E" w:rsidP="00647E67">
            <w:pPr>
              <w:jc w:val="left"/>
              <w:rPr>
                <w:sz w:val="16"/>
              </w:rPr>
            </w:pPr>
          </w:p>
        </w:tc>
        <w:tc>
          <w:tcPr>
            <w:tcW w:w="992" w:type="dxa"/>
          </w:tcPr>
          <w:p w:rsidR="008A4F2E" w:rsidRPr="008A4F2E" w:rsidRDefault="008A4F2E" w:rsidP="00647E67">
            <w:pPr>
              <w:jc w:val="left"/>
              <w:rPr>
                <w:sz w:val="16"/>
              </w:rPr>
            </w:pPr>
            <w:r w:rsidRPr="008A4F2E">
              <w:rPr>
                <w:sz w:val="16"/>
              </w:rPr>
              <w:t>08-12 February 2021</w:t>
            </w:r>
          </w:p>
        </w:tc>
        <w:tc>
          <w:tcPr>
            <w:tcW w:w="1192" w:type="dxa"/>
          </w:tcPr>
          <w:p w:rsidR="008A4F2E" w:rsidRPr="008A4F2E" w:rsidRDefault="008A4F2E" w:rsidP="00647E67">
            <w:pPr>
              <w:jc w:val="left"/>
              <w:rPr>
                <w:sz w:val="16"/>
              </w:rPr>
            </w:pPr>
            <w:r w:rsidRPr="008A4F2E">
              <w:rPr>
                <w:sz w:val="16"/>
              </w:rPr>
              <w:t>Teleworking activities</w:t>
            </w:r>
          </w:p>
        </w:tc>
        <w:tc>
          <w:tcPr>
            <w:tcW w:w="1134" w:type="dxa"/>
          </w:tcPr>
          <w:p w:rsidR="008A4F2E" w:rsidRPr="008A4F2E" w:rsidRDefault="008A4F2E" w:rsidP="00647E67">
            <w:pPr>
              <w:jc w:val="left"/>
              <w:rPr>
                <w:sz w:val="16"/>
              </w:rPr>
            </w:pPr>
            <w:r w:rsidRPr="008A4F2E">
              <w:rPr>
                <w:sz w:val="16"/>
              </w:rPr>
              <w:t>Twinning BA 18 IPA AG 03 19</w:t>
            </w:r>
          </w:p>
        </w:tc>
        <w:tc>
          <w:tcPr>
            <w:tcW w:w="1672" w:type="dxa"/>
          </w:tcPr>
          <w:p w:rsidR="008A4F2E" w:rsidRPr="008A4F2E" w:rsidRDefault="008A4F2E" w:rsidP="00647E67">
            <w:pPr>
              <w:jc w:val="left"/>
              <w:rPr>
                <w:sz w:val="16"/>
              </w:rPr>
            </w:pPr>
            <w:r w:rsidRPr="008A4F2E">
              <w:rPr>
                <w:sz w:val="16"/>
              </w:rPr>
              <w:t>Capacities in area of Plant Breeders' Rights</w:t>
            </w:r>
          </w:p>
        </w:tc>
        <w:tc>
          <w:tcPr>
            <w:tcW w:w="2665" w:type="dxa"/>
          </w:tcPr>
          <w:p w:rsidR="008A4F2E" w:rsidRPr="008A4F2E" w:rsidRDefault="008A4F2E" w:rsidP="00647E67">
            <w:pPr>
              <w:jc w:val="left"/>
              <w:rPr>
                <w:sz w:val="16"/>
              </w:rPr>
            </w:pPr>
            <w:r w:rsidRPr="008A4F2E">
              <w:rPr>
                <w:sz w:val="16"/>
              </w:rPr>
              <w:t>Administration of BiH for Plant Health Protection (PHPA), Department for Plant Health</w:t>
            </w:r>
          </w:p>
          <w:p w:rsidR="008A4F2E" w:rsidRPr="008A4F2E" w:rsidRDefault="008A4F2E" w:rsidP="00647E67">
            <w:pPr>
              <w:jc w:val="left"/>
              <w:rPr>
                <w:sz w:val="16"/>
              </w:rPr>
            </w:pPr>
            <w:r w:rsidRPr="008A4F2E">
              <w:rPr>
                <w:sz w:val="16"/>
              </w:rPr>
              <w:t>- Ministry of agriculture, forestry and water management of Republika Srpska</w:t>
            </w:r>
          </w:p>
          <w:p w:rsidR="008A4F2E" w:rsidRPr="008A4F2E" w:rsidRDefault="008A4F2E" w:rsidP="00647E67">
            <w:pPr>
              <w:jc w:val="left"/>
              <w:rPr>
                <w:sz w:val="16"/>
              </w:rPr>
            </w:pPr>
            <w:r w:rsidRPr="008A4F2E">
              <w:rPr>
                <w:sz w:val="16"/>
              </w:rPr>
              <w:t>- Ministry of agriculture, water management and forestry of the Federation of BiH</w:t>
            </w:r>
          </w:p>
          <w:p w:rsidR="008A4F2E" w:rsidRPr="008A4F2E" w:rsidRDefault="008A4F2E" w:rsidP="00647E67">
            <w:pPr>
              <w:jc w:val="left"/>
              <w:rPr>
                <w:sz w:val="16"/>
              </w:rPr>
            </w:pPr>
            <w:r w:rsidRPr="008A4F2E">
              <w:rPr>
                <w:sz w:val="16"/>
              </w:rPr>
              <w:t>- Department of Agriculture, Forestry and Water Management of Brčko District BiH</w:t>
            </w:r>
          </w:p>
          <w:p w:rsidR="008A4F2E" w:rsidRPr="008A4F2E" w:rsidRDefault="008A4F2E" w:rsidP="00647E67">
            <w:pPr>
              <w:jc w:val="left"/>
              <w:rPr>
                <w:sz w:val="16"/>
              </w:rPr>
            </w:pPr>
            <w:r w:rsidRPr="008A4F2E">
              <w:rPr>
                <w:sz w:val="16"/>
              </w:rPr>
              <w:t>- Republic Administration for Inspection Affairs of Republika Srpska</w:t>
            </w:r>
          </w:p>
          <w:p w:rsidR="008A4F2E" w:rsidRPr="008A4F2E" w:rsidRDefault="008A4F2E" w:rsidP="00647E67">
            <w:pPr>
              <w:jc w:val="left"/>
              <w:rPr>
                <w:sz w:val="16"/>
              </w:rPr>
            </w:pPr>
            <w:r w:rsidRPr="008A4F2E">
              <w:rPr>
                <w:sz w:val="16"/>
              </w:rPr>
              <w:t>- Federal Administration for Inspection Affairs</w:t>
            </w:r>
          </w:p>
          <w:p w:rsidR="008A4F2E" w:rsidRPr="008A4F2E" w:rsidRDefault="008A4F2E" w:rsidP="00647E67">
            <w:pPr>
              <w:jc w:val="left"/>
              <w:rPr>
                <w:sz w:val="16"/>
              </w:rPr>
            </w:pPr>
            <w:r w:rsidRPr="008A4F2E">
              <w:rPr>
                <w:sz w:val="16"/>
              </w:rPr>
              <w:t>- Inspectorate of Brčko District of BiH</w:t>
            </w:r>
          </w:p>
        </w:tc>
        <w:tc>
          <w:tcPr>
            <w:tcW w:w="1530" w:type="dxa"/>
          </w:tcPr>
          <w:p w:rsidR="008A4F2E" w:rsidRPr="008A4F2E" w:rsidRDefault="008A4F2E" w:rsidP="00647E67">
            <w:pPr>
              <w:jc w:val="left"/>
              <w:rPr>
                <w:sz w:val="16"/>
              </w:rPr>
            </w:pPr>
            <w:r w:rsidRPr="008A4F2E">
              <w:rPr>
                <w:sz w:val="16"/>
              </w:rPr>
              <w:t>Strengthening administrative and operational capacities in area of Plant Breeders' Rights via knowledge base transfer and skills improvements</w:t>
            </w:r>
          </w:p>
        </w:tc>
      </w:tr>
      <w:tr w:rsidR="008A4F2E" w:rsidRPr="00A67586" w:rsidTr="00647E67">
        <w:tc>
          <w:tcPr>
            <w:tcW w:w="704" w:type="dxa"/>
          </w:tcPr>
          <w:p w:rsidR="008A4F2E" w:rsidRPr="008A4F2E" w:rsidRDefault="008A4F2E" w:rsidP="00647E67">
            <w:pPr>
              <w:jc w:val="left"/>
              <w:rPr>
                <w:sz w:val="16"/>
              </w:rPr>
            </w:pPr>
            <w:r w:rsidRPr="008A4F2E">
              <w:rPr>
                <w:sz w:val="16"/>
              </w:rPr>
              <w:t>2.</w:t>
            </w:r>
          </w:p>
          <w:p w:rsidR="008A4F2E" w:rsidRPr="008A4F2E" w:rsidRDefault="008A4F2E" w:rsidP="00647E67">
            <w:pPr>
              <w:jc w:val="left"/>
              <w:rPr>
                <w:sz w:val="16"/>
              </w:rPr>
            </w:pPr>
          </w:p>
        </w:tc>
        <w:tc>
          <w:tcPr>
            <w:tcW w:w="992" w:type="dxa"/>
          </w:tcPr>
          <w:p w:rsidR="008A4F2E" w:rsidRPr="008A4F2E" w:rsidRDefault="008A4F2E" w:rsidP="00647E67">
            <w:pPr>
              <w:jc w:val="left"/>
              <w:rPr>
                <w:sz w:val="16"/>
              </w:rPr>
            </w:pPr>
            <w:r w:rsidRPr="008A4F2E">
              <w:rPr>
                <w:sz w:val="16"/>
              </w:rPr>
              <w:t>26.-30 April 2021</w:t>
            </w:r>
          </w:p>
        </w:tc>
        <w:tc>
          <w:tcPr>
            <w:tcW w:w="1192" w:type="dxa"/>
          </w:tcPr>
          <w:p w:rsidR="008A4F2E" w:rsidRPr="008A4F2E" w:rsidRDefault="008A4F2E" w:rsidP="00647E67">
            <w:pPr>
              <w:jc w:val="left"/>
              <w:rPr>
                <w:sz w:val="16"/>
              </w:rPr>
            </w:pPr>
            <w:r w:rsidRPr="008A4F2E">
              <w:rPr>
                <w:sz w:val="16"/>
              </w:rPr>
              <w:t>Teleworking activities</w:t>
            </w:r>
          </w:p>
        </w:tc>
        <w:tc>
          <w:tcPr>
            <w:tcW w:w="1134" w:type="dxa"/>
          </w:tcPr>
          <w:p w:rsidR="008A4F2E" w:rsidRPr="008A4F2E" w:rsidRDefault="008A4F2E" w:rsidP="00647E67">
            <w:pPr>
              <w:jc w:val="left"/>
              <w:rPr>
                <w:sz w:val="16"/>
              </w:rPr>
            </w:pPr>
            <w:r w:rsidRPr="008A4F2E">
              <w:rPr>
                <w:sz w:val="16"/>
              </w:rPr>
              <w:t>Twinning BA 18 IPA AG 03 19</w:t>
            </w:r>
          </w:p>
        </w:tc>
        <w:tc>
          <w:tcPr>
            <w:tcW w:w="1672" w:type="dxa"/>
          </w:tcPr>
          <w:p w:rsidR="008A4F2E" w:rsidRPr="008A4F2E" w:rsidRDefault="008A4F2E" w:rsidP="00647E67">
            <w:pPr>
              <w:jc w:val="left"/>
              <w:rPr>
                <w:sz w:val="16"/>
              </w:rPr>
            </w:pPr>
          </w:p>
        </w:tc>
        <w:tc>
          <w:tcPr>
            <w:tcW w:w="2665" w:type="dxa"/>
          </w:tcPr>
          <w:p w:rsidR="008A4F2E" w:rsidRPr="008A4F2E" w:rsidRDefault="008A4F2E" w:rsidP="00647E67">
            <w:pPr>
              <w:jc w:val="left"/>
              <w:rPr>
                <w:sz w:val="16"/>
              </w:rPr>
            </w:pPr>
            <w:r w:rsidRPr="008A4F2E">
              <w:rPr>
                <w:sz w:val="16"/>
              </w:rPr>
              <w:t>Administration of BiH for Plant Health Protection (PHPA), Department for Plant Health</w:t>
            </w:r>
          </w:p>
          <w:p w:rsidR="008A4F2E" w:rsidRPr="008A4F2E" w:rsidRDefault="008A4F2E" w:rsidP="00647E67">
            <w:pPr>
              <w:jc w:val="left"/>
              <w:rPr>
                <w:sz w:val="16"/>
              </w:rPr>
            </w:pPr>
            <w:r w:rsidRPr="008A4F2E">
              <w:rPr>
                <w:sz w:val="16"/>
              </w:rPr>
              <w:t>- Ministry of agriculture, forestry and water management of Republika Srpska</w:t>
            </w:r>
          </w:p>
          <w:p w:rsidR="008A4F2E" w:rsidRPr="008A4F2E" w:rsidRDefault="008A4F2E" w:rsidP="00647E67">
            <w:pPr>
              <w:jc w:val="left"/>
              <w:rPr>
                <w:sz w:val="16"/>
              </w:rPr>
            </w:pPr>
            <w:r w:rsidRPr="008A4F2E">
              <w:rPr>
                <w:sz w:val="16"/>
              </w:rPr>
              <w:t>- Ministry of agriculture, water management and forestry of the Federation of BiH</w:t>
            </w:r>
          </w:p>
          <w:p w:rsidR="008A4F2E" w:rsidRPr="008A4F2E" w:rsidRDefault="008A4F2E" w:rsidP="00647E67">
            <w:pPr>
              <w:jc w:val="left"/>
              <w:rPr>
                <w:sz w:val="16"/>
              </w:rPr>
            </w:pPr>
            <w:r w:rsidRPr="008A4F2E">
              <w:rPr>
                <w:sz w:val="16"/>
              </w:rPr>
              <w:t>- Department of Agriculture, Forestry and Water Management of Brčko District BiH</w:t>
            </w:r>
          </w:p>
          <w:p w:rsidR="008A4F2E" w:rsidRPr="008A4F2E" w:rsidRDefault="008A4F2E" w:rsidP="00647E67">
            <w:pPr>
              <w:jc w:val="left"/>
              <w:rPr>
                <w:sz w:val="16"/>
              </w:rPr>
            </w:pPr>
            <w:r w:rsidRPr="008A4F2E">
              <w:rPr>
                <w:sz w:val="16"/>
              </w:rPr>
              <w:t>- Republic Administration for Inspection Affairs of Republika Srpska</w:t>
            </w:r>
          </w:p>
          <w:p w:rsidR="008A4F2E" w:rsidRPr="008A4F2E" w:rsidRDefault="008A4F2E" w:rsidP="00647E67">
            <w:pPr>
              <w:jc w:val="left"/>
              <w:rPr>
                <w:sz w:val="16"/>
              </w:rPr>
            </w:pPr>
            <w:r w:rsidRPr="008A4F2E">
              <w:rPr>
                <w:sz w:val="16"/>
              </w:rPr>
              <w:t>- Federal Administration for Inspection Affairs</w:t>
            </w:r>
          </w:p>
          <w:p w:rsidR="008A4F2E" w:rsidRPr="008A4F2E" w:rsidRDefault="008A4F2E" w:rsidP="00647E67">
            <w:pPr>
              <w:jc w:val="left"/>
              <w:rPr>
                <w:sz w:val="16"/>
              </w:rPr>
            </w:pPr>
            <w:r w:rsidRPr="008A4F2E">
              <w:rPr>
                <w:sz w:val="16"/>
              </w:rPr>
              <w:t>- Inspectorate of Brčko District of BiH</w:t>
            </w:r>
          </w:p>
        </w:tc>
        <w:tc>
          <w:tcPr>
            <w:tcW w:w="1530" w:type="dxa"/>
          </w:tcPr>
          <w:p w:rsidR="008A4F2E" w:rsidRPr="008A4F2E" w:rsidRDefault="008A4F2E" w:rsidP="00647E67">
            <w:pPr>
              <w:jc w:val="left"/>
              <w:rPr>
                <w:sz w:val="16"/>
              </w:rPr>
            </w:pPr>
            <w:r w:rsidRPr="008A4F2E">
              <w:rPr>
                <w:sz w:val="16"/>
              </w:rPr>
              <w:t>Harmonizing primary legislation in place (law) with Law according the Union acquis and UPOV Convention in area of plant breeders' rights</w:t>
            </w:r>
          </w:p>
        </w:tc>
      </w:tr>
      <w:tr w:rsidR="008A4F2E" w:rsidRPr="00A67586" w:rsidTr="00647E67">
        <w:tc>
          <w:tcPr>
            <w:tcW w:w="704" w:type="dxa"/>
          </w:tcPr>
          <w:p w:rsidR="008A4F2E" w:rsidRPr="008A4F2E" w:rsidRDefault="008A4F2E" w:rsidP="00647E67">
            <w:pPr>
              <w:jc w:val="left"/>
              <w:rPr>
                <w:sz w:val="16"/>
              </w:rPr>
            </w:pPr>
            <w:r w:rsidRPr="008A4F2E">
              <w:rPr>
                <w:sz w:val="16"/>
              </w:rPr>
              <w:t>3.</w:t>
            </w:r>
          </w:p>
        </w:tc>
        <w:tc>
          <w:tcPr>
            <w:tcW w:w="992" w:type="dxa"/>
          </w:tcPr>
          <w:p w:rsidR="008A4F2E" w:rsidRPr="008A4F2E" w:rsidRDefault="008A4F2E" w:rsidP="00647E67">
            <w:pPr>
              <w:jc w:val="left"/>
              <w:rPr>
                <w:sz w:val="16"/>
              </w:rPr>
            </w:pPr>
            <w:r w:rsidRPr="008A4F2E">
              <w:rPr>
                <w:sz w:val="16"/>
              </w:rPr>
              <w:t>28 June – 2 July 2021</w:t>
            </w:r>
          </w:p>
        </w:tc>
        <w:tc>
          <w:tcPr>
            <w:tcW w:w="1192" w:type="dxa"/>
          </w:tcPr>
          <w:p w:rsidR="008A4F2E" w:rsidRPr="008A4F2E" w:rsidRDefault="008A4F2E" w:rsidP="00647E67">
            <w:pPr>
              <w:jc w:val="left"/>
              <w:rPr>
                <w:sz w:val="16"/>
              </w:rPr>
            </w:pPr>
            <w:r w:rsidRPr="008A4F2E">
              <w:rPr>
                <w:sz w:val="16"/>
              </w:rPr>
              <w:t>Teleworking activities</w:t>
            </w:r>
          </w:p>
        </w:tc>
        <w:tc>
          <w:tcPr>
            <w:tcW w:w="1134" w:type="dxa"/>
          </w:tcPr>
          <w:p w:rsidR="008A4F2E" w:rsidRPr="008A4F2E" w:rsidRDefault="008A4F2E" w:rsidP="00647E67">
            <w:pPr>
              <w:jc w:val="left"/>
              <w:rPr>
                <w:sz w:val="16"/>
              </w:rPr>
            </w:pPr>
            <w:r w:rsidRPr="008A4F2E">
              <w:rPr>
                <w:sz w:val="16"/>
              </w:rPr>
              <w:t>Twinning BA 18 IPA AG 03 19</w:t>
            </w:r>
          </w:p>
        </w:tc>
        <w:tc>
          <w:tcPr>
            <w:tcW w:w="1672" w:type="dxa"/>
          </w:tcPr>
          <w:p w:rsidR="008A4F2E" w:rsidRPr="008A4F2E" w:rsidRDefault="008A4F2E" w:rsidP="00647E67">
            <w:pPr>
              <w:jc w:val="left"/>
              <w:rPr>
                <w:sz w:val="16"/>
              </w:rPr>
            </w:pPr>
          </w:p>
        </w:tc>
        <w:tc>
          <w:tcPr>
            <w:tcW w:w="2665" w:type="dxa"/>
          </w:tcPr>
          <w:p w:rsidR="008A4F2E" w:rsidRPr="008A4F2E" w:rsidRDefault="008A4F2E" w:rsidP="00647E67">
            <w:pPr>
              <w:jc w:val="left"/>
              <w:rPr>
                <w:sz w:val="16"/>
              </w:rPr>
            </w:pPr>
            <w:r w:rsidRPr="008A4F2E">
              <w:rPr>
                <w:sz w:val="16"/>
              </w:rPr>
              <w:t>Administration of BiH for Plant Health Protection (PHPA), Department for Plant Health</w:t>
            </w:r>
          </w:p>
          <w:p w:rsidR="008A4F2E" w:rsidRPr="008A4F2E" w:rsidRDefault="008A4F2E" w:rsidP="00647E67">
            <w:pPr>
              <w:jc w:val="left"/>
              <w:rPr>
                <w:sz w:val="16"/>
              </w:rPr>
            </w:pPr>
            <w:r w:rsidRPr="008A4F2E">
              <w:rPr>
                <w:sz w:val="16"/>
              </w:rPr>
              <w:t>- Ministry of agriculture, forestry and water management of Republika Srpska</w:t>
            </w:r>
          </w:p>
          <w:p w:rsidR="008A4F2E" w:rsidRPr="008A4F2E" w:rsidRDefault="008A4F2E" w:rsidP="00647E67">
            <w:pPr>
              <w:jc w:val="left"/>
              <w:rPr>
                <w:sz w:val="16"/>
              </w:rPr>
            </w:pPr>
            <w:r w:rsidRPr="008A4F2E">
              <w:rPr>
                <w:sz w:val="16"/>
              </w:rPr>
              <w:t>- Ministry of agriculture, water management and forestry of the Federation of BiH</w:t>
            </w:r>
          </w:p>
          <w:p w:rsidR="008A4F2E" w:rsidRPr="008A4F2E" w:rsidRDefault="008A4F2E" w:rsidP="00647E67">
            <w:pPr>
              <w:jc w:val="left"/>
              <w:rPr>
                <w:sz w:val="16"/>
              </w:rPr>
            </w:pPr>
            <w:r w:rsidRPr="008A4F2E">
              <w:rPr>
                <w:sz w:val="16"/>
              </w:rPr>
              <w:t>- Department of Agriculture, Forestry and Water Management of Brčko District BiH</w:t>
            </w:r>
          </w:p>
          <w:p w:rsidR="008A4F2E" w:rsidRPr="008A4F2E" w:rsidRDefault="008A4F2E" w:rsidP="00647E67">
            <w:pPr>
              <w:jc w:val="left"/>
              <w:rPr>
                <w:sz w:val="16"/>
              </w:rPr>
            </w:pPr>
            <w:r w:rsidRPr="008A4F2E">
              <w:rPr>
                <w:sz w:val="16"/>
              </w:rPr>
              <w:t>- Republic Administration for Inspection Affairs of Republika Srpska</w:t>
            </w:r>
          </w:p>
          <w:p w:rsidR="008A4F2E" w:rsidRPr="008A4F2E" w:rsidRDefault="008A4F2E" w:rsidP="00647E67">
            <w:pPr>
              <w:jc w:val="left"/>
              <w:rPr>
                <w:sz w:val="16"/>
              </w:rPr>
            </w:pPr>
            <w:r w:rsidRPr="008A4F2E">
              <w:rPr>
                <w:sz w:val="16"/>
              </w:rPr>
              <w:t>- Federal Administration for Inspection Affairs</w:t>
            </w:r>
          </w:p>
          <w:p w:rsidR="008A4F2E" w:rsidRPr="008A4F2E" w:rsidRDefault="008A4F2E" w:rsidP="00647E67">
            <w:pPr>
              <w:jc w:val="left"/>
              <w:rPr>
                <w:sz w:val="16"/>
              </w:rPr>
            </w:pPr>
            <w:r w:rsidRPr="008A4F2E">
              <w:rPr>
                <w:sz w:val="16"/>
              </w:rPr>
              <w:t>- Inspectorate of Brčko District of BiH</w:t>
            </w:r>
          </w:p>
        </w:tc>
        <w:tc>
          <w:tcPr>
            <w:tcW w:w="1530" w:type="dxa"/>
          </w:tcPr>
          <w:p w:rsidR="008A4F2E" w:rsidRPr="008A4F2E" w:rsidRDefault="008A4F2E" w:rsidP="00647E67">
            <w:pPr>
              <w:jc w:val="left"/>
              <w:rPr>
                <w:sz w:val="16"/>
              </w:rPr>
            </w:pPr>
            <w:r w:rsidRPr="008A4F2E">
              <w:rPr>
                <w:sz w:val="16"/>
              </w:rPr>
              <w:t>Harmonizing primary legislation in place (law) with Law according the Union acquis and UPOV Convention in area of plant breeders' rights</w:t>
            </w:r>
          </w:p>
        </w:tc>
      </w:tr>
    </w:tbl>
    <w:p w:rsidR="008A4F2E" w:rsidRPr="00A67586" w:rsidRDefault="008A4F2E" w:rsidP="008A4F2E"/>
    <w:p w:rsidR="008A4F2E" w:rsidRPr="004337B3" w:rsidRDefault="008A4F2E" w:rsidP="008A4F2E">
      <w:pPr>
        <w:keepNext/>
      </w:pPr>
      <w:r w:rsidRPr="004337B3">
        <w:lastRenderedPageBreak/>
        <w:t>II.</w:t>
      </w:r>
      <w:r w:rsidRPr="004337B3">
        <w:tab/>
        <w:t>OTHER DEVELOPMENTS OF RELEVANCE TO UPOV</w:t>
      </w:r>
    </w:p>
    <w:p w:rsidR="008A4F2E" w:rsidRPr="004337B3" w:rsidRDefault="008A4F2E" w:rsidP="008A4F2E">
      <w:pPr>
        <w:keepNext/>
      </w:pPr>
    </w:p>
    <w:p w:rsidR="008A4F2E" w:rsidRPr="004337B3" w:rsidRDefault="008A4F2E" w:rsidP="008A4F2E">
      <w:pPr>
        <w:spacing w:after="120"/>
        <w:rPr>
          <w:rFonts w:cs="Arial"/>
        </w:rPr>
      </w:pPr>
      <w:r w:rsidRPr="004337B3">
        <w:rPr>
          <w:rFonts w:cs="Arial"/>
        </w:rPr>
        <w:t>The expert carried out and discussed gap analysis with Bosnian colleagues and review and discussed the draft rulebook on Small Farmers.</w:t>
      </w:r>
    </w:p>
    <w:p w:rsidR="008A4F2E" w:rsidRPr="004337B3" w:rsidRDefault="008A4F2E" w:rsidP="008A4F2E">
      <w:pPr>
        <w:spacing w:after="120"/>
        <w:rPr>
          <w:rFonts w:cs="Arial"/>
        </w:rPr>
      </w:pPr>
      <w:r w:rsidRPr="004337B3">
        <w:rPr>
          <w:rFonts w:cs="Arial"/>
        </w:rPr>
        <w:t>As far as the gap analysis is concerned Special attention was given to:</w:t>
      </w:r>
    </w:p>
    <w:p w:rsidR="008A4F2E" w:rsidRPr="004337B3" w:rsidRDefault="008A4F2E" w:rsidP="008A4F2E">
      <w:pPr>
        <w:rPr>
          <w:rFonts w:cs="Arial"/>
        </w:rPr>
      </w:pPr>
      <w:r w:rsidRPr="004337B3">
        <w:rPr>
          <w:rFonts w:ascii="Segoe UI Symbol" w:hAnsi="Segoe UI Symbol" w:cs="Segoe UI Symbol"/>
        </w:rPr>
        <w:t>➢</w:t>
      </w:r>
      <w:r w:rsidRPr="004337B3">
        <w:rPr>
          <w:rFonts w:cs="Arial"/>
        </w:rPr>
        <w:t xml:space="preserve"> The implementing measures on fees for granting and maintaining PBR to be drafted</w:t>
      </w:r>
    </w:p>
    <w:p w:rsidR="008A4F2E" w:rsidRPr="004337B3" w:rsidRDefault="008A4F2E" w:rsidP="008A4F2E">
      <w:pPr>
        <w:rPr>
          <w:rFonts w:cs="Arial"/>
        </w:rPr>
      </w:pPr>
      <w:r w:rsidRPr="004337B3">
        <w:rPr>
          <w:rFonts w:ascii="Segoe UI Symbol" w:hAnsi="Segoe UI Symbol" w:cs="Segoe UI Symbol"/>
        </w:rPr>
        <w:t>➢</w:t>
      </w:r>
      <w:r w:rsidRPr="004337B3">
        <w:rPr>
          <w:rFonts w:cs="Arial"/>
        </w:rPr>
        <w:t xml:space="preserve"> Commission for the protection of new varieties of plants to be established</w:t>
      </w:r>
    </w:p>
    <w:p w:rsidR="008A4F2E" w:rsidRPr="004337B3" w:rsidRDefault="008A4F2E" w:rsidP="008A4F2E">
      <w:pPr>
        <w:rPr>
          <w:rFonts w:cs="Arial"/>
        </w:rPr>
      </w:pPr>
      <w:r w:rsidRPr="004337B3">
        <w:rPr>
          <w:rFonts w:ascii="Segoe UI Symbol" w:hAnsi="Segoe UI Symbol" w:cs="Segoe UI Symbol"/>
        </w:rPr>
        <w:t>➢</w:t>
      </w:r>
      <w:r w:rsidRPr="004337B3">
        <w:rPr>
          <w:rFonts w:cs="Arial"/>
        </w:rPr>
        <w:t xml:space="preserve"> Committee for appeal to be set up</w:t>
      </w:r>
    </w:p>
    <w:p w:rsidR="008A4F2E" w:rsidRPr="004337B3" w:rsidRDefault="008A4F2E" w:rsidP="008A4F2E">
      <w:pPr>
        <w:rPr>
          <w:rFonts w:cs="Arial"/>
        </w:rPr>
      </w:pPr>
      <w:r w:rsidRPr="004337B3">
        <w:rPr>
          <w:rFonts w:ascii="Segoe UI Symbol" w:hAnsi="Segoe UI Symbol" w:cs="Segoe UI Symbol"/>
        </w:rPr>
        <w:t>➢</w:t>
      </w:r>
      <w:r w:rsidRPr="004337B3">
        <w:rPr>
          <w:rFonts w:cs="Arial"/>
        </w:rPr>
        <w:t xml:space="preserve"> Draft rulebook on the register of PBR</w:t>
      </w:r>
    </w:p>
    <w:p w:rsidR="008A4F2E" w:rsidRPr="004337B3" w:rsidRDefault="008A4F2E" w:rsidP="008A4F2E">
      <w:pPr>
        <w:rPr>
          <w:rFonts w:cs="Arial"/>
        </w:rPr>
      </w:pPr>
      <w:r w:rsidRPr="004337B3">
        <w:rPr>
          <w:rFonts w:ascii="Segoe UI Symbol" w:hAnsi="Segoe UI Symbol" w:cs="Segoe UI Symbol"/>
        </w:rPr>
        <w:t>➢</w:t>
      </w:r>
      <w:r w:rsidRPr="004337B3">
        <w:rPr>
          <w:rFonts w:cs="Arial"/>
        </w:rPr>
        <w:t xml:space="preserve"> Draft rulebook on the definition of small farmer</w:t>
      </w:r>
    </w:p>
    <w:p w:rsidR="008A4F2E" w:rsidRPr="004337B3" w:rsidRDefault="008A4F2E" w:rsidP="008A4F2E">
      <w:pPr>
        <w:rPr>
          <w:rFonts w:cs="Arial"/>
        </w:rPr>
      </w:pPr>
    </w:p>
    <w:p w:rsidR="008A4F2E" w:rsidRPr="004337B3" w:rsidRDefault="008A4F2E" w:rsidP="008A4F2E">
      <w:pPr>
        <w:spacing w:after="120"/>
        <w:rPr>
          <w:rFonts w:cs="Arial"/>
        </w:rPr>
      </w:pPr>
      <w:r w:rsidRPr="004337B3">
        <w:rPr>
          <w:rFonts w:cs="Arial"/>
        </w:rPr>
        <w:t>As to the rulebook on small farmer, the most substantial comment was related to the criteria on the ground of which the limit of 3 hectares was identified. This is the limit to size of the holdings below which the farmers would be exempted from the payment of royalties on protected varieties, according to the optional exemption within the UPOV Convention.</w:t>
      </w:r>
    </w:p>
    <w:p w:rsidR="008A4F2E" w:rsidRPr="004337B3" w:rsidRDefault="008A4F2E" w:rsidP="008A4F2E">
      <w:pPr>
        <w:spacing w:after="120"/>
        <w:rPr>
          <w:rFonts w:cs="Arial"/>
        </w:rPr>
      </w:pPr>
      <w:r w:rsidRPr="004337B3">
        <w:rPr>
          <w:rFonts w:cs="Arial"/>
        </w:rPr>
        <w:t>This limit should be established taking to account the general features of agriculture in BiH, the average size of the holdings, the main crops, with the aim to find a fair balance between legitimate interests of the breeder and cost benefit analysis to collect royalties on the defined small farmers.</w:t>
      </w:r>
    </w:p>
    <w:p w:rsidR="008A4F2E" w:rsidRPr="004337B3" w:rsidRDefault="008A4F2E" w:rsidP="008A4F2E">
      <w:pPr>
        <w:spacing w:after="120"/>
        <w:rPr>
          <w:rFonts w:cs="Arial"/>
        </w:rPr>
      </w:pPr>
      <w:r w:rsidRPr="004337B3">
        <w:rPr>
          <w:rFonts w:cs="Arial"/>
        </w:rPr>
        <w:t>Examples were given by the presentations on the situation in Poland, Czech Republic, the Netherland, Italy and in general within the EU context.</w:t>
      </w:r>
    </w:p>
    <w:p w:rsidR="008A4F2E" w:rsidRPr="004337B3" w:rsidRDefault="008A4F2E" w:rsidP="008A4F2E">
      <w:pPr>
        <w:spacing w:after="120"/>
        <w:rPr>
          <w:rFonts w:cs="Arial"/>
        </w:rPr>
      </w:pPr>
      <w:r w:rsidRPr="004337B3">
        <w:rPr>
          <w:rFonts w:cs="Arial"/>
        </w:rPr>
        <w:t>According to the EC Regulation 1768/95 (implementing article 14 of the basic regulation 2100/94 on PBR) the farmer producing less than 92 tons of cereals and/or 185 tons of potatoes is considered "small farmer" and, as such, is not required to pay any royalties to the breeder.</w:t>
      </w:r>
    </w:p>
    <w:p w:rsidR="008A4F2E" w:rsidRPr="004337B3" w:rsidRDefault="008A4F2E" w:rsidP="008A4F2E">
      <w:pPr>
        <w:spacing w:after="120"/>
        <w:rPr>
          <w:rFonts w:cs="Arial"/>
        </w:rPr>
      </w:pPr>
      <w:r w:rsidRPr="004337B3">
        <w:rPr>
          <w:rFonts w:cs="Arial"/>
        </w:rPr>
        <w:t>It was also noted the need of some minor editorial and linguistic revision of the English version of the draft rulebook.</w:t>
      </w:r>
    </w:p>
    <w:p w:rsidR="008A4F2E" w:rsidRPr="004337B3" w:rsidRDefault="008A4F2E" w:rsidP="008A4F2E">
      <w:pPr>
        <w:spacing w:after="120"/>
        <w:rPr>
          <w:rFonts w:cs="Arial"/>
        </w:rPr>
      </w:pPr>
      <w:r w:rsidRPr="004337B3">
        <w:rPr>
          <w:rFonts w:cs="Arial"/>
        </w:rPr>
        <w:t>The mission has been greatly facilitated by the collaboration of the colleagues of PHPA. Taking to account the conditions of working by videoconference, no difficulties have been encountered.</w:t>
      </w:r>
    </w:p>
    <w:p w:rsidR="008A4F2E" w:rsidRPr="004337B3" w:rsidRDefault="008A4F2E" w:rsidP="008A4F2E">
      <w:pPr>
        <w:spacing w:after="120"/>
        <w:rPr>
          <w:rFonts w:cs="Arial"/>
        </w:rPr>
      </w:pPr>
      <w:r w:rsidRPr="004337B3">
        <w:rPr>
          <w:rFonts w:cs="Arial"/>
        </w:rPr>
        <w:t>It is recommended to:</w:t>
      </w:r>
    </w:p>
    <w:p w:rsidR="008A4F2E" w:rsidRPr="004337B3" w:rsidRDefault="008A4F2E" w:rsidP="008A4F2E">
      <w:pPr>
        <w:rPr>
          <w:rFonts w:cs="Arial"/>
        </w:rPr>
      </w:pPr>
      <w:r w:rsidRPr="004337B3">
        <w:rPr>
          <w:rFonts w:ascii="Segoe UI Symbol" w:hAnsi="Segoe UI Symbol" w:cs="Segoe UI Symbol"/>
        </w:rPr>
        <w:t>➢</w:t>
      </w:r>
      <w:r w:rsidRPr="004337B3">
        <w:rPr>
          <w:rFonts w:cs="Arial"/>
        </w:rPr>
        <w:t xml:space="preserve"> Start the process for the adoption of the amendment of article 19 of the Law.</w:t>
      </w:r>
    </w:p>
    <w:p w:rsidR="008A4F2E" w:rsidRPr="004337B3" w:rsidRDefault="008A4F2E" w:rsidP="008A4F2E">
      <w:pPr>
        <w:rPr>
          <w:rFonts w:cs="Arial"/>
        </w:rPr>
      </w:pPr>
      <w:r w:rsidRPr="004337B3">
        <w:rPr>
          <w:rFonts w:ascii="Segoe UI Symbol" w:hAnsi="Segoe UI Symbol" w:cs="Segoe UI Symbol"/>
        </w:rPr>
        <w:t>➢</w:t>
      </w:r>
      <w:r w:rsidRPr="004337B3">
        <w:rPr>
          <w:rFonts w:cs="Arial"/>
        </w:rPr>
        <w:t xml:space="preserve"> Start the process for the adoption of the Decision on establishing a joint commission for granting the breeders’ rights and protection, including the identification of the representative of the relevant Institutions.</w:t>
      </w:r>
    </w:p>
    <w:p w:rsidR="008A4F2E" w:rsidRPr="004337B3" w:rsidRDefault="008A4F2E" w:rsidP="008A4F2E">
      <w:pPr>
        <w:rPr>
          <w:rFonts w:cs="Arial"/>
        </w:rPr>
      </w:pPr>
      <w:r w:rsidRPr="004337B3">
        <w:rPr>
          <w:rFonts w:ascii="Segoe UI Symbol" w:hAnsi="Segoe UI Symbol" w:cs="Segoe UI Symbol"/>
        </w:rPr>
        <w:t>➢</w:t>
      </w:r>
      <w:r w:rsidRPr="004337B3">
        <w:rPr>
          <w:rFonts w:cs="Arial"/>
        </w:rPr>
        <w:t xml:space="preserve"> Check consistency between articles and the annexes of the rulebook on registers and start the process for the approval, including the drafted Certificate.</w:t>
      </w:r>
    </w:p>
    <w:p w:rsidR="008A4F2E" w:rsidRPr="004337B3" w:rsidRDefault="008A4F2E" w:rsidP="008A4F2E">
      <w:pPr>
        <w:rPr>
          <w:rFonts w:cs="Arial"/>
        </w:rPr>
      </w:pPr>
      <w:r w:rsidRPr="004337B3">
        <w:rPr>
          <w:rFonts w:ascii="Segoe UI Symbol" w:hAnsi="Segoe UI Symbol" w:cs="Segoe UI Symbol"/>
        </w:rPr>
        <w:t>➢</w:t>
      </w:r>
      <w:r w:rsidRPr="004337B3">
        <w:rPr>
          <w:rFonts w:cs="Arial"/>
        </w:rPr>
        <w:t xml:space="preserve"> Start the process for the approval of the rulebook on small farmers.</w:t>
      </w:r>
    </w:p>
    <w:p w:rsidR="008A4F2E" w:rsidRPr="004337B3" w:rsidRDefault="008A4F2E" w:rsidP="008A4F2E">
      <w:pPr>
        <w:rPr>
          <w:rFonts w:cs="Arial"/>
        </w:rPr>
      </w:pPr>
      <w:r w:rsidRPr="004337B3">
        <w:rPr>
          <w:rFonts w:ascii="Segoe UI Symbol" w:hAnsi="Segoe UI Symbol" w:cs="Segoe UI Symbol"/>
        </w:rPr>
        <w:t>➢</w:t>
      </w:r>
      <w:r w:rsidRPr="004337B3">
        <w:rPr>
          <w:rFonts w:cs="Arial"/>
        </w:rPr>
        <w:t xml:space="preserve"> Reflecting on the amended needed to the rulebooks on the Commission and on fees for listing to be used also for PBR purposes.</w:t>
      </w:r>
    </w:p>
    <w:p w:rsidR="008A4F2E" w:rsidRPr="004337B3" w:rsidRDefault="008A4F2E" w:rsidP="008A4F2E">
      <w:pPr>
        <w:rPr>
          <w:rFonts w:cs="Arial"/>
        </w:rPr>
      </w:pPr>
    </w:p>
    <w:p w:rsidR="008A4F2E" w:rsidRPr="004337B3" w:rsidRDefault="008A4F2E" w:rsidP="008A4F2E">
      <w:pPr>
        <w:rPr>
          <w:rFonts w:cs="Arial"/>
        </w:rPr>
      </w:pPr>
      <w:r w:rsidRPr="004337B3">
        <w:rPr>
          <w:rFonts w:cs="Arial"/>
        </w:rPr>
        <w:t>RESULTS</w:t>
      </w:r>
    </w:p>
    <w:p w:rsidR="008A4F2E" w:rsidRPr="004337B3" w:rsidRDefault="008A4F2E" w:rsidP="008A4F2E">
      <w:pPr>
        <w:rPr>
          <w:rFonts w:cs="Arial"/>
        </w:rPr>
      </w:pPr>
    </w:p>
    <w:p w:rsidR="008A4F2E" w:rsidRPr="004337B3" w:rsidRDefault="008A4F2E" w:rsidP="008A4F2E">
      <w:pPr>
        <w:rPr>
          <w:rFonts w:cs="Arial"/>
        </w:rPr>
      </w:pPr>
      <w:r w:rsidRPr="004337B3">
        <w:rPr>
          <w:rFonts w:cs="Arial"/>
        </w:rPr>
        <w:t>a. Amendment text of article 19 of the Law</w:t>
      </w:r>
    </w:p>
    <w:p w:rsidR="008A4F2E" w:rsidRPr="004337B3" w:rsidRDefault="008A4F2E" w:rsidP="008A4F2E">
      <w:pPr>
        <w:rPr>
          <w:rFonts w:cs="Arial"/>
        </w:rPr>
      </w:pPr>
      <w:r w:rsidRPr="004337B3">
        <w:rPr>
          <w:rFonts w:cs="Arial"/>
        </w:rPr>
        <w:t>b. Final text of the Decision on the Joint Commission for granting the breeders’ rights and protection</w:t>
      </w:r>
    </w:p>
    <w:p w:rsidR="008A4F2E" w:rsidRPr="004337B3" w:rsidRDefault="008A4F2E" w:rsidP="008A4F2E">
      <w:pPr>
        <w:rPr>
          <w:rFonts w:cs="Arial"/>
        </w:rPr>
      </w:pPr>
      <w:r w:rsidRPr="004337B3">
        <w:rPr>
          <w:rFonts w:cs="Arial"/>
        </w:rPr>
        <w:t>c. Certificate on granting of the breeder's right</w:t>
      </w:r>
    </w:p>
    <w:p w:rsidR="008A4F2E" w:rsidRPr="004337B3" w:rsidRDefault="008A4F2E" w:rsidP="008A4F2E">
      <w:pPr>
        <w:rPr>
          <w:rFonts w:cs="Arial"/>
        </w:rPr>
      </w:pPr>
      <w:r w:rsidRPr="004337B3">
        <w:rPr>
          <w:rFonts w:cs="Arial"/>
        </w:rPr>
        <w:t>d. Final text of the rulebook on registers</w:t>
      </w:r>
    </w:p>
    <w:p w:rsidR="008A4F2E" w:rsidRPr="004337B3" w:rsidRDefault="008A4F2E" w:rsidP="008A4F2E">
      <w:pPr>
        <w:rPr>
          <w:rFonts w:cs="Arial"/>
        </w:rPr>
      </w:pPr>
      <w:r w:rsidRPr="004337B3">
        <w:rPr>
          <w:rFonts w:cs="Arial"/>
        </w:rPr>
        <w:t>e. Final text of the rulebook on Small Farmers</w:t>
      </w:r>
    </w:p>
    <w:p w:rsidR="008A4F2E" w:rsidRDefault="008A4F2E" w:rsidP="008A4F2E"/>
    <w:p w:rsidR="000362AD" w:rsidRPr="00AA2FEE" w:rsidRDefault="000362AD" w:rsidP="000362AD">
      <w:pPr>
        <w:jc w:val="left"/>
      </w:pPr>
    </w:p>
    <w:p w:rsidR="000362AD" w:rsidRPr="00AA2FEE" w:rsidRDefault="000362AD" w:rsidP="000362AD">
      <w:pPr>
        <w:jc w:val="left"/>
      </w:pPr>
    </w:p>
    <w:p w:rsidR="000362AD" w:rsidRPr="00AA2FEE" w:rsidRDefault="000362AD" w:rsidP="000362AD">
      <w:pPr>
        <w:jc w:val="right"/>
      </w:pPr>
      <w:r w:rsidRPr="00AA2FEE">
        <w:t>[Annex I</w:t>
      </w:r>
      <w:r w:rsidR="003B17C0" w:rsidRPr="00AA2FEE">
        <w:t>V</w:t>
      </w:r>
      <w:r w:rsidRPr="00AA2FEE">
        <w:t xml:space="preserve"> follows]</w:t>
      </w:r>
    </w:p>
    <w:p w:rsidR="000362AD" w:rsidRPr="00AA2FEE" w:rsidRDefault="000362AD" w:rsidP="000362AD"/>
    <w:p w:rsidR="000362AD" w:rsidRPr="00AA2FEE" w:rsidRDefault="000362AD" w:rsidP="000362AD">
      <w:pPr>
        <w:jc w:val="left"/>
        <w:sectPr w:rsidR="000362AD" w:rsidRPr="00AA2FEE" w:rsidSect="0049108C">
          <w:headerReference w:type="default" r:id="rId13"/>
          <w:pgSz w:w="11907" w:h="16840" w:code="9"/>
          <w:pgMar w:top="510" w:right="1134" w:bottom="1134" w:left="1134" w:header="510" w:footer="680" w:gutter="0"/>
          <w:pgNumType w:start="1"/>
          <w:cols w:space="720"/>
          <w:titlePg/>
        </w:sectPr>
      </w:pPr>
    </w:p>
    <w:p w:rsidR="00B05301" w:rsidRPr="00AA2FEE" w:rsidRDefault="00B05301" w:rsidP="00B05301">
      <w:pPr>
        <w:jc w:val="center"/>
      </w:pPr>
      <w:r w:rsidRPr="00AA2FEE">
        <w:lastRenderedPageBreak/>
        <w:t>C/56/INF/4</w:t>
      </w:r>
    </w:p>
    <w:p w:rsidR="00B05301" w:rsidRPr="00AA2FEE" w:rsidRDefault="00B05301" w:rsidP="00B05301">
      <w:pPr>
        <w:jc w:val="center"/>
      </w:pPr>
    </w:p>
    <w:p w:rsidR="00B05301" w:rsidRPr="00AA2FEE" w:rsidRDefault="00B05301" w:rsidP="00B05301">
      <w:pPr>
        <w:jc w:val="center"/>
      </w:pPr>
      <w:r w:rsidRPr="00AA2FEE">
        <w:t>ANNEX IV</w:t>
      </w:r>
    </w:p>
    <w:p w:rsidR="00B05301" w:rsidRPr="00AA2FEE" w:rsidRDefault="00B05301" w:rsidP="00B05301">
      <w:pPr>
        <w:jc w:val="center"/>
      </w:pPr>
    </w:p>
    <w:p w:rsidR="00B05301" w:rsidRPr="00AA2FEE" w:rsidRDefault="00B05301" w:rsidP="00B05301">
      <w:pPr>
        <w:jc w:val="center"/>
      </w:pPr>
    </w:p>
    <w:p w:rsidR="00B05301" w:rsidRPr="00AA2FEE" w:rsidRDefault="00B05301" w:rsidP="00B05301">
      <w:pPr>
        <w:jc w:val="center"/>
      </w:pPr>
      <w:r w:rsidRPr="00AA2FEE">
        <w:rPr>
          <w:szCs w:val="24"/>
        </w:rPr>
        <w:t>CHINA</w:t>
      </w:r>
    </w:p>
    <w:p w:rsidR="00B05301" w:rsidRPr="00AA2FEE" w:rsidRDefault="00B05301" w:rsidP="00B05301">
      <w:pPr>
        <w:jc w:val="left"/>
      </w:pPr>
    </w:p>
    <w:p w:rsidR="00B05301" w:rsidRPr="00AA2FEE" w:rsidRDefault="00B05301" w:rsidP="00B05301">
      <w:pPr>
        <w:jc w:val="left"/>
      </w:pPr>
    </w:p>
    <w:p w:rsidR="002D4898" w:rsidRPr="00A043FE" w:rsidRDefault="002D4898" w:rsidP="002D4898">
      <w:r w:rsidRPr="00A043FE">
        <w:t>I.</w:t>
      </w:r>
      <w:r w:rsidRPr="00A043FE">
        <w:tab/>
        <w:t>PLANT VARIETY PROTECTION</w:t>
      </w:r>
    </w:p>
    <w:p w:rsidR="002D4898" w:rsidRPr="00A043FE" w:rsidRDefault="002D4898" w:rsidP="002D4898"/>
    <w:p w:rsidR="002D4898" w:rsidRPr="00A043FE" w:rsidRDefault="002D4898" w:rsidP="002D4898">
      <w:r w:rsidRPr="00A043FE">
        <w:t xml:space="preserve">1. </w:t>
      </w:r>
      <w:r w:rsidRPr="00A043FE">
        <w:tab/>
      </w:r>
      <w:r w:rsidRPr="00A043FE">
        <w:rPr>
          <w:u w:val="single"/>
        </w:rPr>
        <w:t>Situation in the legislative field</w:t>
      </w:r>
    </w:p>
    <w:p w:rsidR="002D4898" w:rsidRPr="00A043FE" w:rsidRDefault="002D4898" w:rsidP="002D4898"/>
    <w:p w:rsidR="002D4898" w:rsidRPr="00A043FE" w:rsidRDefault="002D4898" w:rsidP="002D4898">
      <w:pPr>
        <w:rPr>
          <w:rFonts w:eastAsia="SimSun"/>
          <w:lang w:eastAsia="zh-CN"/>
        </w:rPr>
      </w:pPr>
      <w:r w:rsidRPr="00A043FE">
        <w:tab/>
        <w:t>1.1</w:t>
      </w:r>
      <w:r w:rsidRPr="00A043FE">
        <w:tab/>
        <w:t>Amendments of the law and the implementing regulations</w:t>
      </w:r>
    </w:p>
    <w:p w:rsidR="002D4898" w:rsidRPr="00A043FE" w:rsidRDefault="002D4898" w:rsidP="002D4898">
      <w:pPr>
        <w:ind w:left="567"/>
        <w:rPr>
          <w:rFonts w:eastAsia="SimSun"/>
          <w:lang w:eastAsia="zh-CN"/>
        </w:rPr>
      </w:pPr>
    </w:p>
    <w:p w:rsidR="002D4898" w:rsidRPr="00A043FE" w:rsidRDefault="002D4898" w:rsidP="002D4898">
      <w:pPr>
        <w:ind w:left="567"/>
        <w:rPr>
          <w:rFonts w:eastAsia="SimSun"/>
          <w:lang w:eastAsia="zh-CN"/>
        </w:rPr>
      </w:pPr>
      <w:r w:rsidRPr="00A043FE">
        <w:rPr>
          <w:rFonts w:eastAsia="SimSun"/>
          <w:lang w:eastAsia="zh-CN"/>
        </w:rPr>
        <w:t>The amendment of Seed Law of the People’s Republic of China has been implemented since March 1, 2022.</w:t>
      </w:r>
    </w:p>
    <w:p w:rsidR="002D4898" w:rsidRPr="00A043FE" w:rsidRDefault="002D4898" w:rsidP="002D4898"/>
    <w:p w:rsidR="002D4898" w:rsidRPr="00A043FE" w:rsidRDefault="002D4898" w:rsidP="002D4898"/>
    <w:p w:rsidR="002D4898" w:rsidRPr="00A043FE" w:rsidRDefault="002D4898" w:rsidP="002D4898">
      <w:pPr>
        <w:rPr>
          <w:rFonts w:eastAsia="SimSun"/>
          <w:lang w:eastAsia="zh-CN"/>
        </w:rPr>
      </w:pPr>
      <w:r w:rsidRPr="00A043FE">
        <w:t>2.</w:t>
      </w:r>
      <w:r w:rsidRPr="00A043FE">
        <w:tab/>
      </w:r>
      <w:r w:rsidRPr="00A043FE">
        <w:rPr>
          <w:u w:val="single"/>
        </w:rPr>
        <w:t>Cooperation in examination</w:t>
      </w:r>
    </w:p>
    <w:p w:rsidR="002D4898" w:rsidRPr="00A043FE" w:rsidRDefault="002D4898" w:rsidP="002D4898"/>
    <w:p w:rsidR="002D4898" w:rsidRPr="00A043FE" w:rsidRDefault="002D4898" w:rsidP="002D4898">
      <w:r w:rsidRPr="00A043FE">
        <w:tab/>
        <w:t>No changes</w:t>
      </w:r>
    </w:p>
    <w:p w:rsidR="002D4898" w:rsidRPr="00A043FE" w:rsidRDefault="002D4898" w:rsidP="002D4898">
      <w:pPr>
        <w:jc w:val="left"/>
        <w:rPr>
          <w:rFonts w:cs="Arial"/>
        </w:rPr>
      </w:pPr>
    </w:p>
    <w:p w:rsidR="002D4898" w:rsidRPr="00A043FE" w:rsidRDefault="002D4898" w:rsidP="002D4898">
      <w:pPr>
        <w:jc w:val="left"/>
        <w:rPr>
          <w:rFonts w:cs="Arial"/>
        </w:rPr>
      </w:pPr>
    </w:p>
    <w:p w:rsidR="002D4898" w:rsidRPr="00A043FE" w:rsidRDefault="002D4898" w:rsidP="002D4898">
      <w:pPr>
        <w:rPr>
          <w:u w:val="single"/>
        </w:rPr>
      </w:pPr>
      <w:r w:rsidRPr="00A043FE">
        <w:t>3.</w:t>
      </w:r>
      <w:r w:rsidRPr="00A043FE">
        <w:tab/>
      </w:r>
      <w:r w:rsidRPr="00A043FE">
        <w:rPr>
          <w:u w:val="single"/>
        </w:rPr>
        <w:t>Situation in the administrative field</w:t>
      </w:r>
    </w:p>
    <w:p w:rsidR="002D4898" w:rsidRPr="00A043FE" w:rsidRDefault="002D4898" w:rsidP="002D4898"/>
    <w:p w:rsidR="002D4898" w:rsidRPr="00A043FE" w:rsidRDefault="002D4898" w:rsidP="002D4898">
      <w:r w:rsidRPr="00A043FE">
        <w:tab/>
        <w:t>No changes</w:t>
      </w:r>
    </w:p>
    <w:p w:rsidR="002D4898" w:rsidRPr="00A043FE" w:rsidRDefault="002D4898" w:rsidP="002D4898">
      <w:pPr>
        <w:jc w:val="left"/>
        <w:rPr>
          <w:rFonts w:cs="Arial"/>
        </w:rPr>
      </w:pPr>
    </w:p>
    <w:p w:rsidR="002D4898" w:rsidRPr="00A043FE" w:rsidRDefault="002D4898" w:rsidP="002D4898">
      <w:pPr>
        <w:rPr>
          <w:rFonts w:cs="Arial"/>
        </w:rPr>
      </w:pPr>
    </w:p>
    <w:p w:rsidR="002D4898" w:rsidRPr="00A043FE" w:rsidRDefault="002D4898" w:rsidP="002D4898">
      <w:r w:rsidRPr="00A043FE">
        <w:t>4.</w:t>
      </w:r>
      <w:r w:rsidRPr="00A043FE">
        <w:tab/>
      </w:r>
      <w:r w:rsidRPr="00A043FE">
        <w:rPr>
          <w:u w:val="single"/>
        </w:rPr>
        <w:t>Situation in the technical field</w:t>
      </w:r>
    </w:p>
    <w:p w:rsidR="002D4898" w:rsidRPr="00A043FE" w:rsidRDefault="002D4898" w:rsidP="002D4898"/>
    <w:p w:rsidR="002D4898" w:rsidRPr="00A043FE" w:rsidRDefault="002D4898" w:rsidP="002D4898">
      <w:r w:rsidRPr="00A043FE">
        <w:tab/>
        <w:t>No changes</w:t>
      </w:r>
    </w:p>
    <w:p w:rsidR="002D4898" w:rsidRPr="00A043FE" w:rsidRDefault="002D4898" w:rsidP="002D4898">
      <w:pPr>
        <w:jc w:val="left"/>
        <w:rPr>
          <w:rFonts w:cs="Arial"/>
        </w:rPr>
      </w:pPr>
    </w:p>
    <w:p w:rsidR="002D4898" w:rsidRPr="00A043FE" w:rsidRDefault="002D4898" w:rsidP="002D4898"/>
    <w:p w:rsidR="002D4898" w:rsidRPr="00A043FE" w:rsidRDefault="002D4898" w:rsidP="002D4898">
      <w:pPr>
        <w:rPr>
          <w:rFonts w:eastAsia="SimSun"/>
          <w:u w:val="single"/>
          <w:lang w:eastAsia="zh-CN"/>
        </w:rPr>
      </w:pPr>
      <w:r w:rsidRPr="00A043FE">
        <w:t>5.</w:t>
      </w:r>
      <w:r w:rsidRPr="00A043FE">
        <w:tab/>
      </w:r>
      <w:r w:rsidRPr="00A043FE">
        <w:rPr>
          <w:u w:val="single"/>
        </w:rPr>
        <w:t>Activities for the promotion of plant variety protection</w:t>
      </w:r>
    </w:p>
    <w:p w:rsidR="002D4898" w:rsidRPr="00A043FE" w:rsidRDefault="002D4898" w:rsidP="002D4898">
      <w:pPr>
        <w:rPr>
          <w:rFonts w:cs="Arial"/>
        </w:rPr>
      </w:pPr>
    </w:p>
    <w:tbl>
      <w:tblPr>
        <w:tblStyle w:val="TableGrid"/>
        <w:tblW w:w="9776" w:type="dxa"/>
        <w:tblLayout w:type="fixed"/>
        <w:tblCellMar>
          <w:left w:w="57" w:type="dxa"/>
          <w:right w:w="57" w:type="dxa"/>
        </w:tblCellMar>
        <w:tblLook w:val="04A0" w:firstRow="1" w:lastRow="0" w:firstColumn="1" w:lastColumn="0" w:noHBand="0" w:noVBand="1"/>
      </w:tblPr>
      <w:tblGrid>
        <w:gridCol w:w="1129"/>
        <w:gridCol w:w="993"/>
        <w:gridCol w:w="850"/>
        <w:gridCol w:w="1134"/>
        <w:gridCol w:w="2410"/>
        <w:gridCol w:w="2126"/>
        <w:gridCol w:w="1134"/>
      </w:tblGrid>
      <w:tr w:rsidR="002D4898" w:rsidRPr="00A043FE" w:rsidTr="00647E67">
        <w:tc>
          <w:tcPr>
            <w:tcW w:w="1129" w:type="dxa"/>
          </w:tcPr>
          <w:p w:rsidR="002D4898" w:rsidRPr="00430A74" w:rsidRDefault="002D4898" w:rsidP="00647E67">
            <w:pPr>
              <w:keepNext/>
              <w:jc w:val="left"/>
              <w:rPr>
                <w:sz w:val="16"/>
              </w:rPr>
            </w:pPr>
            <w:r w:rsidRPr="00430A74">
              <w:rPr>
                <w:sz w:val="16"/>
              </w:rPr>
              <w:t>Title of activity</w:t>
            </w:r>
          </w:p>
        </w:tc>
        <w:tc>
          <w:tcPr>
            <w:tcW w:w="993" w:type="dxa"/>
          </w:tcPr>
          <w:p w:rsidR="002D4898" w:rsidRPr="00430A74" w:rsidRDefault="002D4898" w:rsidP="00647E67">
            <w:pPr>
              <w:keepNext/>
              <w:jc w:val="left"/>
              <w:rPr>
                <w:sz w:val="16"/>
              </w:rPr>
            </w:pPr>
            <w:r w:rsidRPr="00430A74">
              <w:rPr>
                <w:sz w:val="16"/>
              </w:rPr>
              <w:t>Date</w:t>
            </w:r>
          </w:p>
        </w:tc>
        <w:tc>
          <w:tcPr>
            <w:tcW w:w="850" w:type="dxa"/>
          </w:tcPr>
          <w:p w:rsidR="002D4898" w:rsidRPr="00430A74" w:rsidRDefault="002D4898" w:rsidP="00647E67">
            <w:pPr>
              <w:keepNext/>
              <w:jc w:val="left"/>
              <w:rPr>
                <w:sz w:val="16"/>
              </w:rPr>
            </w:pPr>
            <w:r w:rsidRPr="00430A74">
              <w:rPr>
                <w:sz w:val="16"/>
              </w:rPr>
              <w:t>Location</w:t>
            </w:r>
          </w:p>
        </w:tc>
        <w:tc>
          <w:tcPr>
            <w:tcW w:w="1134" w:type="dxa"/>
          </w:tcPr>
          <w:p w:rsidR="002D4898" w:rsidRPr="00430A74" w:rsidRDefault="002D4898" w:rsidP="00647E67">
            <w:pPr>
              <w:keepNext/>
              <w:jc w:val="left"/>
              <w:rPr>
                <w:sz w:val="16"/>
              </w:rPr>
            </w:pPr>
            <w:r w:rsidRPr="00430A74">
              <w:rPr>
                <w:sz w:val="16"/>
              </w:rPr>
              <w:t>Organizer(s)</w:t>
            </w:r>
          </w:p>
        </w:tc>
        <w:tc>
          <w:tcPr>
            <w:tcW w:w="2410" w:type="dxa"/>
          </w:tcPr>
          <w:p w:rsidR="002D4898" w:rsidRPr="00430A74" w:rsidRDefault="002D4898" w:rsidP="00647E67">
            <w:pPr>
              <w:keepNext/>
              <w:jc w:val="left"/>
              <w:rPr>
                <w:sz w:val="16"/>
              </w:rPr>
            </w:pPr>
            <w:r w:rsidRPr="00430A74">
              <w:rPr>
                <w:sz w:val="16"/>
              </w:rPr>
              <w:t>Purpose of activity</w:t>
            </w:r>
          </w:p>
        </w:tc>
        <w:tc>
          <w:tcPr>
            <w:tcW w:w="2126" w:type="dxa"/>
          </w:tcPr>
          <w:p w:rsidR="002D4898" w:rsidRPr="00430A74" w:rsidRDefault="002D4898" w:rsidP="00647E67">
            <w:pPr>
              <w:keepNext/>
              <w:jc w:val="left"/>
              <w:rPr>
                <w:sz w:val="16"/>
              </w:rPr>
            </w:pPr>
            <w:r w:rsidRPr="00430A74">
              <w:rPr>
                <w:sz w:val="16"/>
              </w:rPr>
              <w:t>Participating countries/ organizations (number of participants from each)</w:t>
            </w:r>
          </w:p>
        </w:tc>
        <w:tc>
          <w:tcPr>
            <w:tcW w:w="1134" w:type="dxa"/>
          </w:tcPr>
          <w:p w:rsidR="002D4898" w:rsidRPr="00430A74" w:rsidRDefault="002D4898" w:rsidP="00647E67">
            <w:pPr>
              <w:keepNext/>
              <w:jc w:val="left"/>
              <w:rPr>
                <w:sz w:val="16"/>
              </w:rPr>
            </w:pPr>
            <w:r w:rsidRPr="00430A74">
              <w:rPr>
                <w:sz w:val="16"/>
              </w:rPr>
              <w:t>Comments</w:t>
            </w:r>
          </w:p>
        </w:tc>
      </w:tr>
      <w:tr w:rsidR="002D4898" w:rsidRPr="00A043FE" w:rsidTr="00647E67">
        <w:tc>
          <w:tcPr>
            <w:tcW w:w="1129" w:type="dxa"/>
          </w:tcPr>
          <w:p w:rsidR="002D4898" w:rsidRPr="00430A74" w:rsidRDefault="002D4898" w:rsidP="00647E67">
            <w:pPr>
              <w:jc w:val="left"/>
              <w:rPr>
                <w:sz w:val="16"/>
                <w:szCs w:val="18"/>
                <w:lang w:eastAsia="zh-CN"/>
              </w:rPr>
            </w:pPr>
            <w:r w:rsidRPr="00430A74">
              <w:rPr>
                <w:sz w:val="16"/>
                <w:szCs w:val="18"/>
                <w:lang w:eastAsia="zh-CN"/>
              </w:rPr>
              <w:t>Semin</w:t>
            </w:r>
            <w:r w:rsidRPr="00430A74">
              <w:rPr>
                <w:rFonts w:eastAsia="SimSun"/>
                <w:sz w:val="16"/>
                <w:szCs w:val="18"/>
                <w:lang w:eastAsia="zh-CN"/>
              </w:rPr>
              <w:t>ar on Plant variety Protection between developing c</w:t>
            </w:r>
            <w:r w:rsidRPr="00430A74">
              <w:rPr>
                <w:sz w:val="16"/>
                <w:szCs w:val="18"/>
                <w:lang w:eastAsia="zh-CN"/>
              </w:rPr>
              <w:t>ountries</w:t>
            </w:r>
          </w:p>
        </w:tc>
        <w:tc>
          <w:tcPr>
            <w:tcW w:w="993" w:type="dxa"/>
          </w:tcPr>
          <w:p w:rsidR="002D4898" w:rsidRPr="00430A74" w:rsidRDefault="002D4898" w:rsidP="00647E67">
            <w:pPr>
              <w:keepNext/>
              <w:jc w:val="left"/>
              <w:rPr>
                <w:rFonts w:eastAsia="SimSun"/>
                <w:sz w:val="16"/>
                <w:szCs w:val="18"/>
                <w:lang w:eastAsia="zh-CN"/>
              </w:rPr>
            </w:pPr>
            <w:r w:rsidRPr="00430A74">
              <w:rPr>
                <w:rFonts w:eastAsia="SimSun"/>
                <w:sz w:val="16"/>
                <w:szCs w:val="18"/>
                <w:lang w:eastAsia="zh-CN"/>
              </w:rPr>
              <w:t>May 24 to June 1, 2022</w:t>
            </w:r>
          </w:p>
        </w:tc>
        <w:tc>
          <w:tcPr>
            <w:tcW w:w="850" w:type="dxa"/>
          </w:tcPr>
          <w:p w:rsidR="002D4898" w:rsidRPr="00430A74" w:rsidRDefault="002D4898" w:rsidP="00647E67">
            <w:pPr>
              <w:keepNext/>
              <w:jc w:val="left"/>
              <w:rPr>
                <w:rFonts w:eastAsia="SimSun"/>
                <w:sz w:val="16"/>
                <w:szCs w:val="18"/>
                <w:lang w:eastAsia="zh-CN"/>
              </w:rPr>
            </w:pPr>
            <w:r w:rsidRPr="00430A74">
              <w:rPr>
                <w:rFonts w:eastAsia="SimSun"/>
                <w:sz w:val="16"/>
                <w:szCs w:val="18"/>
                <w:lang w:eastAsia="zh-CN"/>
              </w:rPr>
              <w:t>Online</w:t>
            </w:r>
          </w:p>
        </w:tc>
        <w:tc>
          <w:tcPr>
            <w:tcW w:w="1134" w:type="dxa"/>
          </w:tcPr>
          <w:p w:rsidR="002D4898" w:rsidRPr="00430A74" w:rsidRDefault="002D4898" w:rsidP="00647E67">
            <w:pPr>
              <w:keepNext/>
              <w:jc w:val="left"/>
              <w:rPr>
                <w:rFonts w:eastAsia="SimSun"/>
                <w:sz w:val="16"/>
                <w:szCs w:val="18"/>
                <w:lang w:eastAsia="zh-CN"/>
              </w:rPr>
            </w:pPr>
            <w:r w:rsidRPr="00430A74">
              <w:rPr>
                <w:rFonts w:eastAsia="SimSun"/>
                <w:sz w:val="16"/>
                <w:szCs w:val="18"/>
                <w:lang w:eastAsia="zh-CN"/>
              </w:rPr>
              <w:t>China</w:t>
            </w:r>
          </w:p>
        </w:tc>
        <w:tc>
          <w:tcPr>
            <w:tcW w:w="2410" w:type="dxa"/>
          </w:tcPr>
          <w:p w:rsidR="002D4898" w:rsidRPr="00430A74" w:rsidRDefault="002D4898" w:rsidP="00647E67">
            <w:pPr>
              <w:keepNext/>
              <w:jc w:val="left"/>
              <w:rPr>
                <w:rFonts w:eastAsia="SimSun"/>
                <w:sz w:val="16"/>
                <w:szCs w:val="18"/>
                <w:lang w:eastAsia="zh-CN"/>
              </w:rPr>
            </w:pPr>
            <w:r w:rsidRPr="00430A74">
              <w:rPr>
                <w:rFonts w:eastAsia="SimSun"/>
                <w:sz w:val="16"/>
                <w:szCs w:val="18"/>
                <w:lang w:eastAsia="zh-CN"/>
              </w:rPr>
              <w:t>To introduce Chinese Plant variety Protection system in accordance with UPOV Convention to developing countries</w:t>
            </w:r>
          </w:p>
        </w:tc>
        <w:tc>
          <w:tcPr>
            <w:tcW w:w="2126" w:type="dxa"/>
          </w:tcPr>
          <w:p w:rsidR="002D4898" w:rsidRPr="00430A74" w:rsidRDefault="002D4898" w:rsidP="00647E67">
            <w:pPr>
              <w:keepNext/>
              <w:jc w:val="left"/>
              <w:rPr>
                <w:sz w:val="16"/>
                <w:szCs w:val="18"/>
              </w:rPr>
            </w:pPr>
            <w:r w:rsidRPr="00430A74">
              <w:rPr>
                <w:rFonts w:eastAsia="SimSun"/>
                <w:sz w:val="16"/>
                <w:szCs w:val="18"/>
                <w:lang w:eastAsia="zh-CN"/>
              </w:rPr>
              <w:t>Five countries, including 26 participants</w:t>
            </w:r>
          </w:p>
        </w:tc>
        <w:tc>
          <w:tcPr>
            <w:tcW w:w="1134" w:type="dxa"/>
          </w:tcPr>
          <w:p w:rsidR="002D4898" w:rsidRPr="00430A74" w:rsidRDefault="002D4898" w:rsidP="00647E67">
            <w:pPr>
              <w:keepNext/>
              <w:jc w:val="left"/>
              <w:rPr>
                <w:sz w:val="16"/>
                <w:szCs w:val="18"/>
              </w:rPr>
            </w:pPr>
          </w:p>
        </w:tc>
      </w:tr>
    </w:tbl>
    <w:p w:rsidR="002D4898" w:rsidRPr="00A043FE" w:rsidRDefault="002D4898" w:rsidP="002D4898">
      <w:pPr>
        <w:rPr>
          <w:rFonts w:cs="Arial"/>
        </w:rPr>
      </w:pPr>
    </w:p>
    <w:p w:rsidR="002D4898" w:rsidRPr="00A043FE" w:rsidRDefault="002D4898" w:rsidP="002D4898">
      <w:pPr>
        <w:rPr>
          <w:rFonts w:cs="Arial"/>
        </w:rPr>
      </w:pPr>
    </w:p>
    <w:p w:rsidR="002D4898" w:rsidRPr="00A043FE" w:rsidRDefault="002D4898" w:rsidP="002D4898">
      <w:pPr>
        <w:rPr>
          <w:rFonts w:eastAsia="SimSun"/>
          <w:lang w:eastAsia="zh-CN"/>
        </w:rPr>
      </w:pPr>
      <w:r w:rsidRPr="00A043FE">
        <w:t>II.</w:t>
      </w:r>
      <w:r w:rsidRPr="00A043FE">
        <w:tab/>
        <w:t>OTHER DEVELOPMENTS OF RELEVANCE TO UPOV</w:t>
      </w:r>
    </w:p>
    <w:p w:rsidR="002D4898" w:rsidRPr="00A043FE" w:rsidRDefault="002D4898" w:rsidP="002D4898"/>
    <w:p w:rsidR="002D4898" w:rsidRPr="00A043FE" w:rsidRDefault="002D4898" w:rsidP="002D4898">
      <w:r w:rsidRPr="00A043FE">
        <w:tab/>
        <w:t>No changes</w:t>
      </w:r>
    </w:p>
    <w:p w:rsidR="002D4898" w:rsidRPr="00A043FE" w:rsidRDefault="002D4898" w:rsidP="002D4898">
      <w:pPr>
        <w:rPr>
          <w:rFonts w:cs="Arial"/>
        </w:rPr>
      </w:pPr>
    </w:p>
    <w:p w:rsidR="00B05301" w:rsidRPr="00AA2FEE" w:rsidRDefault="00B05301" w:rsidP="00B05301"/>
    <w:p w:rsidR="00B05301" w:rsidRPr="00AA2FEE" w:rsidRDefault="00B05301" w:rsidP="00B05301">
      <w:pPr>
        <w:jc w:val="right"/>
      </w:pPr>
      <w:r w:rsidRPr="00AA2FEE">
        <w:t>[Annex V follows]</w:t>
      </w:r>
    </w:p>
    <w:p w:rsidR="00B05301" w:rsidRPr="00AA2FEE" w:rsidRDefault="00B05301" w:rsidP="00B05301"/>
    <w:p w:rsidR="00B05301" w:rsidRPr="00AA2FEE" w:rsidRDefault="00B05301" w:rsidP="000362AD">
      <w:pPr>
        <w:jc w:val="center"/>
        <w:sectPr w:rsidR="00B05301" w:rsidRPr="00AA2FEE" w:rsidSect="0049108C">
          <w:headerReference w:type="default" r:id="rId14"/>
          <w:pgSz w:w="11907" w:h="16840" w:code="9"/>
          <w:pgMar w:top="510" w:right="1134" w:bottom="1134" w:left="1134" w:header="510" w:footer="680" w:gutter="0"/>
          <w:pgNumType w:start="1"/>
          <w:cols w:space="720"/>
          <w:titlePg/>
        </w:sectPr>
      </w:pPr>
    </w:p>
    <w:p w:rsidR="000362AD" w:rsidRPr="00AA2FEE" w:rsidRDefault="005A5958" w:rsidP="000362AD">
      <w:pPr>
        <w:jc w:val="center"/>
      </w:pPr>
      <w:r w:rsidRPr="00AA2FEE">
        <w:lastRenderedPageBreak/>
        <w:t>C/56</w:t>
      </w:r>
      <w:r w:rsidR="000362AD" w:rsidRPr="00AA2FEE">
        <w:t>/INF/4</w:t>
      </w:r>
    </w:p>
    <w:p w:rsidR="000362AD" w:rsidRPr="00AA2FEE" w:rsidRDefault="000362AD" w:rsidP="000362AD">
      <w:pPr>
        <w:jc w:val="center"/>
      </w:pPr>
    </w:p>
    <w:p w:rsidR="000362AD" w:rsidRPr="00AA2FEE" w:rsidRDefault="000362AD" w:rsidP="000362AD">
      <w:pPr>
        <w:jc w:val="center"/>
      </w:pPr>
      <w:r w:rsidRPr="00AA2FEE">
        <w:t xml:space="preserve">ANNEX </w:t>
      </w:r>
      <w:r w:rsidR="00907EF8" w:rsidRPr="00AA2FEE">
        <w:t>V</w:t>
      </w:r>
    </w:p>
    <w:p w:rsidR="000362AD" w:rsidRPr="00AA2FEE" w:rsidRDefault="000362AD" w:rsidP="000362AD">
      <w:pPr>
        <w:jc w:val="center"/>
      </w:pPr>
    </w:p>
    <w:p w:rsidR="000362AD" w:rsidRPr="00AA2FEE" w:rsidRDefault="000362AD" w:rsidP="000362AD">
      <w:pPr>
        <w:jc w:val="center"/>
      </w:pPr>
    </w:p>
    <w:p w:rsidR="00D46C5A" w:rsidRPr="00AA2FEE" w:rsidRDefault="00D46C5A" w:rsidP="00D46C5A">
      <w:pPr>
        <w:jc w:val="center"/>
      </w:pPr>
      <w:r w:rsidRPr="00AA2FEE">
        <w:t>DENMARK</w:t>
      </w:r>
    </w:p>
    <w:p w:rsidR="00D46C5A" w:rsidRPr="00AA2FEE" w:rsidRDefault="00D46C5A" w:rsidP="00D46C5A">
      <w:pPr>
        <w:jc w:val="center"/>
      </w:pPr>
    </w:p>
    <w:p w:rsidR="00D46C5A" w:rsidRPr="00AA2FEE" w:rsidRDefault="00D46C5A" w:rsidP="00D46C5A">
      <w:pPr>
        <w:jc w:val="center"/>
      </w:pPr>
    </w:p>
    <w:p w:rsidR="00430A74" w:rsidRPr="00A043FE" w:rsidRDefault="00430A74" w:rsidP="00430A74">
      <w:r w:rsidRPr="00A043FE">
        <w:t>I.</w:t>
      </w:r>
      <w:r w:rsidRPr="00A043FE">
        <w:tab/>
        <w:t>PLANT VARIETY PROTECTION</w:t>
      </w:r>
    </w:p>
    <w:p w:rsidR="00430A74" w:rsidRPr="00A043FE" w:rsidRDefault="00430A74" w:rsidP="00430A74"/>
    <w:p w:rsidR="00430A74" w:rsidRPr="00A043FE" w:rsidRDefault="00430A74" w:rsidP="00430A74">
      <w:r w:rsidRPr="00A043FE">
        <w:t xml:space="preserve">1. </w:t>
      </w:r>
      <w:r w:rsidRPr="00A043FE">
        <w:tab/>
      </w:r>
      <w:r w:rsidRPr="00A043FE">
        <w:rPr>
          <w:u w:val="single"/>
        </w:rPr>
        <w:t>Situation in the legislative field</w:t>
      </w:r>
    </w:p>
    <w:p w:rsidR="00430A74" w:rsidRPr="00A043FE" w:rsidRDefault="00430A74" w:rsidP="00430A74"/>
    <w:p w:rsidR="00430A74" w:rsidRPr="00A043FE" w:rsidRDefault="00430A74" w:rsidP="00430A74">
      <w:pPr>
        <w:ind w:left="567"/>
        <w:rPr>
          <w:rFonts w:eastAsia="SimSun"/>
          <w:lang w:eastAsia="zh-CN"/>
        </w:rPr>
      </w:pPr>
      <w:r w:rsidRPr="00A043FE">
        <w:t>No changes</w:t>
      </w:r>
    </w:p>
    <w:p w:rsidR="00430A74" w:rsidRPr="00A043FE" w:rsidRDefault="00430A74" w:rsidP="00430A74"/>
    <w:p w:rsidR="00430A74" w:rsidRPr="00A043FE" w:rsidRDefault="00430A74" w:rsidP="00430A74"/>
    <w:p w:rsidR="00430A74" w:rsidRPr="00A043FE" w:rsidRDefault="00430A74" w:rsidP="00430A74">
      <w:pPr>
        <w:rPr>
          <w:rFonts w:eastAsia="SimSun"/>
          <w:lang w:eastAsia="zh-CN"/>
        </w:rPr>
      </w:pPr>
      <w:r w:rsidRPr="00A043FE">
        <w:t>2.</w:t>
      </w:r>
      <w:r w:rsidRPr="00A043FE">
        <w:tab/>
      </w:r>
      <w:r w:rsidRPr="00A043FE">
        <w:rPr>
          <w:u w:val="single"/>
        </w:rPr>
        <w:t>Cooperation in examination</w:t>
      </w:r>
    </w:p>
    <w:p w:rsidR="00430A74" w:rsidRPr="00A043FE" w:rsidRDefault="00430A74" w:rsidP="00430A74"/>
    <w:p w:rsidR="00430A74" w:rsidRPr="00A043FE" w:rsidRDefault="00430A74" w:rsidP="00430A74">
      <w:r w:rsidRPr="00A043FE">
        <w:tab/>
        <w:t>No changes</w:t>
      </w:r>
    </w:p>
    <w:p w:rsidR="00430A74" w:rsidRPr="00A043FE" w:rsidRDefault="00430A74" w:rsidP="00430A74">
      <w:pPr>
        <w:jc w:val="left"/>
        <w:rPr>
          <w:rFonts w:cs="Arial"/>
        </w:rPr>
      </w:pPr>
    </w:p>
    <w:p w:rsidR="00430A74" w:rsidRPr="00A043FE" w:rsidRDefault="00430A74" w:rsidP="00430A74">
      <w:pPr>
        <w:jc w:val="left"/>
        <w:rPr>
          <w:rFonts w:cs="Arial"/>
        </w:rPr>
      </w:pPr>
    </w:p>
    <w:p w:rsidR="00430A74" w:rsidRPr="00A043FE" w:rsidRDefault="00430A74" w:rsidP="00430A74">
      <w:pPr>
        <w:rPr>
          <w:u w:val="single"/>
        </w:rPr>
      </w:pPr>
      <w:r w:rsidRPr="00A043FE">
        <w:t>3.</w:t>
      </w:r>
      <w:r w:rsidRPr="00A043FE">
        <w:tab/>
      </w:r>
      <w:r w:rsidRPr="00A043FE">
        <w:rPr>
          <w:u w:val="single"/>
        </w:rPr>
        <w:t>Situation in the administrative field</w:t>
      </w:r>
    </w:p>
    <w:p w:rsidR="00430A74" w:rsidRPr="00A043FE" w:rsidRDefault="00430A74" w:rsidP="00430A74"/>
    <w:p w:rsidR="00430A74" w:rsidRPr="00A043FE" w:rsidRDefault="00430A74" w:rsidP="00430A74">
      <w:r w:rsidRPr="00A043FE">
        <w:tab/>
        <w:t>No changes</w:t>
      </w:r>
    </w:p>
    <w:p w:rsidR="00430A74" w:rsidRPr="00A043FE" w:rsidRDefault="00430A74" w:rsidP="00430A74">
      <w:pPr>
        <w:jc w:val="left"/>
        <w:rPr>
          <w:rFonts w:cs="Arial"/>
        </w:rPr>
      </w:pPr>
    </w:p>
    <w:p w:rsidR="00430A74" w:rsidRPr="00A043FE" w:rsidRDefault="00430A74" w:rsidP="00430A74">
      <w:pPr>
        <w:rPr>
          <w:rFonts w:cs="Arial"/>
        </w:rPr>
      </w:pPr>
    </w:p>
    <w:p w:rsidR="00430A74" w:rsidRPr="00A043FE" w:rsidRDefault="00430A74" w:rsidP="00430A74">
      <w:r w:rsidRPr="00A043FE">
        <w:t>4.</w:t>
      </w:r>
      <w:r w:rsidRPr="00A043FE">
        <w:tab/>
      </w:r>
      <w:r w:rsidRPr="00A043FE">
        <w:rPr>
          <w:u w:val="single"/>
        </w:rPr>
        <w:t>Situation in the technical field</w:t>
      </w:r>
    </w:p>
    <w:p w:rsidR="00430A74" w:rsidRPr="00A043FE" w:rsidRDefault="00430A74" w:rsidP="00430A74"/>
    <w:p w:rsidR="00430A74" w:rsidRPr="00A043FE" w:rsidRDefault="00430A74" w:rsidP="00430A74">
      <w:r w:rsidRPr="00A043FE">
        <w:t>DUS-testing is done at the same level as previous years.</w:t>
      </w:r>
    </w:p>
    <w:p w:rsidR="00430A74" w:rsidRPr="00A043FE" w:rsidRDefault="00430A74" w:rsidP="00430A74"/>
    <w:p w:rsidR="00430A74" w:rsidRPr="00A043FE" w:rsidRDefault="00430A74" w:rsidP="00430A74">
      <w:pPr>
        <w:rPr>
          <w:rFonts w:cs="Arial"/>
        </w:rPr>
      </w:pPr>
      <w:r w:rsidRPr="00A043FE">
        <w:t>In July, we received a question from Euroseeds regarding challenges in achieving distinctness in spring barley.  It seems there are some issues in this regard.  There are several reasons for these challenges: on the one hand, there is a relatively large reference collection in spring barley and on the other hand, many candidate varieties have pedigree overlaps.  For example, most spring barley varieties have MLO resistance and in recent years, a specific variety has been frequently used as a crossing partner.  In other words, the varieties are morphologically similar, the “morphological space” (number of traits x possible expressions) being relatively narrow, which is why we see these distinctness problems.  Actual rejections due to distinctness problems are, however, relatively rare.</w:t>
      </w:r>
    </w:p>
    <w:p w:rsidR="00430A74" w:rsidRPr="00A043FE" w:rsidRDefault="00430A74" w:rsidP="00430A74"/>
    <w:p w:rsidR="00430A74" w:rsidRPr="00A043FE" w:rsidRDefault="00430A74" w:rsidP="00430A74"/>
    <w:p w:rsidR="00430A74" w:rsidRPr="00A043FE" w:rsidRDefault="00430A74" w:rsidP="00430A74">
      <w:pPr>
        <w:rPr>
          <w:rFonts w:eastAsia="SimSun"/>
          <w:u w:val="single"/>
          <w:lang w:eastAsia="zh-CN"/>
        </w:rPr>
      </w:pPr>
      <w:r w:rsidRPr="00A043FE">
        <w:t>5.</w:t>
      </w:r>
      <w:r w:rsidRPr="00A043FE">
        <w:tab/>
      </w:r>
      <w:r w:rsidRPr="00A043FE">
        <w:rPr>
          <w:u w:val="single"/>
        </w:rPr>
        <w:t>Activities for the promotion of plant variety protection</w:t>
      </w:r>
    </w:p>
    <w:p w:rsidR="00430A74" w:rsidRPr="00A043FE" w:rsidRDefault="00430A74" w:rsidP="00430A74">
      <w:pPr>
        <w:rPr>
          <w:rFonts w:cs="Arial"/>
        </w:rPr>
      </w:pPr>
    </w:p>
    <w:tbl>
      <w:tblPr>
        <w:tblStyle w:val="TableGrid"/>
        <w:tblW w:w="9776" w:type="dxa"/>
        <w:tblLayout w:type="fixed"/>
        <w:tblCellMar>
          <w:left w:w="57" w:type="dxa"/>
          <w:right w:w="57" w:type="dxa"/>
        </w:tblCellMar>
        <w:tblLook w:val="04A0" w:firstRow="1" w:lastRow="0" w:firstColumn="1" w:lastColumn="0" w:noHBand="0" w:noVBand="1"/>
      </w:tblPr>
      <w:tblGrid>
        <w:gridCol w:w="1129"/>
        <w:gridCol w:w="993"/>
        <w:gridCol w:w="850"/>
        <w:gridCol w:w="1276"/>
        <w:gridCol w:w="2268"/>
        <w:gridCol w:w="2126"/>
        <w:gridCol w:w="1134"/>
      </w:tblGrid>
      <w:tr w:rsidR="00430A74" w:rsidRPr="00A043FE" w:rsidTr="00647E67">
        <w:tc>
          <w:tcPr>
            <w:tcW w:w="1129" w:type="dxa"/>
          </w:tcPr>
          <w:p w:rsidR="00430A74" w:rsidRPr="00430A74" w:rsidRDefault="00430A74" w:rsidP="00647E67">
            <w:pPr>
              <w:keepNext/>
              <w:jc w:val="left"/>
              <w:rPr>
                <w:sz w:val="16"/>
              </w:rPr>
            </w:pPr>
            <w:r w:rsidRPr="00430A74">
              <w:rPr>
                <w:sz w:val="16"/>
              </w:rPr>
              <w:t>Title of activity</w:t>
            </w:r>
          </w:p>
        </w:tc>
        <w:tc>
          <w:tcPr>
            <w:tcW w:w="993" w:type="dxa"/>
          </w:tcPr>
          <w:p w:rsidR="00430A74" w:rsidRPr="00430A74" w:rsidRDefault="00430A74" w:rsidP="00647E67">
            <w:pPr>
              <w:keepNext/>
              <w:jc w:val="left"/>
              <w:rPr>
                <w:sz w:val="16"/>
              </w:rPr>
            </w:pPr>
            <w:r w:rsidRPr="00430A74">
              <w:rPr>
                <w:sz w:val="16"/>
              </w:rPr>
              <w:t>Date</w:t>
            </w:r>
          </w:p>
        </w:tc>
        <w:tc>
          <w:tcPr>
            <w:tcW w:w="850" w:type="dxa"/>
          </w:tcPr>
          <w:p w:rsidR="00430A74" w:rsidRPr="00430A74" w:rsidRDefault="00430A74" w:rsidP="00647E67">
            <w:pPr>
              <w:keepNext/>
              <w:jc w:val="left"/>
              <w:rPr>
                <w:sz w:val="16"/>
              </w:rPr>
            </w:pPr>
            <w:r w:rsidRPr="00430A74">
              <w:rPr>
                <w:sz w:val="16"/>
              </w:rPr>
              <w:t>Location</w:t>
            </w:r>
          </w:p>
        </w:tc>
        <w:tc>
          <w:tcPr>
            <w:tcW w:w="1276" w:type="dxa"/>
          </w:tcPr>
          <w:p w:rsidR="00430A74" w:rsidRPr="00430A74" w:rsidRDefault="00430A74" w:rsidP="00647E67">
            <w:pPr>
              <w:keepNext/>
              <w:jc w:val="left"/>
              <w:rPr>
                <w:sz w:val="16"/>
              </w:rPr>
            </w:pPr>
            <w:r w:rsidRPr="00430A74">
              <w:rPr>
                <w:sz w:val="16"/>
              </w:rPr>
              <w:t>Organizer(s)</w:t>
            </w:r>
          </w:p>
        </w:tc>
        <w:tc>
          <w:tcPr>
            <w:tcW w:w="2268" w:type="dxa"/>
          </w:tcPr>
          <w:p w:rsidR="00430A74" w:rsidRPr="00430A74" w:rsidRDefault="00430A74" w:rsidP="00647E67">
            <w:pPr>
              <w:keepNext/>
              <w:jc w:val="left"/>
              <w:rPr>
                <w:sz w:val="16"/>
              </w:rPr>
            </w:pPr>
            <w:r w:rsidRPr="00430A74">
              <w:rPr>
                <w:sz w:val="16"/>
              </w:rPr>
              <w:t>Purpose of activity</w:t>
            </w:r>
          </w:p>
        </w:tc>
        <w:tc>
          <w:tcPr>
            <w:tcW w:w="2126" w:type="dxa"/>
          </w:tcPr>
          <w:p w:rsidR="00430A74" w:rsidRPr="00430A74" w:rsidRDefault="00430A74" w:rsidP="00647E67">
            <w:pPr>
              <w:keepNext/>
              <w:jc w:val="left"/>
              <w:rPr>
                <w:sz w:val="16"/>
              </w:rPr>
            </w:pPr>
            <w:r w:rsidRPr="00430A74">
              <w:rPr>
                <w:sz w:val="16"/>
              </w:rPr>
              <w:t>Participating countries/ organizations (number of participants from each)</w:t>
            </w:r>
          </w:p>
        </w:tc>
        <w:tc>
          <w:tcPr>
            <w:tcW w:w="1134" w:type="dxa"/>
          </w:tcPr>
          <w:p w:rsidR="00430A74" w:rsidRPr="00430A74" w:rsidRDefault="00430A74" w:rsidP="00647E67">
            <w:pPr>
              <w:keepNext/>
              <w:jc w:val="left"/>
              <w:rPr>
                <w:sz w:val="16"/>
              </w:rPr>
            </w:pPr>
            <w:r w:rsidRPr="00430A74">
              <w:rPr>
                <w:sz w:val="16"/>
              </w:rPr>
              <w:t>Comments</w:t>
            </w:r>
          </w:p>
        </w:tc>
      </w:tr>
      <w:tr w:rsidR="00430A74" w:rsidRPr="00A043FE" w:rsidTr="00647E67">
        <w:tc>
          <w:tcPr>
            <w:tcW w:w="1129" w:type="dxa"/>
          </w:tcPr>
          <w:p w:rsidR="00430A74" w:rsidRPr="00430A74" w:rsidRDefault="00430A74" w:rsidP="00647E67">
            <w:pPr>
              <w:jc w:val="left"/>
              <w:rPr>
                <w:sz w:val="16"/>
                <w:szCs w:val="18"/>
                <w:lang w:eastAsia="zh-CN"/>
              </w:rPr>
            </w:pPr>
            <w:r w:rsidRPr="00430A74">
              <w:rPr>
                <w:rFonts w:eastAsia="SimSun"/>
                <w:sz w:val="16"/>
                <w:szCs w:val="18"/>
                <w:lang w:eastAsia="zh-CN"/>
              </w:rPr>
              <w:t>1.</w:t>
            </w:r>
          </w:p>
        </w:tc>
        <w:tc>
          <w:tcPr>
            <w:tcW w:w="993" w:type="dxa"/>
          </w:tcPr>
          <w:p w:rsidR="00430A74" w:rsidRPr="00430A74" w:rsidRDefault="00430A74" w:rsidP="00647E67">
            <w:pPr>
              <w:jc w:val="left"/>
              <w:rPr>
                <w:sz w:val="16"/>
              </w:rPr>
            </w:pPr>
            <w:r w:rsidRPr="00430A74">
              <w:rPr>
                <w:sz w:val="16"/>
              </w:rPr>
              <w:t>March 8, 2022</w:t>
            </w:r>
          </w:p>
        </w:tc>
        <w:tc>
          <w:tcPr>
            <w:tcW w:w="850" w:type="dxa"/>
          </w:tcPr>
          <w:p w:rsidR="00430A74" w:rsidRPr="00430A74" w:rsidRDefault="00430A74" w:rsidP="00647E67">
            <w:pPr>
              <w:jc w:val="left"/>
              <w:rPr>
                <w:sz w:val="16"/>
              </w:rPr>
            </w:pPr>
            <w:r w:rsidRPr="00430A74">
              <w:rPr>
                <w:sz w:val="16"/>
              </w:rPr>
              <w:t>Kobæk Strand</w:t>
            </w:r>
          </w:p>
        </w:tc>
        <w:tc>
          <w:tcPr>
            <w:tcW w:w="1276" w:type="dxa"/>
          </w:tcPr>
          <w:p w:rsidR="00430A74" w:rsidRPr="00430A74" w:rsidRDefault="00430A74" w:rsidP="00647E67">
            <w:pPr>
              <w:jc w:val="left"/>
              <w:rPr>
                <w:sz w:val="16"/>
              </w:rPr>
            </w:pPr>
            <w:r w:rsidRPr="00430A74">
              <w:rPr>
                <w:sz w:val="16"/>
              </w:rPr>
              <w:t>Danseed</w:t>
            </w:r>
          </w:p>
        </w:tc>
        <w:tc>
          <w:tcPr>
            <w:tcW w:w="2268" w:type="dxa"/>
          </w:tcPr>
          <w:p w:rsidR="00430A74" w:rsidRPr="00430A74" w:rsidRDefault="00430A74" w:rsidP="00647E67">
            <w:pPr>
              <w:jc w:val="left"/>
              <w:rPr>
                <w:sz w:val="16"/>
              </w:rPr>
            </w:pPr>
            <w:r w:rsidRPr="00430A74">
              <w:rPr>
                <w:sz w:val="16"/>
              </w:rPr>
              <w:t>The socio- economic and environmental values of plant breeding in the EU</w:t>
            </w:r>
          </w:p>
        </w:tc>
        <w:tc>
          <w:tcPr>
            <w:tcW w:w="2126" w:type="dxa"/>
          </w:tcPr>
          <w:p w:rsidR="00430A74" w:rsidRPr="00430A74" w:rsidRDefault="00430A74" w:rsidP="00647E67">
            <w:pPr>
              <w:jc w:val="left"/>
              <w:rPr>
                <w:sz w:val="16"/>
              </w:rPr>
            </w:pPr>
            <w:r w:rsidRPr="00430A74">
              <w:rPr>
                <w:sz w:val="16"/>
              </w:rPr>
              <w:t>DK nationals</w:t>
            </w:r>
          </w:p>
        </w:tc>
        <w:tc>
          <w:tcPr>
            <w:tcW w:w="1134" w:type="dxa"/>
          </w:tcPr>
          <w:p w:rsidR="00430A74" w:rsidRPr="00430A74" w:rsidRDefault="00430A74" w:rsidP="00647E67">
            <w:pPr>
              <w:keepNext/>
              <w:jc w:val="left"/>
              <w:rPr>
                <w:sz w:val="16"/>
                <w:szCs w:val="18"/>
              </w:rPr>
            </w:pPr>
          </w:p>
        </w:tc>
      </w:tr>
    </w:tbl>
    <w:p w:rsidR="00430A74" w:rsidRPr="00A043FE" w:rsidRDefault="00430A74" w:rsidP="00430A74">
      <w:pPr>
        <w:rPr>
          <w:rFonts w:cs="Arial"/>
        </w:rPr>
      </w:pPr>
    </w:p>
    <w:p w:rsidR="00430A74" w:rsidRPr="00A043FE" w:rsidRDefault="00430A74" w:rsidP="00430A74">
      <w:pPr>
        <w:rPr>
          <w:rFonts w:cs="Arial"/>
        </w:rPr>
      </w:pPr>
    </w:p>
    <w:p w:rsidR="00430A74" w:rsidRPr="00A043FE" w:rsidRDefault="00430A74" w:rsidP="00430A74">
      <w:pPr>
        <w:rPr>
          <w:rFonts w:eastAsia="SimSun"/>
          <w:lang w:eastAsia="zh-CN"/>
        </w:rPr>
      </w:pPr>
      <w:r w:rsidRPr="00A043FE">
        <w:t>II.</w:t>
      </w:r>
      <w:r w:rsidRPr="00A043FE">
        <w:tab/>
        <w:t>OTHER DEVELOPMENTS OF RELEVANCE TO UPOV</w:t>
      </w:r>
    </w:p>
    <w:p w:rsidR="00430A74" w:rsidRPr="00A043FE" w:rsidRDefault="00430A74" w:rsidP="00430A74"/>
    <w:p w:rsidR="00430A74" w:rsidRPr="00A043FE" w:rsidRDefault="00430A74" w:rsidP="00430A74">
      <w:r w:rsidRPr="00A043FE">
        <w:tab/>
        <w:t>No changes</w:t>
      </w:r>
    </w:p>
    <w:p w:rsidR="00430A74" w:rsidRPr="00A043FE" w:rsidRDefault="00430A74" w:rsidP="00430A74">
      <w:pPr>
        <w:rPr>
          <w:rFonts w:cs="Arial"/>
        </w:rPr>
      </w:pPr>
    </w:p>
    <w:p w:rsidR="000362AD" w:rsidRPr="00AA2FEE" w:rsidRDefault="000362AD" w:rsidP="000362AD"/>
    <w:p w:rsidR="000362AD" w:rsidRPr="00AA2FEE" w:rsidRDefault="000362AD" w:rsidP="000362AD">
      <w:pPr>
        <w:jc w:val="left"/>
      </w:pPr>
    </w:p>
    <w:p w:rsidR="000362AD" w:rsidRPr="00AA2FEE" w:rsidRDefault="00907EF8" w:rsidP="000362AD">
      <w:pPr>
        <w:jc w:val="right"/>
      </w:pPr>
      <w:r w:rsidRPr="00AA2FEE">
        <w:t xml:space="preserve">[Annex </w:t>
      </w:r>
      <w:r w:rsidR="000362AD" w:rsidRPr="00AA2FEE">
        <w:t>V</w:t>
      </w:r>
      <w:r w:rsidRPr="00AA2FEE">
        <w:t>I</w:t>
      </w:r>
      <w:r w:rsidR="000362AD" w:rsidRPr="00AA2FEE">
        <w:t xml:space="preserve"> follows]</w:t>
      </w:r>
    </w:p>
    <w:p w:rsidR="000362AD" w:rsidRPr="00AA2FEE" w:rsidRDefault="000362AD" w:rsidP="000362AD"/>
    <w:p w:rsidR="000362AD" w:rsidRPr="00AA2FEE" w:rsidRDefault="000362AD" w:rsidP="000362AD">
      <w:pPr>
        <w:jc w:val="left"/>
        <w:sectPr w:rsidR="000362AD" w:rsidRPr="00AA2FEE" w:rsidSect="0049108C">
          <w:pgSz w:w="11907" w:h="16840" w:code="9"/>
          <w:pgMar w:top="510" w:right="1134" w:bottom="1134" w:left="1134" w:header="510" w:footer="680" w:gutter="0"/>
          <w:pgNumType w:start="1"/>
          <w:cols w:space="720"/>
          <w:titlePg/>
        </w:sectPr>
      </w:pPr>
    </w:p>
    <w:p w:rsidR="000362AD" w:rsidRPr="00AA2FEE" w:rsidRDefault="005A5958" w:rsidP="000362AD">
      <w:pPr>
        <w:jc w:val="center"/>
      </w:pPr>
      <w:r w:rsidRPr="00AA2FEE">
        <w:lastRenderedPageBreak/>
        <w:t>C/56</w:t>
      </w:r>
      <w:r w:rsidR="000362AD" w:rsidRPr="00AA2FEE">
        <w:t>/INF/4</w:t>
      </w:r>
    </w:p>
    <w:p w:rsidR="000362AD" w:rsidRPr="00AA2FEE" w:rsidRDefault="000362AD" w:rsidP="000362AD">
      <w:pPr>
        <w:jc w:val="center"/>
      </w:pPr>
    </w:p>
    <w:p w:rsidR="000362AD" w:rsidRPr="00AA2FEE" w:rsidRDefault="000362AD" w:rsidP="000362AD">
      <w:pPr>
        <w:jc w:val="center"/>
      </w:pPr>
      <w:r w:rsidRPr="00AA2FEE">
        <w:t>ANNEX V</w:t>
      </w:r>
      <w:r w:rsidR="0069058C" w:rsidRPr="00AA2FEE">
        <w:t>I</w:t>
      </w:r>
    </w:p>
    <w:p w:rsidR="000362AD" w:rsidRPr="00AA2FEE" w:rsidRDefault="000362AD" w:rsidP="000362AD">
      <w:pPr>
        <w:jc w:val="center"/>
      </w:pPr>
    </w:p>
    <w:p w:rsidR="003D00FA" w:rsidRPr="00AA2FEE" w:rsidRDefault="003D00FA" w:rsidP="000362AD">
      <w:pPr>
        <w:jc w:val="center"/>
      </w:pPr>
    </w:p>
    <w:p w:rsidR="00D46C5A" w:rsidRPr="00AA2FEE" w:rsidRDefault="0069058C" w:rsidP="00D46C5A">
      <w:pPr>
        <w:jc w:val="center"/>
      </w:pPr>
      <w:r w:rsidRPr="00AA2FEE">
        <w:t>EGYPT</w:t>
      </w:r>
    </w:p>
    <w:p w:rsidR="00D46C5A" w:rsidRPr="00AA2FEE" w:rsidRDefault="00D46C5A" w:rsidP="00D46C5A"/>
    <w:p w:rsidR="00D46C5A" w:rsidRPr="00AA2FEE" w:rsidRDefault="00D46C5A" w:rsidP="00D46C5A"/>
    <w:p w:rsidR="00DD1039" w:rsidRPr="00FA6701" w:rsidRDefault="00DD1039" w:rsidP="00DD1039">
      <w:pPr>
        <w:rPr>
          <w:rFonts w:cs="Arial"/>
        </w:rPr>
      </w:pPr>
      <w:r w:rsidRPr="00FA6701">
        <w:rPr>
          <w:rFonts w:cs="Arial"/>
        </w:rPr>
        <w:t>I.</w:t>
      </w:r>
      <w:r w:rsidRPr="00FA6701">
        <w:rPr>
          <w:rFonts w:cs="Arial"/>
        </w:rPr>
        <w:tab/>
        <w:t>PLANT VARIETY PROTECTION</w:t>
      </w:r>
    </w:p>
    <w:p w:rsidR="00DD1039" w:rsidRPr="00FA6701" w:rsidRDefault="00DD1039" w:rsidP="00DD1039">
      <w:pPr>
        <w:rPr>
          <w:rFonts w:cs="Arial"/>
        </w:rPr>
      </w:pPr>
    </w:p>
    <w:p w:rsidR="00DD1039" w:rsidRPr="00FA6701" w:rsidRDefault="00DD1039" w:rsidP="00DD1039">
      <w:pPr>
        <w:rPr>
          <w:rFonts w:cs="Arial"/>
          <w:u w:val="single"/>
        </w:rPr>
      </w:pPr>
      <w:r w:rsidRPr="00FA6701">
        <w:rPr>
          <w:rFonts w:cs="Arial"/>
          <w:u w:val="single"/>
        </w:rPr>
        <w:t>Situation in the legislative field</w:t>
      </w:r>
    </w:p>
    <w:p w:rsidR="00DD1039" w:rsidRPr="00FA6701" w:rsidRDefault="00DD1039" w:rsidP="00DD1039">
      <w:pPr>
        <w:rPr>
          <w:rFonts w:cs="Arial"/>
        </w:rPr>
      </w:pPr>
    </w:p>
    <w:p w:rsidR="00DD1039" w:rsidRPr="00FA6701" w:rsidRDefault="00DD1039" w:rsidP="00DD1039">
      <w:pPr>
        <w:rPr>
          <w:rFonts w:cs="Arial"/>
          <w:i/>
        </w:rPr>
      </w:pPr>
      <w:r w:rsidRPr="00FA6701">
        <w:rPr>
          <w:rFonts w:cs="Arial"/>
          <w:i/>
        </w:rPr>
        <w:t>Extension of protection to further genera and species</w:t>
      </w:r>
    </w:p>
    <w:p w:rsidR="00DD1039" w:rsidRDefault="00DD1039" w:rsidP="00DD1039">
      <w:pPr>
        <w:rPr>
          <w:rFonts w:cs="Arial"/>
        </w:rPr>
      </w:pPr>
    </w:p>
    <w:p w:rsidR="00DD1039" w:rsidRPr="00FA6701" w:rsidRDefault="00DD1039" w:rsidP="00DD1039">
      <w:pPr>
        <w:rPr>
          <w:rFonts w:cs="Arial"/>
        </w:rPr>
      </w:pPr>
      <w:r w:rsidRPr="00FA6701">
        <w:rPr>
          <w:rFonts w:cs="Arial"/>
        </w:rPr>
        <w:t xml:space="preserve">We added a new species: </w:t>
      </w:r>
      <w:r w:rsidRPr="00FA6701">
        <w:rPr>
          <w:rFonts w:cs="Arial"/>
          <w:color w:val="1D2228"/>
          <w:shd w:val="clear" w:color="auto" w:fill="FFFFFF"/>
        </w:rPr>
        <w:t>BORAGE and Nigella</w:t>
      </w:r>
      <w:r>
        <w:rPr>
          <w:rFonts w:cs="Arial"/>
          <w:color w:val="1D2228"/>
          <w:shd w:val="clear" w:color="auto" w:fill="FFFFFF"/>
        </w:rPr>
        <w:t>.</w:t>
      </w:r>
    </w:p>
    <w:p w:rsidR="00DD1039" w:rsidRPr="00FA6701" w:rsidRDefault="00DD1039" w:rsidP="00DD1039">
      <w:pPr>
        <w:rPr>
          <w:rFonts w:cs="Arial"/>
        </w:rPr>
      </w:pPr>
    </w:p>
    <w:p w:rsidR="00DD1039" w:rsidRPr="00FA6701" w:rsidRDefault="00DD1039" w:rsidP="00DD1039">
      <w:pPr>
        <w:rPr>
          <w:rFonts w:cs="Arial"/>
        </w:rPr>
      </w:pPr>
    </w:p>
    <w:p w:rsidR="00DD1039" w:rsidRPr="00FA6701" w:rsidRDefault="00DD1039" w:rsidP="00DD1039">
      <w:pPr>
        <w:rPr>
          <w:rFonts w:cs="Arial"/>
          <w:u w:val="single"/>
        </w:rPr>
      </w:pPr>
      <w:r w:rsidRPr="00FA6701">
        <w:rPr>
          <w:rFonts w:cs="Arial"/>
          <w:u w:val="single"/>
        </w:rPr>
        <w:t>Activities for the promotion of plant variety protection</w:t>
      </w:r>
    </w:p>
    <w:p w:rsidR="00DD1039" w:rsidRPr="00FA6701" w:rsidRDefault="00DD1039" w:rsidP="00DD1039">
      <w:pPr>
        <w:rPr>
          <w:rFonts w:cs="Arial"/>
        </w:rPr>
      </w:pPr>
    </w:p>
    <w:tbl>
      <w:tblPr>
        <w:tblStyle w:val="TableGrid"/>
        <w:tblW w:w="9940" w:type="dxa"/>
        <w:tblLayout w:type="fixed"/>
        <w:tblCellMar>
          <w:top w:w="28" w:type="dxa"/>
          <w:left w:w="57" w:type="dxa"/>
          <w:bottom w:w="28" w:type="dxa"/>
          <w:right w:w="57" w:type="dxa"/>
        </w:tblCellMar>
        <w:tblLook w:val="01E0" w:firstRow="1" w:lastRow="1" w:firstColumn="1" w:lastColumn="1" w:noHBand="0" w:noVBand="0"/>
      </w:tblPr>
      <w:tblGrid>
        <w:gridCol w:w="959"/>
        <w:gridCol w:w="1266"/>
        <w:gridCol w:w="1022"/>
        <w:gridCol w:w="2006"/>
        <w:gridCol w:w="2419"/>
        <w:gridCol w:w="2268"/>
      </w:tblGrid>
      <w:tr w:rsidR="00DD1039" w:rsidRPr="00FA6701" w:rsidTr="00647E67">
        <w:tc>
          <w:tcPr>
            <w:tcW w:w="959" w:type="dxa"/>
          </w:tcPr>
          <w:p w:rsidR="00DD1039" w:rsidRPr="00FA6701" w:rsidRDefault="00DD1039" w:rsidP="00647E67">
            <w:pPr>
              <w:jc w:val="left"/>
              <w:rPr>
                <w:rFonts w:cs="Arial"/>
                <w:sz w:val="18"/>
              </w:rPr>
            </w:pPr>
            <w:r w:rsidRPr="00FA6701">
              <w:rPr>
                <w:rFonts w:cs="Arial"/>
                <w:sz w:val="18"/>
              </w:rPr>
              <w:t>Title of activity</w:t>
            </w:r>
          </w:p>
        </w:tc>
        <w:tc>
          <w:tcPr>
            <w:tcW w:w="1266" w:type="dxa"/>
          </w:tcPr>
          <w:p w:rsidR="00DD1039" w:rsidRPr="00FA6701" w:rsidRDefault="00DD1039" w:rsidP="00647E67">
            <w:pPr>
              <w:jc w:val="left"/>
              <w:rPr>
                <w:rFonts w:cs="Arial"/>
                <w:sz w:val="18"/>
              </w:rPr>
            </w:pPr>
            <w:r w:rsidRPr="00FA6701">
              <w:rPr>
                <w:rFonts w:cs="Arial"/>
                <w:sz w:val="18"/>
              </w:rPr>
              <w:t>Date</w:t>
            </w:r>
          </w:p>
        </w:tc>
        <w:tc>
          <w:tcPr>
            <w:tcW w:w="1022" w:type="dxa"/>
          </w:tcPr>
          <w:p w:rsidR="00DD1039" w:rsidRPr="00FA6701" w:rsidRDefault="00DD1039" w:rsidP="00647E67">
            <w:pPr>
              <w:jc w:val="left"/>
              <w:rPr>
                <w:rFonts w:cs="Arial"/>
                <w:sz w:val="18"/>
              </w:rPr>
            </w:pPr>
            <w:r w:rsidRPr="00FA6701">
              <w:rPr>
                <w:rFonts w:cs="Arial"/>
                <w:sz w:val="18"/>
              </w:rPr>
              <w:t>Location</w:t>
            </w:r>
          </w:p>
        </w:tc>
        <w:tc>
          <w:tcPr>
            <w:tcW w:w="2006" w:type="dxa"/>
          </w:tcPr>
          <w:p w:rsidR="00DD1039" w:rsidRPr="00FA6701" w:rsidRDefault="00DD1039" w:rsidP="00647E67">
            <w:pPr>
              <w:jc w:val="left"/>
              <w:rPr>
                <w:rFonts w:cs="Arial"/>
                <w:sz w:val="18"/>
              </w:rPr>
            </w:pPr>
            <w:r w:rsidRPr="00FA6701">
              <w:rPr>
                <w:rFonts w:cs="Arial"/>
                <w:sz w:val="18"/>
              </w:rPr>
              <w:t>Organizer(s)</w:t>
            </w:r>
          </w:p>
        </w:tc>
        <w:tc>
          <w:tcPr>
            <w:tcW w:w="2419" w:type="dxa"/>
          </w:tcPr>
          <w:p w:rsidR="00DD1039" w:rsidRPr="00FA6701" w:rsidRDefault="00DD1039" w:rsidP="00647E67">
            <w:pPr>
              <w:jc w:val="left"/>
              <w:rPr>
                <w:rFonts w:cs="Arial"/>
                <w:sz w:val="18"/>
              </w:rPr>
            </w:pPr>
            <w:r w:rsidRPr="00FA6701">
              <w:rPr>
                <w:rFonts w:cs="Arial"/>
                <w:sz w:val="18"/>
              </w:rPr>
              <w:t>Purpose of activity</w:t>
            </w:r>
          </w:p>
        </w:tc>
        <w:tc>
          <w:tcPr>
            <w:tcW w:w="2268" w:type="dxa"/>
          </w:tcPr>
          <w:p w:rsidR="00DD1039" w:rsidRPr="00FA6701" w:rsidRDefault="00DD1039" w:rsidP="00647E67">
            <w:pPr>
              <w:jc w:val="left"/>
              <w:rPr>
                <w:rFonts w:cs="Arial"/>
                <w:sz w:val="18"/>
              </w:rPr>
            </w:pPr>
            <w:r w:rsidRPr="00FA6701">
              <w:rPr>
                <w:rFonts w:cs="Arial"/>
                <w:sz w:val="18"/>
              </w:rPr>
              <w:t>Participating countries/ organizations (number of participants from each)</w:t>
            </w:r>
          </w:p>
        </w:tc>
      </w:tr>
      <w:tr w:rsidR="00DD1039" w:rsidRPr="00FA6701" w:rsidTr="00647E67">
        <w:tc>
          <w:tcPr>
            <w:tcW w:w="959" w:type="dxa"/>
          </w:tcPr>
          <w:p w:rsidR="00DD1039" w:rsidRPr="00FA6701" w:rsidRDefault="00DD1039" w:rsidP="00647E67">
            <w:pPr>
              <w:jc w:val="left"/>
              <w:rPr>
                <w:rFonts w:cs="Arial"/>
                <w:sz w:val="18"/>
              </w:rPr>
            </w:pPr>
            <w:r w:rsidRPr="00FA6701">
              <w:rPr>
                <w:rFonts w:cs="Arial"/>
                <w:sz w:val="18"/>
              </w:rPr>
              <w:t>1.</w:t>
            </w:r>
          </w:p>
          <w:p w:rsidR="00DD1039" w:rsidRPr="00FA6701" w:rsidRDefault="00DD1039" w:rsidP="00647E67">
            <w:pPr>
              <w:jc w:val="left"/>
              <w:rPr>
                <w:rFonts w:cs="Arial"/>
                <w:sz w:val="18"/>
              </w:rPr>
            </w:pPr>
          </w:p>
        </w:tc>
        <w:tc>
          <w:tcPr>
            <w:tcW w:w="1266" w:type="dxa"/>
          </w:tcPr>
          <w:p w:rsidR="00DD1039" w:rsidRPr="00FA6701" w:rsidRDefault="00DD1039" w:rsidP="00647E67">
            <w:pPr>
              <w:jc w:val="left"/>
              <w:rPr>
                <w:rFonts w:cs="Arial"/>
                <w:sz w:val="18"/>
                <w:rtl/>
                <w:lang w:bidi="ar-EG"/>
              </w:rPr>
            </w:pPr>
            <w:r w:rsidRPr="00FA6701">
              <w:rPr>
                <w:rFonts w:cs="Arial"/>
                <w:sz w:val="18"/>
                <w:lang w:bidi="ar-EG"/>
              </w:rPr>
              <w:t>11 May 2022</w:t>
            </w:r>
          </w:p>
        </w:tc>
        <w:tc>
          <w:tcPr>
            <w:tcW w:w="1022" w:type="dxa"/>
          </w:tcPr>
          <w:p w:rsidR="00DD1039" w:rsidRPr="00FA6701" w:rsidRDefault="00DD1039" w:rsidP="00647E67">
            <w:pPr>
              <w:jc w:val="left"/>
              <w:rPr>
                <w:rFonts w:cs="Arial"/>
                <w:sz w:val="18"/>
              </w:rPr>
            </w:pPr>
            <w:r w:rsidRPr="00FA6701">
              <w:rPr>
                <w:rFonts w:cs="Arial"/>
                <w:sz w:val="18"/>
              </w:rPr>
              <w:t>Egypt</w:t>
            </w:r>
          </w:p>
        </w:tc>
        <w:tc>
          <w:tcPr>
            <w:tcW w:w="2006" w:type="dxa"/>
          </w:tcPr>
          <w:p w:rsidR="00DD1039" w:rsidRPr="00FA6701" w:rsidRDefault="00DD1039" w:rsidP="00647E67">
            <w:pPr>
              <w:jc w:val="left"/>
              <w:rPr>
                <w:rFonts w:cs="Arial"/>
                <w:sz w:val="18"/>
              </w:rPr>
            </w:pPr>
            <w:r w:rsidRPr="00FA6701">
              <w:rPr>
                <w:rFonts w:cs="Arial"/>
                <w:sz w:val="18"/>
              </w:rPr>
              <w:t>ISTA</w:t>
            </w:r>
          </w:p>
        </w:tc>
        <w:tc>
          <w:tcPr>
            <w:tcW w:w="2419" w:type="dxa"/>
          </w:tcPr>
          <w:p w:rsidR="00DD1039" w:rsidRPr="00FA6701" w:rsidRDefault="00DD1039" w:rsidP="00647E67">
            <w:pPr>
              <w:jc w:val="left"/>
              <w:rPr>
                <w:rFonts w:cs="Arial"/>
                <w:sz w:val="18"/>
              </w:rPr>
            </w:pPr>
            <w:r w:rsidRPr="00FA6701">
              <w:rPr>
                <w:rFonts w:cs="Arial"/>
                <w:sz w:val="18"/>
              </w:rPr>
              <w:t>A presentation is presented as a promotion .</w:t>
            </w:r>
          </w:p>
        </w:tc>
        <w:tc>
          <w:tcPr>
            <w:tcW w:w="2268" w:type="dxa"/>
          </w:tcPr>
          <w:p w:rsidR="00DD1039" w:rsidRPr="00FA6701" w:rsidRDefault="00DD1039" w:rsidP="00647E67">
            <w:pPr>
              <w:jc w:val="left"/>
              <w:rPr>
                <w:rFonts w:cs="Arial"/>
                <w:sz w:val="18"/>
              </w:rPr>
            </w:pPr>
            <w:r w:rsidRPr="00FA6701">
              <w:rPr>
                <w:rFonts w:cs="Arial"/>
                <w:sz w:val="18"/>
              </w:rPr>
              <w:t xml:space="preserve">52 countries </w:t>
            </w:r>
          </w:p>
        </w:tc>
      </w:tr>
      <w:tr w:rsidR="00DD1039" w:rsidRPr="00FA6701" w:rsidTr="00647E67">
        <w:tc>
          <w:tcPr>
            <w:tcW w:w="959" w:type="dxa"/>
          </w:tcPr>
          <w:p w:rsidR="00DD1039" w:rsidRPr="00FA6701" w:rsidRDefault="00DD1039" w:rsidP="00647E67">
            <w:pPr>
              <w:jc w:val="left"/>
              <w:rPr>
                <w:rFonts w:cs="Arial"/>
                <w:sz w:val="18"/>
              </w:rPr>
            </w:pPr>
            <w:r w:rsidRPr="00FA6701">
              <w:rPr>
                <w:rFonts w:cs="Arial"/>
                <w:sz w:val="18"/>
              </w:rPr>
              <w:t>2.</w:t>
            </w:r>
          </w:p>
          <w:p w:rsidR="00DD1039" w:rsidRPr="00FA6701" w:rsidRDefault="00DD1039" w:rsidP="00647E67">
            <w:pPr>
              <w:jc w:val="left"/>
              <w:rPr>
                <w:rFonts w:cs="Arial"/>
                <w:sz w:val="18"/>
              </w:rPr>
            </w:pPr>
          </w:p>
        </w:tc>
        <w:tc>
          <w:tcPr>
            <w:tcW w:w="1266" w:type="dxa"/>
          </w:tcPr>
          <w:p w:rsidR="00DD1039" w:rsidRPr="00FA6701" w:rsidRDefault="00DD1039" w:rsidP="00647E67">
            <w:pPr>
              <w:jc w:val="left"/>
              <w:rPr>
                <w:rFonts w:cs="Arial"/>
                <w:sz w:val="18"/>
              </w:rPr>
            </w:pPr>
            <w:r w:rsidRPr="00FA6701">
              <w:rPr>
                <w:rFonts w:cs="Arial"/>
                <w:sz w:val="18"/>
              </w:rPr>
              <w:t>May 2022</w:t>
            </w:r>
          </w:p>
        </w:tc>
        <w:tc>
          <w:tcPr>
            <w:tcW w:w="1022" w:type="dxa"/>
          </w:tcPr>
          <w:p w:rsidR="00DD1039" w:rsidRPr="00FA6701" w:rsidRDefault="00DD1039" w:rsidP="00647E67">
            <w:pPr>
              <w:jc w:val="left"/>
              <w:rPr>
                <w:rFonts w:cs="Arial"/>
                <w:sz w:val="18"/>
              </w:rPr>
            </w:pPr>
            <w:r w:rsidRPr="00FA6701">
              <w:rPr>
                <w:rFonts w:cs="Arial"/>
                <w:sz w:val="18"/>
              </w:rPr>
              <w:t>Egypt</w:t>
            </w:r>
          </w:p>
        </w:tc>
        <w:tc>
          <w:tcPr>
            <w:tcW w:w="2006" w:type="dxa"/>
          </w:tcPr>
          <w:p w:rsidR="00DD1039" w:rsidRPr="00FA6701" w:rsidRDefault="00DD1039" w:rsidP="00647E67">
            <w:pPr>
              <w:jc w:val="left"/>
              <w:rPr>
                <w:rFonts w:cs="Arial"/>
                <w:sz w:val="18"/>
              </w:rPr>
            </w:pPr>
            <w:r w:rsidRPr="00FA6701">
              <w:rPr>
                <w:rFonts w:cs="Arial"/>
                <w:sz w:val="18"/>
                <w:shd w:val="clear" w:color="auto" w:fill="FFFFFF"/>
              </w:rPr>
              <w:t>League of Arab States</w:t>
            </w:r>
          </w:p>
        </w:tc>
        <w:tc>
          <w:tcPr>
            <w:tcW w:w="2419" w:type="dxa"/>
          </w:tcPr>
          <w:p w:rsidR="00DD1039" w:rsidRPr="00FA6701" w:rsidRDefault="00DD1039" w:rsidP="00647E67">
            <w:pPr>
              <w:jc w:val="left"/>
              <w:rPr>
                <w:rFonts w:cs="Arial"/>
                <w:sz w:val="18"/>
              </w:rPr>
            </w:pPr>
            <w:r w:rsidRPr="00FA6701">
              <w:rPr>
                <w:rFonts w:cs="Arial"/>
                <w:sz w:val="18"/>
              </w:rPr>
              <w:t xml:space="preserve">Celebrating the world day of IP </w:t>
            </w:r>
          </w:p>
        </w:tc>
        <w:tc>
          <w:tcPr>
            <w:tcW w:w="2268" w:type="dxa"/>
          </w:tcPr>
          <w:p w:rsidR="00DD1039" w:rsidRPr="00FA6701" w:rsidRDefault="00DD1039" w:rsidP="00647E67">
            <w:pPr>
              <w:jc w:val="left"/>
              <w:rPr>
                <w:rFonts w:cs="Arial"/>
                <w:sz w:val="18"/>
              </w:rPr>
            </w:pPr>
            <w:r w:rsidRPr="00FA6701">
              <w:rPr>
                <w:rFonts w:cs="Arial"/>
                <w:sz w:val="18"/>
              </w:rPr>
              <w:t xml:space="preserve">All sections of IP </w:t>
            </w:r>
          </w:p>
        </w:tc>
      </w:tr>
      <w:tr w:rsidR="00DD1039" w:rsidRPr="00FA6701" w:rsidTr="00647E67">
        <w:tc>
          <w:tcPr>
            <w:tcW w:w="959" w:type="dxa"/>
          </w:tcPr>
          <w:p w:rsidR="00DD1039" w:rsidRPr="00FA6701" w:rsidRDefault="00DD1039" w:rsidP="00647E67">
            <w:pPr>
              <w:jc w:val="left"/>
              <w:rPr>
                <w:rFonts w:cs="Arial"/>
                <w:sz w:val="18"/>
              </w:rPr>
            </w:pPr>
            <w:r w:rsidRPr="00FA6701">
              <w:rPr>
                <w:rFonts w:cs="Arial"/>
                <w:sz w:val="18"/>
              </w:rPr>
              <w:t>etc.</w:t>
            </w:r>
          </w:p>
          <w:p w:rsidR="00DD1039" w:rsidRPr="00FA6701" w:rsidRDefault="00DD1039" w:rsidP="00647E67">
            <w:pPr>
              <w:jc w:val="left"/>
              <w:rPr>
                <w:rFonts w:cs="Arial"/>
                <w:sz w:val="18"/>
              </w:rPr>
            </w:pPr>
          </w:p>
        </w:tc>
        <w:tc>
          <w:tcPr>
            <w:tcW w:w="1266" w:type="dxa"/>
          </w:tcPr>
          <w:p w:rsidR="00DD1039" w:rsidRPr="00FA6701" w:rsidRDefault="00DD1039" w:rsidP="00647E67">
            <w:pPr>
              <w:jc w:val="left"/>
              <w:rPr>
                <w:rFonts w:cs="Arial"/>
                <w:sz w:val="18"/>
              </w:rPr>
            </w:pPr>
            <w:r w:rsidRPr="00FA6701">
              <w:rPr>
                <w:rFonts w:cs="Arial"/>
                <w:sz w:val="18"/>
              </w:rPr>
              <w:t>2021</w:t>
            </w:r>
          </w:p>
        </w:tc>
        <w:tc>
          <w:tcPr>
            <w:tcW w:w="1022" w:type="dxa"/>
          </w:tcPr>
          <w:p w:rsidR="00DD1039" w:rsidRPr="00FA6701" w:rsidRDefault="00DD1039" w:rsidP="00647E67">
            <w:pPr>
              <w:jc w:val="left"/>
              <w:rPr>
                <w:rFonts w:cs="Arial"/>
                <w:sz w:val="18"/>
              </w:rPr>
            </w:pPr>
            <w:r w:rsidRPr="00FA6701">
              <w:rPr>
                <w:rFonts w:cs="Arial"/>
                <w:sz w:val="18"/>
              </w:rPr>
              <w:t xml:space="preserve">Egypt </w:t>
            </w:r>
          </w:p>
        </w:tc>
        <w:tc>
          <w:tcPr>
            <w:tcW w:w="2006" w:type="dxa"/>
          </w:tcPr>
          <w:p w:rsidR="00DD1039" w:rsidRPr="00FA6701" w:rsidRDefault="00DD1039" w:rsidP="00647E67">
            <w:pPr>
              <w:jc w:val="left"/>
              <w:rPr>
                <w:rFonts w:cs="Arial"/>
                <w:sz w:val="18"/>
              </w:rPr>
            </w:pPr>
            <w:r w:rsidRPr="00FA6701">
              <w:rPr>
                <w:rFonts w:cs="Arial"/>
                <w:sz w:val="18"/>
              </w:rPr>
              <w:t xml:space="preserve">Netherlands (virtually) </w:t>
            </w:r>
          </w:p>
        </w:tc>
        <w:tc>
          <w:tcPr>
            <w:tcW w:w="2419" w:type="dxa"/>
          </w:tcPr>
          <w:p w:rsidR="00DD1039" w:rsidRPr="00FA6701" w:rsidRDefault="00DD1039" w:rsidP="00647E67">
            <w:pPr>
              <w:jc w:val="left"/>
              <w:rPr>
                <w:rFonts w:cs="Arial"/>
                <w:sz w:val="18"/>
              </w:rPr>
            </w:pPr>
            <w:r w:rsidRPr="00FA6701">
              <w:rPr>
                <w:rFonts w:cs="Arial"/>
                <w:sz w:val="18"/>
              </w:rPr>
              <w:t xml:space="preserve">Exchange information </w:t>
            </w:r>
          </w:p>
        </w:tc>
        <w:tc>
          <w:tcPr>
            <w:tcW w:w="2268" w:type="dxa"/>
          </w:tcPr>
          <w:p w:rsidR="00DD1039" w:rsidRPr="00FA6701" w:rsidRDefault="00DD1039" w:rsidP="00647E67">
            <w:pPr>
              <w:jc w:val="left"/>
              <w:rPr>
                <w:rFonts w:cs="Arial"/>
                <w:sz w:val="18"/>
              </w:rPr>
            </w:pPr>
            <w:r w:rsidRPr="00FA6701">
              <w:rPr>
                <w:rFonts w:cs="Arial"/>
                <w:sz w:val="18"/>
              </w:rPr>
              <w:t xml:space="preserve">Holland </w:t>
            </w:r>
          </w:p>
        </w:tc>
      </w:tr>
    </w:tbl>
    <w:p w:rsidR="00DD1039" w:rsidRPr="00FA6701" w:rsidRDefault="00DD1039" w:rsidP="00DD1039">
      <w:pPr>
        <w:rPr>
          <w:rFonts w:cs="Arial"/>
        </w:rPr>
      </w:pPr>
    </w:p>
    <w:p w:rsidR="00DD1039" w:rsidRPr="00FA6701" w:rsidRDefault="00DD1039" w:rsidP="00DD1039">
      <w:pPr>
        <w:rPr>
          <w:rFonts w:cs="Arial"/>
        </w:rPr>
      </w:pPr>
    </w:p>
    <w:p w:rsidR="00DD1039" w:rsidRPr="00FA6701" w:rsidRDefault="00DD1039" w:rsidP="00DD1039">
      <w:pPr>
        <w:rPr>
          <w:rFonts w:cs="Arial"/>
        </w:rPr>
      </w:pPr>
      <w:r w:rsidRPr="00FA6701">
        <w:rPr>
          <w:rFonts w:cs="Arial"/>
        </w:rPr>
        <w:t>II.</w:t>
      </w:r>
      <w:r w:rsidRPr="00FA6701">
        <w:rPr>
          <w:rFonts w:cs="Arial"/>
        </w:rPr>
        <w:tab/>
        <w:t>OTHER DEVELOPMENTS OF RELEVANCE TO UPOV</w:t>
      </w:r>
    </w:p>
    <w:p w:rsidR="00DD1039" w:rsidRPr="00FA6701" w:rsidRDefault="00DD1039" w:rsidP="00DD1039">
      <w:pPr>
        <w:rPr>
          <w:rFonts w:cs="Arial"/>
          <w:highlight w:val="yellow"/>
        </w:rPr>
      </w:pPr>
    </w:p>
    <w:p w:rsidR="00DD1039" w:rsidRPr="00FA6701" w:rsidRDefault="00DD1039" w:rsidP="00DD1039">
      <w:pPr>
        <w:rPr>
          <w:rFonts w:cs="Arial"/>
        </w:rPr>
      </w:pPr>
      <w:r w:rsidRPr="00FA6701">
        <w:rPr>
          <w:rFonts w:cs="Arial"/>
        </w:rPr>
        <w:t>Starting to upload data in PLUTO</w:t>
      </w:r>
      <w:r>
        <w:rPr>
          <w:rFonts w:cs="Arial"/>
        </w:rPr>
        <w:t>.</w:t>
      </w:r>
    </w:p>
    <w:p w:rsidR="00DD1039" w:rsidRPr="00FA6701" w:rsidRDefault="00DD1039" w:rsidP="00DD1039">
      <w:pPr>
        <w:rPr>
          <w:rFonts w:cs="Arial"/>
        </w:rPr>
      </w:pPr>
    </w:p>
    <w:p w:rsidR="00DD1039" w:rsidRDefault="00DD1039" w:rsidP="00DD1039">
      <w:pPr>
        <w:jc w:val="left"/>
        <w:rPr>
          <w:rFonts w:cs="Arial"/>
        </w:rPr>
      </w:pPr>
    </w:p>
    <w:p w:rsidR="003D00FA" w:rsidRPr="00AA2FEE" w:rsidRDefault="003D00FA" w:rsidP="000362AD">
      <w:pPr>
        <w:jc w:val="left"/>
      </w:pPr>
    </w:p>
    <w:p w:rsidR="000362AD" w:rsidRPr="00AA2FEE" w:rsidRDefault="000362AD" w:rsidP="000362AD">
      <w:pPr>
        <w:jc w:val="right"/>
      </w:pPr>
      <w:r w:rsidRPr="00AA2FEE">
        <w:t>[Annex V</w:t>
      </w:r>
      <w:r w:rsidR="0069058C" w:rsidRPr="00AA2FEE">
        <w:t>II</w:t>
      </w:r>
      <w:r w:rsidRPr="00AA2FEE">
        <w:t xml:space="preserve"> follows]</w:t>
      </w:r>
    </w:p>
    <w:p w:rsidR="000362AD" w:rsidRPr="00AA2FEE" w:rsidRDefault="000362AD" w:rsidP="000362AD"/>
    <w:p w:rsidR="000362AD" w:rsidRPr="00AA2FEE" w:rsidRDefault="000362AD" w:rsidP="000362AD">
      <w:pPr>
        <w:jc w:val="left"/>
        <w:sectPr w:rsidR="000362AD" w:rsidRPr="00AA2FEE" w:rsidSect="0049108C">
          <w:headerReference w:type="default" r:id="rId15"/>
          <w:pgSz w:w="11907" w:h="16840" w:code="9"/>
          <w:pgMar w:top="510" w:right="1134" w:bottom="1134" w:left="1134" w:header="510" w:footer="680" w:gutter="0"/>
          <w:pgNumType w:start="1"/>
          <w:cols w:space="720"/>
          <w:titlePg/>
        </w:sectPr>
      </w:pPr>
    </w:p>
    <w:p w:rsidR="000362AD" w:rsidRPr="00AA2FEE" w:rsidRDefault="005A5958" w:rsidP="000362AD">
      <w:pPr>
        <w:jc w:val="center"/>
      </w:pPr>
      <w:r w:rsidRPr="00AA2FEE">
        <w:lastRenderedPageBreak/>
        <w:t>C/56</w:t>
      </w:r>
      <w:r w:rsidR="000362AD" w:rsidRPr="00AA2FEE">
        <w:t>/INF/4</w:t>
      </w:r>
    </w:p>
    <w:p w:rsidR="000362AD" w:rsidRPr="00AA2FEE" w:rsidRDefault="000362AD" w:rsidP="000362AD">
      <w:pPr>
        <w:jc w:val="center"/>
      </w:pPr>
    </w:p>
    <w:p w:rsidR="000362AD" w:rsidRPr="00AA2FEE" w:rsidRDefault="000362AD" w:rsidP="000362AD">
      <w:pPr>
        <w:jc w:val="center"/>
      </w:pPr>
      <w:r w:rsidRPr="00AA2FEE">
        <w:t>ANNEX V</w:t>
      </w:r>
      <w:r w:rsidR="0069058C" w:rsidRPr="00AA2FEE">
        <w:t>II</w:t>
      </w:r>
    </w:p>
    <w:p w:rsidR="000362AD" w:rsidRPr="00AA2FEE" w:rsidRDefault="000362AD" w:rsidP="000362AD">
      <w:pPr>
        <w:jc w:val="center"/>
      </w:pPr>
    </w:p>
    <w:p w:rsidR="000362AD" w:rsidRPr="00AA2FEE" w:rsidRDefault="000362AD" w:rsidP="000362AD">
      <w:pPr>
        <w:jc w:val="center"/>
      </w:pPr>
    </w:p>
    <w:p w:rsidR="00D46C5A" w:rsidRPr="00AA2FEE" w:rsidRDefault="0069058C" w:rsidP="00D46C5A">
      <w:pPr>
        <w:jc w:val="center"/>
      </w:pPr>
      <w:r w:rsidRPr="00AA2FEE">
        <w:t>GHANA</w:t>
      </w:r>
    </w:p>
    <w:p w:rsidR="00D46C5A" w:rsidRPr="00AA2FEE" w:rsidRDefault="00D46C5A" w:rsidP="00D46C5A"/>
    <w:p w:rsidR="00D46C5A" w:rsidRPr="00AA2FEE" w:rsidRDefault="00D46C5A" w:rsidP="00D46C5A"/>
    <w:p w:rsidR="00DD1039" w:rsidRPr="00F165CA" w:rsidRDefault="00DD1039" w:rsidP="00DD1039">
      <w:r w:rsidRPr="00F165CA">
        <w:t>I.</w:t>
      </w:r>
      <w:r w:rsidRPr="00F165CA">
        <w:tab/>
        <w:t>PLANT VARIETY PROTECTION</w:t>
      </w:r>
    </w:p>
    <w:p w:rsidR="00DD1039" w:rsidRPr="00F165CA" w:rsidRDefault="00DD1039" w:rsidP="00DD1039"/>
    <w:p w:rsidR="00DD1039" w:rsidRPr="00F165CA" w:rsidRDefault="00DD1039" w:rsidP="00DD1039">
      <w:r w:rsidRPr="00F165CA">
        <w:t xml:space="preserve">1. </w:t>
      </w:r>
      <w:r w:rsidRPr="00F165CA">
        <w:tab/>
      </w:r>
      <w:r w:rsidRPr="00F165CA">
        <w:rPr>
          <w:u w:val="single"/>
        </w:rPr>
        <w:t>Situation in the legislative field</w:t>
      </w:r>
    </w:p>
    <w:p w:rsidR="00DD1039" w:rsidRPr="00F165CA" w:rsidRDefault="00DD1039" w:rsidP="00DD1039"/>
    <w:p w:rsidR="00DD1039" w:rsidRDefault="00DD1039" w:rsidP="00DD1039">
      <w:r w:rsidRPr="00F165CA">
        <w:t>1.1</w:t>
      </w:r>
      <w:r w:rsidRPr="00F165CA">
        <w:tab/>
        <w:t>Amendments of the law and the implementing regulations</w:t>
      </w:r>
    </w:p>
    <w:p w:rsidR="00DD1039" w:rsidRPr="00F165CA" w:rsidRDefault="00DD1039" w:rsidP="00DD1039"/>
    <w:p w:rsidR="00DD1039" w:rsidRPr="00F165CA" w:rsidRDefault="00DD1039" w:rsidP="00DD1039">
      <w:pPr>
        <w:ind w:left="567"/>
      </w:pPr>
      <w:r w:rsidRPr="00F165CA">
        <w:t>-</w:t>
      </w:r>
      <w:r w:rsidRPr="00F165CA">
        <w:tab/>
        <w:t>adaptation to the 1991 Act of the Convention</w:t>
      </w:r>
    </w:p>
    <w:p w:rsidR="00DD1039" w:rsidRPr="00F165CA" w:rsidRDefault="00DD1039" w:rsidP="00DD1039"/>
    <w:p w:rsidR="00DD1039" w:rsidRPr="004153ED" w:rsidRDefault="00DD1039" w:rsidP="00DD1039">
      <w:pPr>
        <w:ind w:left="567"/>
        <w:rPr>
          <w:rFonts w:cs="Calisto MT"/>
          <w:bCs/>
          <w:color w:val="000000"/>
        </w:rPr>
      </w:pPr>
      <w:r w:rsidRPr="004153ED">
        <w:rPr>
          <w:rFonts w:cs="Calisto MT"/>
          <w:bCs/>
          <w:color w:val="000000"/>
        </w:rPr>
        <w:t>The Plant Variety Protection Act, 2020 (Act 1050) is compliant with the relevant international conventions including the 1991 Act of the UPOV Convention.</w:t>
      </w:r>
    </w:p>
    <w:p w:rsidR="00DD1039" w:rsidRPr="00F165CA" w:rsidRDefault="00DD1039" w:rsidP="00DD1039"/>
    <w:p w:rsidR="00DD1039" w:rsidRPr="00F165CA" w:rsidRDefault="00DD1039" w:rsidP="00DD1039">
      <w:pPr>
        <w:ind w:left="567"/>
      </w:pPr>
      <w:r w:rsidRPr="00F165CA">
        <w:t>-</w:t>
      </w:r>
      <w:r w:rsidRPr="00F165CA">
        <w:tab/>
        <w:t>other amendments, including in respect of fees</w:t>
      </w:r>
    </w:p>
    <w:p w:rsidR="00DD1039" w:rsidRPr="00F165CA" w:rsidRDefault="00DD1039" w:rsidP="00DD1039"/>
    <w:p w:rsidR="00DD1039" w:rsidRPr="004153ED" w:rsidRDefault="00DD1039" w:rsidP="00DD1039">
      <w:pPr>
        <w:ind w:left="567"/>
      </w:pPr>
      <w:r w:rsidRPr="004153ED">
        <w:t xml:space="preserve">The fees schedule including the implementing regulation have been submitted to the Ghanaian Parliament, awaiting approval. </w:t>
      </w:r>
    </w:p>
    <w:p w:rsidR="00DD1039" w:rsidRPr="008B293F" w:rsidRDefault="00DD1039" w:rsidP="00DD1039">
      <w:pPr>
        <w:rPr>
          <w:b/>
          <w:bCs/>
        </w:rPr>
      </w:pPr>
    </w:p>
    <w:p w:rsidR="00DD1039" w:rsidRPr="00F165CA" w:rsidRDefault="00DD1039" w:rsidP="00DD1039">
      <w:r w:rsidRPr="00F165CA">
        <w:t>1.2</w:t>
      </w:r>
      <w:r w:rsidRPr="00F165CA">
        <w:tab/>
        <w:t>Extension of protectio</w:t>
      </w:r>
      <w:r>
        <w:t>n to further genera and species</w:t>
      </w:r>
    </w:p>
    <w:p w:rsidR="00DD1039" w:rsidRPr="00F165CA" w:rsidRDefault="00DD1039" w:rsidP="00DD1039"/>
    <w:p w:rsidR="00DD1039" w:rsidRPr="004153ED" w:rsidRDefault="00DD1039" w:rsidP="00DD1039">
      <w:pPr>
        <w:ind w:left="567"/>
        <w:rPr>
          <w:bCs/>
        </w:rPr>
      </w:pPr>
      <w:r w:rsidRPr="004153ED">
        <w:rPr>
          <w:bCs/>
        </w:rPr>
        <w:t>Ghana protects all genera and species (s.1 of Act 1050)</w:t>
      </w:r>
      <w:r>
        <w:rPr>
          <w:bCs/>
        </w:rPr>
        <w:t>.</w:t>
      </w:r>
    </w:p>
    <w:p w:rsidR="00DD1039" w:rsidRPr="00F165CA" w:rsidRDefault="00DD1039" w:rsidP="00DD1039"/>
    <w:p w:rsidR="00DD1039" w:rsidRPr="00F165CA" w:rsidRDefault="00DD1039" w:rsidP="00DD1039">
      <w:r w:rsidRPr="00F165CA">
        <w:t>1.3</w:t>
      </w:r>
      <w:r w:rsidRPr="00F165CA">
        <w:tab/>
        <w:t>Case law</w:t>
      </w:r>
    </w:p>
    <w:p w:rsidR="00DD1039" w:rsidRPr="00F165CA" w:rsidRDefault="00DD1039" w:rsidP="00DD1039"/>
    <w:p w:rsidR="00DD1039" w:rsidRPr="004153ED" w:rsidRDefault="00DD1039" w:rsidP="00DD1039">
      <w:pPr>
        <w:ind w:left="567"/>
        <w:rPr>
          <w:bCs/>
        </w:rPr>
      </w:pPr>
      <w:r w:rsidRPr="004153ED">
        <w:rPr>
          <w:bCs/>
        </w:rPr>
        <w:t>Ghana is yet to implement the system so no case law yet.</w:t>
      </w:r>
    </w:p>
    <w:p w:rsidR="00DD1039" w:rsidRPr="00F165CA" w:rsidRDefault="00DD1039" w:rsidP="00DD1039"/>
    <w:p w:rsidR="00DD1039" w:rsidRPr="00F165CA" w:rsidRDefault="00DD1039" w:rsidP="00DD1039"/>
    <w:p w:rsidR="00DD1039" w:rsidRPr="00F165CA" w:rsidRDefault="00DD1039" w:rsidP="00DD1039">
      <w:r w:rsidRPr="00F165CA">
        <w:t>2.</w:t>
      </w:r>
      <w:r w:rsidRPr="00F165CA">
        <w:tab/>
      </w:r>
      <w:r w:rsidRPr="00F165CA">
        <w:rPr>
          <w:u w:val="single"/>
        </w:rPr>
        <w:t>Cooperation in examination</w:t>
      </w:r>
    </w:p>
    <w:p w:rsidR="00DD1039" w:rsidRPr="00F165CA" w:rsidRDefault="00DD1039" w:rsidP="00DD1039"/>
    <w:p w:rsidR="00DD1039" w:rsidRPr="004153ED" w:rsidRDefault="00DD1039" w:rsidP="00DD1039">
      <w:pPr>
        <w:rPr>
          <w:bCs/>
        </w:rPr>
      </w:pPr>
      <w:r w:rsidRPr="004153ED">
        <w:rPr>
          <w:bCs/>
        </w:rPr>
        <w:t>No agreement yet.</w:t>
      </w:r>
    </w:p>
    <w:p w:rsidR="00DD1039" w:rsidRPr="00F165CA" w:rsidRDefault="00DD1039" w:rsidP="00DD1039"/>
    <w:p w:rsidR="00DD1039" w:rsidRPr="00F165CA" w:rsidRDefault="00DD1039" w:rsidP="00DD1039"/>
    <w:p w:rsidR="00DD1039" w:rsidRPr="00F165CA" w:rsidRDefault="00DD1039" w:rsidP="00DD1039">
      <w:pPr>
        <w:rPr>
          <w:u w:val="single"/>
        </w:rPr>
      </w:pPr>
      <w:r w:rsidRPr="00F165CA">
        <w:t>3.</w:t>
      </w:r>
      <w:r w:rsidRPr="00F165CA">
        <w:tab/>
      </w:r>
      <w:r w:rsidRPr="00F165CA">
        <w:rPr>
          <w:u w:val="single"/>
        </w:rPr>
        <w:t>Situation in the administrative field</w:t>
      </w:r>
    </w:p>
    <w:p w:rsidR="00DD1039" w:rsidRPr="004153ED" w:rsidRDefault="00DD1039" w:rsidP="00DD1039"/>
    <w:p w:rsidR="00DD1039" w:rsidRDefault="00DD1039" w:rsidP="00DD1039">
      <w:pPr>
        <w:rPr>
          <w:bCs/>
        </w:rPr>
      </w:pPr>
      <w:r w:rsidRPr="004153ED">
        <w:rPr>
          <w:bCs/>
        </w:rPr>
        <w:t>The administrative structure and systems as specified in the Act remains the same (s. 39 to 45 of Act 1050).</w:t>
      </w:r>
    </w:p>
    <w:p w:rsidR="00DD1039" w:rsidRDefault="00DD1039" w:rsidP="00DD1039">
      <w:pPr>
        <w:rPr>
          <w:bCs/>
        </w:rPr>
      </w:pPr>
    </w:p>
    <w:p w:rsidR="00DD1039" w:rsidRPr="004153ED" w:rsidRDefault="00DD1039" w:rsidP="00DD1039">
      <w:pPr>
        <w:rPr>
          <w:bCs/>
        </w:rPr>
      </w:pPr>
    </w:p>
    <w:p w:rsidR="00DD1039" w:rsidRPr="00F165CA" w:rsidRDefault="00DD1039" w:rsidP="00DD1039">
      <w:r w:rsidRPr="00F165CA">
        <w:t>4.</w:t>
      </w:r>
      <w:r w:rsidRPr="00F165CA">
        <w:tab/>
      </w:r>
      <w:r w:rsidRPr="00F165CA">
        <w:rPr>
          <w:u w:val="single"/>
        </w:rPr>
        <w:t>Situation in the technical field</w:t>
      </w:r>
    </w:p>
    <w:p w:rsidR="00DD1039" w:rsidRPr="00F165CA" w:rsidRDefault="00DD1039" w:rsidP="00DD1039"/>
    <w:p w:rsidR="00DD1039" w:rsidRPr="004153ED" w:rsidRDefault="00DD1039" w:rsidP="00DD1039">
      <w:pPr>
        <w:rPr>
          <w:bCs/>
        </w:rPr>
      </w:pPr>
      <w:r w:rsidRPr="004153ED">
        <w:rPr>
          <w:bCs/>
        </w:rPr>
        <w:t>The IP office and the Crops Directorate of the Ministry of Food and Agriculture need to develop expertise for the office.</w:t>
      </w:r>
    </w:p>
    <w:p w:rsidR="00DD1039" w:rsidRPr="004153ED" w:rsidRDefault="00DD1039" w:rsidP="00DD1039"/>
    <w:p w:rsidR="00DD1039" w:rsidRDefault="00DD1039" w:rsidP="00DD1039"/>
    <w:p w:rsidR="00DD1039" w:rsidRPr="00F165CA" w:rsidRDefault="00DD1039" w:rsidP="00DD1039">
      <w:pPr>
        <w:rPr>
          <w:u w:val="single"/>
        </w:rPr>
      </w:pPr>
      <w:r w:rsidRPr="00F165CA">
        <w:t>5.</w:t>
      </w:r>
      <w:r w:rsidRPr="00F165CA">
        <w:tab/>
      </w:r>
      <w:r w:rsidRPr="00F165CA">
        <w:rPr>
          <w:u w:val="single"/>
        </w:rPr>
        <w:t>Activities for the promotion of plant variety protection</w:t>
      </w:r>
    </w:p>
    <w:p w:rsidR="00DD1039" w:rsidRPr="00F165CA" w:rsidRDefault="00DD1039" w:rsidP="00DD1039"/>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846"/>
        <w:gridCol w:w="709"/>
        <w:gridCol w:w="895"/>
        <w:gridCol w:w="1215"/>
        <w:gridCol w:w="2284"/>
        <w:gridCol w:w="2268"/>
        <w:gridCol w:w="1559"/>
      </w:tblGrid>
      <w:tr w:rsidR="00DD1039" w:rsidRPr="00EA35FD" w:rsidTr="00647E67">
        <w:trPr>
          <w:cantSplit/>
          <w:tblHeader/>
        </w:trPr>
        <w:tc>
          <w:tcPr>
            <w:tcW w:w="846" w:type="dxa"/>
            <w:shd w:val="clear" w:color="auto" w:fill="auto"/>
          </w:tcPr>
          <w:p w:rsidR="00DD1039" w:rsidRPr="00DD1039" w:rsidRDefault="00DD1039" w:rsidP="00647E67">
            <w:pPr>
              <w:jc w:val="left"/>
              <w:rPr>
                <w:rFonts w:cs="Arial"/>
                <w:sz w:val="16"/>
                <w:szCs w:val="18"/>
              </w:rPr>
            </w:pPr>
            <w:r w:rsidRPr="00DD1039">
              <w:rPr>
                <w:rFonts w:cs="Arial"/>
                <w:sz w:val="16"/>
                <w:szCs w:val="18"/>
              </w:rPr>
              <w:t>Title of activity</w:t>
            </w:r>
          </w:p>
        </w:tc>
        <w:tc>
          <w:tcPr>
            <w:tcW w:w="709" w:type="dxa"/>
            <w:shd w:val="clear" w:color="auto" w:fill="auto"/>
          </w:tcPr>
          <w:p w:rsidR="00DD1039" w:rsidRPr="00DD1039" w:rsidRDefault="00DD1039" w:rsidP="00647E67">
            <w:pPr>
              <w:jc w:val="left"/>
              <w:rPr>
                <w:rFonts w:cs="Arial"/>
                <w:sz w:val="16"/>
                <w:szCs w:val="18"/>
              </w:rPr>
            </w:pPr>
            <w:r w:rsidRPr="00DD1039">
              <w:rPr>
                <w:rFonts w:cs="Arial"/>
                <w:sz w:val="16"/>
                <w:szCs w:val="18"/>
              </w:rPr>
              <w:t>Date</w:t>
            </w:r>
          </w:p>
        </w:tc>
        <w:tc>
          <w:tcPr>
            <w:tcW w:w="895" w:type="dxa"/>
            <w:shd w:val="clear" w:color="auto" w:fill="auto"/>
          </w:tcPr>
          <w:p w:rsidR="00DD1039" w:rsidRPr="00DD1039" w:rsidRDefault="00DD1039" w:rsidP="00647E67">
            <w:pPr>
              <w:jc w:val="left"/>
              <w:rPr>
                <w:rFonts w:cs="Arial"/>
                <w:sz w:val="16"/>
                <w:szCs w:val="18"/>
              </w:rPr>
            </w:pPr>
            <w:r w:rsidRPr="00DD1039">
              <w:rPr>
                <w:rFonts w:cs="Arial"/>
                <w:sz w:val="16"/>
                <w:szCs w:val="18"/>
              </w:rPr>
              <w:t>Location</w:t>
            </w:r>
          </w:p>
        </w:tc>
        <w:tc>
          <w:tcPr>
            <w:tcW w:w="1215" w:type="dxa"/>
            <w:shd w:val="clear" w:color="auto" w:fill="auto"/>
          </w:tcPr>
          <w:p w:rsidR="00DD1039" w:rsidRPr="00DD1039" w:rsidRDefault="00DD1039" w:rsidP="00647E67">
            <w:pPr>
              <w:jc w:val="left"/>
              <w:rPr>
                <w:rFonts w:cs="Arial"/>
                <w:sz w:val="16"/>
                <w:szCs w:val="18"/>
              </w:rPr>
            </w:pPr>
            <w:r w:rsidRPr="00DD1039">
              <w:rPr>
                <w:rFonts w:cs="Arial"/>
                <w:sz w:val="16"/>
                <w:szCs w:val="18"/>
              </w:rPr>
              <w:t>Organizer(s)</w:t>
            </w:r>
          </w:p>
        </w:tc>
        <w:tc>
          <w:tcPr>
            <w:tcW w:w="2284" w:type="dxa"/>
            <w:shd w:val="clear" w:color="auto" w:fill="auto"/>
          </w:tcPr>
          <w:p w:rsidR="00DD1039" w:rsidRPr="00DD1039" w:rsidRDefault="00DD1039" w:rsidP="00647E67">
            <w:pPr>
              <w:jc w:val="left"/>
              <w:rPr>
                <w:rFonts w:cs="Arial"/>
                <w:sz w:val="16"/>
                <w:szCs w:val="18"/>
              </w:rPr>
            </w:pPr>
            <w:r w:rsidRPr="00DD1039">
              <w:rPr>
                <w:rFonts w:cs="Arial"/>
                <w:sz w:val="16"/>
                <w:szCs w:val="18"/>
              </w:rPr>
              <w:t>Purpose of activity</w:t>
            </w:r>
          </w:p>
        </w:tc>
        <w:tc>
          <w:tcPr>
            <w:tcW w:w="2268" w:type="dxa"/>
            <w:shd w:val="clear" w:color="auto" w:fill="auto"/>
          </w:tcPr>
          <w:p w:rsidR="00DD1039" w:rsidRPr="00DD1039" w:rsidRDefault="00DD1039" w:rsidP="00647E67">
            <w:pPr>
              <w:jc w:val="left"/>
              <w:rPr>
                <w:rFonts w:cs="Arial"/>
                <w:sz w:val="16"/>
                <w:szCs w:val="18"/>
              </w:rPr>
            </w:pPr>
            <w:r w:rsidRPr="00DD1039">
              <w:rPr>
                <w:rFonts w:cs="Arial"/>
                <w:sz w:val="16"/>
                <w:szCs w:val="18"/>
              </w:rPr>
              <w:t>Participating countries/ organizations (number of participants from each)</w:t>
            </w:r>
          </w:p>
        </w:tc>
        <w:tc>
          <w:tcPr>
            <w:tcW w:w="1559" w:type="dxa"/>
            <w:shd w:val="clear" w:color="auto" w:fill="auto"/>
          </w:tcPr>
          <w:p w:rsidR="00DD1039" w:rsidRPr="00DD1039" w:rsidRDefault="00DD1039" w:rsidP="00647E67">
            <w:pPr>
              <w:jc w:val="left"/>
              <w:rPr>
                <w:rFonts w:cs="Arial"/>
                <w:sz w:val="16"/>
                <w:szCs w:val="18"/>
              </w:rPr>
            </w:pPr>
            <w:r w:rsidRPr="00DD1039">
              <w:rPr>
                <w:rFonts w:cs="Arial"/>
                <w:sz w:val="16"/>
                <w:szCs w:val="18"/>
              </w:rPr>
              <w:t>Comments</w:t>
            </w:r>
          </w:p>
        </w:tc>
      </w:tr>
      <w:tr w:rsidR="00DD1039" w:rsidRPr="00EA35FD" w:rsidTr="00647E67">
        <w:trPr>
          <w:cantSplit/>
        </w:trPr>
        <w:tc>
          <w:tcPr>
            <w:tcW w:w="846" w:type="dxa"/>
            <w:shd w:val="clear" w:color="auto" w:fill="auto"/>
          </w:tcPr>
          <w:p w:rsidR="00DD1039" w:rsidRPr="00DD1039" w:rsidRDefault="00DD1039" w:rsidP="00647E67">
            <w:pPr>
              <w:jc w:val="left"/>
              <w:rPr>
                <w:rFonts w:cs="Arial"/>
                <w:sz w:val="16"/>
                <w:szCs w:val="18"/>
              </w:rPr>
            </w:pPr>
            <w:r w:rsidRPr="00DD1039">
              <w:rPr>
                <w:rFonts w:cs="Arial"/>
                <w:sz w:val="16"/>
                <w:szCs w:val="18"/>
              </w:rPr>
              <w:t>1.</w:t>
            </w:r>
          </w:p>
          <w:p w:rsidR="00DD1039" w:rsidRPr="00DD1039" w:rsidRDefault="00DD1039" w:rsidP="00647E67">
            <w:pPr>
              <w:jc w:val="left"/>
              <w:rPr>
                <w:rFonts w:cs="Arial"/>
                <w:sz w:val="16"/>
                <w:szCs w:val="18"/>
              </w:rPr>
            </w:pPr>
          </w:p>
        </w:tc>
        <w:tc>
          <w:tcPr>
            <w:tcW w:w="709" w:type="dxa"/>
            <w:shd w:val="clear" w:color="auto" w:fill="auto"/>
          </w:tcPr>
          <w:p w:rsidR="00DD1039" w:rsidRPr="00DD1039" w:rsidRDefault="00DD1039" w:rsidP="00647E67">
            <w:pPr>
              <w:jc w:val="left"/>
              <w:rPr>
                <w:rFonts w:cs="Arial"/>
                <w:sz w:val="16"/>
                <w:szCs w:val="18"/>
              </w:rPr>
            </w:pPr>
            <w:r w:rsidRPr="00DD1039">
              <w:rPr>
                <w:rFonts w:cs="Arial"/>
                <w:sz w:val="16"/>
                <w:szCs w:val="18"/>
              </w:rPr>
              <w:t>2023-2024</w:t>
            </w:r>
          </w:p>
        </w:tc>
        <w:tc>
          <w:tcPr>
            <w:tcW w:w="895" w:type="dxa"/>
            <w:shd w:val="clear" w:color="auto" w:fill="auto"/>
          </w:tcPr>
          <w:p w:rsidR="00DD1039" w:rsidRPr="00DD1039" w:rsidRDefault="00DD1039" w:rsidP="00647E67">
            <w:pPr>
              <w:jc w:val="left"/>
              <w:rPr>
                <w:rFonts w:cs="Arial"/>
                <w:sz w:val="16"/>
                <w:szCs w:val="18"/>
              </w:rPr>
            </w:pPr>
            <w:r w:rsidRPr="00DD1039">
              <w:rPr>
                <w:rFonts w:cs="Arial"/>
                <w:sz w:val="16"/>
                <w:szCs w:val="18"/>
              </w:rPr>
              <w:t>Ghana</w:t>
            </w:r>
          </w:p>
        </w:tc>
        <w:tc>
          <w:tcPr>
            <w:tcW w:w="1215" w:type="dxa"/>
            <w:shd w:val="clear" w:color="auto" w:fill="auto"/>
          </w:tcPr>
          <w:p w:rsidR="00DD1039" w:rsidRPr="00DD1039" w:rsidRDefault="00DD1039" w:rsidP="00647E67">
            <w:pPr>
              <w:jc w:val="left"/>
              <w:rPr>
                <w:rFonts w:cs="Arial"/>
                <w:sz w:val="16"/>
                <w:szCs w:val="18"/>
              </w:rPr>
            </w:pPr>
            <w:r w:rsidRPr="00DD1039">
              <w:rPr>
                <w:rFonts w:cs="Arial"/>
                <w:sz w:val="16"/>
                <w:szCs w:val="18"/>
              </w:rPr>
              <w:t>GHIPO</w:t>
            </w:r>
          </w:p>
        </w:tc>
        <w:tc>
          <w:tcPr>
            <w:tcW w:w="2284" w:type="dxa"/>
            <w:shd w:val="clear" w:color="auto" w:fill="auto"/>
          </w:tcPr>
          <w:p w:rsidR="00DD1039" w:rsidRPr="00DD1039" w:rsidRDefault="00DD1039" w:rsidP="00647E67">
            <w:pPr>
              <w:jc w:val="left"/>
              <w:rPr>
                <w:rFonts w:cs="Arial"/>
                <w:sz w:val="16"/>
                <w:szCs w:val="18"/>
              </w:rPr>
            </w:pPr>
            <w:r w:rsidRPr="00DD1039">
              <w:rPr>
                <w:rFonts w:cs="Arial"/>
                <w:sz w:val="16"/>
                <w:szCs w:val="18"/>
              </w:rPr>
              <w:t>The IP Office to train staff of IP office in the</w:t>
            </w:r>
          </w:p>
          <w:p w:rsidR="00DD1039" w:rsidRPr="00DD1039" w:rsidRDefault="00DD1039" w:rsidP="00647E67">
            <w:pPr>
              <w:jc w:val="left"/>
              <w:rPr>
                <w:rFonts w:cs="Arial"/>
                <w:sz w:val="16"/>
                <w:szCs w:val="18"/>
              </w:rPr>
            </w:pPr>
            <w:r w:rsidRPr="00DD1039">
              <w:rPr>
                <w:rFonts w:cs="Arial"/>
                <w:sz w:val="16"/>
                <w:szCs w:val="18"/>
              </w:rPr>
              <w:t>examination of novelty and variety denomination (including relevant</w:t>
            </w:r>
          </w:p>
          <w:p w:rsidR="00DD1039" w:rsidRPr="00DD1039" w:rsidRDefault="00DD1039" w:rsidP="00647E67">
            <w:pPr>
              <w:jc w:val="left"/>
              <w:rPr>
                <w:rFonts w:cs="Arial"/>
                <w:sz w:val="16"/>
                <w:szCs w:val="18"/>
              </w:rPr>
            </w:pPr>
            <w:r w:rsidRPr="00DD1039">
              <w:rPr>
                <w:rFonts w:cs="Arial"/>
                <w:sz w:val="16"/>
                <w:szCs w:val="18"/>
              </w:rPr>
              <w:t>databases)</w:t>
            </w:r>
          </w:p>
        </w:tc>
        <w:tc>
          <w:tcPr>
            <w:tcW w:w="2268" w:type="dxa"/>
            <w:shd w:val="clear" w:color="auto" w:fill="auto"/>
          </w:tcPr>
          <w:p w:rsidR="00DD1039" w:rsidRPr="00DD1039" w:rsidRDefault="00DD1039" w:rsidP="00647E67">
            <w:pPr>
              <w:jc w:val="left"/>
              <w:rPr>
                <w:rFonts w:cs="Arial"/>
                <w:sz w:val="16"/>
                <w:szCs w:val="18"/>
              </w:rPr>
            </w:pPr>
            <w:r w:rsidRPr="00DD1039">
              <w:rPr>
                <w:rFonts w:cs="Arial"/>
                <w:sz w:val="16"/>
                <w:szCs w:val="18"/>
              </w:rPr>
              <w:t>UPOV</w:t>
            </w:r>
          </w:p>
          <w:p w:rsidR="00DD1039" w:rsidRPr="00DD1039" w:rsidRDefault="00DD1039" w:rsidP="00647E67">
            <w:pPr>
              <w:jc w:val="left"/>
              <w:rPr>
                <w:rFonts w:cs="Arial"/>
                <w:sz w:val="16"/>
                <w:szCs w:val="18"/>
              </w:rPr>
            </w:pPr>
            <w:r w:rsidRPr="00DD1039">
              <w:rPr>
                <w:rFonts w:cs="Arial"/>
                <w:sz w:val="16"/>
                <w:szCs w:val="18"/>
              </w:rPr>
              <w:t>GHIPO</w:t>
            </w:r>
          </w:p>
          <w:p w:rsidR="00DD1039" w:rsidRPr="00DD1039" w:rsidRDefault="00DD1039" w:rsidP="00647E67">
            <w:pPr>
              <w:jc w:val="left"/>
              <w:rPr>
                <w:rFonts w:cs="Arial"/>
                <w:sz w:val="16"/>
                <w:szCs w:val="18"/>
              </w:rPr>
            </w:pPr>
            <w:r w:rsidRPr="00DD1039">
              <w:rPr>
                <w:rFonts w:cs="Arial"/>
                <w:sz w:val="16"/>
                <w:szCs w:val="18"/>
              </w:rPr>
              <w:t>Collaborators</w:t>
            </w:r>
          </w:p>
          <w:p w:rsidR="00DD1039" w:rsidRPr="00DD1039" w:rsidRDefault="00DD1039" w:rsidP="00647E67">
            <w:pPr>
              <w:jc w:val="left"/>
              <w:rPr>
                <w:rFonts w:cs="Arial"/>
                <w:sz w:val="16"/>
                <w:szCs w:val="18"/>
              </w:rPr>
            </w:pPr>
          </w:p>
        </w:tc>
        <w:tc>
          <w:tcPr>
            <w:tcW w:w="1559" w:type="dxa"/>
            <w:shd w:val="clear" w:color="auto" w:fill="auto"/>
          </w:tcPr>
          <w:p w:rsidR="00DD1039" w:rsidRPr="00DD1039" w:rsidRDefault="00DD1039" w:rsidP="00647E67">
            <w:pPr>
              <w:jc w:val="left"/>
              <w:rPr>
                <w:rFonts w:cs="Arial"/>
                <w:sz w:val="16"/>
                <w:szCs w:val="18"/>
              </w:rPr>
            </w:pPr>
            <w:r w:rsidRPr="00DD1039">
              <w:rPr>
                <w:rFonts w:cs="Arial"/>
                <w:sz w:val="16"/>
                <w:szCs w:val="18"/>
              </w:rPr>
              <w:t>Planning is under way for this program</w:t>
            </w:r>
          </w:p>
        </w:tc>
      </w:tr>
      <w:tr w:rsidR="00DD1039" w:rsidRPr="00EA35FD" w:rsidTr="00647E67">
        <w:trPr>
          <w:cantSplit/>
        </w:trPr>
        <w:tc>
          <w:tcPr>
            <w:tcW w:w="846" w:type="dxa"/>
            <w:shd w:val="clear" w:color="auto" w:fill="auto"/>
          </w:tcPr>
          <w:p w:rsidR="00DD1039" w:rsidRPr="00DD1039" w:rsidRDefault="00DD1039" w:rsidP="00647E67">
            <w:pPr>
              <w:jc w:val="left"/>
              <w:rPr>
                <w:rFonts w:cs="Arial"/>
                <w:sz w:val="16"/>
                <w:szCs w:val="18"/>
              </w:rPr>
            </w:pPr>
            <w:r w:rsidRPr="00DD1039">
              <w:rPr>
                <w:rFonts w:cs="Arial"/>
                <w:sz w:val="16"/>
                <w:szCs w:val="18"/>
              </w:rPr>
              <w:t>2.</w:t>
            </w:r>
          </w:p>
          <w:p w:rsidR="00DD1039" w:rsidRPr="00DD1039" w:rsidRDefault="00DD1039" w:rsidP="00647E67">
            <w:pPr>
              <w:jc w:val="left"/>
              <w:rPr>
                <w:rFonts w:cs="Arial"/>
                <w:sz w:val="16"/>
                <w:szCs w:val="18"/>
              </w:rPr>
            </w:pPr>
          </w:p>
        </w:tc>
        <w:tc>
          <w:tcPr>
            <w:tcW w:w="709" w:type="dxa"/>
            <w:shd w:val="clear" w:color="auto" w:fill="auto"/>
          </w:tcPr>
          <w:p w:rsidR="00DD1039" w:rsidRPr="00DD1039" w:rsidRDefault="00DD1039" w:rsidP="00647E67">
            <w:pPr>
              <w:jc w:val="left"/>
              <w:rPr>
                <w:rFonts w:cs="Arial"/>
                <w:sz w:val="16"/>
                <w:szCs w:val="18"/>
              </w:rPr>
            </w:pPr>
            <w:r w:rsidRPr="00DD1039">
              <w:rPr>
                <w:rFonts w:cs="Arial"/>
                <w:sz w:val="16"/>
                <w:szCs w:val="18"/>
              </w:rPr>
              <w:t>2023</w:t>
            </w:r>
          </w:p>
        </w:tc>
        <w:tc>
          <w:tcPr>
            <w:tcW w:w="895" w:type="dxa"/>
            <w:shd w:val="clear" w:color="auto" w:fill="auto"/>
          </w:tcPr>
          <w:p w:rsidR="00DD1039" w:rsidRPr="00DD1039" w:rsidRDefault="00DD1039" w:rsidP="00647E67">
            <w:pPr>
              <w:jc w:val="left"/>
              <w:rPr>
                <w:rFonts w:cs="Arial"/>
                <w:sz w:val="16"/>
                <w:szCs w:val="18"/>
              </w:rPr>
            </w:pPr>
            <w:r w:rsidRPr="00DD1039">
              <w:rPr>
                <w:rFonts w:cs="Arial"/>
                <w:sz w:val="16"/>
                <w:szCs w:val="18"/>
              </w:rPr>
              <w:t>Ghana</w:t>
            </w:r>
          </w:p>
        </w:tc>
        <w:tc>
          <w:tcPr>
            <w:tcW w:w="1215" w:type="dxa"/>
            <w:shd w:val="clear" w:color="auto" w:fill="auto"/>
          </w:tcPr>
          <w:p w:rsidR="00DD1039" w:rsidRPr="00DD1039" w:rsidRDefault="00DD1039" w:rsidP="00647E67">
            <w:pPr>
              <w:jc w:val="left"/>
              <w:rPr>
                <w:rFonts w:cs="Arial"/>
                <w:sz w:val="16"/>
                <w:szCs w:val="18"/>
              </w:rPr>
            </w:pPr>
            <w:r w:rsidRPr="00DD1039">
              <w:rPr>
                <w:rFonts w:cs="Arial"/>
                <w:sz w:val="16"/>
                <w:szCs w:val="18"/>
              </w:rPr>
              <w:t>GHIPO</w:t>
            </w:r>
          </w:p>
        </w:tc>
        <w:tc>
          <w:tcPr>
            <w:tcW w:w="2284" w:type="dxa"/>
            <w:shd w:val="clear" w:color="auto" w:fill="auto"/>
          </w:tcPr>
          <w:p w:rsidR="00DD1039" w:rsidRPr="00DD1039" w:rsidRDefault="00DD1039" w:rsidP="00647E67">
            <w:pPr>
              <w:jc w:val="left"/>
              <w:rPr>
                <w:rFonts w:cs="Arial"/>
                <w:sz w:val="16"/>
                <w:szCs w:val="18"/>
              </w:rPr>
            </w:pPr>
            <w:r w:rsidRPr="00DD1039">
              <w:rPr>
                <w:rFonts w:cs="Arial"/>
                <w:sz w:val="16"/>
                <w:szCs w:val="18"/>
              </w:rPr>
              <w:t>The IP Office to liaise with the Ministry of Food and Agriculture to initiate awareness on PVP and engagement with the Ghana Genetic Rescue Centre (Gene Bank)</w:t>
            </w:r>
          </w:p>
        </w:tc>
        <w:tc>
          <w:tcPr>
            <w:tcW w:w="2268" w:type="dxa"/>
            <w:shd w:val="clear" w:color="auto" w:fill="auto"/>
          </w:tcPr>
          <w:p w:rsidR="00DD1039" w:rsidRPr="00DD1039" w:rsidRDefault="00DD1039" w:rsidP="00647E67">
            <w:pPr>
              <w:jc w:val="left"/>
              <w:rPr>
                <w:rFonts w:cs="Arial"/>
                <w:sz w:val="16"/>
                <w:szCs w:val="18"/>
              </w:rPr>
            </w:pPr>
            <w:r w:rsidRPr="00DD1039">
              <w:rPr>
                <w:rFonts w:cs="Arial"/>
                <w:sz w:val="16"/>
                <w:szCs w:val="18"/>
              </w:rPr>
              <w:t>UPOV</w:t>
            </w:r>
          </w:p>
          <w:p w:rsidR="00DD1039" w:rsidRPr="00DD1039" w:rsidRDefault="00DD1039" w:rsidP="00647E67">
            <w:pPr>
              <w:jc w:val="left"/>
              <w:rPr>
                <w:rFonts w:cs="Arial"/>
                <w:sz w:val="16"/>
                <w:szCs w:val="18"/>
              </w:rPr>
            </w:pPr>
            <w:r w:rsidRPr="00DD1039">
              <w:rPr>
                <w:rFonts w:cs="Arial"/>
                <w:sz w:val="16"/>
                <w:szCs w:val="18"/>
              </w:rPr>
              <w:t>GHIPO</w:t>
            </w:r>
          </w:p>
          <w:p w:rsidR="00DD1039" w:rsidRPr="00DD1039" w:rsidRDefault="00DD1039" w:rsidP="00647E67">
            <w:pPr>
              <w:jc w:val="left"/>
              <w:rPr>
                <w:rFonts w:cs="Arial"/>
                <w:sz w:val="16"/>
                <w:szCs w:val="18"/>
              </w:rPr>
            </w:pPr>
            <w:r w:rsidRPr="00DD1039">
              <w:rPr>
                <w:rFonts w:cs="Arial"/>
                <w:sz w:val="16"/>
                <w:szCs w:val="18"/>
              </w:rPr>
              <w:t>Collaborators</w:t>
            </w:r>
          </w:p>
          <w:p w:rsidR="00DD1039" w:rsidRPr="00DD1039" w:rsidRDefault="00DD1039" w:rsidP="00647E67">
            <w:pPr>
              <w:jc w:val="left"/>
              <w:rPr>
                <w:rFonts w:cs="Arial"/>
                <w:sz w:val="16"/>
                <w:szCs w:val="18"/>
              </w:rPr>
            </w:pPr>
          </w:p>
        </w:tc>
        <w:tc>
          <w:tcPr>
            <w:tcW w:w="1559" w:type="dxa"/>
            <w:shd w:val="clear" w:color="auto" w:fill="auto"/>
          </w:tcPr>
          <w:p w:rsidR="00DD1039" w:rsidRPr="00DD1039" w:rsidRDefault="00DD1039" w:rsidP="00647E67">
            <w:pPr>
              <w:jc w:val="left"/>
              <w:rPr>
                <w:rFonts w:cs="Arial"/>
                <w:sz w:val="16"/>
                <w:szCs w:val="18"/>
              </w:rPr>
            </w:pPr>
            <w:r w:rsidRPr="00DD1039">
              <w:rPr>
                <w:rFonts w:cs="Arial"/>
                <w:sz w:val="16"/>
                <w:szCs w:val="18"/>
              </w:rPr>
              <w:t>Planning is under way for this program</w:t>
            </w:r>
          </w:p>
        </w:tc>
      </w:tr>
      <w:tr w:rsidR="00DD1039" w:rsidRPr="00EA35FD" w:rsidTr="00647E67">
        <w:trPr>
          <w:cantSplit/>
        </w:trPr>
        <w:tc>
          <w:tcPr>
            <w:tcW w:w="846" w:type="dxa"/>
            <w:shd w:val="clear" w:color="auto" w:fill="auto"/>
          </w:tcPr>
          <w:p w:rsidR="00DD1039" w:rsidRPr="00DD1039" w:rsidRDefault="00DD1039" w:rsidP="00647E67">
            <w:pPr>
              <w:jc w:val="left"/>
              <w:rPr>
                <w:rFonts w:cs="Arial"/>
                <w:sz w:val="16"/>
                <w:szCs w:val="18"/>
              </w:rPr>
            </w:pPr>
            <w:r w:rsidRPr="00DD1039">
              <w:rPr>
                <w:rFonts w:cs="Arial"/>
                <w:sz w:val="16"/>
                <w:szCs w:val="18"/>
              </w:rPr>
              <w:lastRenderedPageBreak/>
              <w:t>3.</w:t>
            </w:r>
          </w:p>
        </w:tc>
        <w:tc>
          <w:tcPr>
            <w:tcW w:w="709" w:type="dxa"/>
            <w:shd w:val="clear" w:color="auto" w:fill="auto"/>
          </w:tcPr>
          <w:p w:rsidR="00DD1039" w:rsidRPr="00DD1039" w:rsidRDefault="00DD1039" w:rsidP="00647E67">
            <w:pPr>
              <w:jc w:val="left"/>
              <w:rPr>
                <w:rFonts w:cs="Arial"/>
                <w:sz w:val="16"/>
                <w:szCs w:val="18"/>
              </w:rPr>
            </w:pPr>
            <w:r w:rsidRPr="00DD1039">
              <w:rPr>
                <w:rFonts w:cs="Arial"/>
                <w:sz w:val="16"/>
                <w:szCs w:val="18"/>
              </w:rPr>
              <w:t>2023</w:t>
            </w:r>
          </w:p>
        </w:tc>
        <w:tc>
          <w:tcPr>
            <w:tcW w:w="895" w:type="dxa"/>
            <w:shd w:val="clear" w:color="auto" w:fill="auto"/>
          </w:tcPr>
          <w:p w:rsidR="00DD1039" w:rsidRPr="00DD1039" w:rsidRDefault="00DD1039" w:rsidP="00647E67">
            <w:pPr>
              <w:jc w:val="left"/>
              <w:rPr>
                <w:rFonts w:cs="Arial"/>
                <w:sz w:val="16"/>
                <w:szCs w:val="18"/>
              </w:rPr>
            </w:pPr>
            <w:r w:rsidRPr="00DD1039">
              <w:rPr>
                <w:rFonts w:cs="Arial"/>
                <w:sz w:val="16"/>
                <w:szCs w:val="18"/>
              </w:rPr>
              <w:t>Ghana</w:t>
            </w:r>
          </w:p>
        </w:tc>
        <w:tc>
          <w:tcPr>
            <w:tcW w:w="1215" w:type="dxa"/>
            <w:shd w:val="clear" w:color="auto" w:fill="auto"/>
          </w:tcPr>
          <w:p w:rsidR="00DD1039" w:rsidRPr="00DD1039" w:rsidRDefault="00DD1039" w:rsidP="00647E67">
            <w:pPr>
              <w:jc w:val="left"/>
              <w:rPr>
                <w:rFonts w:cs="Arial"/>
                <w:sz w:val="16"/>
                <w:szCs w:val="18"/>
              </w:rPr>
            </w:pPr>
            <w:r w:rsidRPr="00DD1039">
              <w:rPr>
                <w:rFonts w:cs="Arial"/>
                <w:sz w:val="16"/>
                <w:szCs w:val="18"/>
              </w:rPr>
              <w:t>GHIPO</w:t>
            </w:r>
          </w:p>
        </w:tc>
        <w:tc>
          <w:tcPr>
            <w:tcW w:w="2284" w:type="dxa"/>
            <w:shd w:val="clear" w:color="auto" w:fill="auto"/>
          </w:tcPr>
          <w:p w:rsidR="00DD1039" w:rsidRPr="00DD1039" w:rsidRDefault="00DD1039" w:rsidP="00647E67">
            <w:pPr>
              <w:jc w:val="left"/>
              <w:rPr>
                <w:rFonts w:cs="Arial"/>
                <w:sz w:val="16"/>
                <w:szCs w:val="18"/>
              </w:rPr>
            </w:pPr>
            <w:r w:rsidRPr="00DD1039">
              <w:rPr>
                <w:rFonts w:cs="Arial"/>
                <w:sz w:val="16"/>
                <w:szCs w:val="18"/>
              </w:rPr>
              <w:t>The IP Office to liaise with the Ministry of Food and Agriculture,</w:t>
            </w:r>
          </w:p>
          <w:p w:rsidR="00DD1039" w:rsidRPr="00DD1039" w:rsidRDefault="00DD1039" w:rsidP="00647E67">
            <w:pPr>
              <w:jc w:val="left"/>
              <w:rPr>
                <w:rFonts w:cs="Arial"/>
                <w:sz w:val="16"/>
                <w:szCs w:val="18"/>
              </w:rPr>
            </w:pPr>
            <w:r w:rsidRPr="00DD1039">
              <w:rPr>
                <w:rFonts w:cs="Arial"/>
                <w:sz w:val="16"/>
                <w:szCs w:val="18"/>
              </w:rPr>
              <w:t>the Crops Research Institute and the Savannah Agricultural Research</w:t>
            </w:r>
          </w:p>
          <w:p w:rsidR="00DD1039" w:rsidRPr="00DD1039" w:rsidRDefault="00DD1039" w:rsidP="00647E67">
            <w:pPr>
              <w:jc w:val="left"/>
              <w:rPr>
                <w:rFonts w:cs="Arial"/>
                <w:sz w:val="16"/>
                <w:szCs w:val="18"/>
              </w:rPr>
            </w:pPr>
            <w:r w:rsidRPr="00DD1039">
              <w:rPr>
                <w:rFonts w:cs="Arial"/>
                <w:sz w:val="16"/>
                <w:szCs w:val="18"/>
              </w:rPr>
              <w:t>Institute of the Council for Scientific and Industrial Research to</w:t>
            </w:r>
          </w:p>
          <w:p w:rsidR="00DD1039" w:rsidRPr="00DD1039" w:rsidRDefault="00DD1039" w:rsidP="00647E67">
            <w:pPr>
              <w:jc w:val="left"/>
              <w:rPr>
                <w:rFonts w:cs="Arial"/>
                <w:sz w:val="16"/>
                <w:szCs w:val="18"/>
              </w:rPr>
            </w:pPr>
            <w:r w:rsidRPr="00DD1039">
              <w:rPr>
                <w:rFonts w:cs="Arial"/>
                <w:sz w:val="16"/>
                <w:szCs w:val="18"/>
              </w:rPr>
              <w:t>continue to raise awareness</w:t>
            </w:r>
          </w:p>
        </w:tc>
        <w:tc>
          <w:tcPr>
            <w:tcW w:w="2268" w:type="dxa"/>
            <w:shd w:val="clear" w:color="auto" w:fill="auto"/>
          </w:tcPr>
          <w:p w:rsidR="00DD1039" w:rsidRPr="00DD1039" w:rsidRDefault="00DD1039" w:rsidP="00647E67">
            <w:pPr>
              <w:jc w:val="left"/>
              <w:rPr>
                <w:rFonts w:cs="Arial"/>
                <w:sz w:val="16"/>
                <w:szCs w:val="18"/>
              </w:rPr>
            </w:pPr>
            <w:r w:rsidRPr="00DD1039">
              <w:rPr>
                <w:rFonts w:cs="Arial"/>
                <w:sz w:val="16"/>
                <w:szCs w:val="18"/>
              </w:rPr>
              <w:t>UPOV</w:t>
            </w:r>
          </w:p>
          <w:p w:rsidR="00DD1039" w:rsidRPr="00DD1039" w:rsidRDefault="00DD1039" w:rsidP="00647E67">
            <w:pPr>
              <w:jc w:val="left"/>
              <w:rPr>
                <w:rFonts w:cs="Arial"/>
                <w:sz w:val="16"/>
                <w:szCs w:val="18"/>
              </w:rPr>
            </w:pPr>
            <w:r w:rsidRPr="00DD1039">
              <w:rPr>
                <w:rFonts w:cs="Arial"/>
                <w:sz w:val="16"/>
                <w:szCs w:val="18"/>
              </w:rPr>
              <w:t>GHIPO</w:t>
            </w:r>
          </w:p>
          <w:p w:rsidR="00DD1039" w:rsidRPr="00DD1039" w:rsidRDefault="00DD1039" w:rsidP="00647E67">
            <w:pPr>
              <w:jc w:val="left"/>
              <w:rPr>
                <w:rFonts w:cs="Arial"/>
                <w:sz w:val="16"/>
                <w:szCs w:val="18"/>
              </w:rPr>
            </w:pPr>
            <w:r w:rsidRPr="00DD1039">
              <w:rPr>
                <w:rFonts w:cs="Arial"/>
                <w:sz w:val="16"/>
                <w:szCs w:val="18"/>
              </w:rPr>
              <w:t>Collaborators</w:t>
            </w:r>
          </w:p>
          <w:p w:rsidR="00DD1039" w:rsidRPr="00DD1039" w:rsidRDefault="00DD1039" w:rsidP="00647E67">
            <w:pPr>
              <w:jc w:val="left"/>
              <w:rPr>
                <w:rFonts w:cs="Arial"/>
                <w:sz w:val="16"/>
                <w:szCs w:val="18"/>
              </w:rPr>
            </w:pPr>
          </w:p>
        </w:tc>
        <w:tc>
          <w:tcPr>
            <w:tcW w:w="1559" w:type="dxa"/>
            <w:shd w:val="clear" w:color="auto" w:fill="auto"/>
          </w:tcPr>
          <w:p w:rsidR="00DD1039" w:rsidRPr="00DD1039" w:rsidRDefault="00DD1039" w:rsidP="00647E67">
            <w:pPr>
              <w:jc w:val="left"/>
              <w:rPr>
                <w:rFonts w:cs="Arial"/>
                <w:sz w:val="16"/>
                <w:szCs w:val="18"/>
              </w:rPr>
            </w:pPr>
            <w:r w:rsidRPr="00DD1039">
              <w:rPr>
                <w:rFonts w:cs="Arial"/>
                <w:sz w:val="16"/>
                <w:szCs w:val="18"/>
              </w:rPr>
              <w:t>Planning is under way for this program</w:t>
            </w:r>
          </w:p>
        </w:tc>
      </w:tr>
      <w:tr w:rsidR="00DD1039" w:rsidRPr="00EA35FD" w:rsidTr="00647E67">
        <w:trPr>
          <w:cantSplit/>
        </w:trPr>
        <w:tc>
          <w:tcPr>
            <w:tcW w:w="846" w:type="dxa"/>
            <w:shd w:val="clear" w:color="auto" w:fill="auto"/>
          </w:tcPr>
          <w:p w:rsidR="00DD1039" w:rsidRPr="00DD1039" w:rsidRDefault="00DD1039" w:rsidP="00647E67">
            <w:pPr>
              <w:jc w:val="left"/>
              <w:rPr>
                <w:rFonts w:cs="Arial"/>
                <w:sz w:val="16"/>
                <w:szCs w:val="18"/>
              </w:rPr>
            </w:pPr>
            <w:r w:rsidRPr="00DD1039">
              <w:rPr>
                <w:rFonts w:cs="Arial"/>
                <w:sz w:val="16"/>
                <w:szCs w:val="18"/>
              </w:rPr>
              <w:t xml:space="preserve">4. </w:t>
            </w:r>
          </w:p>
        </w:tc>
        <w:tc>
          <w:tcPr>
            <w:tcW w:w="709" w:type="dxa"/>
            <w:shd w:val="clear" w:color="auto" w:fill="auto"/>
          </w:tcPr>
          <w:p w:rsidR="00DD1039" w:rsidRPr="00DD1039" w:rsidRDefault="00DD1039" w:rsidP="00647E67">
            <w:pPr>
              <w:jc w:val="left"/>
              <w:rPr>
                <w:rFonts w:cs="Arial"/>
                <w:sz w:val="16"/>
                <w:szCs w:val="18"/>
              </w:rPr>
            </w:pPr>
            <w:r w:rsidRPr="00DD1039">
              <w:rPr>
                <w:rFonts w:cs="Arial"/>
                <w:sz w:val="16"/>
                <w:szCs w:val="18"/>
              </w:rPr>
              <w:t>2023</w:t>
            </w:r>
          </w:p>
        </w:tc>
        <w:tc>
          <w:tcPr>
            <w:tcW w:w="895" w:type="dxa"/>
            <w:shd w:val="clear" w:color="auto" w:fill="auto"/>
          </w:tcPr>
          <w:p w:rsidR="00DD1039" w:rsidRPr="00DD1039" w:rsidRDefault="00DD1039" w:rsidP="00647E67">
            <w:pPr>
              <w:jc w:val="left"/>
              <w:rPr>
                <w:rFonts w:cs="Arial"/>
                <w:sz w:val="16"/>
                <w:szCs w:val="18"/>
              </w:rPr>
            </w:pPr>
            <w:r w:rsidRPr="00DD1039">
              <w:rPr>
                <w:rFonts w:cs="Arial"/>
                <w:sz w:val="16"/>
                <w:szCs w:val="18"/>
              </w:rPr>
              <w:t>Ghana</w:t>
            </w:r>
          </w:p>
        </w:tc>
        <w:tc>
          <w:tcPr>
            <w:tcW w:w="1215" w:type="dxa"/>
            <w:shd w:val="clear" w:color="auto" w:fill="auto"/>
          </w:tcPr>
          <w:p w:rsidR="00DD1039" w:rsidRPr="00DD1039" w:rsidRDefault="00DD1039" w:rsidP="00647E67">
            <w:pPr>
              <w:jc w:val="left"/>
              <w:rPr>
                <w:rFonts w:cs="Arial"/>
                <w:sz w:val="16"/>
                <w:szCs w:val="18"/>
              </w:rPr>
            </w:pPr>
            <w:r w:rsidRPr="00DD1039">
              <w:rPr>
                <w:rFonts w:cs="Arial"/>
                <w:sz w:val="16"/>
                <w:szCs w:val="18"/>
              </w:rPr>
              <w:t>GHIPO</w:t>
            </w:r>
          </w:p>
        </w:tc>
        <w:tc>
          <w:tcPr>
            <w:tcW w:w="2284" w:type="dxa"/>
            <w:shd w:val="clear" w:color="auto" w:fill="auto"/>
          </w:tcPr>
          <w:p w:rsidR="00DD1039" w:rsidRPr="00DD1039" w:rsidRDefault="00DD1039" w:rsidP="00647E67">
            <w:pPr>
              <w:jc w:val="left"/>
              <w:rPr>
                <w:rFonts w:cs="Arial"/>
                <w:sz w:val="16"/>
                <w:szCs w:val="18"/>
              </w:rPr>
            </w:pPr>
            <w:r w:rsidRPr="00DD1039">
              <w:rPr>
                <w:rFonts w:cs="Arial"/>
                <w:sz w:val="16"/>
                <w:szCs w:val="18"/>
              </w:rPr>
              <w:t>The IP Office to liaise with the Ministry of Food and Agriculture</w:t>
            </w:r>
          </w:p>
          <w:p w:rsidR="00DD1039" w:rsidRPr="00DD1039" w:rsidRDefault="00DD1039" w:rsidP="00647E67">
            <w:pPr>
              <w:jc w:val="left"/>
              <w:rPr>
                <w:rFonts w:cs="Arial"/>
                <w:sz w:val="16"/>
                <w:szCs w:val="18"/>
              </w:rPr>
            </w:pPr>
            <w:r w:rsidRPr="00DD1039">
              <w:rPr>
                <w:rFonts w:cs="Arial"/>
                <w:sz w:val="16"/>
                <w:szCs w:val="18"/>
              </w:rPr>
              <w:t>undertake identification of DUS testing centers and their needs</w:t>
            </w:r>
          </w:p>
        </w:tc>
        <w:tc>
          <w:tcPr>
            <w:tcW w:w="2268" w:type="dxa"/>
            <w:shd w:val="clear" w:color="auto" w:fill="auto"/>
          </w:tcPr>
          <w:p w:rsidR="00DD1039" w:rsidRPr="00DD1039" w:rsidRDefault="00DD1039" w:rsidP="00647E67">
            <w:pPr>
              <w:jc w:val="left"/>
              <w:rPr>
                <w:rFonts w:cs="Arial"/>
                <w:sz w:val="16"/>
                <w:szCs w:val="18"/>
              </w:rPr>
            </w:pPr>
            <w:r w:rsidRPr="00DD1039">
              <w:rPr>
                <w:rFonts w:cs="Arial"/>
                <w:sz w:val="16"/>
                <w:szCs w:val="18"/>
              </w:rPr>
              <w:t>UPOV</w:t>
            </w:r>
          </w:p>
          <w:p w:rsidR="00DD1039" w:rsidRPr="00DD1039" w:rsidRDefault="00DD1039" w:rsidP="00647E67">
            <w:pPr>
              <w:jc w:val="left"/>
              <w:rPr>
                <w:rFonts w:cs="Arial"/>
                <w:sz w:val="16"/>
                <w:szCs w:val="18"/>
              </w:rPr>
            </w:pPr>
            <w:r w:rsidRPr="00DD1039">
              <w:rPr>
                <w:rFonts w:cs="Arial"/>
                <w:sz w:val="16"/>
                <w:szCs w:val="18"/>
              </w:rPr>
              <w:t>GHIPO</w:t>
            </w:r>
          </w:p>
          <w:p w:rsidR="00DD1039" w:rsidRPr="00DD1039" w:rsidRDefault="00DD1039" w:rsidP="00647E67">
            <w:pPr>
              <w:jc w:val="left"/>
              <w:rPr>
                <w:rFonts w:cs="Arial"/>
                <w:sz w:val="16"/>
                <w:szCs w:val="18"/>
              </w:rPr>
            </w:pPr>
            <w:r w:rsidRPr="00DD1039">
              <w:rPr>
                <w:rFonts w:cs="Arial"/>
                <w:sz w:val="16"/>
                <w:szCs w:val="18"/>
              </w:rPr>
              <w:t>Collaborators</w:t>
            </w:r>
          </w:p>
          <w:p w:rsidR="00DD1039" w:rsidRPr="00DD1039" w:rsidRDefault="00DD1039" w:rsidP="00647E67">
            <w:pPr>
              <w:jc w:val="left"/>
              <w:rPr>
                <w:rFonts w:cs="Arial"/>
                <w:sz w:val="16"/>
                <w:szCs w:val="18"/>
              </w:rPr>
            </w:pPr>
          </w:p>
        </w:tc>
        <w:tc>
          <w:tcPr>
            <w:tcW w:w="1559" w:type="dxa"/>
            <w:shd w:val="clear" w:color="auto" w:fill="auto"/>
          </w:tcPr>
          <w:p w:rsidR="00DD1039" w:rsidRPr="00DD1039" w:rsidRDefault="00DD1039" w:rsidP="00647E67">
            <w:pPr>
              <w:jc w:val="left"/>
              <w:rPr>
                <w:rFonts w:cs="Arial"/>
                <w:sz w:val="16"/>
                <w:szCs w:val="18"/>
              </w:rPr>
            </w:pPr>
            <w:r w:rsidRPr="00DD1039">
              <w:rPr>
                <w:rFonts w:cs="Arial"/>
                <w:sz w:val="16"/>
                <w:szCs w:val="18"/>
              </w:rPr>
              <w:t>Planning is under way for this program</w:t>
            </w:r>
          </w:p>
        </w:tc>
      </w:tr>
      <w:tr w:rsidR="00DD1039" w:rsidRPr="00EA35FD" w:rsidTr="00647E67">
        <w:trPr>
          <w:cantSplit/>
        </w:trPr>
        <w:tc>
          <w:tcPr>
            <w:tcW w:w="846" w:type="dxa"/>
            <w:shd w:val="clear" w:color="auto" w:fill="auto"/>
          </w:tcPr>
          <w:p w:rsidR="00DD1039" w:rsidRPr="00DD1039" w:rsidRDefault="00DD1039" w:rsidP="00647E67">
            <w:pPr>
              <w:jc w:val="left"/>
              <w:rPr>
                <w:rFonts w:cs="Arial"/>
                <w:sz w:val="16"/>
                <w:szCs w:val="18"/>
              </w:rPr>
            </w:pPr>
            <w:r w:rsidRPr="00DD1039">
              <w:rPr>
                <w:rFonts w:cs="Arial"/>
                <w:sz w:val="16"/>
                <w:szCs w:val="18"/>
              </w:rPr>
              <w:t>5.</w:t>
            </w:r>
          </w:p>
        </w:tc>
        <w:tc>
          <w:tcPr>
            <w:tcW w:w="709" w:type="dxa"/>
            <w:shd w:val="clear" w:color="auto" w:fill="auto"/>
          </w:tcPr>
          <w:p w:rsidR="00DD1039" w:rsidRPr="00DD1039" w:rsidRDefault="00DD1039" w:rsidP="00647E67">
            <w:pPr>
              <w:jc w:val="left"/>
              <w:rPr>
                <w:rFonts w:cs="Arial"/>
                <w:sz w:val="16"/>
                <w:szCs w:val="18"/>
              </w:rPr>
            </w:pPr>
            <w:r w:rsidRPr="00DD1039">
              <w:rPr>
                <w:rFonts w:cs="Arial"/>
                <w:sz w:val="16"/>
                <w:szCs w:val="18"/>
              </w:rPr>
              <w:t>2023</w:t>
            </w:r>
          </w:p>
        </w:tc>
        <w:tc>
          <w:tcPr>
            <w:tcW w:w="895" w:type="dxa"/>
            <w:shd w:val="clear" w:color="auto" w:fill="auto"/>
          </w:tcPr>
          <w:p w:rsidR="00DD1039" w:rsidRPr="00DD1039" w:rsidRDefault="00DD1039" w:rsidP="00647E67">
            <w:pPr>
              <w:jc w:val="left"/>
              <w:rPr>
                <w:rFonts w:cs="Arial"/>
                <w:sz w:val="16"/>
                <w:szCs w:val="18"/>
              </w:rPr>
            </w:pPr>
            <w:r w:rsidRPr="00DD1039">
              <w:rPr>
                <w:rFonts w:cs="Arial"/>
                <w:sz w:val="16"/>
                <w:szCs w:val="18"/>
              </w:rPr>
              <w:t>Ghana</w:t>
            </w:r>
          </w:p>
        </w:tc>
        <w:tc>
          <w:tcPr>
            <w:tcW w:w="1215" w:type="dxa"/>
            <w:shd w:val="clear" w:color="auto" w:fill="auto"/>
          </w:tcPr>
          <w:p w:rsidR="00DD1039" w:rsidRPr="00DD1039" w:rsidRDefault="00DD1039" w:rsidP="00647E67">
            <w:pPr>
              <w:jc w:val="left"/>
              <w:rPr>
                <w:rFonts w:cs="Arial"/>
                <w:sz w:val="16"/>
                <w:szCs w:val="18"/>
              </w:rPr>
            </w:pPr>
            <w:r w:rsidRPr="00DD1039">
              <w:rPr>
                <w:rFonts w:cs="Arial"/>
                <w:sz w:val="16"/>
                <w:szCs w:val="18"/>
              </w:rPr>
              <w:t>GHIPO</w:t>
            </w:r>
          </w:p>
        </w:tc>
        <w:tc>
          <w:tcPr>
            <w:tcW w:w="2284" w:type="dxa"/>
            <w:shd w:val="clear" w:color="auto" w:fill="auto"/>
          </w:tcPr>
          <w:p w:rsidR="00DD1039" w:rsidRPr="00DD1039" w:rsidRDefault="00DD1039" w:rsidP="00647E67">
            <w:pPr>
              <w:jc w:val="left"/>
              <w:rPr>
                <w:rFonts w:cs="Arial"/>
                <w:sz w:val="16"/>
                <w:szCs w:val="18"/>
              </w:rPr>
            </w:pPr>
            <w:r w:rsidRPr="00DD1039">
              <w:rPr>
                <w:rFonts w:cs="Arial"/>
                <w:sz w:val="16"/>
                <w:szCs w:val="18"/>
              </w:rPr>
              <w:t>Training to build the capacity of DUS examiners (including access to relevant databases)</w:t>
            </w:r>
          </w:p>
        </w:tc>
        <w:tc>
          <w:tcPr>
            <w:tcW w:w="2268" w:type="dxa"/>
            <w:shd w:val="clear" w:color="auto" w:fill="auto"/>
          </w:tcPr>
          <w:p w:rsidR="00DD1039" w:rsidRPr="00DD1039" w:rsidRDefault="00DD1039" w:rsidP="00647E67">
            <w:pPr>
              <w:jc w:val="left"/>
              <w:rPr>
                <w:rFonts w:cs="Arial"/>
                <w:sz w:val="16"/>
                <w:szCs w:val="18"/>
              </w:rPr>
            </w:pPr>
            <w:r w:rsidRPr="00DD1039">
              <w:rPr>
                <w:rFonts w:cs="Arial"/>
                <w:sz w:val="16"/>
                <w:szCs w:val="18"/>
              </w:rPr>
              <w:t>UPOV</w:t>
            </w:r>
          </w:p>
          <w:p w:rsidR="00DD1039" w:rsidRPr="00DD1039" w:rsidRDefault="00DD1039" w:rsidP="00647E67">
            <w:pPr>
              <w:jc w:val="left"/>
              <w:rPr>
                <w:rFonts w:cs="Arial"/>
                <w:sz w:val="16"/>
                <w:szCs w:val="18"/>
              </w:rPr>
            </w:pPr>
            <w:r w:rsidRPr="00DD1039">
              <w:rPr>
                <w:rFonts w:cs="Arial"/>
                <w:sz w:val="16"/>
                <w:szCs w:val="18"/>
              </w:rPr>
              <w:t>GHIPO</w:t>
            </w:r>
          </w:p>
          <w:p w:rsidR="00DD1039" w:rsidRPr="00DD1039" w:rsidRDefault="00DD1039" w:rsidP="00647E67">
            <w:pPr>
              <w:jc w:val="left"/>
              <w:rPr>
                <w:rFonts w:cs="Arial"/>
                <w:sz w:val="16"/>
                <w:szCs w:val="18"/>
              </w:rPr>
            </w:pPr>
            <w:r w:rsidRPr="00DD1039">
              <w:rPr>
                <w:rFonts w:cs="Arial"/>
                <w:sz w:val="16"/>
                <w:szCs w:val="18"/>
              </w:rPr>
              <w:t>Collaborators</w:t>
            </w:r>
          </w:p>
        </w:tc>
        <w:tc>
          <w:tcPr>
            <w:tcW w:w="1559" w:type="dxa"/>
            <w:shd w:val="clear" w:color="auto" w:fill="auto"/>
          </w:tcPr>
          <w:p w:rsidR="00DD1039" w:rsidRPr="00DD1039" w:rsidRDefault="00DD1039" w:rsidP="00647E67">
            <w:pPr>
              <w:jc w:val="left"/>
              <w:rPr>
                <w:rFonts w:cs="Arial"/>
                <w:sz w:val="16"/>
                <w:szCs w:val="18"/>
              </w:rPr>
            </w:pPr>
            <w:r w:rsidRPr="00DD1039">
              <w:rPr>
                <w:rFonts w:cs="Arial"/>
                <w:sz w:val="16"/>
                <w:szCs w:val="18"/>
              </w:rPr>
              <w:t>Planning is under way for this program</w:t>
            </w:r>
          </w:p>
        </w:tc>
      </w:tr>
      <w:tr w:rsidR="00DD1039" w:rsidRPr="00EA35FD" w:rsidTr="00647E67">
        <w:trPr>
          <w:cantSplit/>
        </w:trPr>
        <w:tc>
          <w:tcPr>
            <w:tcW w:w="846" w:type="dxa"/>
            <w:shd w:val="clear" w:color="auto" w:fill="auto"/>
          </w:tcPr>
          <w:p w:rsidR="00DD1039" w:rsidRPr="00DD1039" w:rsidRDefault="00DD1039" w:rsidP="00647E67">
            <w:pPr>
              <w:jc w:val="left"/>
              <w:rPr>
                <w:rFonts w:cs="Arial"/>
                <w:sz w:val="16"/>
                <w:szCs w:val="18"/>
              </w:rPr>
            </w:pPr>
            <w:r w:rsidRPr="00DD1039">
              <w:rPr>
                <w:rFonts w:cs="Arial"/>
                <w:sz w:val="16"/>
                <w:szCs w:val="18"/>
              </w:rPr>
              <w:t>6.</w:t>
            </w:r>
          </w:p>
        </w:tc>
        <w:tc>
          <w:tcPr>
            <w:tcW w:w="709" w:type="dxa"/>
            <w:shd w:val="clear" w:color="auto" w:fill="auto"/>
          </w:tcPr>
          <w:p w:rsidR="00DD1039" w:rsidRPr="00DD1039" w:rsidRDefault="00DD1039" w:rsidP="00647E67">
            <w:pPr>
              <w:jc w:val="left"/>
              <w:rPr>
                <w:rFonts w:cs="Arial"/>
                <w:sz w:val="16"/>
                <w:szCs w:val="18"/>
              </w:rPr>
            </w:pPr>
            <w:r w:rsidRPr="00DD1039">
              <w:rPr>
                <w:rFonts w:cs="Arial"/>
                <w:sz w:val="16"/>
                <w:szCs w:val="18"/>
              </w:rPr>
              <w:t>2023</w:t>
            </w:r>
          </w:p>
        </w:tc>
        <w:tc>
          <w:tcPr>
            <w:tcW w:w="895" w:type="dxa"/>
            <w:shd w:val="clear" w:color="auto" w:fill="auto"/>
          </w:tcPr>
          <w:p w:rsidR="00DD1039" w:rsidRPr="00DD1039" w:rsidRDefault="00DD1039" w:rsidP="00647E67">
            <w:pPr>
              <w:jc w:val="left"/>
              <w:rPr>
                <w:rFonts w:cs="Arial"/>
                <w:sz w:val="16"/>
                <w:szCs w:val="18"/>
              </w:rPr>
            </w:pPr>
            <w:r w:rsidRPr="00DD1039">
              <w:rPr>
                <w:rFonts w:cs="Arial"/>
                <w:sz w:val="16"/>
                <w:szCs w:val="18"/>
              </w:rPr>
              <w:t>Ghana</w:t>
            </w:r>
          </w:p>
        </w:tc>
        <w:tc>
          <w:tcPr>
            <w:tcW w:w="1215" w:type="dxa"/>
            <w:shd w:val="clear" w:color="auto" w:fill="auto"/>
          </w:tcPr>
          <w:p w:rsidR="00DD1039" w:rsidRPr="00DD1039" w:rsidRDefault="00DD1039" w:rsidP="00647E67">
            <w:pPr>
              <w:jc w:val="left"/>
              <w:rPr>
                <w:rFonts w:cs="Arial"/>
                <w:sz w:val="16"/>
                <w:szCs w:val="18"/>
              </w:rPr>
            </w:pPr>
            <w:r w:rsidRPr="00DD1039">
              <w:rPr>
                <w:rFonts w:cs="Arial"/>
                <w:sz w:val="16"/>
                <w:szCs w:val="18"/>
              </w:rPr>
              <w:t>GHIPO</w:t>
            </w:r>
          </w:p>
        </w:tc>
        <w:tc>
          <w:tcPr>
            <w:tcW w:w="2284" w:type="dxa"/>
            <w:shd w:val="clear" w:color="auto" w:fill="auto"/>
          </w:tcPr>
          <w:p w:rsidR="00DD1039" w:rsidRPr="00DD1039" w:rsidRDefault="00DD1039" w:rsidP="00647E67">
            <w:pPr>
              <w:jc w:val="left"/>
              <w:rPr>
                <w:rFonts w:cs="Arial"/>
                <w:sz w:val="16"/>
                <w:szCs w:val="18"/>
              </w:rPr>
            </w:pPr>
            <w:r w:rsidRPr="00DD1039">
              <w:rPr>
                <w:rFonts w:cs="Arial"/>
                <w:sz w:val="16"/>
                <w:szCs w:val="18"/>
              </w:rPr>
              <w:t>Enhancing DUS at the Ministry of Food and Agriculture</w:t>
            </w:r>
          </w:p>
        </w:tc>
        <w:tc>
          <w:tcPr>
            <w:tcW w:w="2268" w:type="dxa"/>
            <w:shd w:val="clear" w:color="auto" w:fill="auto"/>
          </w:tcPr>
          <w:p w:rsidR="00DD1039" w:rsidRPr="00DD1039" w:rsidRDefault="00DD1039" w:rsidP="00647E67">
            <w:pPr>
              <w:jc w:val="left"/>
              <w:rPr>
                <w:rFonts w:cs="Arial"/>
                <w:sz w:val="16"/>
                <w:szCs w:val="18"/>
              </w:rPr>
            </w:pPr>
            <w:r w:rsidRPr="00DD1039">
              <w:rPr>
                <w:rFonts w:cs="Arial"/>
                <w:sz w:val="16"/>
                <w:szCs w:val="18"/>
              </w:rPr>
              <w:t>UPOV</w:t>
            </w:r>
          </w:p>
          <w:p w:rsidR="00DD1039" w:rsidRPr="00DD1039" w:rsidRDefault="00DD1039" w:rsidP="00647E67">
            <w:pPr>
              <w:jc w:val="left"/>
              <w:rPr>
                <w:rFonts w:cs="Arial"/>
                <w:sz w:val="16"/>
                <w:szCs w:val="18"/>
              </w:rPr>
            </w:pPr>
            <w:r w:rsidRPr="00DD1039">
              <w:rPr>
                <w:rFonts w:cs="Arial"/>
                <w:sz w:val="16"/>
                <w:szCs w:val="18"/>
              </w:rPr>
              <w:t>GHIPO</w:t>
            </w:r>
          </w:p>
          <w:p w:rsidR="00DD1039" w:rsidRPr="00DD1039" w:rsidRDefault="00DD1039" w:rsidP="00647E67">
            <w:pPr>
              <w:jc w:val="left"/>
              <w:rPr>
                <w:rFonts w:cs="Arial"/>
                <w:sz w:val="16"/>
                <w:szCs w:val="18"/>
              </w:rPr>
            </w:pPr>
            <w:r w:rsidRPr="00DD1039">
              <w:rPr>
                <w:rFonts w:cs="Arial"/>
                <w:sz w:val="16"/>
                <w:szCs w:val="18"/>
              </w:rPr>
              <w:t>Collaborators</w:t>
            </w:r>
          </w:p>
        </w:tc>
        <w:tc>
          <w:tcPr>
            <w:tcW w:w="1559" w:type="dxa"/>
            <w:shd w:val="clear" w:color="auto" w:fill="auto"/>
          </w:tcPr>
          <w:p w:rsidR="00DD1039" w:rsidRPr="00DD1039" w:rsidRDefault="00DD1039" w:rsidP="00647E67">
            <w:pPr>
              <w:jc w:val="left"/>
              <w:rPr>
                <w:rFonts w:cs="Arial"/>
                <w:sz w:val="16"/>
                <w:szCs w:val="18"/>
              </w:rPr>
            </w:pPr>
            <w:r w:rsidRPr="00DD1039">
              <w:rPr>
                <w:rFonts w:cs="Arial"/>
                <w:sz w:val="16"/>
                <w:szCs w:val="18"/>
              </w:rPr>
              <w:t>Planning is under way for this program</w:t>
            </w:r>
          </w:p>
        </w:tc>
      </w:tr>
      <w:tr w:rsidR="00DD1039" w:rsidRPr="00EA35FD" w:rsidTr="00647E67">
        <w:trPr>
          <w:cantSplit/>
        </w:trPr>
        <w:tc>
          <w:tcPr>
            <w:tcW w:w="846" w:type="dxa"/>
            <w:shd w:val="clear" w:color="auto" w:fill="auto"/>
          </w:tcPr>
          <w:p w:rsidR="00DD1039" w:rsidRPr="00DD1039" w:rsidRDefault="00DD1039" w:rsidP="00647E67">
            <w:pPr>
              <w:jc w:val="left"/>
              <w:rPr>
                <w:rFonts w:cs="Arial"/>
                <w:sz w:val="16"/>
                <w:szCs w:val="18"/>
              </w:rPr>
            </w:pPr>
            <w:r w:rsidRPr="00DD1039">
              <w:rPr>
                <w:rFonts w:cs="Arial"/>
                <w:sz w:val="16"/>
                <w:szCs w:val="18"/>
              </w:rPr>
              <w:t>7.</w:t>
            </w:r>
          </w:p>
        </w:tc>
        <w:tc>
          <w:tcPr>
            <w:tcW w:w="709" w:type="dxa"/>
            <w:shd w:val="clear" w:color="auto" w:fill="auto"/>
          </w:tcPr>
          <w:p w:rsidR="00DD1039" w:rsidRPr="00DD1039" w:rsidRDefault="00DD1039" w:rsidP="00647E67">
            <w:pPr>
              <w:jc w:val="left"/>
              <w:rPr>
                <w:rFonts w:cs="Arial"/>
                <w:sz w:val="16"/>
                <w:szCs w:val="18"/>
              </w:rPr>
            </w:pPr>
            <w:r w:rsidRPr="00DD1039">
              <w:rPr>
                <w:rFonts w:cs="Arial"/>
                <w:sz w:val="16"/>
                <w:szCs w:val="18"/>
              </w:rPr>
              <w:t>2024</w:t>
            </w:r>
          </w:p>
        </w:tc>
        <w:tc>
          <w:tcPr>
            <w:tcW w:w="895" w:type="dxa"/>
            <w:shd w:val="clear" w:color="auto" w:fill="auto"/>
          </w:tcPr>
          <w:p w:rsidR="00DD1039" w:rsidRPr="00DD1039" w:rsidRDefault="00DD1039" w:rsidP="00647E67">
            <w:pPr>
              <w:jc w:val="left"/>
              <w:rPr>
                <w:rFonts w:cs="Arial"/>
                <w:sz w:val="16"/>
                <w:szCs w:val="18"/>
              </w:rPr>
            </w:pPr>
            <w:r w:rsidRPr="00DD1039">
              <w:rPr>
                <w:rFonts w:cs="Arial"/>
                <w:sz w:val="16"/>
                <w:szCs w:val="18"/>
              </w:rPr>
              <w:t>Ghana</w:t>
            </w:r>
          </w:p>
        </w:tc>
        <w:tc>
          <w:tcPr>
            <w:tcW w:w="1215" w:type="dxa"/>
            <w:shd w:val="clear" w:color="auto" w:fill="auto"/>
          </w:tcPr>
          <w:p w:rsidR="00DD1039" w:rsidRPr="00DD1039" w:rsidRDefault="00DD1039" w:rsidP="00647E67">
            <w:pPr>
              <w:jc w:val="left"/>
              <w:rPr>
                <w:rFonts w:cs="Arial"/>
                <w:sz w:val="16"/>
                <w:szCs w:val="18"/>
              </w:rPr>
            </w:pPr>
            <w:r w:rsidRPr="00DD1039">
              <w:rPr>
                <w:rFonts w:cs="Arial"/>
                <w:sz w:val="16"/>
                <w:szCs w:val="18"/>
              </w:rPr>
              <w:t>GHIPO</w:t>
            </w:r>
          </w:p>
        </w:tc>
        <w:tc>
          <w:tcPr>
            <w:tcW w:w="2284" w:type="dxa"/>
            <w:shd w:val="clear" w:color="auto" w:fill="auto"/>
          </w:tcPr>
          <w:p w:rsidR="00DD1039" w:rsidRPr="00DD1039" w:rsidRDefault="00DD1039" w:rsidP="00647E67">
            <w:pPr>
              <w:jc w:val="left"/>
              <w:rPr>
                <w:rFonts w:cs="Arial"/>
                <w:sz w:val="16"/>
                <w:szCs w:val="18"/>
              </w:rPr>
            </w:pPr>
            <w:r w:rsidRPr="00DD1039">
              <w:rPr>
                <w:rFonts w:cs="Arial"/>
                <w:sz w:val="16"/>
                <w:szCs w:val="18"/>
              </w:rPr>
              <w:t>Continuous awareness and training</w:t>
            </w:r>
          </w:p>
        </w:tc>
        <w:tc>
          <w:tcPr>
            <w:tcW w:w="2268" w:type="dxa"/>
            <w:shd w:val="clear" w:color="auto" w:fill="auto"/>
          </w:tcPr>
          <w:p w:rsidR="00DD1039" w:rsidRPr="00DD1039" w:rsidRDefault="00DD1039" w:rsidP="00647E67">
            <w:pPr>
              <w:jc w:val="left"/>
              <w:rPr>
                <w:rFonts w:cs="Arial"/>
                <w:sz w:val="16"/>
                <w:szCs w:val="18"/>
              </w:rPr>
            </w:pPr>
            <w:r w:rsidRPr="00DD1039">
              <w:rPr>
                <w:rFonts w:cs="Arial"/>
                <w:sz w:val="16"/>
                <w:szCs w:val="18"/>
              </w:rPr>
              <w:t>UPOV</w:t>
            </w:r>
          </w:p>
          <w:p w:rsidR="00DD1039" w:rsidRPr="00DD1039" w:rsidRDefault="00DD1039" w:rsidP="00647E67">
            <w:pPr>
              <w:jc w:val="left"/>
              <w:rPr>
                <w:rFonts w:cs="Arial"/>
                <w:sz w:val="16"/>
                <w:szCs w:val="18"/>
              </w:rPr>
            </w:pPr>
            <w:r w:rsidRPr="00DD1039">
              <w:rPr>
                <w:rFonts w:cs="Arial"/>
                <w:sz w:val="16"/>
                <w:szCs w:val="18"/>
              </w:rPr>
              <w:t>GHIPO</w:t>
            </w:r>
          </w:p>
          <w:p w:rsidR="00DD1039" w:rsidRPr="00DD1039" w:rsidRDefault="00DD1039" w:rsidP="00647E67">
            <w:pPr>
              <w:jc w:val="left"/>
              <w:rPr>
                <w:rFonts w:cs="Arial"/>
                <w:sz w:val="16"/>
                <w:szCs w:val="18"/>
              </w:rPr>
            </w:pPr>
            <w:r w:rsidRPr="00DD1039">
              <w:rPr>
                <w:rFonts w:cs="Arial"/>
                <w:sz w:val="16"/>
                <w:szCs w:val="18"/>
              </w:rPr>
              <w:t>Collaborators</w:t>
            </w:r>
          </w:p>
        </w:tc>
        <w:tc>
          <w:tcPr>
            <w:tcW w:w="1559" w:type="dxa"/>
            <w:shd w:val="clear" w:color="auto" w:fill="auto"/>
          </w:tcPr>
          <w:p w:rsidR="00DD1039" w:rsidRPr="00DD1039" w:rsidRDefault="00DD1039" w:rsidP="00647E67">
            <w:pPr>
              <w:jc w:val="left"/>
              <w:rPr>
                <w:rFonts w:cs="Arial"/>
                <w:sz w:val="16"/>
                <w:szCs w:val="18"/>
              </w:rPr>
            </w:pPr>
            <w:r w:rsidRPr="00DD1039">
              <w:rPr>
                <w:rFonts w:cs="Arial"/>
                <w:sz w:val="16"/>
                <w:szCs w:val="18"/>
              </w:rPr>
              <w:t>Planning is under way for this program</w:t>
            </w:r>
          </w:p>
        </w:tc>
      </w:tr>
    </w:tbl>
    <w:p w:rsidR="00DD1039" w:rsidRPr="00A67586" w:rsidRDefault="00DD1039" w:rsidP="00DD1039"/>
    <w:p w:rsidR="00DD1039" w:rsidRPr="00A67586" w:rsidRDefault="00DD1039" w:rsidP="00DD1039"/>
    <w:p w:rsidR="000362AD" w:rsidRPr="00AA2FEE" w:rsidRDefault="000362AD" w:rsidP="000362AD">
      <w:pPr>
        <w:jc w:val="left"/>
      </w:pPr>
    </w:p>
    <w:p w:rsidR="000362AD" w:rsidRPr="00AA2FEE" w:rsidRDefault="000362AD" w:rsidP="000362AD">
      <w:pPr>
        <w:jc w:val="right"/>
      </w:pPr>
      <w:r w:rsidRPr="00AA2FEE">
        <w:t>[Annex VI</w:t>
      </w:r>
      <w:r w:rsidR="0069058C" w:rsidRPr="00AA2FEE">
        <w:t>II</w:t>
      </w:r>
      <w:r w:rsidRPr="00AA2FEE">
        <w:t xml:space="preserve"> follows]</w:t>
      </w:r>
    </w:p>
    <w:p w:rsidR="000362AD" w:rsidRPr="00AA2FEE" w:rsidRDefault="000362AD" w:rsidP="000362AD"/>
    <w:p w:rsidR="000362AD" w:rsidRPr="00AA2FEE" w:rsidRDefault="000362AD" w:rsidP="000362AD">
      <w:pPr>
        <w:jc w:val="left"/>
        <w:sectPr w:rsidR="000362AD" w:rsidRPr="00AA2FEE" w:rsidSect="0049108C">
          <w:headerReference w:type="default" r:id="rId16"/>
          <w:pgSz w:w="11907" w:h="16840" w:code="9"/>
          <w:pgMar w:top="510" w:right="1134" w:bottom="1134" w:left="1134" w:header="510" w:footer="680" w:gutter="0"/>
          <w:pgNumType w:start="1"/>
          <w:cols w:space="720"/>
          <w:titlePg/>
        </w:sectPr>
      </w:pPr>
    </w:p>
    <w:p w:rsidR="00991CBD" w:rsidRPr="00AA2FEE" w:rsidRDefault="00991CBD" w:rsidP="00991CBD">
      <w:pPr>
        <w:jc w:val="center"/>
      </w:pPr>
      <w:r w:rsidRPr="00AA2FEE">
        <w:lastRenderedPageBreak/>
        <w:t>C/56/INF/4</w:t>
      </w:r>
    </w:p>
    <w:p w:rsidR="00991CBD" w:rsidRPr="00AA2FEE" w:rsidRDefault="00991CBD" w:rsidP="00991CBD">
      <w:pPr>
        <w:jc w:val="center"/>
      </w:pPr>
    </w:p>
    <w:p w:rsidR="00991CBD" w:rsidRPr="002C0C6C" w:rsidRDefault="00991CBD" w:rsidP="00991CBD">
      <w:pPr>
        <w:jc w:val="center"/>
        <w:rPr>
          <w:lang w:val="fr-CH"/>
        </w:rPr>
      </w:pPr>
      <w:r w:rsidRPr="002C0C6C">
        <w:rPr>
          <w:lang w:val="fr-CH"/>
        </w:rPr>
        <w:t>ANNEX VIII</w:t>
      </w:r>
    </w:p>
    <w:p w:rsidR="00991CBD" w:rsidRPr="002C0C6C" w:rsidRDefault="00991CBD" w:rsidP="00991CBD">
      <w:pPr>
        <w:jc w:val="center"/>
        <w:rPr>
          <w:lang w:val="fr-CH"/>
        </w:rPr>
      </w:pPr>
    </w:p>
    <w:p w:rsidR="00991CBD" w:rsidRPr="002C0C6C" w:rsidRDefault="00991CBD" w:rsidP="00991CBD">
      <w:pPr>
        <w:jc w:val="center"/>
        <w:rPr>
          <w:lang w:val="fr-CH"/>
        </w:rPr>
      </w:pPr>
    </w:p>
    <w:p w:rsidR="00991CBD" w:rsidRPr="002C0C6C" w:rsidRDefault="00991CBD" w:rsidP="00991CBD">
      <w:pPr>
        <w:jc w:val="center"/>
        <w:rPr>
          <w:lang w:val="fr-CH"/>
        </w:rPr>
      </w:pPr>
      <w:r w:rsidRPr="002C0C6C">
        <w:rPr>
          <w:lang w:val="fr-CH"/>
        </w:rPr>
        <w:t>JAPAN</w:t>
      </w:r>
    </w:p>
    <w:p w:rsidR="00991CBD" w:rsidRPr="002C0C6C" w:rsidRDefault="00991CBD" w:rsidP="00991CBD">
      <w:pPr>
        <w:rPr>
          <w:lang w:val="fr-CH"/>
        </w:rPr>
      </w:pPr>
    </w:p>
    <w:p w:rsidR="00991CBD" w:rsidRPr="002C0C6C" w:rsidRDefault="00991CBD" w:rsidP="00991CBD">
      <w:pPr>
        <w:rPr>
          <w:lang w:val="fr-CH"/>
        </w:rPr>
      </w:pPr>
    </w:p>
    <w:p w:rsidR="00F410EA" w:rsidRPr="002C0C6C" w:rsidRDefault="00F410EA" w:rsidP="00F410EA">
      <w:pPr>
        <w:rPr>
          <w:lang w:val="fr-CH"/>
        </w:rPr>
      </w:pPr>
      <w:r w:rsidRPr="002C0C6C">
        <w:rPr>
          <w:lang w:val="fr-CH"/>
        </w:rPr>
        <w:t>I.</w:t>
      </w:r>
      <w:r w:rsidRPr="002C0C6C">
        <w:rPr>
          <w:lang w:val="fr-CH"/>
        </w:rPr>
        <w:tab/>
      </w:r>
      <w:r w:rsidRPr="002C0C6C">
        <w:rPr>
          <w:lang w:val="fr-CH" w:eastAsia="ja-JP"/>
        </w:rPr>
        <w:t>FINA</w:t>
      </w:r>
      <w:r w:rsidRPr="002C0C6C">
        <w:rPr>
          <w:lang w:val="fr-CH"/>
        </w:rPr>
        <w:t>NCIAL CONTRIBUTION</w:t>
      </w:r>
    </w:p>
    <w:p w:rsidR="00F410EA" w:rsidRPr="002C0C6C" w:rsidRDefault="00F410EA" w:rsidP="00F410EA">
      <w:pPr>
        <w:rPr>
          <w:lang w:val="fr-CH"/>
        </w:rPr>
      </w:pPr>
    </w:p>
    <w:p w:rsidR="00F410EA" w:rsidRPr="00A043FE" w:rsidRDefault="00F410EA" w:rsidP="00F410EA">
      <w:pPr>
        <w:rPr>
          <w:u w:val="single"/>
        </w:rPr>
      </w:pPr>
      <w:r w:rsidRPr="00A043FE">
        <w:rPr>
          <w:u w:val="single"/>
        </w:rPr>
        <w:t>Funds in trust from the Government of Japan (JP-FIT)</w:t>
      </w:r>
    </w:p>
    <w:p w:rsidR="00F410EA" w:rsidRPr="00A043FE" w:rsidRDefault="00F410EA" w:rsidP="00F410EA"/>
    <w:p w:rsidR="00F410EA" w:rsidRPr="00A043FE" w:rsidRDefault="00F410EA" w:rsidP="00F410EA">
      <w:r w:rsidRPr="00A043FE">
        <w:t xml:space="preserve">Japan made a contribution of 340,407 Swiss francs in the form of Funds in trust in 2021, intended to support the activity of UPOV Secretariat aimed at the establishment and implementation of the Plant variety Protection system in the Asian region, such as: </w:t>
      </w:r>
    </w:p>
    <w:p w:rsidR="00F410EA" w:rsidRPr="00A043FE" w:rsidRDefault="00F410EA" w:rsidP="00F410EA"/>
    <w:p w:rsidR="00F410EA" w:rsidRPr="00A043FE" w:rsidRDefault="00F410EA" w:rsidP="00F410EA">
      <w:pPr>
        <w:spacing w:after="60"/>
        <w:ind w:left="1134" w:hanging="567"/>
      </w:pPr>
      <w:r w:rsidRPr="00A043FE">
        <w:t>i.</w:t>
      </w:r>
      <w:r w:rsidRPr="00A043FE">
        <w:tab/>
        <w:t>Consultation meetings with legal/technical officials of the relevant countries;</w:t>
      </w:r>
    </w:p>
    <w:p w:rsidR="00F410EA" w:rsidRPr="00A043FE" w:rsidRDefault="00F410EA" w:rsidP="00F410EA">
      <w:pPr>
        <w:spacing w:after="60"/>
        <w:ind w:left="1134" w:hanging="567"/>
      </w:pPr>
      <w:r w:rsidRPr="00A043FE">
        <w:t>ii.</w:t>
      </w:r>
      <w:r w:rsidRPr="00A043FE">
        <w:tab/>
        <w:t>International legal workshop activities organized by the Office of the Union (e.g. Workshop on drafting legislation in accordance with the UPOV Convention);</w:t>
      </w:r>
    </w:p>
    <w:p w:rsidR="00F410EA" w:rsidRPr="00A043FE" w:rsidRDefault="00F410EA" w:rsidP="00F410EA">
      <w:pPr>
        <w:spacing w:after="60"/>
        <w:ind w:left="1134" w:hanging="567"/>
      </w:pPr>
      <w:r w:rsidRPr="00A043FE">
        <w:t>iii.</w:t>
      </w:r>
      <w:r w:rsidRPr="00A043FE">
        <w:tab/>
        <w:t>National workshops for raising PVP awareness in Asian countries;</w:t>
      </w:r>
    </w:p>
    <w:p w:rsidR="00F410EA" w:rsidRPr="00A043FE" w:rsidRDefault="00F410EA" w:rsidP="00F410EA">
      <w:pPr>
        <w:spacing w:after="60"/>
        <w:ind w:left="1134" w:hanging="567"/>
      </w:pPr>
      <w:r w:rsidRPr="00A043FE">
        <w:t>iv.</w:t>
      </w:r>
      <w:r w:rsidRPr="00A043FE">
        <w:tab/>
        <w:t>international workshops on PVP under the UPOV Convention;</w:t>
      </w:r>
    </w:p>
    <w:p w:rsidR="00F410EA" w:rsidRPr="00A043FE" w:rsidRDefault="00F410EA" w:rsidP="00F410EA">
      <w:pPr>
        <w:spacing w:after="60"/>
        <w:ind w:left="1134" w:hanging="567"/>
      </w:pPr>
      <w:r w:rsidRPr="00A043FE">
        <w:t>v.</w:t>
      </w:r>
      <w:r w:rsidRPr="00A043FE">
        <w:tab/>
        <w:t>Annual Meetings of the East Asia Plant variety Protection (EAPVP) Forum; and</w:t>
      </w:r>
    </w:p>
    <w:p w:rsidR="00F410EA" w:rsidRPr="00A043FE" w:rsidRDefault="00F410EA" w:rsidP="00F410EA">
      <w:pPr>
        <w:ind w:left="1134" w:hanging="567"/>
      </w:pPr>
      <w:r w:rsidRPr="00A043FE">
        <w:t>vi.</w:t>
      </w:r>
      <w:r w:rsidRPr="00A043FE">
        <w:tab/>
        <w:t>EAPVP Pilot Project to facilitate efficient application and examination procedures in the Asian region.</w:t>
      </w:r>
    </w:p>
    <w:p w:rsidR="00F410EA" w:rsidRPr="00A043FE" w:rsidRDefault="00F410EA" w:rsidP="00F410EA"/>
    <w:p w:rsidR="00F410EA" w:rsidRPr="00A043FE" w:rsidRDefault="00F410EA" w:rsidP="00F410EA"/>
    <w:p w:rsidR="00F410EA" w:rsidRPr="00A043FE" w:rsidRDefault="00F410EA" w:rsidP="00F410EA">
      <w:r w:rsidRPr="00A043FE">
        <w:t>II.</w:t>
      </w:r>
      <w:r w:rsidRPr="00A043FE">
        <w:tab/>
        <w:t>PLANT VARIETY PROTECTION</w:t>
      </w:r>
    </w:p>
    <w:p w:rsidR="00F410EA" w:rsidRPr="00A043FE" w:rsidRDefault="00F410EA" w:rsidP="00F410EA"/>
    <w:p w:rsidR="00F410EA" w:rsidRPr="00A043FE" w:rsidRDefault="00F410EA" w:rsidP="00F410EA">
      <w:pPr>
        <w:rPr>
          <w:u w:val="single"/>
        </w:rPr>
      </w:pPr>
      <w:r w:rsidRPr="00A043FE">
        <w:t xml:space="preserve">1. </w:t>
      </w:r>
      <w:r w:rsidRPr="00A043FE">
        <w:tab/>
      </w:r>
      <w:r w:rsidRPr="00A043FE">
        <w:rPr>
          <w:u w:val="single"/>
        </w:rPr>
        <w:t>Situation in the legislative field</w:t>
      </w:r>
    </w:p>
    <w:p w:rsidR="00F410EA" w:rsidRPr="00A043FE" w:rsidRDefault="00F410EA" w:rsidP="00F410EA"/>
    <w:p w:rsidR="00F410EA" w:rsidRPr="00A043FE" w:rsidRDefault="00F410EA" w:rsidP="00F410EA">
      <w:pPr>
        <w:rPr>
          <w:i/>
        </w:rPr>
      </w:pPr>
      <w:r w:rsidRPr="00A043FE">
        <w:rPr>
          <w:i/>
        </w:rPr>
        <w:t>Amendments of the law and the implementing regulations</w:t>
      </w:r>
    </w:p>
    <w:p w:rsidR="00F410EA" w:rsidRPr="00A043FE" w:rsidRDefault="00F410EA" w:rsidP="00F410EA"/>
    <w:p w:rsidR="00F410EA" w:rsidRPr="00A043FE" w:rsidRDefault="00F410EA" w:rsidP="00F410EA">
      <w:r w:rsidRPr="00A043FE">
        <w:t>The Ordinance for Enforcement of the Plant variety Protection and Seed Act (Ordinance of the Ministry of Agriculture, Forestry and Fisheries (MAFF), No.83 of December 3, 1998) was amended and came into effect on April 1, 2022.  In order to conduct countermeasure against infringement, the Advisory Opinions system are established to compare the characteristics of the allegedly infringing varieties with “Variety Description” of the protected variety, in accordance with Article 35.3 of the Act.</w:t>
      </w:r>
    </w:p>
    <w:p w:rsidR="00F410EA" w:rsidRPr="00A043FE" w:rsidRDefault="00F410EA" w:rsidP="00F410EA"/>
    <w:p w:rsidR="00F410EA" w:rsidRPr="00A043FE" w:rsidRDefault="00F410EA" w:rsidP="00F410EA"/>
    <w:p w:rsidR="00F410EA" w:rsidRPr="00A043FE" w:rsidRDefault="00F410EA" w:rsidP="00F410EA">
      <w:r w:rsidRPr="00A043FE">
        <w:t>2.</w:t>
      </w:r>
      <w:r w:rsidRPr="00A043FE">
        <w:tab/>
      </w:r>
      <w:r w:rsidRPr="00A043FE">
        <w:rPr>
          <w:u w:val="single"/>
        </w:rPr>
        <w:t>Cooperation in examination</w:t>
      </w:r>
    </w:p>
    <w:p w:rsidR="00F410EA" w:rsidRPr="00A043FE" w:rsidRDefault="00F410EA" w:rsidP="00F410EA"/>
    <w:p w:rsidR="00F410EA" w:rsidRPr="00A043FE" w:rsidRDefault="00F410EA" w:rsidP="00F410EA">
      <w:pPr>
        <w:rPr>
          <w:i/>
        </w:rPr>
      </w:pPr>
      <w:r w:rsidRPr="00A043FE">
        <w:rPr>
          <w:i/>
        </w:rPr>
        <w:t>Conclusion of new agreements</w:t>
      </w:r>
    </w:p>
    <w:p w:rsidR="00F410EA" w:rsidRPr="00A043FE" w:rsidRDefault="00F410EA" w:rsidP="00F410EA"/>
    <w:p w:rsidR="00F410EA" w:rsidRPr="00A043FE" w:rsidRDefault="00365547" w:rsidP="00F410EA">
      <w:r>
        <w:t xml:space="preserve">MAFF of Japan concluded, on March </w:t>
      </w:r>
      <w:r w:rsidRPr="00786871">
        <w:t>11, 2</w:t>
      </w:r>
      <w:r>
        <w:t xml:space="preserve">022, the agreement with the Community Plant Variety Office (CPVO) that the Center for Seed and Seedlings of Japan (NCSS) carries out DUS examination on behalf of CPVO for species </w:t>
      </w:r>
      <w:r>
        <w:rPr>
          <w:i/>
          <w:iCs/>
        </w:rPr>
        <w:t xml:space="preserve">Eutrema japonicum </w:t>
      </w:r>
      <w:r>
        <w:t xml:space="preserve">(Miq.) Koidz. (syn. </w:t>
      </w:r>
      <w:r>
        <w:rPr>
          <w:i/>
          <w:iCs/>
        </w:rPr>
        <w:t xml:space="preserve">Wasabia japonica </w:t>
      </w:r>
      <w:r>
        <w:t>(Miq.) Matsum.)</w:t>
      </w:r>
    </w:p>
    <w:p w:rsidR="00F410EA" w:rsidRDefault="00F410EA" w:rsidP="00F410EA"/>
    <w:p w:rsidR="00365547" w:rsidRPr="00A043FE" w:rsidRDefault="00365547" w:rsidP="00F410EA"/>
    <w:p w:rsidR="00F410EA" w:rsidRPr="00A043FE" w:rsidRDefault="00F410EA" w:rsidP="00F410EA">
      <w:pPr>
        <w:rPr>
          <w:u w:val="single"/>
        </w:rPr>
      </w:pPr>
      <w:r w:rsidRPr="00A043FE">
        <w:t>3.</w:t>
      </w:r>
      <w:r w:rsidRPr="00A043FE">
        <w:tab/>
      </w:r>
      <w:r w:rsidRPr="00A043FE">
        <w:rPr>
          <w:u w:val="single"/>
        </w:rPr>
        <w:t>Situation in the administrative field</w:t>
      </w:r>
    </w:p>
    <w:p w:rsidR="00F410EA" w:rsidRPr="00A043FE" w:rsidRDefault="00F410EA" w:rsidP="00F410EA"/>
    <w:p w:rsidR="00F410EA" w:rsidRPr="00A043FE" w:rsidRDefault="00F410EA" w:rsidP="00F410EA">
      <w:pPr>
        <w:rPr>
          <w:i/>
        </w:rPr>
      </w:pPr>
      <w:r w:rsidRPr="00A043FE">
        <w:rPr>
          <w:i/>
        </w:rPr>
        <w:t>Electronic Application System</w:t>
      </w:r>
    </w:p>
    <w:p w:rsidR="00F410EA" w:rsidRPr="00A043FE" w:rsidRDefault="00F410EA" w:rsidP="00F410EA"/>
    <w:p w:rsidR="00F410EA" w:rsidRPr="00A043FE" w:rsidRDefault="00F410EA" w:rsidP="00F410EA">
      <w:r w:rsidRPr="00A043FE">
        <w:t>MAFF has operated a national electronic application system (Variety registration data Integrated Portal System (VIPS)) for Plant variety Protection since 2018 for the convenience of applicants.  Applicants can submit their application documents and pay fees for applications and registrations electronically through the system. 1,360 applications were filed through VIPS until March 31, 2022.  VIPS is under development to be linked with UPOV PRISMA.</w:t>
      </w:r>
    </w:p>
    <w:p w:rsidR="00F410EA" w:rsidRPr="00A043FE" w:rsidRDefault="00F410EA" w:rsidP="00F410EA"/>
    <w:p w:rsidR="00F410EA" w:rsidRPr="00A043FE" w:rsidRDefault="00F410EA" w:rsidP="00F410EA">
      <w:pPr>
        <w:rPr>
          <w:u w:val="single"/>
        </w:rPr>
      </w:pPr>
      <w:r w:rsidRPr="00A043FE">
        <w:t>4.</w:t>
      </w:r>
      <w:r w:rsidRPr="00A043FE">
        <w:tab/>
      </w:r>
      <w:r w:rsidRPr="00A043FE">
        <w:rPr>
          <w:u w:val="single"/>
        </w:rPr>
        <w:t>Situation in the technical field</w:t>
      </w:r>
    </w:p>
    <w:p w:rsidR="00F410EA" w:rsidRPr="00A043FE" w:rsidRDefault="00F410EA" w:rsidP="00F410EA"/>
    <w:p w:rsidR="00F410EA" w:rsidRPr="00A043FE" w:rsidRDefault="00F410EA" w:rsidP="00F410EA">
      <w:r w:rsidRPr="00A043FE">
        <w:t xml:space="preserve">New national Test Guidelines (TGs) for 32 genera and species were developed in 2021. </w:t>
      </w:r>
    </w:p>
    <w:p w:rsidR="00F410EA" w:rsidRPr="00A043FE" w:rsidRDefault="00F410EA" w:rsidP="00F410EA"/>
    <w:p w:rsidR="00F410EA" w:rsidRPr="00A043FE" w:rsidRDefault="00F410EA" w:rsidP="00F410EA">
      <w:r w:rsidRPr="00A043FE">
        <w:lastRenderedPageBreak/>
        <w:t xml:space="preserve">NCSS, Japan’s DUS growing test institute, is jointly working with Naktuinbouw (Netherlands) to establish the calibration manuals for DUS test to harmonize DUS test.  The calibration manuals provide users with easy-to-understand reference material including informative photographs explaining how to observe and measure characteristics of candidate varieties.  This joint activity is working on 10 plants, i.e. Anthurium, Eggplant, Chrysanthemum, Gerbera, Tomato, Tulip, Rose, Lettuce, Carnation and Watermelon.  All manuals were completed and are now available on website of NCSS as well as Naktuinbouw: </w:t>
      </w:r>
      <w:hyperlink r:id="rId17" w:history="1">
        <w:r w:rsidRPr="00A043FE">
          <w:rPr>
            <w:rStyle w:val="Hyperlink"/>
          </w:rPr>
          <w:t>http://www.naro.affrc.go.jp/english/laboratory/ncss/dus_growing_test/index.html</w:t>
        </w:r>
      </w:hyperlink>
      <w:r w:rsidRPr="00A043FE">
        <w:t xml:space="preserve"> </w:t>
      </w:r>
    </w:p>
    <w:p w:rsidR="00F410EA" w:rsidRPr="00A043FE" w:rsidRDefault="00F410EA" w:rsidP="00F410EA"/>
    <w:p w:rsidR="00F410EA" w:rsidRPr="00A043FE" w:rsidRDefault="00F410EA" w:rsidP="00F410EA"/>
    <w:p w:rsidR="00F410EA" w:rsidRPr="00A043FE" w:rsidRDefault="00F410EA" w:rsidP="00F410EA">
      <w:pPr>
        <w:rPr>
          <w:u w:val="single"/>
        </w:rPr>
      </w:pPr>
      <w:r w:rsidRPr="00A043FE">
        <w:t>5.</w:t>
      </w:r>
      <w:r w:rsidRPr="00A043FE">
        <w:tab/>
      </w:r>
      <w:r w:rsidRPr="00A043FE">
        <w:rPr>
          <w:u w:val="single"/>
        </w:rPr>
        <w:t>Activities for the promotion of plant variety protection</w:t>
      </w:r>
    </w:p>
    <w:p w:rsidR="00F410EA" w:rsidRPr="00A043FE" w:rsidRDefault="00F410EA" w:rsidP="00F410EA"/>
    <w:p w:rsidR="00F410EA" w:rsidRPr="00A043FE" w:rsidRDefault="00F410EA" w:rsidP="00F410EA">
      <w:pPr>
        <w:rPr>
          <w:i/>
        </w:rPr>
      </w:pPr>
      <w:r w:rsidRPr="00A043FE">
        <w:rPr>
          <w:i/>
        </w:rPr>
        <w:t>5.1</w:t>
      </w:r>
      <w:r w:rsidRPr="00A043FE">
        <w:rPr>
          <w:i/>
        </w:rPr>
        <w:tab/>
        <w:t>East Asia Plant variety Protection (EAPVP) Forum</w:t>
      </w:r>
    </w:p>
    <w:p w:rsidR="00F410EA" w:rsidRPr="00A043FE" w:rsidRDefault="00F410EA" w:rsidP="00F410EA"/>
    <w:p w:rsidR="00F410EA" w:rsidRPr="00A043FE" w:rsidRDefault="00F410EA" w:rsidP="00F410EA">
      <w:r w:rsidRPr="00A043FE">
        <w:t>In line with the “10-Years Strategic Plan of EAPVP Forum (2018-2027)”, which was adopted at its 11</w:t>
      </w:r>
      <w:r w:rsidRPr="00A043FE">
        <w:rPr>
          <w:vertAlign w:val="superscript"/>
        </w:rPr>
        <w:t>th</w:t>
      </w:r>
      <w:r w:rsidRPr="00A043FE">
        <w:t xml:space="preserve"> Annual Meeting held in 2018, each member country is promoting Individual and/or regional Activities regarding Plant variety Protection.</w:t>
      </w:r>
    </w:p>
    <w:p w:rsidR="00F410EA" w:rsidRPr="00A043FE" w:rsidRDefault="00F410EA" w:rsidP="00F410EA"/>
    <w:p w:rsidR="00F410EA" w:rsidRPr="00A043FE" w:rsidRDefault="00F410EA" w:rsidP="00F410EA">
      <w:r w:rsidRPr="00A043FE">
        <w:t>The 15th Annual Meeting was held on July 13, 2022 via electronic means, where Cooperation Activities were adopted and the progress of EAPVP Pilot Project was reported.</w:t>
      </w:r>
    </w:p>
    <w:p w:rsidR="00F410EA" w:rsidRPr="00A043FE" w:rsidRDefault="00F410EA" w:rsidP="00F410EA"/>
    <w:p w:rsidR="00F410EA" w:rsidRPr="00A043FE" w:rsidRDefault="00F410EA" w:rsidP="00F410EA">
      <w:pPr>
        <w:rPr>
          <w:i/>
        </w:rPr>
      </w:pPr>
      <w:r w:rsidRPr="00A043FE">
        <w:rPr>
          <w:i/>
        </w:rPr>
        <w:t>5.2</w:t>
      </w:r>
      <w:r w:rsidRPr="00A043FE">
        <w:rPr>
          <w:i/>
        </w:rPr>
        <w:tab/>
        <w:t>EAPVP Pilot Project (e-PVP Asia)</w:t>
      </w:r>
    </w:p>
    <w:p w:rsidR="00F410EA" w:rsidRPr="00A043FE" w:rsidRDefault="00F410EA" w:rsidP="00F410EA"/>
    <w:p w:rsidR="00F410EA" w:rsidRPr="00A043FE" w:rsidRDefault="00F410EA" w:rsidP="00F410EA">
      <w:r w:rsidRPr="00A043FE">
        <w:t>The 11</w:t>
      </w:r>
      <w:r w:rsidRPr="00A043FE">
        <w:rPr>
          <w:vertAlign w:val="superscript"/>
        </w:rPr>
        <w:t>th</w:t>
      </w:r>
      <w:r w:rsidRPr="00A043FE">
        <w:t xml:space="preserve"> Forum Annual Meeting agreed to commence the Pilot Project (PP) as a regional cooperation activity which was proposed by Japan and Viet Nam.  The PP consists of two phases, that is phase 1 (development and testing; 2018-2022) and phase 2 (operation; 2023-). The PP held nine meetings since October 2018.</w:t>
      </w:r>
    </w:p>
    <w:p w:rsidR="00F410EA" w:rsidRPr="00A043FE" w:rsidRDefault="00F410EA" w:rsidP="00F410EA"/>
    <w:p w:rsidR="00F410EA" w:rsidRPr="00A043FE" w:rsidRDefault="00F410EA" w:rsidP="00F410EA">
      <w:r w:rsidRPr="00A043FE">
        <w:t>i.</w:t>
      </w:r>
      <w:r w:rsidRPr="00A043FE">
        <w:tab/>
        <w:t>Participating countries</w:t>
      </w:r>
    </w:p>
    <w:p w:rsidR="00F410EA" w:rsidRPr="00A043FE" w:rsidRDefault="00F410EA" w:rsidP="00F410EA"/>
    <w:p w:rsidR="00F410EA" w:rsidRPr="00A043FE" w:rsidRDefault="00F410EA" w:rsidP="00F410EA">
      <w:r w:rsidRPr="00A043FE">
        <w:t>Current participating countries are Japan and Viet Nam. Brunei Darussalam Darussalam, Malaysia and Myanmar are provisional participating countries. The UPOV Office is a resource partner.  EAPVP Forum member countries wish to join the PP, they could participate it if they are the member of UPOV.  EAPVP member countries which have officially committed to join UPOV, upon their request, can be provisional participating countries during Phase 1.  Any EAPVP Forum member countries may attend PP meetings.</w:t>
      </w:r>
    </w:p>
    <w:p w:rsidR="00F410EA" w:rsidRPr="00A043FE" w:rsidRDefault="00F410EA" w:rsidP="00F410EA"/>
    <w:p w:rsidR="00F410EA" w:rsidRPr="00A043FE" w:rsidRDefault="00F410EA" w:rsidP="00F410EA">
      <w:r w:rsidRPr="00A043FE">
        <w:t>ii</w:t>
      </w:r>
      <w:r w:rsidRPr="00A043FE">
        <w:tab/>
        <w:t xml:space="preserve">Benefits of the e-PVP Asia </w:t>
      </w:r>
    </w:p>
    <w:p w:rsidR="00F410EA" w:rsidRPr="00A043FE" w:rsidRDefault="00F410EA" w:rsidP="00F410EA"/>
    <w:p w:rsidR="00F410EA" w:rsidRPr="00A043FE" w:rsidRDefault="00F410EA" w:rsidP="00F410EA">
      <w:pPr>
        <w:spacing w:after="120"/>
      </w:pPr>
      <w:r w:rsidRPr="00A043FE">
        <w:t>For breeders/agents</w:t>
      </w:r>
    </w:p>
    <w:p w:rsidR="00F410EA" w:rsidRPr="00A043FE" w:rsidRDefault="00F410EA" w:rsidP="00F410EA">
      <w:r w:rsidRPr="00A043FE">
        <w:t>The e-PVP Asia will provide:</w:t>
      </w:r>
    </w:p>
    <w:p w:rsidR="00F410EA" w:rsidRPr="00A043FE" w:rsidRDefault="00F410EA" w:rsidP="00F410EA">
      <w:pPr>
        <w:numPr>
          <w:ilvl w:val="0"/>
          <w:numId w:val="25"/>
        </w:numPr>
      </w:pPr>
      <w:r w:rsidRPr="00A043FE">
        <w:t>A single online platform for submitting application data to PVP Offices of e-PVP Asia participating countries; and</w:t>
      </w:r>
    </w:p>
    <w:p w:rsidR="00F410EA" w:rsidRPr="00A043FE" w:rsidRDefault="00F410EA" w:rsidP="00F410EA">
      <w:pPr>
        <w:numPr>
          <w:ilvl w:val="0"/>
          <w:numId w:val="25"/>
        </w:numPr>
      </w:pPr>
      <w:r w:rsidRPr="00A043FE">
        <w:t xml:space="preserve">A platform to exchange DUS reports among e-PVP Asia participating countries, which would contribute to saving time and money by minimizing the number of DUS examinations. </w:t>
      </w:r>
    </w:p>
    <w:p w:rsidR="00F410EA" w:rsidRPr="00A043FE" w:rsidRDefault="00F410EA" w:rsidP="00F410EA"/>
    <w:p w:rsidR="00F410EA" w:rsidRPr="00A043FE" w:rsidRDefault="00F410EA" w:rsidP="00F410EA">
      <w:pPr>
        <w:spacing w:after="120"/>
      </w:pPr>
      <w:r w:rsidRPr="00A043FE">
        <w:t>For participating PVP Offices</w:t>
      </w:r>
    </w:p>
    <w:p w:rsidR="00F410EA" w:rsidRPr="00A043FE" w:rsidRDefault="00F410EA" w:rsidP="00F410EA">
      <w:r w:rsidRPr="00A043FE">
        <w:t>The e-PVP Asia (PVP platform) will:</w:t>
      </w:r>
    </w:p>
    <w:p w:rsidR="00F410EA" w:rsidRPr="00A043FE" w:rsidRDefault="00F410EA" w:rsidP="00F410EA">
      <w:pPr>
        <w:numPr>
          <w:ilvl w:val="0"/>
          <w:numId w:val="25"/>
        </w:numPr>
      </w:pPr>
      <w:r w:rsidRPr="00A043FE">
        <w:t>Enhance DUS cooperation among PVP Offices of e-PVP Asia participating countries, which will contribute to filling capacity gap in DUS examination due to the difference of human resources, infrastructure, and nature condition for growing trials.</w:t>
      </w:r>
    </w:p>
    <w:p w:rsidR="00F410EA" w:rsidRPr="00A043FE" w:rsidRDefault="00F410EA" w:rsidP="00F410EA"/>
    <w:p w:rsidR="00F410EA" w:rsidRPr="00A043FE" w:rsidRDefault="00F410EA" w:rsidP="00F410EA">
      <w:r w:rsidRPr="00A043FE">
        <w:t xml:space="preserve">iii. </w:t>
      </w:r>
      <w:r w:rsidRPr="00A043FE">
        <w:tab/>
        <w:t>Progress of PP</w:t>
      </w:r>
    </w:p>
    <w:p w:rsidR="00F410EA" w:rsidRPr="00A043FE" w:rsidRDefault="00F410EA" w:rsidP="00F410EA"/>
    <w:p w:rsidR="00F410EA" w:rsidRPr="00A043FE" w:rsidRDefault="00F410EA" w:rsidP="00F410EA">
      <w:r w:rsidRPr="00A043FE">
        <w:t>At the 9</w:t>
      </w:r>
      <w:r w:rsidRPr="00A043FE">
        <w:rPr>
          <w:vertAlign w:val="superscript"/>
        </w:rPr>
        <w:t>th</w:t>
      </w:r>
      <w:r w:rsidRPr="00A043FE">
        <w:t xml:space="preserve"> PP meeting by correspondence in March 2022, the Project schematic were agreed and the User’s screens of e-PVP modules were presented.  The PP participating countries shared this Project scheme to all Forum members.  The development of the PP was reported to the 15</w:t>
      </w:r>
      <w:r w:rsidRPr="00A043FE">
        <w:rPr>
          <w:vertAlign w:val="superscript"/>
        </w:rPr>
        <w:t>th</w:t>
      </w:r>
      <w:r w:rsidRPr="00A043FE">
        <w:t xml:space="preserve"> EAPVP Forum annual meeting.</w:t>
      </w:r>
    </w:p>
    <w:p w:rsidR="00F410EA" w:rsidRPr="00A043FE" w:rsidRDefault="00F410EA" w:rsidP="00F410EA"/>
    <w:p w:rsidR="00F410EA" w:rsidRPr="00A043FE" w:rsidRDefault="00F410EA" w:rsidP="00F410EA">
      <w:pPr>
        <w:rPr>
          <w:i/>
        </w:rPr>
      </w:pPr>
      <w:r w:rsidRPr="00A043FE">
        <w:rPr>
          <w:i/>
        </w:rPr>
        <w:t>5.3</w:t>
      </w:r>
      <w:r w:rsidRPr="00A043FE">
        <w:rPr>
          <w:i/>
        </w:rPr>
        <w:tab/>
        <w:t>International training course organized by Japan International Cooperation Agency (JICA)</w:t>
      </w:r>
    </w:p>
    <w:p w:rsidR="00F410EA" w:rsidRPr="00A043FE" w:rsidRDefault="00F410EA" w:rsidP="00F410EA"/>
    <w:p w:rsidR="00F410EA" w:rsidRPr="00A043FE" w:rsidRDefault="00F410EA" w:rsidP="00F410EA">
      <w:r w:rsidRPr="00A043FE">
        <w:t>A three month international training course “Plant variety Protection and Quality Control System of Seeds to Facilitate Distribution of High Quality Seeds” was operated by JICA with cooperation of the UPOV secretariat, from August 22 to October 6, 2022 via online platform with 14 trainees participated from Bangladesh, Indonesia, Nepal, Philippines, Thailand, Uzbekistan, Viet Nam and Zambia.</w:t>
      </w:r>
    </w:p>
    <w:p w:rsidR="00F410EA" w:rsidRDefault="00F410EA" w:rsidP="00991CBD">
      <w:pPr>
        <w:sectPr w:rsidR="00F410EA" w:rsidSect="0049108C">
          <w:headerReference w:type="default" r:id="rId18"/>
          <w:pgSz w:w="11907" w:h="16840" w:code="9"/>
          <w:pgMar w:top="510" w:right="1134" w:bottom="1134" w:left="1134" w:header="510" w:footer="680" w:gutter="0"/>
          <w:pgNumType w:start="1"/>
          <w:cols w:space="720"/>
          <w:titlePg/>
        </w:sectPr>
      </w:pPr>
    </w:p>
    <w:p w:rsidR="00F410EA" w:rsidRPr="00A043FE" w:rsidRDefault="00F410EA" w:rsidP="00F410EA">
      <w:r w:rsidRPr="00A043FE">
        <w:rPr>
          <w:lang w:eastAsia="ja-JP"/>
        </w:rPr>
        <w:lastRenderedPageBreak/>
        <w:t>5.4</w:t>
      </w:r>
      <w:r w:rsidRPr="00A043FE">
        <w:rPr>
          <w:lang w:eastAsia="ja-JP"/>
        </w:rPr>
        <w:tab/>
        <w:t>List of the EAPVP cooperation activities (April 2021 – March 2022)</w:t>
      </w:r>
    </w:p>
    <w:p w:rsidR="00F410EA" w:rsidRPr="00A043FE" w:rsidRDefault="00F410EA" w:rsidP="00F410EA"/>
    <w:tbl>
      <w:tblPr>
        <w:tblStyle w:val="TableGrid"/>
        <w:tblpPr w:leftFromText="142" w:rightFromText="142" w:vertAnchor="text" w:horzAnchor="margin" w:tblpX="-5" w:tblpY="1"/>
        <w:tblOverlap w:val="never"/>
        <w:tblW w:w="14692" w:type="dxa"/>
        <w:tblLayout w:type="fixed"/>
        <w:tblCellMar>
          <w:top w:w="28" w:type="dxa"/>
          <w:left w:w="57" w:type="dxa"/>
          <w:bottom w:w="28" w:type="dxa"/>
          <w:right w:w="57" w:type="dxa"/>
        </w:tblCellMar>
        <w:tblLook w:val="01E0" w:firstRow="1" w:lastRow="1" w:firstColumn="1" w:lastColumn="1" w:noHBand="0" w:noVBand="0"/>
      </w:tblPr>
      <w:tblGrid>
        <w:gridCol w:w="2240"/>
        <w:gridCol w:w="1544"/>
        <w:gridCol w:w="981"/>
        <w:gridCol w:w="1184"/>
        <w:gridCol w:w="2835"/>
        <w:gridCol w:w="2946"/>
        <w:gridCol w:w="2962"/>
      </w:tblGrid>
      <w:tr w:rsidR="00F410EA" w:rsidRPr="00A043FE" w:rsidTr="00647E67">
        <w:trPr>
          <w:trHeight w:val="573"/>
        </w:trPr>
        <w:tc>
          <w:tcPr>
            <w:tcW w:w="2240" w:type="dxa"/>
          </w:tcPr>
          <w:p w:rsidR="00F410EA" w:rsidRPr="00A043FE" w:rsidRDefault="00F410EA" w:rsidP="00647E67">
            <w:pPr>
              <w:keepNext/>
              <w:jc w:val="left"/>
              <w:rPr>
                <w:sz w:val="16"/>
                <w:szCs w:val="16"/>
              </w:rPr>
            </w:pPr>
            <w:r w:rsidRPr="00A043FE">
              <w:rPr>
                <w:sz w:val="16"/>
                <w:szCs w:val="16"/>
              </w:rPr>
              <w:t>Title of activity</w:t>
            </w:r>
          </w:p>
        </w:tc>
        <w:tc>
          <w:tcPr>
            <w:tcW w:w="1544" w:type="dxa"/>
          </w:tcPr>
          <w:p w:rsidR="00F410EA" w:rsidRPr="00A043FE" w:rsidRDefault="00F410EA" w:rsidP="00647E67">
            <w:pPr>
              <w:keepNext/>
              <w:jc w:val="left"/>
              <w:rPr>
                <w:sz w:val="16"/>
                <w:szCs w:val="16"/>
              </w:rPr>
            </w:pPr>
            <w:r w:rsidRPr="00A043FE">
              <w:rPr>
                <w:sz w:val="16"/>
                <w:szCs w:val="16"/>
              </w:rPr>
              <w:t>Date</w:t>
            </w:r>
          </w:p>
        </w:tc>
        <w:tc>
          <w:tcPr>
            <w:tcW w:w="981" w:type="dxa"/>
          </w:tcPr>
          <w:p w:rsidR="00F410EA" w:rsidRPr="00A043FE" w:rsidRDefault="00F410EA" w:rsidP="00647E67">
            <w:pPr>
              <w:keepNext/>
              <w:jc w:val="left"/>
              <w:rPr>
                <w:sz w:val="16"/>
                <w:szCs w:val="16"/>
              </w:rPr>
            </w:pPr>
            <w:r w:rsidRPr="00A043FE">
              <w:rPr>
                <w:sz w:val="16"/>
                <w:szCs w:val="16"/>
              </w:rPr>
              <w:t>Location</w:t>
            </w:r>
          </w:p>
        </w:tc>
        <w:tc>
          <w:tcPr>
            <w:tcW w:w="1184" w:type="dxa"/>
          </w:tcPr>
          <w:p w:rsidR="00F410EA" w:rsidRPr="00A043FE" w:rsidRDefault="00F410EA" w:rsidP="00647E67">
            <w:pPr>
              <w:keepNext/>
              <w:jc w:val="left"/>
              <w:rPr>
                <w:sz w:val="16"/>
                <w:szCs w:val="16"/>
              </w:rPr>
            </w:pPr>
            <w:r w:rsidRPr="00A043FE">
              <w:rPr>
                <w:sz w:val="16"/>
                <w:szCs w:val="16"/>
              </w:rPr>
              <w:t>Organizer(s)</w:t>
            </w:r>
          </w:p>
        </w:tc>
        <w:tc>
          <w:tcPr>
            <w:tcW w:w="2835" w:type="dxa"/>
          </w:tcPr>
          <w:p w:rsidR="00F410EA" w:rsidRPr="00A043FE" w:rsidRDefault="00F410EA" w:rsidP="00647E67">
            <w:pPr>
              <w:keepNext/>
              <w:jc w:val="left"/>
              <w:rPr>
                <w:sz w:val="16"/>
                <w:szCs w:val="16"/>
              </w:rPr>
            </w:pPr>
            <w:r w:rsidRPr="00A043FE">
              <w:rPr>
                <w:sz w:val="16"/>
                <w:szCs w:val="16"/>
              </w:rPr>
              <w:t>Purpose of activity</w:t>
            </w:r>
          </w:p>
        </w:tc>
        <w:tc>
          <w:tcPr>
            <w:tcW w:w="2946" w:type="dxa"/>
          </w:tcPr>
          <w:p w:rsidR="00F410EA" w:rsidRPr="00A043FE" w:rsidRDefault="00F410EA" w:rsidP="00647E67">
            <w:pPr>
              <w:keepNext/>
              <w:jc w:val="left"/>
              <w:rPr>
                <w:sz w:val="16"/>
                <w:szCs w:val="16"/>
              </w:rPr>
            </w:pPr>
            <w:r w:rsidRPr="00A043FE">
              <w:rPr>
                <w:sz w:val="16"/>
                <w:szCs w:val="16"/>
              </w:rPr>
              <w:t>Participating countries/ organizations (number of participants from each)</w:t>
            </w:r>
          </w:p>
        </w:tc>
        <w:tc>
          <w:tcPr>
            <w:tcW w:w="2962" w:type="dxa"/>
          </w:tcPr>
          <w:p w:rsidR="00F410EA" w:rsidRPr="00A043FE" w:rsidRDefault="00F410EA" w:rsidP="00647E67">
            <w:pPr>
              <w:keepNext/>
              <w:jc w:val="left"/>
              <w:rPr>
                <w:sz w:val="16"/>
                <w:szCs w:val="16"/>
              </w:rPr>
            </w:pPr>
            <w:r w:rsidRPr="00A043FE">
              <w:rPr>
                <w:sz w:val="16"/>
                <w:szCs w:val="16"/>
              </w:rPr>
              <w:t>URL for details</w:t>
            </w:r>
          </w:p>
        </w:tc>
      </w:tr>
      <w:tr w:rsidR="00F410EA" w:rsidRPr="00A043FE" w:rsidTr="00647E67">
        <w:trPr>
          <w:trHeight w:val="573"/>
        </w:trPr>
        <w:tc>
          <w:tcPr>
            <w:tcW w:w="2240" w:type="dxa"/>
          </w:tcPr>
          <w:p w:rsidR="00F410EA" w:rsidRPr="00A043FE" w:rsidRDefault="00F410EA" w:rsidP="00647E67">
            <w:pPr>
              <w:keepNext/>
              <w:jc w:val="left"/>
              <w:rPr>
                <w:sz w:val="16"/>
                <w:szCs w:val="16"/>
              </w:rPr>
            </w:pPr>
            <w:r w:rsidRPr="00A043FE">
              <w:rPr>
                <w:sz w:val="16"/>
                <w:szCs w:val="16"/>
              </w:rPr>
              <w:t>1. International Seminar on the Protection of New Plant varieties</w:t>
            </w:r>
          </w:p>
        </w:tc>
        <w:tc>
          <w:tcPr>
            <w:tcW w:w="1544" w:type="dxa"/>
          </w:tcPr>
          <w:p w:rsidR="00F410EA" w:rsidRPr="00A043FE" w:rsidRDefault="00F410EA" w:rsidP="00647E67">
            <w:pPr>
              <w:keepNext/>
              <w:jc w:val="left"/>
              <w:rPr>
                <w:sz w:val="16"/>
                <w:szCs w:val="16"/>
              </w:rPr>
            </w:pPr>
            <w:r w:rsidRPr="00A043FE">
              <w:rPr>
                <w:sz w:val="16"/>
                <w:szCs w:val="16"/>
              </w:rPr>
              <w:t>September 1, 2021</w:t>
            </w:r>
          </w:p>
        </w:tc>
        <w:tc>
          <w:tcPr>
            <w:tcW w:w="981" w:type="dxa"/>
          </w:tcPr>
          <w:p w:rsidR="00F410EA" w:rsidRPr="00A043FE" w:rsidRDefault="00F410EA" w:rsidP="00647E67">
            <w:pPr>
              <w:keepNext/>
              <w:jc w:val="left"/>
              <w:rPr>
                <w:sz w:val="16"/>
                <w:szCs w:val="16"/>
                <w:lang w:eastAsia="ja-JP"/>
              </w:rPr>
            </w:pPr>
            <w:r w:rsidRPr="00A043FE">
              <w:rPr>
                <w:sz w:val="16"/>
                <w:szCs w:val="16"/>
                <w:lang w:eastAsia="ja-JP"/>
              </w:rPr>
              <w:t>Japan</w:t>
            </w:r>
          </w:p>
          <w:p w:rsidR="00F410EA" w:rsidRPr="00A043FE" w:rsidRDefault="00F410EA" w:rsidP="00647E67">
            <w:pPr>
              <w:keepNext/>
              <w:jc w:val="left"/>
              <w:rPr>
                <w:sz w:val="16"/>
                <w:szCs w:val="16"/>
              </w:rPr>
            </w:pPr>
            <w:r w:rsidRPr="00A043FE">
              <w:rPr>
                <w:sz w:val="16"/>
                <w:szCs w:val="16"/>
                <w:lang w:eastAsia="ja-JP"/>
              </w:rPr>
              <w:t>(virtual means)</w:t>
            </w:r>
          </w:p>
        </w:tc>
        <w:tc>
          <w:tcPr>
            <w:tcW w:w="1184" w:type="dxa"/>
          </w:tcPr>
          <w:p w:rsidR="00F410EA" w:rsidRPr="00A043FE" w:rsidRDefault="00F410EA" w:rsidP="00647E67">
            <w:pPr>
              <w:keepNext/>
              <w:jc w:val="left"/>
              <w:rPr>
                <w:sz w:val="16"/>
                <w:szCs w:val="16"/>
              </w:rPr>
            </w:pPr>
            <w:r w:rsidRPr="00A043FE">
              <w:rPr>
                <w:sz w:val="16"/>
                <w:szCs w:val="16"/>
                <w:lang w:eastAsia="ja-JP"/>
              </w:rPr>
              <w:t>JATAFF, MAFF of Japan</w:t>
            </w:r>
          </w:p>
        </w:tc>
        <w:tc>
          <w:tcPr>
            <w:tcW w:w="2835" w:type="dxa"/>
          </w:tcPr>
          <w:p w:rsidR="00F410EA" w:rsidRPr="00A043FE" w:rsidRDefault="00F410EA" w:rsidP="00647E67">
            <w:pPr>
              <w:keepNext/>
              <w:jc w:val="left"/>
              <w:rPr>
                <w:sz w:val="16"/>
                <w:szCs w:val="16"/>
              </w:rPr>
            </w:pPr>
            <w:r w:rsidRPr="00A043FE">
              <w:rPr>
                <w:sz w:val="16"/>
                <w:szCs w:val="16"/>
                <w:lang w:eastAsia="ja-JP"/>
              </w:rPr>
              <w:t>To increase awareness on the PVP system under the UPOV convention</w:t>
            </w:r>
          </w:p>
        </w:tc>
        <w:tc>
          <w:tcPr>
            <w:tcW w:w="2946" w:type="dxa"/>
          </w:tcPr>
          <w:p w:rsidR="00F410EA" w:rsidRPr="00A043FE" w:rsidRDefault="00F410EA" w:rsidP="00647E67">
            <w:pPr>
              <w:keepNext/>
              <w:jc w:val="left"/>
              <w:rPr>
                <w:sz w:val="16"/>
                <w:szCs w:val="16"/>
              </w:rPr>
            </w:pPr>
            <w:r w:rsidRPr="00A043FE">
              <w:rPr>
                <w:sz w:val="16"/>
                <w:szCs w:val="16"/>
                <w:lang w:eastAsia="ja-JP"/>
              </w:rPr>
              <w:t>EAPVP members, UPOV</w:t>
            </w:r>
            <w:r w:rsidRPr="00A043FE">
              <w:rPr>
                <w:sz w:val="16"/>
                <w:szCs w:val="16"/>
              </w:rPr>
              <w:t>,</w:t>
            </w:r>
            <w:r w:rsidRPr="00A043FE">
              <w:rPr>
                <w:sz w:val="16"/>
                <w:szCs w:val="16"/>
                <w:lang w:eastAsia="ja-JP"/>
              </w:rPr>
              <w:t xml:space="preserve"> CPVO and USPTO</w:t>
            </w:r>
          </w:p>
        </w:tc>
        <w:tc>
          <w:tcPr>
            <w:tcW w:w="2962" w:type="dxa"/>
          </w:tcPr>
          <w:p w:rsidR="00F410EA" w:rsidRPr="00A043FE" w:rsidRDefault="009621DA" w:rsidP="00647E67">
            <w:pPr>
              <w:keepNext/>
              <w:jc w:val="left"/>
              <w:rPr>
                <w:sz w:val="16"/>
                <w:szCs w:val="16"/>
              </w:rPr>
            </w:pPr>
            <w:hyperlink r:id="rId19" w:history="1">
              <w:r w:rsidR="00F410EA" w:rsidRPr="00A043FE">
                <w:rPr>
                  <w:rStyle w:val="Hyperlink"/>
                  <w:sz w:val="16"/>
                  <w:szCs w:val="16"/>
                </w:rPr>
                <w:t>http://eapvp.org/report-data/japan/international_seminar2021/</w:t>
              </w:r>
            </w:hyperlink>
          </w:p>
        </w:tc>
      </w:tr>
      <w:tr w:rsidR="00F410EA" w:rsidRPr="00A043FE" w:rsidTr="00647E67">
        <w:trPr>
          <w:trHeight w:val="573"/>
        </w:trPr>
        <w:tc>
          <w:tcPr>
            <w:tcW w:w="2240" w:type="dxa"/>
          </w:tcPr>
          <w:p w:rsidR="00F410EA" w:rsidRPr="00A043FE" w:rsidRDefault="00F410EA" w:rsidP="00647E67">
            <w:pPr>
              <w:keepNext/>
              <w:jc w:val="left"/>
              <w:rPr>
                <w:sz w:val="16"/>
                <w:szCs w:val="16"/>
              </w:rPr>
            </w:pPr>
            <w:r w:rsidRPr="00A043FE">
              <w:rPr>
                <w:sz w:val="16"/>
                <w:szCs w:val="16"/>
              </w:rPr>
              <w:t>2. Seminar on the Enforcement of Plant Breeders’ Rights</w:t>
            </w:r>
          </w:p>
        </w:tc>
        <w:tc>
          <w:tcPr>
            <w:tcW w:w="1544" w:type="dxa"/>
          </w:tcPr>
          <w:p w:rsidR="00F410EA" w:rsidRPr="00A043FE" w:rsidRDefault="00F410EA" w:rsidP="00647E67">
            <w:pPr>
              <w:keepNext/>
              <w:jc w:val="left"/>
              <w:rPr>
                <w:sz w:val="16"/>
                <w:szCs w:val="16"/>
              </w:rPr>
            </w:pPr>
            <w:r w:rsidRPr="00A043FE">
              <w:rPr>
                <w:sz w:val="16"/>
                <w:szCs w:val="16"/>
              </w:rPr>
              <w:t>January 12, 2022</w:t>
            </w:r>
          </w:p>
        </w:tc>
        <w:tc>
          <w:tcPr>
            <w:tcW w:w="981" w:type="dxa"/>
          </w:tcPr>
          <w:p w:rsidR="00F410EA" w:rsidRPr="00A043FE" w:rsidRDefault="00F410EA" w:rsidP="00647E67">
            <w:pPr>
              <w:keepNext/>
              <w:jc w:val="left"/>
              <w:rPr>
                <w:sz w:val="16"/>
                <w:szCs w:val="16"/>
              </w:rPr>
            </w:pPr>
            <w:r w:rsidRPr="00A043FE">
              <w:rPr>
                <w:sz w:val="16"/>
                <w:szCs w:val="16"/>
                <w:lang w:eastAsia="ja-JP"/>
              </w:rPr>
              <w:t>Viet Nam (virtual means)</w:t>
            </w:r>
          </w:p>
        </w:tc>
        <w:tc>
          <w:tcPr>
            <w:tcW w:w="1184" w:type="dxa"/>
          </w:tcPr>
          <w:p w:rsidR="00F410EA" w:rsidRPr="00A043FE" w:rsidRDefault="00F410EA" w:rsidP="00647E67">
            <w:pPr>
              <w:keepNext/>
              <w:jc w:val="left"/>
              <w:rPr>
                <w:sz w:val="16"/>
                <w:szCs w:val="16"/>
              </w:rPr>
            </w:pPr>
            <w:r w:rsidRPr="00A043FE">
              <w:rPr>
                <w:sz w:val="16"/>
                <w:szCs w:val="16"/>
              </w:rPr>
              <w:t>Ministry of Agriculture and Rural Development of Viet Nam</w:t>
            </w:r>
          </w:p>
        </w:tc>
        <w:tc>
          <w:tcPr>
            <w:tcW w:w="2835" w:type="dxa"/>
          </w:tcPr>
          <w:p w:rsidR="00F410EA" w:rsidRPr="00A043FE" w:rsidRDefault="00F410EA" w:rsidP="00647E67">
            <w:pPr>
              <w:keepNext/>
              <w:jc w:val="left"/>
              <w:rPr>
                <w:sz w:val="16"/>
                <w:szCs w:val="16"/>
              </w:rPr>
            </w:pPr>
            <w:r w:rsidRPr="00A043FE">
              <w:rPr>
                <w:sz w:val="16"/>
                <w:szCs w:val="16"/>
                <w:lang w:eastAsia="ja-JP"/>
              </w:rPr>
              <w:t xml:space="preserve">To raise awareness of the PVP system among market control personnel, economy police officers, etc. </w:t>
            </w:r>
          </w:p>
        </w:tc>
        <w:tc>
          <w:tcPr>
            <w:tcW w:w="2946" w:type="dxa"/>
          </w:tcPr>
          <w:p w:rsidR="00F410EA" w:rsidRPr="00A043FE" w:rsidRDefault="00F410EA" w:rsidP="00647E67">
            <w:pPr>
              <w:keepNext/>
              <w:jc w:val="left"/>
              <w:rPr>
                <w:sz w:val="16"/>
                <w:szCs w:val="16"/>
              </w:rPr>
            </w:pPr>
            <w:r w:rsidRPr="00A043FE">
              <w:rPr>
                <w:sz w:val="16"/>
                <w:szCs w:val="16"/>
                <w:lang w:eastAsia="ja-JP"/>
              </w:rPr>
              <w:t>Brunei Darussalam (2), Cambodia (4), China (1), Indonesia (9), Lao People’s Democratic Republic (1), Malaysia (23), Myanmar (3), Philippine (16), Republic of Korea (3), Thailand (4), Viet Nam (58)</w:t>
            </w:r>
          </w:p>
        </w:tc>
        <w:tc>
          <w:tcPr>
            <w:tcW w:w="2962" w:type="dxa"/>
          </w:tcPr>
          <w:p w:rsidR="00F410EA" w:rsidRPr="00A043FE" w:rsidRDefault="009621DA" w:rsidP="00647E67">
            <w:pPr>
              <w:keepNext/>
              <w:jc w:val="left"/>
              <w:rPr>
                <w:sz w:val="16"/>
                <w:szCs w:val="16"/>
              </w:rPr>
            </w:pPr>
            <w:hyperlink r:id="rId20" w:history="1">
              <w:r w:rsidR="00F410EA" w:rsidRPr="00A043FE">
                <w:rPr>
                  <w:rStyle w:val="Hyperlink"/>
                  <w:sz w:val="16"/>
                  <w:szCs w:val="16"/>
                </w:rPr>
                <w:t>http://eapvp.org/report-data/vietnam/ministry-of-agriculture-and-rural-development-of-vietnam-held-online-seminar-on-the-enforcement-of-plant-breeders-rights/</w:t>
              </w:r>
            </w:hyperlink>
          </w:p>
        </w:tc>
      </w:tr>
      <w:tr w:rsidR="00F410EA" w:rsidRPr="00A043FE" w:rsidTr="00647E67">
        <w:trPr>
          <w:trHeight w:val="573"/>
        </w:trPr>
        <w:tc>
          <w:tcPr>
            <w:tcW w:w="2240" w:type="dxa"/>
          </w:tcPr>
          <w:p w:rsidR="00F410EA" w:rsidRPr="00A043FE" w:rsidRDefault="00F410EA" w:rsidP="00647E67">
            <w:pPr>
              <w:keepNext/>
              <w:jc w:val="left"/>
              <w:rPr>
                <w:sz w:val="16"/>
                <w:szCs w:val="16"/>
              </w:rPr>
            </w:pPr>
            <w:r w:rsidRPr="00A043FE">
              <w:rPr>
                <w:sz w:val="16"/>
                <w:szCs w:val="16"/>
                <w:lang w:eastAsia="ja-JP"/>
              </w:rPr>
              <w:t>3. DUS training workshop</w:t>
            </w:r>
          </w:p>
        </w:tc>
        <w:tc>
          <w:tcPr>
            <w:tcW w:w="1544" w:type="dxa"/>
          </w:tcPr>
          <w:p w:rsidR="00F410EA" w:rsidRPr="00A043FE" w:rsidRDefault="00F410EA" w:rsidP="00647E67">
            <w:pPr>
              <w:keepNext/>
              <w:jc w:val="left"/>
              <w:rPr>
                <w:sz w:val="16"/>
                <w:szCs w:val="16"/>
              </w:rPr>
            </w:pPr>
            <w:r w:rsidRPr="00A043FE">
              <w:rPr>
                <w:sz w:val="16"/>
                <w:szCs w:val="16"/>
                <w:lang w:eastAsia="ja-JP"/>
              </w:rPr>
              <w:t>January 18-19, 2022</w:t>
            </w:r>
          </w:p>
        </w:tc>
        <w:tc>
          <w:tcPr>
            <w:tcW w:w="981" w:type="dxa"/>
          </w:tcPr>
          <w:p w:rsidR="00F410EA" w:rsidRPr="00A043FE" w:rsidRDefault="00F410EA" w:rsidP="00647E67">
            <w:pPr>
              <w:keepNext/>
              <w:jc w:val="left"/>
              <w:rPr>
                <w:sz w:val="16"/>
                <w:szCs w:val="16"/>
                <w:lang w:eastAsia="ja-JP"/>
              </w:rPr>
            </w:pPr>
            <w:r w:rsidRPr="00A043FE">
              <w:rPr>
                <w:sz w:val="16"/>
                <w:szCs w:val="16"/>
                <w:lang w:eastAsia="ja-JP"/>
              </w:rPr>
              <w:t>Japan</w:t>
            </w:r>
          </w:p>
          <w:p w:rsidR="00F410EA" w:rsidRPr="00A043FE" w:rsidRDefault="00F410EA" w:rsidP="00647E67">
            <w:pPr>
              <w:keepNext/>
              <w:jc w:val="left"/>
              <w:rPr>
                <w:sz w:val="16"/>
                <w:szCs w:val="16"/>
              </w:rPr>
            </w:pPr>
            <w:r w:rsidRPr="00A043FE">
              <w:rPr>
                <w:sz w:val="16"/>
                <w:szCs w:val="16"/>
                <w:lang w:eastAsia="ja-JP"/>
              </w:rPr>
              <w:t>(virtual means)</w:t>
            </w:r>
          </w:p>
        </w:tc>
        <w:tc>
          <w:tcPr>
            <w:tcW w:w="1184" w:type="dxa"/>
          </w:tcPr>
          <w:p w:rsidR="00F410EA" w:rsidRPr="00A043FE" w:rsidRDefault="00F410EA" w:rsidP="00647E67">
            <w:pPr>
              <w:keepNext/>
              <w:jc w:val="left"/>
              <w:rPr>
                <w:sz w:val="16"/>
                <w:szCs w:val="16"/>
              </w:rPr>
            </w:pPr>
            <w:r w:rsidRPr="00A043FE">
              <w:rPr>
                <w:sz w:val="16"/>
                <w:szCs w:val="16"/>
                <w:lang w:eastAsia="ja-JP"/>
              </w:rPr>
              <w:t>NCSS of Japan</w:t>
            </w:r>
          </w:p>
        </w:tc>
        <w:tc>
          <w:tcPr>
            <w:tcW w:w="2835" w:type="dxa"/>
          </w:tcPr>
          <w:p w:rsidR="00F410EA" w:rsidRPr="00A043FE" w:rsidRDefault="00F410EA" w:rsidP="00647E67">
            <w:pPr>
              <w:keepNext/>
              <w:jc w:val="left"/>
              <w:rPr>
                <w:sz w:val="16"/>
                <w:szCs w:val="16"/>
              </w:rPr>
            </w:pPr>
            <w:r w:rsidRPr="00A043FE">
              <w:rPr>
                <w:sz w:val="16"/>
                <w:szCs w:val="16"/>
                <w:lang w:eastAsia="ja-JP"/>
              </w:rPr>
              <w:t xml:space="preserve">To build the capacity of authorities in   the ASEAN region countries. </w:t>
            </w:r>
          </w:p>
        </w:tc>
        <w:tc>
          <w:tcPr>
            <w:tcW w:w="2946" w:type="dxa"/>
          </w:tcPr>
          <w:p w:rsidR="00F410EA" w:rsidRPr="00A043FE" w:rsidRDefault="00F410EA" w:rsidP="00647E67">
            <w:pPr>
              <w:keepNext/>
              <w:jc w:val="left"/>
              <w:rPr>
                <w:sz w:val="16"/>
                <w:szCs w:val="16"/>
              </w:rPr>
            </w:pPr>
            <w:r w:rsidRPr="00A043FE">
              <w:rPr>
                <w:sz w:val="16"/>
                <w:szCs w:val="16"/>
                <w:lang w:eastAsia="ja-JP"/>
              </w:rPr>
              <w:t>Brunei Darussalam (2), Cambodia (4), Indonesia (4), Lao People’s Democratic Republic (5), Malaysia (3), Myanmar (3), Philippine (4), Thailand (3), Viet Nam (5)</w:t>
            </w:r>
          </w:p>
        </w:tc>
        <w:tc>
          <w:tcPr>
            <w:tcW w:w="2962" w:type="dxa"/>
          </w:tcPr>
          <w:p w:rsidR="00F410EA" w:rsidRPr="00A043FE" w:rsidRDefault="009621DA" w:rsidP="00647E67">
            <w:pPr>
              <w:keepNext/>
              <w:jc w:val="left"/>
              <w:rPr>
                <w:sz w:val="16"/>
                <w:szCs w:val="16"/>
              </w:rPr>
            </w:pPr>
            <w:hyperlink r:id="rId21" w:history="1">
              <w:r w:rsidR="00F410EA" w:rsidRPr="00A043FE">
                <w:rPr>
                  <w:rStyle w:val="Hyperlink"/>
                  <w:sz w:val="16"/>
                  <w:szCs w:val="16"/>
                </w:rPr>
                <w:t>http://eapvp.org/report-data/japan/ministry-of-agriculture-forestry-and-fisheries-of-japan-held-capacity-building-workshop-1-introduction-of-pvp-upov-tg1-3/</w:t>
              </w:r>
            </w:hyperlink>
          </w:p>
        </w:tc>
      </w:tr>
      <w:tr w:rsidR="00F410EA" w:rsidRPr="00A043FE" w:rsidTr="00647E67">
        <w:trPr>
          <w:trHeight w:val="573"/>
        </w:trPr>
        <w:tc>
          <w:tcPr>
            <w:tcW w:w="2240" w:type="dxa"/>
          </w:tcPr>
          <w:p w:rsidR="00F410EA" w:rsidRPr="00A043FE" w:rsidRDefault="00F410EA" w:rsidP="00647E67">
            <w:pPr>
              <w:keepNext/>
              <w:jc w:val="left"/>
              <w:rPr>
                <w:sz w:val="16"/>
                <w:szCs w:val="16"/>
              </w:rPr>
            </w:pPr>
            <w:r w:rsidRPr="00A043FE">
              <w:rPr>
                <w:sz w:val="16"/>
                <w:szCs w:val="16"/>
              </w:rPr>
              <w:t>4. Seminar on Breeder’s Exemption in PVP under UPOV Convention</w:t>
            </w:r>
          </w:p>
          <w:p w:rsidR="00F410EA" w:rsidRPr="00A043FE" w:rsidRDefault="00F410EA" w:rsidP="00647E67">
            <w:pPr>
              <w:keepNext/>
              <w:jc w:val="left"/>
              <w:rPr>
                <w:sz w:val="16"/>
                <w:szCs w:val="16"/>
                <w:lang w:eastAsia="ja-JP"/>
              </w:rPr>
            </w:pPr>
          </w:p>
        </w:tc>
        <w:tc>
          <w:tcPr>
            <w:tcW w:w="1544" w:type="dxa"/>
          </w:tcPr>
          <w:p w:rsidR="00F410EA" w:rsidRPr="00A043FE" w:rsidRDefault="00F410EA" w:rsidP="00647E67">
            <w:pPr>
              <w:keepNext/>
              <w:jc w:val="left"/>
              <w:rPr>
                <w:sz w:val="16"/>
                <w:szCs w:val="16"/>
                <w:lang w:eastAsia="ja-JP"/>
              </w:rPr>
            </w:pPr>
            <w:r w:rsidRPr="00A043FE">
              <w:rPr>
                <w:sz w:val="16"/>
                <w:szCs w:val="16"/>
              </w:rPr>
              <w:t>January 26, 2022</w:t>
            </w:r>
          </w:p>
        </w:tc>
        <w:tc>
          <w:tcPr>
            <w:tcW w:w="981" w:type="dxa"/>
          </w:tcPr>
          <w:p w:rsidR="00F410EA" w:rsidRPr="00A043FE" w:rsidRDefault="00F410EA" w:rsidP="00647E67">
            <w:pPr>
              <w:keepNext/>
              <w:jc w:val="left"/>
              <w:rPr>
                <w:sz w:val="16"/>
                <w:szCs w:val="16"/>
                <w:lang w:eastAsia="ja-JP"/>
              </w:rPr>
            </w:pPr>
            <w:r w:rsidRPr="00A043FE">
              <w:rPr>
                <w:sz w:val="16"/>
                <w:szCs w:val="16"/>
              </w:rPr>
              <w:t>Indonesia</w:t>
            </w:r>
            <w:r w:rsidRPr="00A043FE">
              <w:rPr>
                <w:sz w:val="16"/>
                <w:szCs w:val="16"/>
                <w:lang w:eastAsia="ja-JP"/>
              </w:rPr>
              <w:t xml:space="preserve"> (virtual means)</w:t>
            </w:r>
          </w:p>
        </w:tc>
        <w:tc>
          <w:tcPr>
            <w:tcW w:w="1184" w:type="dxa"/>
          </w:tcPr>
          <w:p w:rsidR="00F410EA" w:rsidRPr="00A043FE" w:rsidRDefault="00F410EA" w:rsidP="00647E67">
            <w:pPr>
              <w:keepNext/>
              <w:jc w:val="left"/>
              <w:rPr>
                <w:sz w:val="16"/>
                <w:szCs w:val="16"/>
                <w:lang w:eastAsia="ja-JP"/>
              </w:rPr>
            </w:pPr>
            <w:r w:rsidRPr="00A043FE">
              <w:rPr>
                <w:sz w:val="16"/>
                <w:szCs w:val="16"/>
              </w:rPr>
              <w:t>Ministry of Agriculture of Indonesia</w:t>
            </w:r>
          </w:p>
        </w:tc>
        <w:tc>
          <w:tcPr>
            <w:tcW w:w="2835" w:type="dxa"/>
          </w:tcPr>
          <w:p w:rsidR="00F410EA" w:rsidRPr="00A043FE" w:rsidRDefault="00F410EA" w:rsidP="00647E67">
            <w:pPr>
              <w:keepNext/>
              <w:jc w:val="left"/>
              <w:rPr>
                <w:sz w:val="16"/>
                <w:szCs w:val="16"/>
                <w:lang w:eastAsia="ja-JP"/>
              </w:rPr>
            </w:pPr>
            <w:r w:rsidRPr="00A043FE">
              <w:rPr>
                <w:sz w:val="16"/>
                <w:szCs w:val="16"/>
                <w:lang w:eastAsia="ja-JP"/>
              </w:rPr>
              <w:t>To raise the awareness of the farmer’s right under the UPOV system.</w:t>
            </w:r>
          </w:p>
        </w:tc>
        <w:tc>
          <w:tcPr>
            <w:tcW w:w="2946" w:type="dxa"/>
          </w:tcPr>
          <w:p w:rsidR="00F410EA" w:rsidRPr="00A043FE" w:rsidRDefault="00F410EA" w:rsidP="00647E67">
            <w:pPr>
              <w:keepNext/>
              <w:jc w:val="left"/>
              <w:rPr>
                <w:sz w:val="16"/>
                <w:szCs w:val="16"/>
                <w:lang w:eastAsia="ja-JP"/>
              </w:rPr>
            </w:pPr>
            <w:r w:rsidRPr="00A043FE">
              <w:rPr>
                <w:sz w:val="16"/>
                <w:szCs w:val="16"/>
                <w:lang w:eastAsia="ja-JP"/>
              </w:rPr>
              <w:t>Brunei Darussalam (6), Cambodia (5), China (4), Indonesia (76), Lao People’s Democratic Republic (1), Malaysia (20), Myanmar (3), Philippine (16), Republic of Korea (4), Thailand (5), Viet Nam (1)</w:t>
            </w:r>
          </w:p>
        </w:tc>
        <w:tc>
          <w:tcPr>
            <w:tcW w:w="2962" w:type="dxa"/>
          </w:tcPr>
          <w:p w:rsidR="00F410EA" w:rsidRPr="00A043FE" w:rsidRDefault="009621DA" w:rsidP="00647E67">
            <w:pPr>
              <w:keepNext/>
              <w:jc w:val="left"/>
              <w:rPr>
                <w:sz w:val="16"/>
                <w:szCs w:val="16"/>
              </w:rPr>
            </w:pPr>
            <w:hyperlink r:id="rId22" w:history="1">
              <w:r w:rsidR="00F410EA" w:rsidRPr="00A043FE">
                <w:rPr>
                  <w:rStyle w:val="Hyperlink"/>
                  <w:sz w:val="16"/>
                  <w:szCs w:val="16"/>
                </w:rPr>
                <w:t>http://eapvp.org/report-data/indonesia/ministry-of-agriculture-of-indonesia-held-online-seminar-on-breeders-exemption-in-pvp-under-upov-convention/</w:t>
              </w:r>
            </w:hyperlink>
          </w:p>
        </w:tc>
      </w:tr>
      <w:tr w:rsidR="00F410EA" w:rsidRPr="00A043FE" w:rsidTr="00647E67">
        <w:trPr>
          <w:trHeight w:val="573"/>
        </w:trPr>
        <w:tc>
          <w:tcPr>
            <w:tcW w:w="2240" w:type="dxa"/>
          </w:tcPr>
          <w:p w:rsidR="00F410EA" w:rsidRPr="00A043FE" w:rsidRDefault="00F410EA" w:rsidP="00647E67">
            <w:pPr>
              <w:keepNext/>
              <w:jc w:val="left"/>
              <w:rPr>
                <w:sz w:val="16"/>
                <w:szCs w:val="16"/>
                <w:lang w:eastAsia="ja-JP"/>
              </w:rPr>
            </w:pPr>
            <w:r w:rsidRPr="00A043FE">
              <w:rPr>
                <w:sz w:val="16"/>
                <w:szCs w:val="16"/>
                <w:lang w:eastAsia="ja-JP"/>
              </w:rPr>
              <w:t>5. DUS training workshop (expert course)</w:t>
            </w:r>
          </w:p>
        </w:tc>
        <w:tc>
          <w:tcPr>
            <w:tcW w:w="1544" w:type="dxa"/>
          </w:tcPr>
          <w:p w:rsidR="00F410EA" w:rsidRPr="00A043FE" w:rsidRDefault="00F410EA" w:rsidP="00647E67">
            <w:pPr>
              <w:keepNext/>
              <w:jc w:val="left"/>
              <w:rPr>
                <w:sz w:val="16"/>
                <w:szCs w:val="16"/>
                <w:lang w:eastAsia="ja-JP"/>
              </w:rPr>
            </w:pPr>
            <w:r w:rsidRPr="00A043FE">
              <w:rPr>
                <w:sz w:val="16"/>
                <w:szCs w:val="16"/>
                <w:lang w:eastAsia="ja-JP"/>
              </w:rPr>
              <w:t>February 14-15, 2022</w:t>
            </w:r>
          </w:p>
        </w:tc>
        <w:tc>
          <w:tcPr>
            <w:tcW w:w="981" w:type="dxa"/>
          </w:tcPr>
          <w:p w:rsidR="00F410EA" w:rsidRPr="00A043FE" w:rsidRDefault="00F410EA" w:rsidP="00647E67">
            <w:pPr>
              <w:keepNext/>
              <w:jc w:val="left"/>
              <w:rPr>
                <w:sz w:val="16"/>
                <w:szCs w:val="16"/>
                <w:lang w:eastAsia="ja-JP"/>
              </w:rPr>
            </w:pPr>
            <w:r w:rsidRPr="00A043FE">
              <w:rPr>
                <w:sz w:val="16"/>
                <w:szCs w:val="16"/>
                <w:lang w:eastAsia="ja-JP"/>
              </w:rPr>
              <w:t>Japan</w:t>
            </w:r>
          </w:p>
          <w:p w:rsidR="00F410EA" w:rsidRPr="00A043FE" w:rsidRDefault="00F410EA" w:rsidP="00647E67">
            <w:pPr>
              <w:keepNext/>
              <w:jc w:val="left"/>
              <w:rPr>
                <w:sz w:val="16"/>
                <w:szCs w:val="16"/>
                <w:lang w:eastAsia="ja-JP"/>
              </w:rPr>
            </w:pPr>
            <w:r w:rsidRPr="00A043FE">
              <w:rPr>
                <w:sz w:val="16"/>
                <w:szCs w:val="16"/>
                <w:lang w:eastAsia="ja-JP"/>
              </w:rPr>
              <w:t>(virtual means)</w:t>
            </w:r>
          </w:p>
        </w:tc>
        <w:tc>
          <w:tcPr>
            <w:tcW w:w="1184" w:type="dxa"/>
          </w:tcPr>
          <w:p w:rsidR="00F410EA" w:rsidRPr="00A043FE" w:rsidRDefault="00F410EA" w:rsidP="00647E67">
            <w:pPr>
              <w:keepNext/>
              <w:jc w:val="left"/>
              <w:rPr>
                <w:sz w:val="16"/>
                <w:szCs w:val="16"/>
                <w:lang w:eastAsia="ja-JP"/>
              </w:rPr>
            </w:pPr>
            <w:r w:rsidRPr="00A043FE">
              <w:rPr>
                <w:sz w:val="16"/>
                <w:szCs w:val="16"/>
                <w:lang w:eastAsia="ja-JP"/>
              </w:rPr>
              <w:t>NCSS of Japan</w:t>
            </w:r>
          </w:p>
        </w:tc>
        <w:tc>
          <w:tcPr>
            <w:tcW w:w="2835" w:type="dxa"/>
          </w:tcPr>
          <w:p w:rsidR="00F410EA" w:rsidRPr="00A043FE" w:rsidRDefault="00F410EA" w:rsidP="00647E67">
            <w:pPr>
              <w:keepNext/>
              <w:jc w:val="left"/>
              <w:rPr>
                <w:sz w:val="16"/>
                <w:szCs w:val="16"/>
                <w:lang w:eastAsia="ja-JP"/>
              </w:rPr>
            </w:pPr>
            <w:r w:rsidRPr="00A043FE">
              <w:rPr>
                <w:sz w:val="16"/>
                <w:szCs w:val="16"/>
                <w:lang w:eastAsia="ja-JP"/>
              </w:rPr>
              <w:t>To build the capacity of authorities in   the ASEAN region countries</w:t>
            </w:r>
          </w:p>
        </w:tc>
        <w:tc>
          <w:tcPr>
            <w:tcW w:w="2946" w:type="dxa"/>
          </w:tcPr>
          <w:p w:rsidR="00F410EA" w:rsidRPr="00A043FE" w:rsidRDefault="00F410EA" w:rsidP="00647E67">
            <w:pPr>
              <w:keepNext/>
              <w:jc w:val="left"/>
              <w:rPr>
                <w:sz w:val="16"/>
                <w:szCs w:val="16"/>
                <w:lang w:eastAsia="ja-JP"/>
              </w:rPr>
            </w:pPr>
            <w:r w:rsidRPr="00A043FE">
              <w:rPr>
                <w:sz w:val="16"/>
                <w:szCs w:val="16"/>
                <w:lang w:eastAsia="ja-JP"/>
              </w:rPr>
              <w:t>Brunei Darussalam (1), China (6), Indonesia (4), Lao People’s Democratic Republic (2), Republic of Korea (1), Thailand (3)</w:t>
            </w:r>
          </w:p>
        </w:tc>
        <w:tc>
          <w:tcPr>
            <w:tcW w:w="2962" w:type="dxa"/>
          </w:tcPr>
          <w:p w:rsidR="00F410EA" w:rsidRPr="00A043FE" w:rsidRDefault="009621DA" w:rsidP="00647E67">
            <w:pPr>
              <w:keepNext/>
              <w:jc w:val="left"/>
              <w:rPr>
                <w:sz w:val="16"/>
                <w:szCs w:val="16"/>
              </w:rPr>
            </w:pPr>
            <w:hyperlink r:id="rId23" w:history="1">
              <w:r w:rsidR="00F410EA" w:rsidRPr="00A043FE">
                <w:rPr>
                  <w:rStyle w:val="Hyperlink"/>
                  <w:sz w:val="16"/>
                  <w:szCs w:val="16"/>
                </w:rPr>
                <w:t>http://eapvp.org/report-data/japan/ministry-of-agriculture-forestry-and-fisheries-of-japan-held-capacity-building-workshop2-technical-training-for-pvp-senior-staff/</w:t>
              </w:r>
            </w:hyperlink>
          </w:p>
        </w:tc>
      </w:tr>
      <w:tr w:rsidR="00F410EA" w:rsidRPr="00A043FE" w:rsidTr="00647E67">
        <w:trPr>
          <w:trHeight w:val="573"/>
        </w:trPr>
        <w:tc>
          <w:tcPr>
            <w:tcW w:w="2240" w:type="dxa"/>
          </w:tcPr>
          <w:p w:rsidR="00F410EA" w:rsidRPr="00A043FE" w:rsidRDefault="00F410EA" w:rsidP="00647E67">
            <w:pPr>
              <w:keepNext/>
              <w:jc w:val="left"/>
              <w:rPr>
                <w:sz w:val="16"/>
                <w:szCs w:val="16"/>
                <w:lang w:eastAsia="ja-JP"/>
              </w:rPr>
            </w:pPr>
            <w:r w:rsidRPr="00A043FE">
              <w:rPr>
                <w:sz w:val="16"/>
                <w:szCs w:val="16"/>
                <w:lang w:eastAsia="ja-JP"/>
              </w:rPr>
              <w:t>6. Workshop on Plant variety Protection - Plant Breeders’ Rights and Farmers’ Benefits-</w:t>
            </w:r>
          </w:p>
        </w:tc>
        <w:tc>
          <w:tcPr>
            <w:tcW w:w="1544" w:type="dxa"/>
          </w:tcPr>
          <w:p w:rsidR="00F410EA" w:rsidRPr="00A043FE" w:rsidRDefault="00F410EA" w:rsidP="00647E67">
            <w:pPr>
              <w:keepNext/>
              <w:jc w:val="left"/>
              <w:rPr>
                <w:sz w:val="16"/>
                <w:szCs w:val="16"/>
                <w:lang w:eastAsia="ja-JP"/>
              </w:rPr>
            </w:pPr>
            <w:r w:rsidRPr="00A043FE">
              <w:rPr>
                <w:sz w:val="16"/>
                <w:szCs w:val="16"/>
                <w:lang w:eastAsia="ja-JP"/>
              </w:rPr>
              <w:t>February 28, 2022</w:t>
            </w:r>
          </w:p>
        </w:tc>
        <w:tc>
          <w:tcPr>
            <w:tcW w:w="981" w:type="dxa"/>
          </w:tcPr>
          <w:p w:rsidR="00F410EA" w:rsidRPr="00A043FE" w:rsidRDefault="00F410EA" w:rsidP="00647E67">
            <w:pPr>
              <w:keepNext/>
              <w:jc w:val="left"/>
              <w:rPr>
                <w:sz w:val="16"/>
                <w:szCs w:val="16"/>
                <w:lang w:eastAsia="ja-JP"/>
              </w:rPr>
            </w:pPr>
            <w:r w:rsidRPr="00A043FE">
              <w:rPr>
                <w:sz w:val="16"/>
                <w:szCs w:val="16"/>
                <w:lang w:eastAsia="ja-JP"/>
              </w:rPr>
              <w:t>Cambodia (virtual means)</w:t>
            </w:r>
          </w:p>
        </w:tc>
        <w:tc>
          <w:tcPr>
            <w:tcW w:w="1184" w:type="dxa"/>
          </w:tcPr>
          <w:p w:rsidR="00F410EA" w:rsidRPr="00A043FE" w:rsidRDefault="00F410EA" w:rsidP="00647E67">
            <w:pPr>
              <w:keepNext/>
              <w:jc w:val="left"/>
              <w:rPr>
                <w:sz w:val="16"/>
                <w:szCs w:val="16"/>
                <w:lang w:eastAsia="ja-JP"/>
              </w:rPr>
            </w:pPr>
            <w:r w:rsidRPr="00A043FE">
              <w:rPr>
                <w:sz w:val="16"/>
                <w:szCs w:val="16"/>
                <w:lang w:eastAsia="ja-JP"/>
              </w:rPr>
              <w:t>Ministry of Agriculture, Forestry and Fisheries of Cambodia</w:t>
            </w:r>
          </w:p>
        </w:tc>
        <w:tc>
          <w:tcPr>
            <w:tcW w:w="2835" w:type="dxa"/>
          </w:tcPr>
          <w:p w:rsidR="00F410EA" w:rsidRPr="00A043FE" w:rsidRDefault="00F410EA" w:rsidP="00647E67">
            <w:pPr>
              <w:keepNext/>
              <w:jc w:val="left"/>
              <w:rPr>
                <w:sz w:val="16"/>
                <w:szCs w:val="16"/>
                <w:lang w:eastAsia="ja-JP"/>
              </w:rPr>
            </w:pPr>
            <w:r w:rsidRPr="00A043FE">
              <w:rPr>
                <w:sz w:val="16"/>
                <w:szCs w:val="16"/>
                <w:lang w:eastAsia="ja-JP"/>
              </w:rPr>
              <w:t>To increase awareness on the PVP system under the UPOV convention</w:t>
            </w:r>
          </w:p>
        </w:tc>
        <w:tc>
          <w:tcPr>
            <w:tcW w:w="2946" w:type="dxa"/>
          </w:tcPr>
          <w:p w:rsidR="00F410EA" w:rsidRPr="00A043FE" w:rsidRDefault="00F410EA" w:rsidP="00647E67">
            <w:pPr>
              <w:keepNext/>
              <w:jc w:val="left"/>
              <w:rPr>
                <w:sz w:val="16"/>
                <w:szCs w:val="16"/>
                <w:lang w:eastAsia="ja-JP"/>
              </w:rPr>
            </w:pPr>
            <w:r w:rsidRPr="00A043FE">
              <w:rPr>
                <w:sz w:val="16"/>
                <w:szCs w:val="16"/>
                <w:lang w:eastAsia="ja-JP"/>
              </w:rPr>
              <w:t>Cambodia (26), China (8), Indonesia (186), Lao People’s Democratic Republic (2), Malaysia (8), Myanmar (2), Thailand (4)</w:t>
            </w:r>
          </w:p>
        </w:tc>
        <w:tc>
          <w:tcPr>
            <w:tcW w:w="2962" w:type="dxa"/>
          </w:tcPr>
          <w:p w:rsidR="00F410EA" w:rsidRPr="00A043FE" w:rsidRDefault="009621DA" w:rsidP="00647E67">
            <w:pPr>
              <w:keepNext/>
              <w:jc w:val="left"/>
              <w:rPr>
                <w:sz w:val="16"/>
                <w:szCs w:val="16"/>
              </w:rPr>
            </w:pPr>
            <w:hyperlink r:id="rId24" w:history="1">
              <w:r w:rsidR="00F410EA" w:rsidRPr="00A043FE">
                <w:rPr>
                  <w:rStyle w:val="Hyperlink"/>
                  <w:sz w:val="16"/>
                  <w:szCs w:val="16"/>
                </w:rPr>
                <w:t>http://eapvp.org/report-data/cambodia/ministry-of-agriculture-forestry-and-fisheries-of-cambodia-held-online-workshop-on-plant-variety-protection-%e2%80%95plant-breeders-rights-and-farmers-benefits%e2%80%95/</w:t>
              </w:r>
            </w:hyperlink>
          </w:p>
        </w:tc>
      </w:tr>
    </w:tbl>
    <w:p w:rsidR="00F410EA" w:rsidRPr="00A043FE" w:rsidRDefault="00F410EA" w:rsidP="00F410EA">
      <w:pPr>
        <w:jc w:val="right"/>
      </w:pPr>
    </w:p>
    <w:p w:rsidR="00991CBD" w:rsidRPr="00AA2FEE" w:rsidRDefault="00991CBD" w:rsidP="007F2B62">
      <w:pPr>
        <w:jc w:val="right"/>
      </w:pPr>
    </w:p>
    <w:p w:rsidR="00991CBD" w:rsidRPr="00AA2FEE" w:rsidRDefault="00991CBD" w:rsidP="007F2B62">
      <w:pPr>
        <w:jc w:val="right"/>
      </w:pPr>
    </w:p>
    <w:p w:rsidR="00991CBD" w:rsidRPr="00AA2FEE" w:rsidRDefault="00991CBD" w:rsidP="00991CBD">
      <w:pPr>
        <w:jc w:val="right"/>
      </w:pPr>
      <w:r w:rsidRPr="00AA2FEE">
        <w:t>[Annex IX follows]</w:t>
      </w:r>
    </w:p>
    <w:p w:rsidR="00991CBD" w:rsidRPr="00AA2FEE" w:rsidRDefault="00991CBD" w:rsidP="00991CBD"/>
    <w:p w:rsidR="00991CBD" w:rsidRPr="00AA2FEE" w:rsidRDefault="00991CBD" w:rsidP="000362AD">
      <w:pPr>
        <w:jc w:val="center"/>
        <w:sectPr w:rsidR="00991CBD" w:rsidRPr="00AA2FEE" w:rsidSect="00F410EA">
          <w:pgSz w:w="16840" w:h="11907" w:orient="landscape" w:code="9"/>
          <w:pgMar w:top="510" w:right="1134" w:bottom="1134" w:left="1134" w:header="510" w:footer="680" w:gutter="0"/>
          <w:cols w:space="720"/>
        </w:sectPr>
      </w:pPr>
    </w:p>
    <w:p w:rsidR="0061294D" w:rsidRPr="00AA2FEE" w:rsidRDefault="0061294D" w:rsidP="0061294D">
      <w:pPr>
        <w:jc w:val="center"/>
      </w:pPr>
      <w:r w:rsidRPr="00AA2FEE">
        <w:lastRenderedPageBreak/>
        <w:t>C/56/INF/4</w:t>
      </w:r>
    </w:p>
    <w:p w:rsidR="0061294D" w:rsidRPr="00AA2FEE" w:rsidRDefault="0061294D" w:rsidP="0061294D">
      <w:pPr>
        <w:jc w:val="center"/>
      </w:pPr>
    </w:p>
    <w:p w:rsidR="0061294D" w:rsidRPr="00AA2FEE" w:rsidRDefault="0061294D" w:rsidP="0061294D">
      <w:pPr>
        <w:jc w:val="center"/>
      </w:pPr>
      <w:r w:rsidRPr="00AA2FEE">
        <w:t>ANNEX IX</w:t>
      </w:r>
    </w:p>
    <w:p w:rsidR="0061294D" w:rsidRPr="00AA2FEE" w:rsidRDefault="0061294D" w:rsidP="0061294D">
      <w:pPr>
        <w:jc w:val="center"/>
      </w:pPr>
    </w:p>
    <w:p w:rsidR="0061294D" w:rsidRPr="00AA2FEE" w:rsidRDefault="0061294D" w:rsidP="0061294D">
      <w:pPr>
        <w:jc w:val="center"/>
      </w:pPr>
    </w:p>
    <w:p w:rsidR="0061294D" w:rsidRPr="00AA2FEE" w:rsidRDefault="0061294D" w:rsidP="0061294D">
      <w:pPr>
        <w:jc w:val="center"/>
      </w:pPr>
      <w:r w:rsidRPr="00AA2FEE">
        <w:t>KENYA</w:t>
      </w:r>
    </w:p>
    <w:p w:rsidR="0061294D" w:rsidRPr="00AA2FEE" w:rsidRDefault="0061294D" w:rsidP="0061294D"/>
    <w:p w:rsidR="0061294D" w:rsidRPr="00AA2FEE" w:rsidRDefault="0061294D" w:rsidP="0061294D"/>
    <w:p w:rsidR="00C84F0D" w:rsidRPr="002111C6" w:rsidRDefault="00C84F0D" w:rsidP="00C84F0D">
      <w:pPr>
        <w:rPr>
          <w:rFonts w:cs="Arial"/>
        </w:rPr>
      </w:pPr>
      <w:r w:rsidRPr="002111C6">
        <w:rPr>
          <w:rFonts w:cs="Arial"/>
        </w:rPr>
        <w:t>PLANT VARIETY PROTECTION</w:t>
      </w:r>
    </w:p>
    <w:p w:rsidR="00C84F0D" w:rsidRDefault="00C84F0D" w:rsidP="00C84F0D">
      <w:pPr>
        <w:rPr>
          <w:rFonts w:cs="Arial"/>
        </w:rPr>
      </w:pPr>
    </w:p>
    <w:p w:rsidR="00C84F0D" w:rsidRPr="002111C6" w:rsidRDefault="00C84F0D" w:rsidP="00C84F0D">
      <w:pPr>
        <w:rPr>
          <w:rFonts w:cs="Arial"/>
          <w:u w:val="single"/>
        </w:rPr>
      </w:pPr>
      <w:r>
        <w:rPr>
          <w:rFonts w:cs="Arial"/>
        </w:rPr>
        <w:t>1.</w:t>
      </w:r>
      <w:r>
        <w:rPr>
          <w:rFonts w:cs="Arial"/>
        </w:rPr>
        <w:tab/>
      </w:r>
      <w:r w:rsidRPr="002111C6">
        <w:rPr>
          <w:rFonts w:cs="Arial"/>
          <w:u w:val="single"/>
        </w:rPr>
        <w:t>Situation in the legislative field</w:t>
      </w:r>
    </w:p>
    <w:p w:rsidR="00C84F0D" w:rsidRDefault="00C84F0D" w:rsidP="00C84F0D">
      <w:pPr>
        <w:rPr>
          <w:rFonts w:cs="Arial"/>
        </w:rPr>
      </w:pPr>
    </w:p>
    <w:p w:rsidR="00C84F0D" w:rsidRPr="002111C6" w:rsidRDefault="00C84F0D" w:rsidP="00C84F0D">
      <w:pPr>
        <w:rPr>
          <w:rFonts w:cs="Arial"/>
        </w:rPr>
      </w:pPr>
      <w:r>
        <w:rPr>
          <w:rFonts w:cs="Arial"/>
        </w:rPr>
        <w:t>1.1</w:t>
      </w:r>
      <w:r>
        <w:rPr>
          <w:rFonts w:cs="Arial"/>
        </w:rPr>
        <w:tab/>
      </w:r>
      <w:r w:rsidRPr="002111C6">
        <w:rPr>
          <w:rFonts w:cs="Arial"/>
        </w:rPr>
        <w:t xml:space="preserve">Amendments of the law and the implementing regulations </w:t>
      </w:r>
    </w:p>
    <w:p w:rsidR="00C84F0D" w:rsidRPr="002111C6" w:rsidRDefault="00C84F0D" w:rsidP="00C84F0D">
      <w:pPr>
        <w:rPr>
          <w:rFonts w:cs="Arial"/>
        </w:rPr>
      </w:pPr>
    </w:p>
    <w:p w:rsidR="00C84F0D" w:rsidRPr="002111C6" w:rsidRDefault="00C84F0D" w:rsidP="00C84F0D">
      <w:pPr>
        <w:rPr>
          <w:rFonts w:cs="Arial"/>
        </w:rPr>
      </w:pPr>
      <w:r w:rsidRPr="002111C6">
        <w:rPr>
          <w:rFonts w:cs="Arial"/>
        </w:rPr>
        <w:t xml:space="preserve">Plant Variety Protection in Kenya is provided </w:t>
      </w:r>
      <w:r w:rsidRPr="002111C6">
        <w:rPr>
          <w:rFonts w:cs="Arial"/>
          <w:lang w:val="en-GB"/>
        </w:rPr>
        <w:t xml:space="preserve">under the Seeds and Plant Varieties Act (CAP 326) of 1972, which became operational in 1975 and was revised in 1991. </w:t>
      </w:r>
      <w:r>
        <w:rPr>
          <w:rFonts w:cs="Arial"/>
          <w:lang w:val="en-GB"/>
        </w:rPr>
        <w:t xml:space="preserve"> </w:t>
      </w:r>
      <w:r w:rsidRPr="002111C6">
        <w:rPr>
          <w:rFonts w:cs="Arial"/>
          <w:lang w:val="en-GB"/>
        </w:rPr>
        <w:t xml:space="preserve">Official regulations to guide the implementation of PVP service were put in place in 1994 </w:t>
      </w:r>
      <w:r w:rsidRPr="002111C6">
        <w:rPr>
          <w:rFonts w:cs="Arial"/>
        </w:rPr>
        <w:t xml:space="preserve">and the </w:t>
      </w:r>
      <w:r w:rsidRPr="002111C6">
        <w:rPr>
          <w:rFonts w:cs="Arial"/>
          <w:lang w:val="en-GB"/>
        </w:rPr>
        <w:t>office to administer PVP was established in 1997 and has functioned under Kenya Plant Health Inspectorate Service (KEPHIS) since 1998</w:t>
      </w:r>
      <w:r w:rsidRPr="002111C6">
        <w:rPr>
          <w:rFonts w:cs="Arial"/>
        </w:rPr>
        <w:t xml:space="preserve">. </w:t>
      </w:r>
      <w:r>
        <w:rPr>
          <w:rFonts w:cs="Arial"/>
        </w:rPr>
        <w:t xml:space="preserve"> </w:t>
      </w:r>
      <w:r w:rsidRPr="002111C6">
        <w:rPr>
          <w:rFonts w:cs="Arial"/>
          <w:lang w:val="en-GB"/>
        </w:rPr>
        <w:t>Kenya acceded to UPOV under the 1978 Convention on 13</w:t>
      </w:r>
      <w:r w:rsidRPr="002111C6">
        <w:rPr>
          <w:rFonts w:cs="Arial"/>
          <w:vertAlign w:val="superscript"/>
          <w:lang w:val="en-GB"/>
        </w:rPr>
        <w:t>th</w:t>
      </w:r>
      <w:r w:rsidRPr="002111C6">
        <w:rPr>
          <w:rFonts w:cs="Arial"/>
          <w:lang w:val="en-GB"/>
        </w:rPr>
        <w:t xml:space="preserve"> May 1999.  </w:t>
      </w:r>
      <w:r w:rsidRPr="002111C6">
        <w:rPr>
          <w:rFonts w:cs="Arial"/>
        </w:rPr>
        <w:t>In 2012, the Seeds and Plant Varieties Act was amended to incorporate components of the 1991 UPOV Convention.  On April 11, 2016, Kenya deposited the instrument of accession to the 1991 UPOV Convention</w:t>
      </w:r>
      <w:r>
        <w:rPr>
          <w:rFonts w:cs="Arial"/>
        </w:rPr>
        <w:t xml:space="preserve">. </w:t>
      </w:r>
      <w:r w:rsidRPr="002111C6">
        <w:rPr>
          <w:rFonts w:cs="Arial"/>
        </w:rPr>
        <w:t xml:space="preserve"> Kenya is now bound by the 1991 UPOV Convention effective from May 11, 2016.  Currently </w:t>
      </w:r>
      <w:r w:rsidRPr="002111C6">
        <w:rPr>
          <w:rFonts w:cs="Arial"/>
          <w:lang w:val="en-GB"/>
        </w:rPr>
        <w:t>Kenya is in the process of reviewing</w:t>
      </w:r>
      <w:r w:rsidRPr="002111C6">
        <w:rPr>
          <w:rFonts w:cs="Arial"/>
          <w:kern w:val="24"/>
          <w:lang w:val="en-GB"/>
        </w:rPr>
        <w:t xml:space="preserve"> of PBR Regulations to facilitate implementation of optional exemption.</w:t>
      </w:r>
    </w:p>
    <w:p w:rsidR="00C84F0D" w:rsidRPr="002111C6" w:rsidRDefault="00C84F0D" w:rsidP="00C84F0D">
      <w:pPr>
        <w:rPr>
          <w:rFonts w:cs="Arial"/>
          <w:u w:val="single"/>
        </w:rPr>
      </w:pPr>
    </w:p>
    <w:p w:rsidR="00C84F0D" w:rsidRPr="002111C6" w:rsidRDefault="00C84F0D" w:rsidP="00C84F0D">
      <w:pPr>
        <w:rPr>
          <w:rFonts w:cs="Arial"/>
          <w:lang w:val="en-GB"/>
        </w:rPr>
      </w:pPr>
      <w:r>
        <w:rPr>
          <w:rFonts w:cs="Arial"/>
        </w:rPr>
        <w:t>1.2</w:t>
      </w:r>
      <w:r>
        <w:rPr>
          <w:rFonts w:cs="Arial"/>
        </w:rPr>
        <w:tab/>
      </w:r>
      <w:r w:rsidRPr="002111C6">
        <w:rPr>
          <w:rFonts w:cs="Arial"/>
          <w:lang w:val="en-GB"/>
        </w:rPr>
        <w:t>Genera and species covered</w:t>
      </w:r>
    </w:p>
    <w:p w:rsidR="00C84F0D" w:rsidRPr="002111C6" w:rsidRDefault="00C84F0D" w:rsidP="00C84F0D">
      <w:pPr>
        <w:rPr>
          <w:rFonts w:cs="Arial"/>
          <w:lang w:val="en-GB"/>
        </w:rPr>
      </w:pPr>
    </w:p>
    <w:p w:rsidR="00C84F0D" w:rsidRDefault="00C84F0D" w:rsidP="00C84F0D">
      <w:pPr>
        <w:rPr>
          <w:rFonts w:cs="Arial"/>
          <w:lang w:val="en-GB"/>
        </w:rPr>
      </w:pPr>
      <w:r w:rsidRPr="002111C6">
        <w:rPr>
          <w:rFonts w:cs="Arial"/>
          <w:lang w:val="en-GB"/>
        </w:rPr>
        <w:t xml:space="preserve">Kenya extends Plant Variety Protection to all plant genera and species. </w:t>
      </w:r>
      <w:r>
        <w:rPr>
          <w:rFonts w:cs="Arial"/>
          <w:lang w:val="en-GB"/>
        </w:rPr>
        <w:t xml:space="preserve"> </w:t>
      </w:r>
      <w:r w:rsidRPr="002111C6">
        <w:rPr>
          <w:rFonts w:cs="Arial"/>
          <w:lang w:val="en-GB"/>
        </w:rPr>
        <w:t>At the moment, a total of ninety (90) taxon of selected plant species have been registered for protection in the country</w:t>
      </w:r>
      <w:r>
        <w:rPr>
          <w:rFonts w:cs="Arial"/>
          <w:lang w:val="en-GB"/>
        </w:rPr>
        <w:t>.</w:t>
      </w:r>
    </w:p>
    <w:p w:rsidR="00C84F0D" w:rsidRPr="002111C6" w:rsidRDefault="00C84F0D" w:rsidP="00C84F0D">
      <w:pPr>
        <w:rPr>
          <w:rFonts w:cs="Arial"/>
          <w:lang w:val="en-GB"/>
        </w:rPr>
      </w:pPr>
    </w:p>
    <w:p w:rsidR="00C84F0D" w:rsidRPr="002111C6" w:rsidRDefault="00C84F0D" w:rsidP="00C84F0D">
      <w:pPr>
        <w:rPr>
          <w:rFonts w:cs="Arial"/>
          <w:lang w:val="en-GB"/>
        </w:rPr>
      </w:pPr>
      <w:r w:rsidRPr="002111C6">
        <w:rPr>
          <w:rFonts w:cs="Arial"/>
          <w:lang w:val="en-GB"/>
        </w:rPr>
        <w:t>1.3</w:t>
      </w:r>
      <w:r>
        <w:rPr>
          <w:rFonts w:cs="Arial"/>
          <w:lang w:val="en-GB"/>
        </w:rPr>
        <w:tab/>
      </w:r>
      <w:r w:rsidRPr="002111C6">
        <w:rPr>
          <w:rFonts w:cs="Arial"/>
          <w:lang w:val="en-GB"/>
        </w:rPr>
        <w:t>Case law</w:t>
      </w:r>
    </w:p>
    <w:p w:rsidR="00C84F0D" w:rsidRPr="002111C6" w:rsidRDefault="00C84F0D" w:rsidP="00C84F0D">
      <w:pPr>
        <w:rPr>
          <w:rFonts w:cs="Arial"/>
          <w:u w:val="single"/>
          <w:lang w:val="en-GB"/>
        </w:rPr>
      </w:pPr>
    </w:p>
    <w:p w:rsidR="00C84F0D" w:rsidRPr="002111C6" w:rsidRDefault="00C84F0D" w:rsidP="00C84F0D">
      <w:pPr>
        <w:rPr>
          <w:rFonts w:cs="Arial"/>
        </w:rPr>
      </w:pPr>
      <w:r w:rsidRPr="002111C6">
        <w:rPr>
          <w:rFonts w:cs="Arial"/>
        </w:rPr>
        <w:t xml:space="preserve">Under the Kenyan Seeds and Plant Varieties Act, applications for Plant Breeders Rights are required to be published in the Kenya gazette, to allow those opposing any applications or grant of rights, to make the objections and make representations to the Authorized Officer – KEPHIS. </w:t>
      </w:r>
      <w:r>
        <w:rPr>
          <w:rFonts w:cs="Arial"/>
        </w:rPr>
        <w:t xml:space="preserve"> </w:t>
      </w:r>
      <w:r w:rsidRPr="002111C6">
        <w:rPr>
          <w:rFonts w:cs="Arial"/>
        </w:rPr>
        <w:t xml:space="preserve">The Authorized Officer determine the hearing of such representations but any applicant aggrieved by the decision of the Authorized Officer may appeal to the Seeds and Plants Tribunal and if further aggrieved by the decision of the Tribunal, final appeal to the High Court. </w:t>
      </w:r>
    </w:p>
    <w:p w:rsidR="00C84F0D" w:rsidRPr="002111C6" w:rsidRDefault="00C84F0D" w:rsidP="00C84F0D">
      <w:pPr>
        <w:rPr>
          <w:rFonts w:cs="Arial"/>
        </w:rPr>
      </w:pPr>
    </w:p>
    <w:p w:rsidR="00C84F0D" w:rsidRPr="002111C6" w:rsidRDefault="00C84F0D" w:rsidP="00C84F0D">
      <w:pPr>
        <w:rPr>
          <w:rFonts w:cs="Arial"/>
        </w:rPr>
      </w:pPr>
    </w:p>
    <w:p w:rsidR="00C84F0D" w:rsidRPr="002111C6" w:rsidRDefault="00C84F0D" w:rsidP="00C84F0D">
      <w:pPr>
        <w:rPr>
          <w:rFonts w:cs="Arial"/>
          <w:u w:val="single"/>
        </w:rPr>
      </w:pPr>
      <w:r>
        <w:rPr>
          <w:rFonts w:cs="Arial"/>
        </w:rPr>
        <w:t>2.</w:t>
      </w:r>
      <w:r w:rsidRPr="002111C6">
        <w:rPr>
          <w:rFonts w:cs="Arial"/>
        </w:rPr>
        <w:tab/>
      </w:r>
      <w:r w:rsidRPr="002111C6">
        <w:rPr>
          <w:rFonts w:cs="Arial"/>
          <w:u w:val="single"/>
        </w:rPr>
        <w:t>Cooperation in examination</w:t>
      </w:r>
    </w:p>
    <w:p w:rsidR="00C84F0D" w:rsidRDefault="00C84F0D" w:rsidP="00C84F0D">
      <w:pPr>
        <w:rPr>
          <w:rFonts w:cs="Arial"/>
        </w:rPr>
      </w:pPr>
    </w:p>
    <w:p w:rsidR="00C84F0D" w:rsidRPr="002111C6" w:rsidRDefault="00C84F0D" w:rsidP="00C84F0D">
      <w:pPr>
        <w:rPr>
          <w:rFonts w:cs="Arial"/>
        </w:rPr>
      </w:pPr>
      <w:r w:rsidRPr="002111C6">
        <w:rPr>
          <w:rFonts w:cs="Arial"/>
        </w:rPr>
        <w:t xml:space="preserve">As per UPOV Article 32 on Special Agreements, </w:t>
      </w:r>
      <w:r>
        <w:rPr>
          <w:rFonts w:cs="Arial"/>
        </w:rPr>
        <w:t>t</w:t>
      </w:r>
      <w:r w:rsidRPr="002111C6">
        <w:rPr>
          <w:rFonts w:cs="Arial"/>
        </w:rPr>
        <w:t>he PVP office in Kenya has entered into international cooperation with other UPOV Member States and Intergovernmental Organizations in the utilization of the existing DUS examination reports notably,</w:t>
      </w:r>
    </w:p>
    <w:p w:rsidR="00C84F0D" w:rsidRDefault="00C84F0D" w:rsidP="00C84F0D">
      <w:pPr>
        <w:rPr>
          <w:rFonts w:cs="Arial"/>
        </w:rPr>
      </w:pPr>
    </w:p>
    <w:p w:rsidR="00C84F0D" w:rsidRPr="002111C6" w:rsidRDefault="00C84F0D" w:rsidP="00C84F0D">
      <w:pPr>
        <w:numPr>
          <w:ilvl w:val="0"/>
          <w:numId w:val="26"/>
        </w:numPr>
        <w:spacing w:after="60"/>
        <w:ind w:left="714" w:hanging="357"/>
        <w:rPr>
          <w:rFonts w:cs="Arial"/>
        </w:rPr>
      </w:pPr>
      <w:r w:rsidRPr="002111C6">
        <w:rPr>
          <w:rFonts w:cs="Arial"/>
        </w:rPr>
        <w:t>European Community – Community Plant Variety Office</w:t>
      </w:r>
    </w:p>
    <w:p w:rsidR="00C84F0D" w:rsidRPr="002111C6" w:rsidRDefault="00C84F0D" w:rsidP="00C84F0D">
      <w:pPr>
        <w:numPr>
          <w:ilvl w:val="0"/>
          <w:numId w:val="26"/>
        </w:numPr>
        <w:spacing w:after="60"/>
        <w:ind w:left="714" w:hanging="357"/>
        <w:rPr>
          <w:rFonts w:cs="Arial"/>
        </w:rPr>
      </w:pPr>
      <w:r w:rsidRPr="002111C6">
        <w:rPr>
          <w:rFonts w:cs="Arial"/>
        </w:rPr>
        <w:t>RaadVoorPlantrassen (Board for Plant Varieties) – Netherlands</w:t>
      </w:r>
    </w:p>
    <w:p w:rsidR="00C84F0D" w:rsidRPr="002111C6" w:rsidRDefault="00C84F0D" w:rsidP="00C84F0D">
      <w:pPr>
        <w:numPr>
          <w:ilvl w:val="0"/>
          <w:numId w:val="26"/>
        </w:numPr>
        <w:spacing w:after="60"/>
        <w:ind w:left="714" w:hanging="357"/>
        <w:rPr>
          <w:rFonts w:cs="Arial"/>
        </w:rPr>
      </w:pPr>
      <w:r w:rsidRPr="002111C6">
        <w:rPr>
          <w:rFonts w:cs="Arial"/>
        </w:rPr>
        <w:t>The Plant Breeders’ Rights Council – Israel</w:t>
      </w:r>
    </w:p>
    <w:p w:rsidR="00C84F0D" w:rsidRPr="002111C6" w:rsidRDefault="00C84F0D" w:rsidP="00C84F0D">
      <w:pPr>
        <w:numPr>
          <w:ilvl w:val="0"/>
          <w:numId w:val="26"/>
        </w:numPr>
        <w:spacing w:after="60"/>
        <w:ind w:left="714" w:hanging="357"/>
        <w:rPr>
          <w:rFonts w:cs="Arial"/>
        </w:rPr>
      </w:pPr>
      <w:r w:rsidRPr="002111C6">
        <w:rPr>
          <w:rFonts w:cs="Arial"/>
        </w:rPr>
        <w:t xml:space="preserve">Commissioner of Plant Variety Rights </w:t>
      </w:r>
      <w:r>
        <w:rPr>
          <w:rFonts w:cs="Arial"/>
        </w:rPr>
        <w:t>–</w:t>
      </w:r>
      <w:r w:rsidRPr="002111C6">
        <w:rPr>
          <w:rFonts w:cs="Arial"/>
        </w:rPr>
        <w:t xml:space="preserve"> New Zealand </w:t>
      </w:r>
    </w:p>
    <w:p w:rsidR="00C84F0D" w:rsidRPr="002111C6" w:rsidRDefault="00C84F0D" w:rsidP="00C84F0D">
      <w:pPr>
        <w:numPr>
          <w:ilvl w:val="0"/>
          <w:numId w:val="26"/>
        </w:numPr>
        <w:spacing w:after="60"/>
        <w:ind w:left="714" w:hanging="357"/>
        <w:rPr>
          <w:rFonts w:cs="Arial"/>
        </w:rPr>
      </w:pPr>
      <w:r w:rsidRPr="002111C6">
        <w:rPr>
          <w:rFonts w:cs="Arial"/>
        </w:rPr>
        <w:t>The registrar, National Department of Agriculture – South Africa</w:t>
      </w:r>
    </w:p>
    <w:p w:rsidR="00C84F0D" w:rsidRPr="002111C6" w:rsidRDefault="00C84F0D" w:rsidP="00C84F0D">
      <w:pPr>
        <w:numPr>
          <w:ilvl w:val="0"/>
          <w:numId w:val="26"/>
        </w:numPr>
        <w:spacing w:after="60"/>
        <w:ind w:left="714" w:hanging="357"/>
        <w:rPr>
          <w:rFonts w:cs="Arial"/>
        </w:rPr>
      </w:pPr>
      <w:r>
        <w:rPr>
          <w:rFonts w:cs="Arial"/>
        </w:rPr>
        <w:t>Bundessortenamt –</w:t>
      </w:r>
      <w:r w:rsidRPr="002111C6">
        <w:rPr>
          <w:rFonts w:cs="Arial"/>
        </w:rPr>
        <w:t xml:space="preserve"> Germany</w:t>
      </w:r>
    </w:p>
    <w:p w:rsidR="00C84F0D" w:rsidRPr="002111C6" w:rsidRDefault="00C84F0D" w:rsidP="00C84F0D">
      <w:pPr>
        <w:numPr>
          <w:ilvl w:val="0"/>
          <w:numId w:val="26"/>
        </w:numPr>
        <w:spacing w:after="60"/>
        <w:ind w:left="714" w:hanging="357"/>
        <w:rPr>
          <w:rFonts w:cs="Arial"/>
        </w:rPr>
      </w:pPr>
      <w:r w:rsidRPr="002111C6">
        <w:rPr>
          <w:rFonts w:cs="Arial"/>
        </w:rPr>
        <w:t>Department for the Environment, Food and rural Affairs (DEFRA)</w:t>
      </w:r>
      <w:r>
        <w:rPr>
          <w:rFonts w:cs="Arial"/>
        </w:rPr>
        <w:t xml:space="preserve"> – </w:t>
      </w:r>
      <w:r w:rsidRPr="002111C6">
        <w:rPr>
          <w:rFonts w:cs="Arial"/>
        </w:rPr>
        <w:t>United Kingdom</w:t>
      </w:r>
    </w:p>
    <w:p w:rsidR="00C84F0D" w:rsidRPr="002111C6" w:rsidRDefault="00C84F0D" w:rsidP="00C84F0D">
      <w:pPr>
        <w:numPr>
          <w:ilvl w:val="0"/>
          <w:numId w:val="26"/>
        </w:numPr>
        <w:spacing w:after="60"/>
        <w:ind w:left="714" w:hanging="357"/>
        <w:rPr>
          <w:rFonts w:cs="Arial"/>
        </w:rPr>
      </w:pPr>
      <w:r w:rsidRPr="002111C6">
        <w:rPr>
          <w:rFonts w:cs="Arial"/>
        </w:rPr>
        <w:t>Intellectual Property Division, Export and International Affairs Bureau</w:t>
      </w:r>
      <w:r>
        <w:rPr>
          <w:rFonts w:cs="Arial"/>
        </w:rPr>
        <w:t xml:space="preserve"> –</w:t>
      </w:r>
      <w:r w:rsidRPr="002111C6">
        <w:rPr>
          <w:rFonts w:cs="Arial"/>
        </w:rPr>
        <w:t xml:space="preserve"> Japan </w:t>
      </w:r>
    </w:p>
    <w:p w:rsidR="00C84F0D" w:rsidRPr="002111C6" w:rsidRDefault="00C84F0D" w:rsidP="00C84F0D">
      <w:pPr>
        <w:numPr>
          <w:ilvl w:val="0"/>
          <w:numId w:val="26"/>
        </w:numPr>
        <w:rPr>
          <w:rFonts w:cs="Arial"/>
        </w:rPr>
      </w:pPr>
      <w:r w:rsidRPr="002111C6">
        <w:rPr>
          <w:rFonts w:cs="Arial"/>
        </w:rPr>
        <w:t>Korea Seed and Variety Service</w:t>
      </w:r>
      <w:r>
        <w:rPr>
          <w:rFonts w:cs="Arial"/>
        </w:rPr>
        <w:t xml:space="preserve"> –</w:t>
      </w:r>
      <w:r w:rsidRPr="002111C6">
        <w:rPr>
          <w:rFonts w:cs="Arial"/>
        </w:rPr>
        <w:t xml:space="preserve"> Republic of Korea</w:t>
      </w:r>
    </w:p>
    <w:p w:rsidR="00C84F0D" w:rsidRDefault="00C84F0D" w:rsidP="00C84F0D">
      <w:pPr>
        <w:rPr>
          <w:rFonts w:cs="Arial"/>
        </w:rPr>
      </w:pPr>
    </w:p>
    <w:p w:rsidR="00C84F0D" w:rsidRPr="002111C6" w:rsidRDefault="00C84F0D" w:rsidP="00C84F0D">
      <w:pPr>
        <w:rPr>
          <w:rFonts w:cs="Arial"/>
        </w:rPr>
      </w:pPr>
    </w:p>
    <w:p w:rsidR="00C84F0D" w:rsidRPr="002111C6" w:rsidRDefault="00C84F0D" w:rsidP="00C84F0D">
      <w:pPr>
        <w:rPr>
          <w:rFonts w:cs="Arial"/>
          <w:u w:val="single"/>
        </w:rPr>
      </w:pPr>
      <w:r w:rsidRPr="002111C6">
        <w:rPr>
          <w:rFonts w:cs="Arial"/>
        </w:rPr>
        <w:t>3.</w:t>
      </w:r>
      <w:r w:rsidRPr="002111C6">
        <w:rPr>
          <w:rFonts w:cs="Arial"/>
        </w:rPr>
        <w:tab/>
      </w:r>
      <w:r w:rsidRPr="002111C6">
        <w:rPr>
          <w:rFonts w:cs="Arial"/>
          <w:u w:val="single"/>
        </w:rPr>
        <w:t xml:space="preserve">Situation in the </w:t>
      </w:r>
      <w:r>
        <w:rPr>
          <w:rFonts w:cs="Arial"/>
          <w:u w:val="single"/>
        </w:rPr>
        <w:t>a</w:t>
      </w:r>
      <w:r w:rsidRPr="002111C6">
        <w:rPr>
          <w:rFonts w:cs="Arial"/>
          <w:u w:val="single"/>
        </w:rPr>
        <w:t>dministrative fields</w:t>
      </w:r>
    </w:p>
    <w:p w:rsidR="00C84F0D" w:rsidRDefault="00C84F0D" w:rsidP="00C84F0D">
      <w:pPr>
        <w:rPr>
          <w:rFonts w:cs="Arial"/>
        </w:rPr>
      </w:pPr>
    </w:p>
    <w:p w:rsidR="00C84F0D" w:rsidRDefault="00C84F0D" w:rsidP="00C84F0D">
      <w:pPr>
        <w:rPr>
          <w:rFonts w:cs="Arial"/>
        </w:rPr>
      </w:pPr>
      <w:r w:rsidRPr="002111C6">
        <w:rPr>
          <w:rFonts w:cs="Arial"/>
        </w:rPr>
        <w:t>The administrative structure, office procedures and systems within the PVP office in Kenya remains the same</w:t>
      </w:r>
      <w:r>
        <w:rPr>
          <w:rFonts w:cs="Arial"/>
        </w:rPr>
        <w:t>,</w:t>
      </w:r>
      <w:r w:rsidRPr="002111C6">
        <w:rPr>
          <w:rFonts w:cs="Arial"/>
        </w:rPr>
        <w:t xml:space="preserve"> however the PBR applications can be done online. </w:t>
      </w:r>
      <w:r>
        <w:rPr>
          <w:rFonts w:cs="Arial"/>
        </w:rPr>
        <w:t xml:space="preserve"> </w:t>
      </w:r>
      <w:r w:rsidRPr="002111C6">
        <w:rPr>
          <w:rFonts w:cs="Arial"/>
        </w:rPr>
        <w:t xml:space="preserve">Kenya has embraced the use of UPOV PRISMA application tool for all genera and species. </w:t>
      </w:r>
      <w:r>
        <w:rPr>
          <w:rFonts w:cs="Arial"/>
        </w:rPr>
        <w:t xml:space="preserve"> </w:t>
      </w:r>
      <w:r w:rsidRPr="002111C6">
        <w:rPr>
          <w:rFonts w:cs="Arial"/>
        </w:rPr>
        <w:t>Kenya has automated its plant variety protection system, where all Plant variety protection processes are online.</w:t>
      </w:r>
    </w:p>
    <w:p w:rsidR="00C84F0D" w:rsidRDefault="00C84F0D" w:rsidP="00C84F0D">
      <w:pPr>
        <w:keepNext/>
        <w:rPr>
          <w:rFonts w:cs="Arial"/>
        </w:rPr>
      </w:pPr>
      <w:r>
        <w:rPr>
          <w:rFonts w:cs="Arial"/>
        </w:rPr>
        <w:lastRenderedPageBreak/>
        <w:t>4.</w:t>
      </w:r>
      <w:r>
        <w:rPr>
          <w:rFonts w:cs="Arial"/>
        </w:rPr>
        <w:tab/>
      </w:r>
      <w:r w:rsidRPr="002111C6">
        <w:rPr>
          <w:rFonts w:cs="Arial"/>
          <w:u w:val="single"/>
        </w:rPr>
        <w:t xml:space="preserve">Situation in the </w:t>
      </w:r>
      <w:r>
        <w:rPr>
          <w:rFonts w:cs="Arial"/>
          <w:u w:val="single"/>
        </w:rPr>
        <w:t>t</w:t>
      </w:r>
      <w:r w:rsidRPr="002111C6">
        <w:rPr>
          <w:rFonts w:cs="Arial"/>
          <w:u w:val="single"/>
        </w:rPr>
        <w:t>echnical field</w:t>
      </w:r>
    </w:p>
    <w:p w:rsidR="00C84F0D" w:rsidRPr="002111C6" w:rsidRDefault="00C84F0D" w:rsidP="00C84F0D">
      <w:pPr>
        <w:keepNext/>
        <w:rPr>
          <w:rFonts w:cs="Arial"/>
        </w:rPr>
      </w:pPr>
    </w:p>
    <w:p w:rsidR="00C84F0D" w:rsidRDefault="00C84F0D" w:rsidP="00C84F0D">
      <w:pPr>
        <w:keepNext/>
        <w:rPr>
          <w:rFonts w:cs="Arial"/>
        </w:rPr>
      </w:pPr>
      <w:r w:rsidRPr="002111C6">
        <w:rPr>
          <w:rFonts w:cs="Arial"/>
        </w:rPr>
        <w:t>4.1</w:t>
      </w:r>
      <w:r>
        <w:rPr>
          <w:rFonts w:cs="Arial"/>
        </w:rPr>
        <w:tab/>
      </w:r>
      <w:r w:rsidRPr="002111C6">
        <w:rPr>
          <w:rFonts w:cs="Arial"/>
        </w:rPr>
        <w:t>Application and Grant of Plant Breeders’ Rights</w:t>
      </w:r>
    </w:p>
    <w:p w:rsidR="00C84F0D" w:rsidRPr="002111C6" w:rsidRDefault="00C84F0D" w:rsidP="00C84F0D">
      <w:pPr>
        <w:keepNext/>
        <w:rPr>
          <w:rFonts w:cs="Arial"/>
        </w:rPr>
      </w:pPr>
    </w:p>
    <w:p w:rsidR="00C84F0D" w:rsidRDefault="00C84F0D" w:rsidP="00C84F0D">
      <w:pPr>
        <w:rPr>
          <w:rFonts w:cs="Arial"/>
        </w:rPr>
      </w:pPr>
      <w:r w:rsidRPr="002111C6">
        <w:rPr>
          <w:rFonts w:cs="Arial"/>
        </w:rPr>
        <w:t xml:space="preserve">Since inception of the PVP office in Kenya until end of 2021, a total of 1886 applications </w:t>
      </w:r>
      <w:r>
        <w:rPr>
          <w:rFonts w:cs="Arial"/>
        </w:rPr>
        <w:t xml:space="preserve">have </w:t>
      </w:r>
      <w:r w:rsidRPr="002111C6">
        <w:rPr>
          <w:rFonts w:cs="Arial"/>
        </w:rPr>
        <w:t>been received by Breeders’ Rights and 838 plant breeders right grants have been issued</w:t>
      </w:r>
      <w:r>
        <w:rPr>
          <w:rFonts w:cs="Arial"/>
        </w:rPr>
        <w:t>.</w:t>
      </w:r>
    </w:p>
    <w:p w:rsidR="00C84F0D" w:rsidRPr="002111C6" w:rsidRDefault="00C84F0D" w:rsidP="00C84F0D">
      <w:pPr>
        <w:rPr>
          <w:rFonts w:cs="Arial"/>
        </w:rPr>
      </w:pPr>
    </w:p>
    <w:p w:rsidR="00C84F0D" w:rsidRDefault="00C84F0D" w:rsidP="00C84F0D">
      <w:pPr>
        <w:rPr>
          <w:rFonts w:cs="Arial"/>
        </w:rPr>
      </w:pPr>
      <w:r>
        <w:rPr>
          <w:rFonts w:cs="Arial"/>
        </w:rPr>
        <w:t>The figures below show</w:t>
      </w:r>
      <w:r w:rsidRPr="002111C6">
        <w:rPr>
          <w:rFonts w:cs="Arial"/>
        </w:rPr>
        <w:t xml:space="preserve"> the status of PBR in Kenya.</w:t>
      </w:r>
    </w:p>
    <w:p w:rsidR="00C84F0D" w:rsidRDefault="00C84F0D" w:rsidP="00C84F0D">
      <w:pPr>
        <w:rPr>
          <w:rFonts w:cs="Arial"/>
        </w:rPr>
      </w:pPr>
    </w:p>
    <w:p w:rsidR="00C84F0D" w:rsidRPr="002111C6" w:rsidRDefault="00C84F0D" w:rsidP="00C84F0D">
      <w:pPr>
        <w:jc w:val="center"/>
        <w:rPr>
          <w:rFonts w:cs="Arial"/>
        </w:rPr>
      </w:pPr>
      <w:r w:rsidRPr="002111C6">
        <w:rPr>
          <w:rFonts w:cs="Arial"/>
          <w:noProof/>
        </w:rPr>
        <w:drawing>
          <wp:inline distT="0" distB="0" distL="0" distR="0" wp14:anchorId="73E8E564" wp14:editId="48B5261D">
            <wp:extent cx="5594350" cy="3199765"/>
            <wp:effectExtent l="0" t="0" r="6350" b="63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84F0D" w:rsidRDefault="00C84F0D" w:rsidP="00C84F0D">
      <w:pPr>
        <w:jc w:val="center"/>
        <w:rPr>
          <w:rStyle w:val="SubtleEmphasis"/>
          <w:rFonts w:cs="Arial"/>
        </w:rPr>
      </w:pPr>
      <w:r w:rsidRPr="002111C6">
        <w:rPr>
          <w:rStyle w:val="SubtleEmphasis"/>
          <w:rFonts w:cs="Arial"/>
        </w:rPr>
        <w:t>Figure</w:t>
      </w:r>
      <w:r>
        <w:rPr>
          <w:rStyle w:val="SubtleEmphasis"/>
          <w:rFonts w:cs="Arial"/>
        </w:rPr>
        <w:t>1</w:t>
      </w:r>
      <w:r w:rsidRPr="002111C6">
        <w:rPr>
          <w:rStyle w:val="SubtleEmphasis"/>
          <w:rFonts w:cs="Arial"/>
        </w:rPr>
        <w:t>: PBR status since inception to Dec 2021</w:t>
      </w:r>
    </w:p>
    <w:p w:rsidR="00C84F0D" w:rsidRDefault="00C84F0D" w:rsidP="00C84F0D">
      <w:pPr>
        <w:jc w:val="center"/>
        <w:rPr>
          <w:rStyle w:val="SubtleEmphasis"/>
          <w:rFonts w:cs="Arial"/>
        </w:rPr>
      </w:pPr>
    </w:p>
    <w:p w:rsidR="00C84F0D" w:rsidRPr="002111C6" w:rsidRDefault="00C84F0D" w:rsidP="00C84F0D">
      <w:pPr>
        <w:jc w:val="center"/>
        <w:rPr>
          <w:rStyle w:val="SubtleEmphasis"/>
          <w:rFonts w:cs="Arial"/>
        </w:rPr>
      </w:pPr>
    </w:p>
    <w:p w:rsidR="00C84F0D" w:rsidRPr="002111C6" w:rsidRDefault="00C84F0D" w:rsidP="00C84F0D">
      <w:pPr>
        <w:jc w:val="center"/>
        <w:rPr>
          <w:rFonts w:cs="Arial"/>
        </w:rPr>
      </w:pPr>
      <w:r w:rsidRPr="002111C6">
        <w:rPr>
          <w:rFonts w:cs="Arial"/>
          <w:noProof/>
        </w:rPr>
        <w:drawing>
          <wp:inline distT="0" distB="0" distL="0" distR="0" wp14:anchorId="6883F8E1" wp14:editId="29EFC17B">
            <wp:extent cx="4575175" cy="2746375"/>
            <wp:effectExtent l="0" t="0" r="15875" b="1587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84F0D" w:rsidRPr="002111C6" w:rsidRDefault="00C84F0D" w:rsidP="00C84F0D">
      <w:pPr>
        <w:jc w:val="center"/>
        <w:rPr>
          <w:rStyle w:val="SubtleEmphasis"/>
          <w:rFonts w:eastAsia="Tahoma" w:cs="Arial"/>
        </w:rPr>
      </w:pPr>
      <w:r w:rsidRPr="002111C6">
        <w:rPr>
          <w:rStyle w:val="SubtleEmphasis"/>
          <w:rFonts w:cs="Arial"/>
        </w:rPr>
        <w:t>Fig</w:t>
      </w:r>
      <w:r>
        <w:rPr>
          <w:rStyle w:val="SubtleEmphasis"/>
          <w:rFonts w:cs="Arial"/>
        </w:rPr>
        <w:t xml:space="preserve">ure </w:t>
      </w:r>
      <w:r w:rsidRPr="002111C6">
        <w:rPr>
          <w:rStyle w:val="SubtleEmphasis"/>
          <w:rFonts w:cs="Arial"/>
        </w:rPr>
        <w:t>2</w:t>
      </w:r>
      <w:r>
        <w:rPr>
          <w:rStyle w:val="SubtleEmphasis"/>
          <w:rFonts w:cs="Arial"/>
        </w:rPr>
        <w:t>:</w:t>
      </w:r>
      <w:r w:rsidRPr="002111C6">
        <w:rPr>
          <w:rStyle w:val="SubtleEmphasis"/>
          <w:rFonts w:eastAsia="Tahoma" w:cs="Arial"/>
        </w:rPr>
        <w:t xml:space="preserve"> PBR </w:t>
      </w:r>
      <w:r>
        <w:rPr>
          <w:rStyle w:val="SubtleEmphasis"/>
          <w:rFonts w:eastAsia="Tahoma" w:cs="Arial"/>
        </w:rPr>
        <w:t>s</w:t>
      </w:r>
      <w:r w:rsidRPr="002111C6">
        <w:rPr>
          <w:rStyle w:val="SubtleEmphasis"/>
          <w:rFonts w:eastAsia="Tahoma" w:cs="Arial"/>
        </w:rPr>
        <w:t>tatus in Kenya for the year 2021</w:t>
      </w:r>
    </w:p>
    <w:p w:rsidR="00C84F0D" w:rsidRDefault="00C84F0D" w:rsidP="00C84F0D">
      <w:pPr>
        <w:rPr>
          <w:rFonts w:cs="Arial"/>
          <w:noProof/>
          <w:lang w:val="en-GB" w:eastAsia="en-GB"/>
        </w:rPr>
      </w:pPr>
    </w:p>
    <w:p w:rsidR="00C84F0D" w:rsidRPr="002111C6" w:rsidRDefault="00C84F0D" w:rsidP="00C84F0D">
      <w:pPr>
        <w:rPr>
          <w:rFonts w:cs="Arial"/>
          <w:noProof/>
          <w:lang w:val="en-GB" w:eastAsia="en-GB"/>
        </w:rPr>
      </w:pPr>
    </w:p>
    <w:p w:rsidR="00C84F0D" w:rsidRDefault="00C84F0D" w:rsidP="00C84F0D">
      <w:pPr>
        <w:rPr>
          <w:rFonts w:cs="Arial"/>
        </w:rPr>
      </w:pPr>
      <w:r w:rsidRPr="002111C6">
        <w:rPr>
          <w:rFonts w:cs="Arial"/>
        </w:rPr>
        <w:t xml:space="preserve">Reasons for withdrawn or surrender of applications by the breeders include reduced interest in a variety by consumers and availability of better varieties to the breeder </w:t>
      </w:r>
      <w:r>
        <w:rPr>
          <w:rFonts w:cs="Arial"/>
        </w:rPr>
        <w:t xml:space="preserve"> </w:t>
      </w:r>
      <w:r w:rsidRPr="002111C6">
        <w:rPr>
          <w:rFonts w:cs="Arial"/>
        </w:rPr>
        <w:t>The date of payment of PBR grant fee becomes the official commencement date of prote</w:t>
      </w:r>
      <w:r>
        <w:rPr>
          <w:rFonts w:cs="Arial"/>
        </w:rPr>
        <w:t>ction of that variety in Kenya.</w:t>
      </w:r>
    </w:p>
    <w:p w:rsidR="00C84F0D" w:rsidRPr="002111C6" w:rsidRDefault="00C84F0D" w:rsidP="00C84F0D">
      <w:pPr>
        <w:rPr>
          <w:rFonts w:cs="Arial"/>
          <w:b/>
          <w:u w:val="single"/>
        </w:rPr>
      </w:pPr>
    </w:p>
    <w:p w:rsidR="00C84F0D" w:rsidRDefault="00C84F0D" w:rsidP="00C84F0D">
      <w:pPr>
        <w:keepNext/>
        <w:rPr>
          <w:rFonts w:cs="Arial"/>
        </w:rPr>
      </w:pPr>
      <w:r w:rsidRPr="00915F4C">
        <w:rPr>
          <w:rFonts w:cs="Arial"/>
        </w:rPr>
        <w:lastRenderedPageBreak/>
        <w:t>4.2</w:t>
      </w:r>
      <w:r>
        <w:rPr>
          <w:rFonts w:cs="Arial"/>
        </w:rPr>
        <w:tab/>
      </w:r>
      <w:r w:rsidRPr="00915F4C">
        <w:rPr>
          <w:rFonts w:cs="Arial"/>
        </w:rPr>
        <w:t>DUS testing</w:t>
      </w:r>
    </w:p>
    <w:p w:rsidR="00C84F0D" w:rsidRPr="00915F4C" w:rsidRDefault="00C84F0D" w:rsidP="00C84F0D">
      <w:pPr>
        <w:keepNext/>
        <w:rPr>
          <w:rFonts w:cs="Arial"/>
        </w:rPr>
      </w:pPr>
    </w:p>
    <w:p w:rsidR="00C84F0D" w:rsidRPr="002111C6" w:rsidRDefault="00C84F0D" w:rsidP="00C84F0D">
      <w:pPr>
        <w:rPr>
          <w:rFonts w:cs="Arial"/>
        </w:rPr>
      </w:pPr>
      <w:r w:rsidRPr="002111C6">
        <w:rPr>
          <w:rFonts w:cs="Arial"/>
        </w:rPr>
        <w:t>The Office is conducting DUS for Pigeon pea, Maize, Millets, Sorghum, Potatoes, wheat, pasture, Beans</w:t>
      </w:r>
      <w:r>
        <w:rPr>
          <w:rFonts w:cs="Arial"/>
        </w:rPr>
        <w:t>,</w:t>
      </w:r>
      <w:r w:rsidRPr="002111C6">
        <w:rPr>
          <w:rFonts w:cs="Arial"/>
        </w:rPr>
        <w:t xml:space="preserve"> chicory and Teff. </w:t>
      </w:r>
      <w:r>
        <w:rPr>
          <w:rFonts w:cs="Arial"/>
        </w:rPr>
        <w:t xml:space="preserve"> </w:t>
      </w:r>
      <w:r w:rsidRPr="002111C6">
        <w:rPr>
          <w:rFonts w:cs="Arial"/>
        </w:rPr>
        <w:t>National test guidelines have been developed for some of these crops.</w:t>
      </w:r>
    </w:p>
    <w:p w:rsidR="00C84F0D" w:rsidRDefault="00C84F0D" w:rsidP="00C84F0D">
      <w:pPr>
        <w:rPr>
          <w:rFonts w:cs="Arial"/>
        </w:rPr>
      </w:pPr>
    </w:p>
    <w:p w:rsidR="00C84F0D" w:rsidRPr="002111C6" w:rsidRDefault="00C84F0D" w:rsidP="00C84F0D">
      <w:pPr>
        <w:rPr>
          <w:rFonts w:cs="Arial"/>
        </w:rPr>
      </w:pPr>
    </w:p>
    <w:p w:rsidR="00C84F0D" w:rsidRPr="00915F4C" w:rsidRDefault="00C84F0D" w:rsidP="00C84F0D">
      <w:pPr>
        <w:rPr>
          <w:rFonts w:cs="Arial"/>
          <w:u w:val="single"/>
        </w:rPr>
      </w:pPr>
      <w:r w:rsidRPr="00915F4C">
        <w:rPr>
          <w:rFonts w:cs="Arial"/>
        </w:rPr>
        <w:t>5.</w:t>
      </w:r>
      <w:r w:rsidRPr="00915F4C">
        <w:rPr>
          <w:rFonts w:cs="Arial"/>
        </w:rPr>
        <w:tab/>
      </w:r>
      <w:r w:rsidRPr="00915F4C">
        <w:rPr>
          <w:rFonts w:cs="Arial"/>
          <w:u w:val="single"/>
        </w:rPr>
        <w:t>Activities for the promotion of plant variety protection</w:t>
      </w:r>
    </w:p>
    <w:p w:rsidR="00C84F0D" w:rsidRDefault="00C84F0D" w:rsidP="00C84F0D">
      <w:pPr>
        <w:rPr>
          <w:rFonts w:cs="Arial"/>
        </w:rPr>
      </w:pPr>
    </w:p>
    <w:p w:rsidR="00C84F0D" w:rsidRDefault="00C84F0D" w:rsidP="00C84F0D">
      <w:pPr>
        <w:rPr>
          <w:rFonts w:cs="Arial"/>
        </w:rPr>
      </w:pPr>
      <w:r w:rsidRPr="002111C6">
        <w:rPr>
          <w:rFonts w:cs="Arial"/>
        </w:rPr>
        <w:t>The PVP office in Kenya has been actively involved in a number of activities for the promotion of P</w:t>
      </w:r>
      <w:r>
        <w:rPr>
          <w:rFonts w:cs="Arial"/>
        </w:rPr>
        <w:t>lant Variety Protection in the c</w:t>
      </w:r>
      <w:r w:rsidRPr="002111C6">
        <w:rPr>
          <w:rFonts w:cs="Arial"/>
        </w:rPr>
        <w:t xml:space="preserve">ountry and within the Africa region. </w:t>
      </w:r>
      <w:r>
        <w:rPr>
          <w:rFonts w:cs="Arial"/>
        </w:rPr>
        <w:t xml:space="preserve"> </w:t>
      </w:r>
      <w:r w:rsidRPr="002111C6">
        <w:rPr>
          <w:rFonts w:cs="Arial"/>
        </w:rPr>
        <w:t>Some of these p</w:t>
      </w:r>
      <w:r>
        <w:rPr>
          <w:rFonts w:cs="Arial"/>
        </w:rPr>
        <w:t>romotional activities includes:</w:t>
      </w:r>
    </w:p>
    <w:p w:rsidR="00C84F0D" w:rsidRPr="002111C6" w:rsidRDefault="00C84F0D" w:rsidP="00C84F0D">
      <w:pPr>
        <w:rPr>
          <w:rFonts w:cs="Arial"/>
          <w:b/>
        </w:rPr>
      </w:pPr>
    </w:p>
    <w:p w:rsidR="00C84F0D" w:rsidRPr="002111C6" w:rsidRDefault="00C84F0D" w:rsidP="00C84F0D">
      <w:pPr>
        <w:numPr>
          <w:ilvl w:val="0"/>
          <w:numId w:val="27"/>
        </w:numPr>
        <w:spacing w:after="120"/>
        <w:ind w:left="714" w:hanging="357"/>
        <w:rPr>
          <w:rFonts w:cs="Arial"/>
        </w:rPr>
      </w:pPr>
      <w:r w:rsidRPr="002111C6">
        <w:rPr>
          <w:rFonts w:cs="Arial"/>
        </w:rPr>
        <w:t xml:space="preserve">Dissemination seminars on awareness creation on PVP services in the country. </w:t>
      </w:r>
      <w:r>
        <w:rPr>
          <w:rFonts w:cs="Arial"/>
        </w:rPr>
        <w:t xml:space="preserve"> </w:t>
      </w:r>
      <w:r w:rsidRPr="002111C6">
        <w:rPr>
          <w:rFonts w:cs="Arial"/>
        </w:rPr>
        <w:t>These seminars targets National Agricultural research institutions, Universities, policy makers, Agricultural extension staff as well as the larger farming communities.</w:t>
      </w:r>
    </w:p>
    <w:p w:rsidR="00C84F0D" w:rsidRPr="002111C6" w:rsidRDefault="00C84F0D" w:rsidP="00C84F0D">
      <w:pPr>
        <w:numPr>
          <w:ilvl w:val="0"/>
          <w:numId w:val="27"/>
        </w:numPr>
        <w:spacing w:after="120"/>
        <w:ind w:left="714" w:hanging="357"/>
        <w:rPr>
          <w:rFonts w:cs="Arial"/>
        </w:rPr>
      </w:pPr>
      <w:r w:rsidRPr="002111C6">
        <w:rPr>
          <w:rFonts w:cs="Arial"/>
        </w:rPr>
        <w:t xml:space="preserve">The office is working with other sectors in agriculture to ensure that operating regulations are in conformity with the Seed and Plant Varieties Act and by extension the UPOV Convention. </w:t>
      </w:r>
    </w:p>
    <w:p w:rsidR="00C84F0D" w:rsidRPr="002111C6" w:rsidRDefault="00C84F0D" w:rsidP="00C84F0D">
      <w:pPr>
        <w:numPr>
          <w:ilvl w:val="0"/>
          <w:numId w:val="27"/>
        </w:numPr>
        <w:rPr>
          <w:rFonts w:cs="Arial"/>
        </w:rPr>
      </w:pPr>
      <w:r w:rsidRPr="002111C6">
        <w:rPr>
          <w:rFonts w:cs="Arial"/>
        </w:rPr>
        <w:t>The Office has also been involved in exposing delegations from Djibouti, Eritr</w:t>
      </w:r>
      <w:r>
        <w:rPr>
          <w:rFonts w:cs="Arial"/>
        </w:rPr>
        <w:t>e</w:t>
      </w:r>
      <w:r w:rsidRPr="002111C6">
        <w:rPr>
          <w:rFonts w:cs="Arial"/>
        </w:rPr>
        <w:t>a, South Sudan, Somali</w:t>
      </w:r>
      <w:r>
        <w:rPr>
          <w:rFonts w:cs="Arial"/>
        </w:rPr>
        <w:t xml:space="preserve">a </w:t>
      </w:r>
      <w:r w:rsidRPr="002111C6">
        <w:rPr>
          <w:rFonts w:cs="Arial"/>
        </w:rPr>
        <w:t xml:space="preserve">and Ghana to the Kenyan PVP system. </w:t>
      </w:r>
    </w:p>
    <w:p w:rsidR="00C84F0D" w:rsidRPr="002111C6" w:rsidRDefault="00C84F0D" w:rsidP="00C84F0D">
      <w:pPr>
        <w:rPr>
          <w:rFonts w:cs="Arial"/>
        </w:rPr>
      </w:pPr>
    </w:p>
    <w:p w:rsidR="00C84F0D" w:rsidRDefault="00C84F0D" w:rsidP="00C84F0D">
      <w:pPr>
        <w:rPr>
          <w:rFonts w:cs="Arial"/>
        </w:rPr>
      </w:pPr>
      <w:r w:rsidRPr="002111C6">
        <w:rPr>
          <w:rFonts w:cs="Arial"/>
        </w:rPr>
        <w:t>All correspon</w:t>
      </w:r>
      <w:r>
        <w:rPr>
          <w:rFonts w:cs="Arial"/>
        </w:rPr>
        <w:t>dences need to be addressed to:</w:t>
      </w:r>
    </w:p>
    <w:p w:rsidR="00C84F0D" w:rsidRPr="002111C6" w:rsidRDefault="00C84F0D" w:rsidP="00C84F0D">
      <w:pPr>
        <w:rPr>
          <w:rFonts w:cs="Arial"/>
        </w:rPr>
      </w:pPr>
    </w:p>
    <w:p w:rsidR="00C84F0D" w:rsidRPr="002111C6" w:rsidRDefault="00C84F0D" w:rsidP="00C84F0D">
      <w:pPr>
        <w:rPr>
          <w:rFonts w:cs="Arial"/>
        </w:rPr>
      </w:pPr>
      <w:r w:rsidRPr="002111C6">
        <w:rPr>
          <w:rFonts w:cs="Arial"/>
        </w:rPr>
        <w:t>The Managing Director</w:t>
      </w:r>
    </w:p>
    <w:p w:rsidR="00C84F0D" w:rsidRPr="002111C6" w:rsidRDefault="00C84F0D" w:rsidP="00C84F0D">
      <w:pPr>
        <w:rPr>
          <w:rFonts w:cs="Arial"/>
        </w:rPr>
      </w:pPr>
      <w:r w:rsidRPr="002111C6">
        <w:rPr>
          <w:rFonts w:cs="Arial"/>
        </w:rPr>
        <w:t>Kenya Plant health Inspectorate Service</w:t>
      </w:r>
    </w:p>
    <w:p w:rsidR="00C84F0D" w:rsidRPr="002111C6" w:rsidRDefault="00C84F0D" w:rsidP="00C84F0D">
      <w:pPr>
        <w:rPr>
          <w:rFonts w:cs="Arial"/>
        </w:rPr>
      </w:pPr>
      <w:r w:rsidRPr="002111C6">
        <w:rPr>
          <w:rFonts w:cs="Arial"/>
        </w:rPr>
        <w:t>Headquarters, Oloolua Ridge, Karen</w:t>
      </w:r>
    </w:p>
    <w:p w:rsidR="00C84F0D" w:rsidRPr="002111C6" w:rsidRDefault="00C84F0D" w:rsidP="00C84F0D">
      <w:pPr>
        <w:rPr>
          <w:rFonts w:cs="Arial"/>
        </w:rPr>
      </w:pPr>
      <w:r w:rsidRPr="002111C6">
        <w:rPr>
          <w:rFonts w:cs="Arial"/>
        </w:rPr>
        <w:t>P. O. Box 49592-00100, Nairobi</w:t>
      </w:r>
    </w:p>
    <w:p w:rsidR="00C84F0D" w:rsidRPr="002111C6" w:rsidRDefault="00C84F0D" w:rsidP="00C84F0D">
      <w:pPr>
        <w:rPr>
          <w:rFonts w:cs="Arial"/>
        </w:rPr>
      </w:pPr>
      <w:r w:rsidRPr="002111C6">
        <w:rPr>
          <w:rFonts w:cs="Arial"/>
        </w:rPr>
        <w:t>Tel. +254 20 3597201 or +254 20 3597203</w:t>
      </w:r>
    </w:p>
    <w:p w:rsidR="00C84F0D" w:rsidRPr="002111C6" w:rsidRDefault="00C84F0D" w:rsidP="00C84F0D">
      <w:pPr>
        <w:rPr>
          <w:rFonts w:cs="Arial"/>
        </w:rPr>
      </w:pPr>
      <w:r w:rsidRPr="002111C6">
        <w:rPr>
          <w:rFonts w:cs="Arial"/>
        </w:rPr>
        <w:t>Cell: +254 723 786 779 or +254 733 874 141</w:t>
      </w:r>
    </w:p>
    <w:p w:rsidR="00C84F0D" w:rsidRPr="002111C6" w:rsidRDefault="00C84F0D" w:rsidP="00C84F0D">
      <w:pPr>
        <w:rPr>
          <w:rFonts w:cs="Arial"/>
        </w:rPr>
      </w:pPr>
      <w:r w:rsidRPr="002111C6">
        <w:rPr>
          <w:rFonts w:cs="Arial"/>
        </w:rPr>
        <w:t xml:space="preserve">E-mail: </w:t>
      </w:r>
      <w:r w:rsidRPr="00EF0E4E">
        <w:rPr>
          <w:rFonts w:cs="Arial"/>
        </w:rPr>
        <w:t>director@kephis.org</w:t>
      </w:r>
    </w:p>
    <w:p w:rsidR="00C84F0D" w:rsidRPr="002111C6" w:rsidRDefault="00C84F0D" w:rsidP="00C84F0D">
      <w:pPr>
        <w:rPr>
          <w:rFonts w:cs="Arial"/>
        </w:rPr>
      </w:pPr>
      <w:r w:rsidRPr="002111C6">
        <w:rPr>
          <w:rFonts w:cs="Arial"/>
        </w:rPr>
        <w:t xml:space="preserve">Website: </w:t>
      </w:r>
      <w:r w:rsidRPr="00EF0E4E">
        <w:rPr>
          <w:rFonts w:cs="Arial"/>
        </w:rPr>
        <w:t>www.kephis.org</w:t>
      </w:r>
    </w:p>
    <w:p w:rsidR="00C84F0D" w:rsidRPr="002111C6" w:rsidRDefault="00C84F0D" w:rsidP="00C84F0D">
      <w:pPr>
        <w:rPr>
          <w:rFonts w:cs="Arial"/>
        </w:rPr>
      </w:pPr>
    </w:p>
    <w:p w:rsidR="00C84F0D" w:rsidRPr="002111C6" w:rsidRDefault="00C84F0D" w:rsidP="00C84F0D">
      <w:pPr>
        <w:jc w:val="left"/>
        <w:rPr>
          <w:rFonts w:cs="Arial"/>
          <w:lang w:val="en-GB"/>
        </w:rPr>
      </w:pPr>
    </w:p>
    <w:p w:rsidR="0061294D" w:rsidRPr="00AA2FEE" w:rsidRDefault="0061294D" w:rsidP="0061294D"/>
    <w:p w:rsidR="0061294D" w:rsidRPr="00AA2FEE" w:rsidRDefault="0061294D" w:rsidP="0061294D">
      <w:pPr>
        <w:jc w:val="right"/>
      </w:pPr>
      <w:r w:rsidRPr="00AA2FEE">
        <w:t>[Annex X follows]</w:t>
      </w:r>
    </w:p>
    <w:p w:rsidR="0061294D" w:rsidRPr="00AA2FEE" w:rsidRDefault="0061294D" w:rsidP="0061294D"/>
    <w:p w:rsidR="0061294D" w:rsidRPr="00AA2FEE" w:rsidRDefault="0061294D" w:rsidP="000362AD">
      <w:pPr>
        <w:jc w:val="center"/>
        <w:sectPr w:rsidR="0061294D" w:rsidRPr="00AA2FEE" w:rsidSect="0049108C">
          <w:headerReference w:type="default" r:id="rId27"/>
          <w:pgSz w:w="11907" w:h="16840" w:code="9"/>
          <w:pgMar w:top="510" w:right="1134" w:bottom="1134" w:left="1134" w:header="510" w:footer="680" w:gutter="0"/>
          <w:pgNumType w:start="1"/>
          <w:cols w:space="720"/>
          <w:titlePg/>
        </w:sectPr>
      </w:pPr>
    </w:p>
    <w:p w:rsidR="000362AD" w:rsidRPr="00AA2FEE" w:rsidRDefault="005A5958" w:rsidP="000362AD">
      <w:pPr>
        <w:jc w:val="center"/>
      </w:pPr>
      <w:r w:rsidRPr="00AA2FEE">
        <w:lastRenderedPageBreak/>
        <w:t>C/56</w:t>
      </w:r>
      <w:r w:rsidR="000362AD" w:rsidRPr="00AA2FEE">
        <w:t>/INF/4</w:t>
      </w:r>
    </w:p>
    <w:p w:rsidR="000362AD" w:rsidRPr="00AA2FEE" w:rsidRDefault="000362AD" w:rsidP="000362AD">
      <w:pPr>
        <w:jc w:val="center"/>
      </w:pPr>
    </w:p>
    <w:p w:rsidR="000362AD" w:rsidRPr="00AA2FEE" w:rsidRDefault="000362AD" w:rsidP="000362AD">
      <w:pPr>
        <w:jc w:val="center"/>
      </w:pPr>
      <w:r w:rsidRPr="00AA2FEE">
        <w:t xml:space="preserve">ANNEX </w:t>
      </w:r>
      <w:r w:rsidR="00991CBD" w:rsidRPr="00AA2FEE">
        <w:t>X</w:t>
      </w:r>
    </w:p>
    <w:p w:rsidR="009859E1" w:rsidRPr="00AA2FEE" w:rsidRDefault="009859E1" w:rsidP="000362AD">
      <w:pPr>
        <w:jc w:val="center"/>
      </w:pPr>
    </w:p>
    <w:p w:rsidR="004D2165" w:rsidRPr="00AA2FEE" w:rsidRDefault="004D2165" w:rsidP="000362AD">
      <w:pPr>
        <w:jc w:val="center"/>
      </w:pPr>
    </w:p>
    <w:p w:rsidR="009859E1" w:rsidRPr="00AA2FEE" w:rsidRDefault="009859E1" w:rsidP="000362AD">
      <w:pPr>
        <w:jc w:val="center"/>
      </w:pPr>
      <w:r w:rsidRPr="00AA2FEE">
        <w:t>MEXICO</w:t>
      </w:r>
    </w:p>
    <w:p w:rsidR="000362AD" w:rsidRPr="00AA2FEE" w:rsidRDefault="000362AD" w:rsidP="000362AD">
      <w:pPr>
        <w:jc w:val="center"/>
      </w:pPr>
    </w:p>
    <w:p w:rsidR="000362AD" w:rsidRPr="00AA2FEE" w:rsidRDefault="000362AD" w:rsidP="000362AD">
      <w:pPr>
        <w:jc w:val="center"/>
      </w:pPr>
    </w:p>
    <w:p w:rsidR="000F1013" w:rsidRPr="00AA1EE1" w:rsidRDefault="000F1013" w:rsidP="000F1013">
      <w:r>
        <w:t>PLANT VARIETY PROTECTION</w:t>
      </w:r>
    </w:p>
    <w:p w:rsidR="000F1013" w:rsidRPr="00AA1EE1" w:rsidRDefault="000F1013" w:rsidP="000F1013"/>
    <w:p w:rsidR="000F1013" w:rsidRPr="00AA1EE1" w:rsidRDefault="000F1013" w:rsidP="000F1013">
      <w:pPr>
        <w:rPr>
          <w:u w:val="single"/>
        </w:rPr>
      </w:pPr>
      <w:r>
        <w:t>1.</w:t>
      </w:r>
      <w:r>
        <w:tab/>
      </w:r>
      <w:r>
        <w:rPr>
          <w:u w:val="single"/>
        </w:rPr>
        <w:t>Situation in the legislative field</w:t>
      </w:r>
    </w:p>
    <w:p w:rsidR="000F1013" w:rsidRPr="00AA1EE1" w:rsidRDefault="000F1013" w:rsidP="000F1013">
      <w:pPr>
        <w:rPr>
          <w:u w:val="single"/>
        </w:rPr>
      </w:pPr>
    </w:p>
    <w:p w:rsidR="000F1013" w:rsidRPr="00AA1EE1" w:rsidRDefault="000F1013" w:rsidP="000F1013">
      <w:r>
        <w:t>Mexico has been a party to the UPOV Convention since August 1997, and the current legislation is in accordance with the 1978 Act. However, in recent years, work has been conducted on proposals to amend the 1996 Federal Plant Varieties Act.</w:t>
      </w:r>
    </w:p>
    <w:p w:rsidR="000F1013" w:rsidRPr="00AA1EE1" w:rsidRDefault="000F1013" w:rsidP="000F1013"/>
    <w:p w:rsidR="000F1013" w:rsidRPr="00AA1EE1" w:rsidRDefault="000F1013" w:rsidP="000F1013">
      <w:r>
        <w:t>1.1</w:t>
      </w:r>
      <w:r>
        <w:tab/>
        <w:t>Amendments to the law and to the regulations:  Nothing to report.</w:t>
      </w:r>
    </w:p>
    <w:p w:rsidR="000F1013" w:rsidRDefault="000F1013" w:rsidP="000F1013"/>
    <w:p w:rsidR="000F1013" w:rsidRPr="00AA1EE1" w:rsidRDefault="000F1013" w:rsidP="000F1013">
      <w:r>
        <w:t>1.2</w:t>
      </w:r>
      <w:r>
        <w:tab/>
        <w:t>Extension of protection to further genera and species</w:t>
      </w:r>
    </w:p>
    <w:p w:rsidR="000F1013" w:rsidRDefault="000F1013" w:rsidP="000F1013"/>
    <w:p w:rsidR="000F1013" w:rsidRPr="00AA1EE1" w:rsidRDefault="000F1013" w:rsidP="000F1013">
      <w:r>
        <w:tab/>
        <w:t>All genera and species have been protected in Mexico since the Act was passed.</w:t>
      </w:r>
    </w:p>
    <w:p w:rsidR="000F1013" w:rsidRPr="00AA1EE1" w:rsidRDefault="000F1013" w:rsidP="000F1013"/>
    <w:p w:rsidR="000F1013" w:rsidRPr="00AA1EE1" w:rsidRDefault="000F1013" w:rsidP="000F1013"/>
    <w:p w:rsidR="000F1013" w:rsidRPr="00F91AE6" w:rsidRDefault="000F1013" w:rsidP="000F1013">
      <w:r>
        <w:t>2.</w:t>
      </w:r>
      <w:r>
        <w:tab/>
      </w:r>
      <w:r>
        <w:rPr>
          <w:u w:val="single"/>
        </w:rPr>
        <w:t>Cooperation in the examination</w:t>
      </w:r>
      <w:r>
        <w:t>: Nothing to report.</w:t>
      </w:r>
    </w:p>
    <w:p w:rsidR="000F1013" w:rsidRDefault="000F1013" w:rsidP="000F1013"/>
    <w:p w:rsidR="000F1013" w:rsidRPr="00AA1EE1" w:rsidRDefault="000F1013" w:rsidP="000F1013"/>
    <w:p w:rsidR="000F1013" w:rsidRPr="00AA1EE1" w:rsidRDefault="000F1013" w:rsidP="000F1013">
      <w:r>
        <w:t>3.</w:t>
      </w:r>
      <w:r>
        <w:tab/>
      </w:r>
      <w:r>
        <w:rPr>
          <w:u w:val="single"/>
        </w:rPr>
        <w:t>Situation in the administrative field</w:t>
      </w:r>
      <w:r w:rsidRPr="00C22A51">
        <w:t>:</w:t>
      </w:r>
      <w:r>
        <w:t xml:space="preserve">  Nothing to report.</w:t>
      </w:r>
    </w:p>
    <w:p w:rsidR="000F1013" w:rsidRDefault="000F1013" w:rsidP="000F1013"/>
    <w:p w:rsidR="000F1013" w:rsidRPr="00AA1EE1" w:rsidRDefault="000F1013" w:rsidP="000F1013"/>
    <w:p w:rsidR="000F1013" w:rsidRPr="00AA1EE1" w:rsidRDefault="000F1013" w:rsidP="000F1013">
      <w:r>
        <w:t>4.</w:t>
      </w:r>
      <w:r>
        <w:tab/>
      </w:r>
      <w:r w:rsidRPr="00C22A51">
        <w:rPr>
          <w:u w:val="single"/>
        </w:rPr>
        <w:t>Situation in the technical field</w:t>
      </w:r>
      <w:r>
        <w:t>:  Nothing to report.</w:t>
      </w:r>
    </w:p>
    <w:p w:rsidR="000F1013" w:rsidRDefault="000F1013" w:rsidP="000F1013"/>
    <w:p w:rsidR="000F1013" w:rsidRDefault="000F1013" w:rsidP="000F1013"/>
    <w:p w:rsidR="000F1013" w:rsidRPr="00AA1EE1" w:rsidRDefault="000F1013" w:rsidP="000F1013">
      <w:pPr>
        <w:rPr>
          <w:u w:val="single"/>
        </w:rPr>
      </w:pPr>
      <w:r>
        <w:t>5.</w:t>
      </w:r>
      <w:r>
        <w:tab/>
      </w:r>
      <w:r>
        <w:rPr>
          <w:u w:val="single"/>
        </w:rPr>
        <w:t>Activities to promote the protection of plant varieties</w:t>
      </w:r>
    </w:p>
    <w:p w:rsidR="000F1013" w:rsidRPr="00AA1EE1" w:rsidRDefault="000F1013" w:rsidP="000F1013"/>
    <w:tbl>
      <w:tblPr>
        <w:tblStyle w:val="TableGrid"/>
        <w:tblW w:w="9918" w:type="dxa"/>
        <w:tblLayout w:type="fixed"/>
        <w:tblCellMar>
          <w:top w:w="28" w:type="dxa"/>
          <w:left w:w="28" w:type="dxa"/>
          <w:bottom w:w="28" w:type="dxa"/>
          <w:right w:w="28" w:type="dxa"/>
        </w:tblCellMar>
        <w:tblLook w:val="01E0" w:firstRow="1" w:lastRow="1" w:firstColumn="1" w:lastColumn="1" w:noHBand="0" w:noVBand="0"/>
      </w:tblPr>
      <w:tblGrid>
        <w:gridCol w:w="1271"/>
        <w:gridCol w:w="851"/>
        <w:gridCol w:w="908"/>
        <w:gridCol w:w="1417"/>
        <w:gridCol w:w="2069"/>
        <w:gridCol w:w="1843"/>
        <w:gridCol w:w="1559"/>
      </w:tblGrid>
      <w:tr w:rsidR="000F1013" w:rsidRPr="00AA1EE1" w:rsidTr="00647E67">
        <w:trPr>
          <w:tblHeader/>
        </w:trPr>
        <w:tc>
          <w:tcPr>
            <w:tcW w:w="1271" w:type="dxa"/>
          </w:tcPr>
          <w:p w:rsidR="000F1013" w:rsidRPr="00AA1EE1" w:rsidRDefault="000F1013" w:rsidP="00647E67">
            <w:pPr>
              <w:jc w:val="left"/>
              <w:rPr>
                <w:sz w:val="16"/>
                <w:szCs w:val="18"/>
              </w:rPr>
            </w:pPr>
            <w:r>
              <w:rPr>
                <w:sz w:val="16"/>
              </w:rPr>
              <w:t>Title of the activity</w:t>
            </w:r>
          </w:p>
        </w:tc>
        <w:tc>
          <w:tcPr>
            <w:tcW w:w="851" w:type="dxa"/>
          </w:tcPr>
          <w:p w:rsidR="000F1013" w:rsidRPr="00AA1EE1" w:rsidRDefault="000F1013" w:rsidP="00647E67">
            <w:pPr>
              <w:jc w:val="left"/>
              <w:rPr>
                <w:sz w:val="16"/>
                <w:szCs w:val="18"/>
              </w:rPr>
            </w:pPr>
            <w:r>
              <w:rPr>
                <w:sz w:val="16"/>
              </w:rPr>
              <w:t>Date</w:t>
            </w:r>
          </w:p>
        </w:tc>
        <w:tc>
          <w:tcPr>
            <w:tcW w:w="908" w:type="dxa"/>
          </w:tcPr>
          <w:p w:rsidR="000F1013" w:rsidRPr="00AA1EE1" w:rsidRDefault="000F1013" w:rsidP="00647E67">
            <w:pPr>
              <w:jc w:val="left"/>
              <w:rPr>
                <w:sz w:val="16"/>
                <w:szCs w:val="18"/>
              </w:rPr>
            </w:pPr>
            <w:r>
              <w:rPr>
                <w:sz w:val="16"/>
              </w:rPr>
              <w:t>Location</w:t>
            </w:r>
          </w:p>
        </w:tc>
        <w:tc>
          <w:tcPr>
            <w:tcW w:w="1417" w:type="dxa"/>
          </w:tcPr>
          <w:p w:rsidR="000F1013" w:rsidRPr="00AA1EE1" w:rsidRDefault="000F1013" w:rsidP="00647E67">
            <w:pPr>
              <w:jc w:val="left"/>
              <w:rPr>
                <w:sz w:val="16"/>
                <w:szCs w:val="18"/>
              </w:rPr>
            </w:pPr>
            <w:r>
              <w:rPr>
                <w:sz w:val="16"/>
              </w:rPr>
              <w:t>Organizer(s)</w:t>
            </w:r>
          </w:p>
        </w:tc>
        <w:tc>
          <w:tcPr>
            <w:tcW w:w="2069" w:type="dxa"/>
          </w:tcPr>
          <w:p w:rsidR="000F1013" w:rsidRPr="00AA1EE1" w:rsidRDefault="000F1013" w:rsidP="00647E67">
            <w:pPr>
              <w:jc w:val="left"/>
              <w:rPr>
                <w:sz w:val="16"/>
                <w:szCs w:val="18"/>
              </w:rPr>
            </w:pPr>
            <w:r>
              <w:rPr>
                <w:sz w:val="16"/>
              </w:rPr>
              <w:t>Purpose of the activity</w:t>
            </w:r>
          </w:p>
        </w:tc>
        <w:tc>
          <w:tcPr>
            <w:tcW w:w="1843" w:type="dxa"/>
          </w:tcPr>
          <w:p w:rsidR="000F1013" w:rsidRPr="00AA1EE1" w:rsidRDefault="000F1013" w:rsidP="00647E67">
            <w:pPr>
              <w:jc w:val="left"/>
              <w:rPr>
                <w:sz w:val="16"/>
                <w:szCs w:val="18"/>
              </w:rPr>
            </w:pPr>
            <w:r>
              <w:rPr>
                <w:sz w:val="16"/>
              </w:rPr>
              <w:t>Participating countries/organizations (number of participants from each)</w:t>
            </w:r>
          </w:p>
        </w:tc>
        <w:tc>
          <w:tcPr>
            <w:tcW w:w="1559" w:type="dxa"/>
          </w:tcPr>
          <w:p w:rsidR="000F1013" w:rsidRPr="00AA1EE1" w:rsidRDefault="000F1013" w:rsidP="00647E67">
            <w:pPr>
              <w:jc w:val="left"/>
              <w:rPr>
                <w:sz w:val="16"/>
                <w:szCs w:val="18"/>
              </w:rPr>
            </w:pPr>
            <w:r>
              <w:rPr>
                <w:sz w:val="16"/>
              </w:rPr>
              <w:t>Comments</w:t>
            </w:r>
          </w:p>
        </w:tc>
      </w:tr>
      <w:tr w:rsidR="000F1013" w:rsidRPr="00AA1EE1" w:rsidTr="00647E67">
        <w:trPr>
          <w:cantSplit/>
        </w:trPr>
        <w:tc>
          <w:tcPr>
            <w:tcW w:w="1271" w:type="dxa"/>
          </w:tcPr>
          <w:p w:rsidR="000F1013" w:rsidRPr="00F91AE6" w:rsidRDefault="000F1013" w:rsidP="00647E67">
            <w:pPr>
              <w:jc w:val="left"/>
              <w:rPr>
                <w:sz w:val="16"/>
                <w:szCs w:val="16"/>
              </w:rPr>
            </w:pPr>
            <w:r>
              <w:rPr>
                <w:sz w:val="16"/>
              </w:rPr>
              <w:t>1. Workshop on the process of registering plant varieties and its importance</w:t>
            </w:r>
          </w:p>
        </w:tc>
        <w:tc>
          <w:tcPr>
            <w:tcW w:w="851" w:type="dxa"/>
          </w:tcPr>
          <w:p w:rsidR="000F1013" w:rsidRPr="00F91AE6" w:rsidRDefault="000F1013" w:rsidP="00647E67">
            <w:pPr>
              <w:jc w:val="left"/>
              <w:rPr>
                <w:sz w:val="16"/>
                <w:szCs w:val="16"/>
              </w:rPr>
            </w:pPr>
            <w:r>
              <w:rPr>
                <w:sz w:val="16"/>
              </w:rPr>
              <w:t>April 21, 2022</w:t>
            </w:r>
          </w:p>
        </w:tc>
        <w:tc>
          <w:tcPr>
            <w:tcW w:w="908" w:type="dxa"/>
          </w:tcPr>
          <w:p w:rsidR="000F1013" w:rsidRPr="00F91AE6" w:rsidRDefault="000F1013" w:rsidP="00647E67">
            <w:pPr>
              <w:jc w:val="left"/>
              <w:rPr>
                <w:sz w:val="16"/>
                <w:szCs w:val="16"/>
              </w:rPr>
            </w:pPr>
            <w:r>
              <w:rPr>
                <w:sz w:val="16"/>
              </w:rPr>
              <w:t>Mexico City, online (Google Meet)</w:t>
            </w:r>
          </w:p>
        </w:tc>
        <w:tc>
          <w:tcPr>
            <w:tcW w:w="1417" w:type="dxa"/>
          </w:tcPr>
          <w:p w:rsidR="000F1013" w:rsidRPr="00F91AE6" w:rsidRDefault="000F1013" w:rsidP="00647E67">
            <w:pPr>
              <w:jc w:val="left"/>
              <w:rPr>
                <w:sz w:val="16"/>
                <w:szCs w:val="16"/>
              </w:rPr>
            </w:pPr>
            <w:r>
              <w:rPr>
                <w:sz w:val="16"/>
              </w:rPr>
              <w:t>The National Seed Inspection and Certification Service and the National Forestry, Agriculture and Livestock Research Institute</w:t>
            </w:r>
          </w:p>
        </w:tc>
        <w:tc>
          <w:tcPr>
            <w:tcW w:w="2069" w:type="dxa"/>
          </w:tcPr>
          <w:p w:rsidR="000F1013" w:rsidRPr="00F91AE6" w:rsidRDefault="000F1013" w:rsidP="00647E67">
            <w:pPr>
              <w:jc w:val="left"/>
              <w:rPr>
                <w:sz w:val="16"/>
                <w:szCs w:val="16"/>
              </w:rPr>
            </w:pPr>
            <w:r>
              <w:rPr>
                <w:sz w:val="16"/>
              </w:rPr>
              <w:t>To provide researchers, breeders and application drafters of the National Forestry, Agricultural and Livestock Research Institute with the basic technical and administrative skills needed to file applications regarding plant varieties.</w:t>
            </w:r>
          </w:p>
        </w:tc>
        <w:tc>
          <w:tcPr>
            <w:tcW w:w="1843" w:type="dxa"/>
          </w:tcPr>
          <w:p w:rsidR="000F1013" w:rsidRPr="00F91AE6" w:rsidRDefault="000F1013" w:rsidP="00647E67">
            <w:pPr>
              <w:jc w:val="left"/>
              <w:rPr>
                <w:sz w:val="16"/>
                <w:szCs w:val="16"/>
              </w:rPr>
            </w:pPr>
            <w:r>
              <w:rPr>
                <w:sz w:val="16"/>
              </w:rPr>
              <w:t xml:space="preserve">Mexico </w:t>
            </w:r>
          </w:p>
          <w:p w:rsidR="000F1013" w:rsidRPr="00F91AE6" w:rsidRDefault="000F1013" w:rsidP="00647E67">
            <w:pPr>
              <w:jc w:val="left"/>
              <w:rPr>
                <w:sz w:val="16"/>
                <w:szCs w:val="16"/>
              </w:rPr>
            </w:pPr>
            <w:r>
              <w:rPr>
                <w:sz w:val="16"/>
              </w:rPr>
              <w:t>(131 participants)</w:t>
            </w:r>
          </w:p>
        </w:tc>
        <w:tc>
          <w:tcPr>
            <w:tcW w:w="1559" w:type="dxa"/>
          </w:tcPr>
          <w:p w:rsidR="000F1013" w:rsidRPr="00F91AE6" w:rsidRDefault="000F1013" w:rsidP="00647E67">
            <w:pPr>
              <w:jc w:val="left"/>
              <w:rPr>
                <w:sz w:val="16"/>
                <w:szCs w:val="16"/>
              </w:rPr>
            </w:pPr>
            <w:r>
              <w:rPr>
                <w:sz w:val="16"/>
              </w:rPr>
              <w:t>Given the keen interest shown by attendees in the workshop topics and the request that more staff be trained in those areas, the Institute plans to hold a second workshop.</w:t>
            </w:r>
          </w:p>
        </w:tc>
      </w:tr>
      <w:tr w:rsidR="000F1013" w:rsidRPr="00AA1EE1" w:rsidTr="00647E67">
        <w:trPr>
          <w:cantSplit/>
        </w:trPr>
        <w:tc>
          <w:tcPr>
            <w:tcW w:w="1271" w:type="dxa"/>
          </w:tcPr>
          <w:p w:rsidR="000F1013" w:rsidRPr="00F91AE6" w:rsidRDefault="000F1013" w:rsidP="00647E67">
            <w:pPr>
              <w:jc w:val="left"/>
              <w:rPr>
                <w:sz w:val="16"/>
                <w:szCs w:val="16"/>
              </w:rPr>
            </w:pPr>
            <w:r>
              <w:rPr>
                <w:sz w:val="16"/>
              </w:rPr>
              <w:t>2. Workshop on the process of registering plant varieties and its importance</w:t>
            </w:r>
          </w:p>
        </w:tc>
        <w:tc>
          <w:tcPr>
            <w:tcW w:w="851" w:type="dxa"/>
          </w:tcPr>
          <w:p w:rsidR="000F1013" w:rsidRPr="00F91AE6" w:rsidRDefault="000F1013" w:rsidP="00647E67">
            <w:pPr>
              <w:jc w:val="left"/>
              <w:rPr>
                <w:sz w:val="16"/>
                <w:szCs w:val="16"/>
              </w:rPr>
            </w:pPr>
            <w:r>
              <w:rPr>
                <w:sz w:val="16"/>
              </w:rPr>
              <w:t>May 4, 2022</w:t>
            </w:r>
          </w:p>
        </w:tc>
        <w:tc>
          <w:tcPr>
            <w:tcW w:w="908" w:type="dxa"/>
          </w:tcPr>
          <w:p w:rsidR="000F1013" w:rsidRPr="00F91AE6" w:rsidRDefault="000F1013" w:rsidP="00647E67">
            <w:pPr>
              <w:jc w:val="left"/>
              <w:rPr>
                <w:sz w:val="16"/>
                <w:szCs w:val="16"/>
              </w:rPr>
            </w:pPr>
            <w:r>
              <w:rPr>
                <w:sz w:val="16"/>
              </w:rPr>
              <w:t>Mexico City, online (Google Meet)</w:t>
            </w:r>
          </w:p>
        </w:tc>
        <w:tc>
          <w:tcPr>
            <w:tcW w:w="1417" w:type="dxa"/>
          </w:tcPr>
          <w:p w:rsidR="000F1013" w:rsidRPr="00F91AE6" w:rsidRDefault="000F1013" w:rsidP="00647E67">
            <w:pPr>
              <w:jc w:val="left"/>
              <w:rPr>
                <w:sz w:val="16"/>
                <w:szCs w:val="16"/>
              </w:rPr>
            </w:pPr>
            <w:r>
              <w:rPr>
                <w:sz w:val="16"/>
              </w:rPr>
              <w:t>The National Seed Inspection and Certification Service and the Mexican Association of Seed Growers</w:t>
            </w:r>
          </w:p>
          <w:p w:rsidR="000F1013" w:rsidRPr="00F91AE6" w:rsidRDefault="000F1013" w:rsidP="00647E67">
            <w:pPr>
              <w:jc w:val="left"/>
              <w:rPr>
                <w:sz w:val="16"/>
                <w:szCs w:val="16"/>
              </w:rPr>
            </w:pPr>
          </w:p>
        </w:tc>
        <w:tc>
          <w:tcPr>
            <w:tcW w:w="2069" w:type="dxa"/>
          </w:tcPr>
          <w:p w:rsidR="000F1013" w:rsidRPr="00F91AE6" w:rsidRDefault="000F1013" w:rsidP="00647E67">
            <w:pPr>
              <w:jc w:val="left"/>
              <w:rPr>
                <w:sz w:val="16"/>
                <w:szCs w:val="16"/>
              </w:rPr>
            </w:pPr>
            <w:r>
              <w:rPr>
                <w:sz w:val="16"/>
              </w:rPr>
              <w:t>The aim of the Service’s comprehensive training program is to build the capacity of its technical staff to regulate and monitor compliance with the law in respect of seeds and plant varieties and to raise awareness thereof among users of its services.</w:t>
            </w:r>
          </w:p>
        </w:tc>
        <w:tc>
          <w:tcPr>
            <w:tcW w:w="1843" w:type="dxa"/>
          </w:tcPr>
          <w:p w:rsidR="000F1013" w:rsidRPr="00F91AE6" w:rsidRDefault="000F1013" w:rsidP="00647E67">
            <w:pPr>
              <w:jc w:val="left"/>
              <w:rPr>
                <w:sz w:val="16"/>
                <w:szCs w:val="16"/>
              </w:rPr>
            </w:pPr>
            <w:r>
              <w:rPr>
                <w:sz w:val="16"/>
              </w:rPr>
              <w:t xml:space="preserve">Mexico </w:t>
            </w:r>
          </w:p>
          <w:p w:rsidR="000F1013" w:rsidRPr="00F91AE6" w:rsidRDefault="000F1013" w:rsidP="00647E67">
            <w:pPr>
              <w:jc w:val="left"/>
              <w:rPr>
                <w:sz w:val="16"/>
                <w:szCs w:val="16"/>
              </w:rPr>
            </w:pPr>
            <w:r>
              <w:rPr>
                <w:sz w:val="16"/>
              </w:rPr>
              <w:t>(20 participants)</w:t>
            </w:r>
          </w:p>
        </w:tc>
        <w:tc>
          <w:tcPr>
            <w:tcW w:w="1559" w:type="dxa"/>
          </w:tcPr>
          <w:p w:rsidR="000F1013" w:rsidRPr="00F91AE6" w:rsidRDefault="000F1013" w:rsidP="00647E67">
            <w:pPr>
              <w:jc w:val="left"/>
              <w:rPr>
                <w:sz w:val="16"/>
                <w:szCs w:val="16"/>
              </w:rPr>
            </w:pPr>
            <w:r>
              <w:rPr>
                <w:sz w:val="16"/>
              </w:rPr>
              <w:t>20 people from different private seed companies attended.</w:t>
            </w:r>
          </w:p>
        </w:tc>
      </w:tr>
      <w:tr w:rsidR="000F1013" w:rsidRPr="00AA1EE1" w:rsidTr="00647E67">
        <w:trPr>
          <w:cantSplit/>
        </w:trPr>
        <w:tc>
          <w:tcPr>
            <w:tcW w:w="1271" w:type="dxa"/>
          </w:tcPr>
          <w:p w:rsidR="000F1013" w:rsidRPr="00F91AE6" w:rsidRDefault="000F1013" w:rsidP="00647E67">
            <w:pPr>
              <w:jc w:val="left"/>
              <w:rPr>
                <w:sz w:val="16"/>
                <w:szCs w:val="16"/>
              </w:rPr>
            </w:pPr>
            <w:r>
              <w:rPr>
                <w:sz w:val="16"/>
              </w:rPr>
              <w:lastRenderedPageBreak/>
              <w:t>3. Workshop on filing applications to register plant varieties</w:t>
            </w:r>
          </w:p>
        </w:tc>
        <w:tc>
          <w:tcPr>
            <w:tcW w:w="851" w:type="dxa"/>
          </w:tcPr>
          <w:p w:rsidR="000F1013" w:rsidRPr="00F91AE6" w:rsidRDefault="000F1013" w:rsidP="00647E67">
            <w:pPr>
              <w:jc w:val="left"/>
              <w:rPr>
                <w:sz w:val="16"/>
                <w:szCs w:val="16"/>
              </w:rPr>
            </w:pPr>
            <w:r>
              <w:rPr>
                <w:sz w:val="16"/>
              </w:rPr>
              <w:t>May 9, 2022</w:t>
            </w:r>
          </w:p>
        </w:tc>
        <w:tc>
          <w:tcPr>
            <w:tcW w:w="908" w:type="dxa"/>
          </w:tcPr>
          <w:p w:rsidR="000F1013" w:rsidRPr="00F91AE6" w:rsidRDefault="000F1013" w:rsidP="00647E67">
            <w:pPr>
              <w:jc w:val="left"/>
              <w:rPr>
                <w:sz w:val="16"/>
                <w:szCs w:val="16"/>
              </w:rPr>
            </w:pPr>
            <w:r>
              <w:rPr>
                <w:sz w:val="16"/>
              </w:rPr>
              <w:t>Mexico City, online (Google Meet)</w:t>
            </w:r>
          </w:p>
        </w:tc>
        <w:tc>
          <w:tcPr>
            <w:tcW w:w="1417" w:type="dxa"/>
          </w:tcPr>
          <w:p w:rsidR="000F1013" w:rsidRPr="00F91AE6" w:rsidRDefault="000F1013" w:rsidP="00647E67">
            <w:pPr>
              <w:jc w:val="left"/>
              <w:rPr>
                <w:sz w:val="16"/>
                <w:szCs w:val="16"/>
              </w:rPr>
            </w:pPr>
            <w:r>
              <w:rPr>
                <w:sz w:val="16"/>
              </w:rPr>
              <w:t>The National Seed Inspection and Certification Service</w:t>
            </w:r>
          </w:p>
          <w:p w:rsidR="000F1013" w:rsidRPr="00F91AE6" w:rsidRDefault="000F1013" w:rsidP="00647E67">
            <w:pPr>
              <w:jc w:val="left"/>
              <w:rPr>
                <w:sz w:val="16"/>
                <w:szCs w:val="16"/>
              </w:rPr>
            </w:pPr>
          </w:p>
        </w:tc>
        <w:tc>
          <w:tcPr>
            <w:tcW w:w="2069" w:type="dxa"/>
          </w:tcPr>
          <w:p w:rsidR="000F1013" w:rsidRPr="00F91AE6" w:rsidRDefault="000F1013" w:rsidP="00647E67">
            <w:pPr>
              <w:jc w:val="left"/>
              <w:rPr>
                <w:sz w:val="16"/>
                <w:szCs w:val="16"/>
              </w:rPr>
            </w:pPr>
            <w:r>
              <w:rPr>
                <w:sz w:val="16"/>
              </w:rPr>
              <w:t>To provide researchers, breeders and application drafters of the National Forestry, Agricultural and Livestock Research Institute with the basic technical and administrative skills needed to file applications regarding plant varieties.</w:t>
            </w:r>
          </w:p>
        </w:tc>
        <w:tc>
          <w:tcPr>
            <w:tcW w:w="1843" w:type="dxa"/>
          </w:tcPr>
          <w:p w:rsidR="000F1013" w:rsidRPr="00F91AE6" w:rsidRDefault="000F1013" w:rsidP="00647E67">
            <w:pPr>
              <w:jc w:val="left"/>
              <w:rPr>
                <w:sz w:val="16"/>
                <w:szCs w:val="16"/>
              </w:rPr>
            </w:pPr>
            <w:r>
              <w:rPr>
                <w:sz w:val="16"/>
              </w:rPr>
              <w:t xml:space="preserve">Mexico </w:t>
            </w:r>
          </w:p>
          <w:p w:rsidR="000F1013" w:rsidRPr="00F91AE6" w:rsidRDefault="000F1013" w:rsidP="00647E67">
            <w:pPr>
              <w:jc w:val="left"/>
              <w:rPr>
                <w:sz w:val="16"/>
                <w:szCs w:val="16"/>
              </w:rPr>
            </w:pPr>
            <w:r>
              <w:rPr>
                <w:sz w:val="16"/>
              </w:rPr>
              <w:t>(96 participants)</w:t>
            </w:r>
          </w:p>
        </w:tc>
        <w:tc>
          <w:tcPr>
            <w:tcW w:w="1559" w:type="dxa"/>
          </w:tcPr>
          <w:p w:rsidR="000F1013" w:rsidRPr="00F91AE6" w:rsidRDefault="000F1013" w:rsidP="00647E67">
            <w:pPr>
              <w:jc w:val="left"/>
              <w:rPr>
                <w:sz w:val="16"/>
                <w:szCs w:val="16"/>
              </w:rPr>
            </w:pPr>
            <w:r>
              <w:rPr>
                <w:sz w:val="16"/>
              </w:rPr>
              <w:t>Participants were asked to provide feedback on the workshop with a view to making improvements. Of the 75 assessments received, 65 indicated satisfaction with the workshop. In the remaining 10, the view was expressed that there was room for improvement, although no specific aspects were singled out.</w:t>
            </w:r>
          </w:p>
        </w:tc>
      </w:tr>
      <w:tr w:rsidR="000F1013" w:rsidRPr="00AA1EE1" w:rsidTr="00647E67">
        <w:trPr>
          <w:cantSplit/>
        </w:trPr>
        <w:tc>
          <w:tcPr>
            <w:tcW w:w="1271" w:type="dxa"/>
          </w:tcPr>
          <w:p w:rsidR="000F1013" w:rsidRPr="00F91AE6" w:rsidRDefault="000F1013" w:rsidP="00647E67">
            <w:pPr>
              <w:jc w:val="left"/>
              <w:rPr>
                <w:sz w:val="16"/>
                <w:szCs w:val="16"/>
              </w:rPr>
            </w:pPr>
            <w:r>
              <w:rPr>
                <w:sz w:val="16"/>
              </w:rPr>
              <w:t>4. Course and workshop on registering plant varieties: distinctness, uniformity and stability (DUS) and varietal description</w:t>
            </w:r>
          </w:p>
        </w:tc>
        <w:tc>
          <w:tcPr>
            <w:tcW w:w="851" w:type="dxa"/>
          </w:tcPr>
          <w:p w:rsidR="000F1013" w:rsidRPr="00F91AE6" w:rsidRDefault="000F1013" w:rsidP="00647E67">
            <w:pPr>
              <w:jc w:val="left"/>
              <w:rPr>
                <w:sz w:val="16"/>
                <w:szCs w:val="16"/>
              </w:rPr>
            </w:pPr>
            <w:r>
              <w:rPr>
                <w:sz w:val="16"/>
              </w:rPr>
              <w:t>May 16, 2022</w:t>
            </w:r>
          </w:p>
        </w:tc>
        <w:tc>
          <w:tcPr>
            <w:tcW w:w="908" w:type="dxa"/>
          </w:tcPr>
          <w:p w:rsidR="000F1013" w:rsidRPr="00F91AE6" w:rsidRDefault="000F1013" w:rsidP="00647E67">
            <w:pPr>
              <w:jc w:val="left"/>
              <w:rPr>
                <w:sz w:val="16"/>
                <w:szCs w:val="16"/>
              </w:rPr>
            </w:pPr>
            <w:r>
              <w:rPr>
                <w:sz w:val="16"/>
              </w:rPr>
              <w:t>Mexico City, online (Google Meet)</w:t>
            </w:r>
          </w:p>
        </w:tc>
        <w:tc>
          <w:tcPr>
            <w:tcW w:w="1417" w:type="dxa"/>
          </w:tcPr>
          <w:p w:rsidR="000F1013" w:rsidRPr="00F91AE6" w:rsidRDefault="000F1013" w:rsidP="00647E67">
            <w:pPr>
              <w:jc w:val="left"/>
              <w:rPr>
                <w:sz w:val="16"/>
                <w:szCs w:val="16"/>
              </w:rPr>
            </w:pPr>
          </w:p>
        </w:tc>
        <w:tc>
          <w:tcPr>
            <w:tcW w:w="2069" w:type="dxa"/>
          </w:tcPr>
          <w:p w:rsidR="000F1013" w:rsidRPr="00F91AE6" w:rsidRDefault="000F1013" w:rsidP="00647E67">
            <w:pPr>
              <w:jc w:val="left"/>
              <w:rPr>
                <w:sz w:val="16"/>
                <w:szCs w:val="16"/>
              </w:rPr>
            </w:pPr>
            <w:r>
              <w:rPr>
                <w:sz w:val="16"/>
              </w:rPr>
              <w:t>To equip students of plant science from the Guerrero State Higher Agricultural College to perform DUS testing of plant varieties.</w:t>
            </w:r>
          </w:p>
        </w:tc>
        <w:tc>
          <w:tcPr>
            <w:tcW w:w="1843" w:type="dxa"/>
          </w:tcPr>
          <w:p w:rsidR="000F1013" w:rsidRPr="00F91AE6" w:rsidRDefault="000F1013" w:rsidP="00647E67">
            <w:pPr>
              <w:jc w:val="left"/>
              <w:rPr>
                <w:sz w:val="16"/>
                <w:szCs w:val="16"/>
              </w:rPr>
            </w:pPr>
            <w:r>
              <w:rPr>
                <w:sz w:val="16"/>
              </w:rPr>
              <w:t>38 students of plant science from the Guerrero State Higher Agricultural College</w:t>
            </w:r>
          </w:p>
        </w:tc>
        <w:tc>
          <w:tcPr>
            <w:tcW w:w="1559" w:type="dxa"/>
          </w:tcPr>
          <w:p w:rsidR="000F1013" w:rsidRPr="00F91AE6" w:rsidRDefault="000F1013" w:rsidP="00647E67">
            <w:pPr>
              <w:jc w:val="left"/>
              <w:rPr>
                <w:sz w:val="16"/>
                <w:szCs w:val="16"/>
              </w:rPr>
            </w:pPr>
            <w:r>
              <w:rPr>
                <w:sz w:val="16"/>
              </w:rPr>
              <w:t>This workshop was conducted in line with action 2, of strategy 2 and objective 3, of the National Seed Program for the period 2020-2024, which states: Promote the registration of basic crop varieties generated by public research institutions.</w:t>
            </w:r>
          </w:p>
        </w:tc>
      </w:tr>
    </w:tbl>
    <w:p w:rsidR="000F1013" w:rsidRDefault="000F1013" w:rsidP="000F1013"/>
    <w:p w:rsidR="000F1013" w:rsidRPr="00AA1EE1" w:rsidRDefault="000F1013" w:rsidP="000F1013"/>
    <w:p w:rsidR="000362AD" w:rsidRPr="00AA2FEE" w:rsidRDefault="000362AD" w:rsidP="000362AD">
      <w:pPr>
        <w:jc w:val="left"/>
      </w:pPr>
    </w:p>
    <w:p w:rsidR="000362AD" w:rsidRPr="00AA2FEE" w:rsidRDefault="000362AD" w:rsidP="000362AD">
      <w:pPr>
        <w:jc w:val="right"/>
      </w:pPr>
      <w:r w:rsidRPr="00AA2FEE">
        <w:t xml:space="preserve">[Annex </w:t>
      </w:r>
      <w:r w:rsidR="00991CBD" w:rsidRPr="00AA2FEE">
        <w:t>X</w:t>
      </w:r>
      <w:r w:rsidR="0061294D" w:rsidRPr="00AA2FEE">
        <w:t>I</w:t>
      </w:r>
      <w:r w:rsidRPr="00AA2FEE">
        <w:t xml:space="preserve"> follows]</w:t>
      </w:r>
    </w:p>
    <w:p w:rsidR="000362AD" w:rsidRPr="00AA2FEE" w:rsidRDefault="000362AD" w:rsidP="000362AD"/>
    <w:p w:rsidR="000362AD" w:rsidRPr="00AA2FEE" w:rsidRDefault="000362AD" w:rsidP="000362AD">
      <w:pPr>
        <w:jc w:val="left"/>
        <w:sectPr w:rsidR="000362AD" w:rsidRPr="00AA2FEE" w:rsidSect="0049108C">
          <w:headerReference w:type="default" r:id="rId28"/>
          <w:pgSz w:w="11907" w:h="16840" w:code="9"/>
          <w:pgMar w:top="510" w:right="1134" w:bottom="1134" w:left="1134" w:header="510" w:footer="680" w:gutter="0"/>
          <w:pgNumType w:start="1"/>
          <w:cols w:space="720"/>
          <w:titlePg/>
        </w:sectPr>
      </w:pPr>
    </w:p>
    <w:p w:rsidR="000362AD" w:rsidRPr="00AA2FEE" w:rsidRDefault="005A5958" w:rsidP="000362AD">
      <w:pPr>
        <w:jc w:val="center"/>
      </w:pPr>
      <w:r w:rsidRPr="00AA2FEE">
        <w:lastRenderedPageBreak/>
        <w:t>C/56</w:t>
      </w:r>
      <w:r w:rsidR="000362AD" w:rsidRPr="00AA2FEE">
        <w:t>/INF/4</w:t>
      </w:r>
    </w:p>
    <w:p w:rsidR="000362AD" w:rsidRPr="00AA2FEE" w:rsidRDefault="000362AD" w:rsidP="000362AD">
      <w:pPr>
        <w:jc w:val="center"/>
      </w:pPr>
    </w:p>
    <w:p w:rsidR="000362AD" w:rsidRPr="00AA2FEE" w:rsidRDefault="000362AD" w:rsidP="000362AD">
      <w:pPr>
        <w:jc w:val="center"/>
      </w:pPr>
      <w:r w:rsidRPr="00AA2FEE">
        <w:t xml:space="preserve">ANNEX </w:t>
      </w:r>
      <w:r w:rsidR="0075382F" w:rsidRPr="00AA2FEE">
        <w:t>X</w:t>
      </w:r>
      <w:r w:rsidR="0061294D" w:rsidRPr="00AA2FEE">
        <w:t>I</w:t>
      </w:r>
    </w:p>
    <w:p w:rsidR="000362AD" w:rsidRPr="00AA2FEE" w:rsidRDefault="000362AD" w:rsidP="000362AD">
      <w:pPr>
        <w:jc w:val="center"/>
      </w:pPr>
    </w:p>
    <w:p w:rsidR="000362AD" w:rsidRPr="00AA2FEE" w:rsidRDefault="000362AD" w:rsidP="000362AD">
      <w:pPr>
        <w:jc w:val="center"/>
      </w:pPr>
    </w:p>
    <w:p w:rsidR="003C641A" w:rsidRPr="00AA2FEE" w:rsidRDefault="003C641A" w:rsidP="003C641A">
      <w:pPr>
        <w:jc w:val="center"/>
      </w:pPr>
      <w:r w:rsidRPr="00AA2FEE">
        <w:t>NEW ZEALAND</w:t>
      </w:r>
    </w:p>
    <w:p w:rsidR="003C641A" w:rsidRPr="00AA2FEE" w:rsidRDefault="003C641A" w:rsidP="003C641A"/>
    <w:p w:rsidR="003C641A" w:rsidRPr="00AA2FEE" w:rsidRDefault="003C641A" w:rsidP="003C641A"/>
    <w:p w:rsidR="009555CB" w:rsidRPr="00A043FE" w:rsidRDefault="009555CB" w:rsidP="009555CB">
      <w:pPr>
        <w:jc w:val="left"/>
      </w:pPr>
      <w:r w:rsidRPr="00A043FE">
        <w:t>I.</w:t>
      </w:r>
      <w:r w:rsidRPr="00A043FE">
        <w:tab/>
        <w:t>PLANT VARIETY PROTECTION</w:t>
      </w:r>
    </w:p>
    <w:p w:rsidR="009555CB" w:rsidRPr="00A043FE" w:rsidRDefault="009555CB" w:rsidP="009555CB">
      <w:pPr>
        <w:jc w:val="left"/>
      </w:pPr>
    </w:p>
    <w:p w:rsidR="009555CB" w:rsidRPr="00A043FE" w:rsidRDefault="009555CB" w:rsidP="009555CB">
      <w:pPr>
        <w:jc w:val="left"/>
        <w:rPr>
          <w:u w:val="single"/>
        </w:rPr>
      </w:pPr>
      <w:r w:rsidRPr="00A043FE">
        <w:t>1.</w:t>
      </w:r>
      <w:r w:rsidRPr="00A043FE">
        <w:tab/>
      </w:r>
      <w:r w:rsidRPr="00A043FE">
        <w:rPr>
          <w:u w:val="single"/>
        </w:rPr>
        <w:t>Situation in the legislative field</w:t>
      </w:r>
    </w:p>
    <w:p w:rsidR="009555CB" w:rsidRPr="00A043FE" w:rsidRDefault="009555CB" w:rsidP="009555CB">
      <w:pPr>
        <w:jc w:val="left"/>
      </w:pPr>
    </w:p>
    <w:p w:rsidR="009555CB" w:rsidRPr="00A043FE" w:rsidRDefault="009555CB" w:rsidP="009555CB">
      <w:r w:rsidRPr="00A043FE">
        <w:t>The Plant variety Rights Act 1987 remains in force, conforming to the 1978 Act of the Convention.</w:t>
      </w:r>
    </w:p>
    <w:p w:rsidR="009555CB" w:rsidRPr="00A043FE" w:rsidRDefault="009555CB" w:rsidP="009555CB"/>
    <w:p w:rsidR="009555CB" w:rsidRPr="00A043FE" w:rsidRDefault="009555CB" w:rsidP="009555CB">
      <w:r w:rsidRPr="00A043FE">
        <w:t>The new Plant variety Rights Bill was introduced to Parliament in May 2021 and is currently at the Committee Stage in the Parliament.</w:t>
      </w:r>
    </w:p>
    <w:p w:rsidR="009555CB" w:rsidRPr="00A043FE" w:rsidRDefault="009555CB" w:rsidP="009555CB"/>
    <w:p w:rsidR="009555CB" w:rsidRPr="00A043FE" w:rsidRDefault="009555CB" w:rsidP="009555CB">
      <w:r w:rsidRPr="00A043FE">
        <w:t>A discussion document regarding new Regulations was released in August 2021, and further public consultation was carried out in April 2022. Drafting of the new Regulations are now at the final stages.</w:t>
      </w:r>
    </w:p>
    <w:p w:rsidR="009555CB" w:rsidRPr="00A043FE" w:rsidRDefault="009555CB" w:rsidP="009555CB"/>
    <w:p w:rsidR="009555CB" w:rsidRPr="00A043FE" w:rsidRDefault="009555CB" w:rsidP="009555CB">
      <w:r w:rsidRPr="00A043FE">
        <w:t>More detailed information regarding the Plant variety Rights Act review is available at:</w:t>
      </w:r>
    </w:p>
    <w:p w:rsidR="009555CB" w:rsidRPr="00A043FE" w:rsidRDefault="009621DA" w:rsidP="009555CB">
      <w:hyperlink r:id="rId29" w:history="1">
        <w:r w:rsidR="009555CB" w:rsidRPr="00A043FE">
          <w:rPr>
            <w:rStyle w:val="Hyperlink"/>
          </w:rPr>
          <w:t>https://www.mbie.govt.nz/business-and-employment/business/intellectual-property/plant-variety-rights/plant-variety-rights-act-review/</w:t>
        </w:r>
      </w:hyperlink>
      <w:r w:rsidR="009555CB" w:rsidRPr="00A043FE">
        <w:t xml:space="preserve"> </w:t>
      </w:r>
    </w:p>
    <w:p w:rsidR="009555CB" w:rsidRPr="00A043FE" w:rsidRDefault="009555CB" w:rsidP="009555CB"/>
    <w:p w:rsidR="009555CB" w:rsidRPr="00A043FE" w:rsidRDefault="009555CB" w:rsidP="009555CB">
      <w:r w:rsidRPr="00A043FE">
        <w:t xml:space="preserve">The Intellectual Property Office of New Zealand (IPONZ) has continued with the review of PVR fees. A discussion document was circulated to targeted users in August 2021 to collect information and assist in the development of fees options. Based on the consultation in 2021, fees options were released for wider public consultation in April 2022.  Submissions from these consultations are under consideration and advice is being prepared for the Minister. </w:t>
      </w:r>
    </w:p>
    <w:p w:rsidR="009555CB" w:rsidRPr="00A043FE" w:rsidRDefault="009555CB" w:rsidP="009555CB"/>
    <w:p w:rsidR="009555CB" w:rsidRPr="00A043FE" w:rsidRDefault="009555CB" w:rsidP="009555CB">
      <w:r w:rsidRPr="00A043FE">
        <w:t>It is anticipated that the new regulations will come into effect, along with the majority of the provisions of the Bill later in 2022.  Changes to PVR fees are not expected until 2023.</w:t>
      </w:r>
    </w:p>
    <w:p w:rsidR="009555CB" w:rsidRDefault="009555CB" w:rsidP="009555CB"/>
    <w:p w:rsidR="009555CB" w:rsidRPr="00A043FE" w:rsidRDefault="009555CB" w:rsidP="009555CB"/>
    <w:p w:rsidR="009555CB" w:rsidRPr="00A043FE" w:rsidRDefault="009555CB" w:rsidP="009555CB">
      <w:pPr>
        <w:rPr>
          <w:u w:val="single"/>
        </w:rPr>
      </w:pPr>
      <w:r w:rsidRPr="00A043FE">
        <w:t>2.</w:t>
      </w:r>
      <w:r w:rsidRPr="00A043FE">
        <w:tab/>
      </w:r>
      <w:r w:rsidRPr="00A043FE">
        <w:rPr>
          <w:u w:val="single"/>
        </w:rPr>
        <w:t>Cooperation in examination</w:t>
      </w:r>
    </w:p>
    <w:p w:rsidR="009555CB" w:rsidRPr="00A043FE" w:rsidRDefault="009555CB" w:rsidP="009555CB"/>
    <w:p w:rsidR="009555CB" w:rsidRPr="00A043FE" w:rsidRDefault="009555CB" w:rsidP="009555CB">
      <w:r w:rsidRPr="00A043FE">
        <w:t>New Zealand continues to purchase test reports from member States, for certain species on an as required basis, under the general provisions of the Convention.  New Zealand continues to supply a test report, on request from an Authority, at no cost.</w:t>
      </w:r>
    </w:p>
    <w:p w:rsidR="009555CB" w:rsidRPr="00A043FE" w:rsidRDefault="009555CB" w:rsidP="009555CB"/>
    <w:p w:rsidR="009555CB" w:rsidRPr="00A043FE" w:rsidRDefault="009555CB" w:rsidP="009555CB">
      <w:r w:rsidRPr="00A043FE">
        <w:t xml:space="preserve">For 2021, twenty-nine (29) varieties utilized foreign test reports for the NZ grant decision and New Zealand test reports for eleven (11) varieties were supplied to other authorities. </w:t>
      </w:r>
    </w:p>
    <w:p w:rsidR="009555CB" w:rsidRPr="00A043FE" w:rsidRDefault="009555CB" w:rsidP="009555CB"/>
    <w:p w:rsidR="009555CB" w:rsidRPr="00A043FE" w:rsidRDefault="009555CB" w:rsidP="009555CB"/>
    <w:p w:rsidR="009555CB" w:rsidRPr="00A043FE" w:rsidRDefault="009555CB" w:rsidP="009555CB">
      <w:pPr>
        <w:rPr>
          <w:u w:val="single"/>
        </w:rPr>
      </w:pPr>
      <w:r w:rsidRPr="00A043FE">
        <w:t>3.</w:t>
      </w:r>
      <w:r w:rsidRPr="00A043FE">
        <w:tab/>
      </w:r>
      <w:r w:rsidRPr="00A043FE">
        <w:rPr>
          <w:u w:val="single"/>
        </w:rPr>
        <w:t>Situation in the administrative field</w:t>
      </w:r>
    </w:p>
    <w:p w:rsidR="009555CB" w:rsidRPr="00A043FE" w:rsidRDefault="009555CB" w:rsidP="009555CB"/>
    <w:p w:rsidR="009555CB" w:rsidRPr="00A043FE" w:rsidRDefault="009555CB" w:rsidP="009555CB">
      <w:r w:rsidRPr="00A043FE">
        <w:t xml:space="preserve">During the financial year 1 July 2021 to 30 June 2022, 93 applications for plant variety rights were accepted (24% decrease on the previous year), 79 grants were issued (11% decrease on the previous year) and </w:t>
      </w:r>
      <w:r w:rsidRPr="00A043FE">
        <w:rPr>
          <w:spacing w:val="-2"/>
        </w:rPr>
        <w:t xml:space="preserve">77 grants were terminated (18% decrease on the previous year).  At 30 June 2022 there were 1281 valid grants, </w:t>
      </w:r>
      <w:r w:rsidRPr="00A043FE">
        <w:t xml:space="preserve">a slight decrease in comparison with the previous year. </w:t>
      </w:r>
    </w:p>
    <w:p w:rsidR="009555CB" w:rsidRPr="00A043FE" w:rsidRDefault="009555CB" w:rsidP="009555CB"/>
    <w:p w:rsidR="009555CB" w:rsidRPr="00A043FE" w:rsidRDefault="009555CB" w:rsidP="009555CB">
      <w:r w:rsidRPr="00A043FE">
        <w:t xml:space="preserve">The steady decline in recent years of the number of applications for varieties belonging to species used as ornamentals had reversed in 2020/21 however in the 2021/22 period the declining trend has resumed. In contrast there has been an over 100% increase in the number of applications for varieties of pasture plant species. </w:t>
      </w:r>
    </w:p>
    <w:p w:rsidR="009555CB" w:rsidRPr="00A043FE" w:rsidRDefault="009555CB" w:rsidP="009555CB"/>
    <w:p w:rsidR="009555CB" w:rsidRPr="00A043FE" w:rsidRDefault="009555CB" w:rsidP="009555CB">
      <w:r w:rsidRPr="00A043FE">
        <w:t xml:space="preserve">Preparation has begun for the necessary operational changes resulting from the implementation of the anticipated new law in late 2022.  The changes will be phased in with essential elements completed when the new law comes into force and with less essential elements completed in early to mid-2023.  Changes to process and practice will be the result of new elements in legislation and the enhancement of existing practices.  </w:t>
      </w:r>
    </w:p>
    <w:p w:rsidR="009555CB" w:rsidRPr="00A043FE" w:rsidRDefault="009555CB" w:rsidP="009555CB"/>
    <w:p w:rsidR="009555CB" w:rsidRPr="00A043FE" w:rsidRDefault="009555CB" w:rsidP="009555CB">
      <w:r w:rsidRPr="00A043FE">
        <w:t xml:space="preserve">A study to determine the Economic, Innovation and Public Good Value of plant variety protection in New Zealand is in the planning stages. The study is likely to be completed by mid-2023.  The findings of the study will guide future decisions regarding operational elements and longer-term policy directions. </w:t>
      </w:r>
    </w:p>
    <w:p w:rsidR="009555CB" w:rsidRPr="00A043FE" w:rsidRDefault="009555CB" w:rsidP="009555CB"/>
    <w:p w:rsidR="009555CB" w:rsidRPr="00A043FE" w:rsidRDefault="009555CB" w:rsidP="009555CB">
      <w:pPr>
        <w:keepNext/>
        <w:rPr>
          <w:u w:val="single"/>
        </w:rPr>
      </w:pPr>
      <w:r w:rsidRPr="00A043FE">
        <w:lastRenderedPageBreak/>
        <w:t>4.</w:t>
      </w:r>
      <w:r w:rsidRPr="00A043FE">
        <w:tab/>
      </w:r>
      <w:r w:rsidRPr="00A043FE">
        <w:rPr>
          <w:u w:val="single"/>
        </w:rPr>
        <w:t>Situation in the technical field</w:t>
      </w:r>
    </w:p>
    <w:p w:rsidR="009555CB" w:rsidRPr="00A043FE" w:rsidRDefault="009555CB" w:rsidP="009555CB">
      <w:pPr>
        <w:keepNext/>
      </w:pPr>
    </w:p>
    <w:p w:rsidR="009555CB" w:rsidRPr="00A043FE" w:rsidRDefault="009555CB" w:rsidP="009555CB">
      <w:r w:rsidRPr="00A043FE">
        <w:t>There are several new technical elements in the new law which are not present in the existing law and breeders and variety importers will need to learn about how these new elements may impact their breeding activities and their businesses.  To assist with this, a national workshop was held in July 2022 to provide information and a forum for discussion.  A second workshop is planned for later in 2022.</w:t>
      </w:r>
    </w:p>
    <w:p w:rsidR="009555CB" w:rsidRPr="00A043FE" w:rsidRDefault="009555CB" w:rsidP="009555CB">
      <w:r w:rsidRPr="00A043FE">
        <w:t xml:space="preserve"> </w:t>
      </w:r>
    </w:p>
    <w:p w:rsidR="009555CB" w:rsidRPr="00A043FE" w:rsidRDefault="009555CB" w:rsidP="009555CB">
      <w:pPr>
        <w:rPr>
          <w:rFonts w:cs="Arial"/>
        </w:rPr>
      </w:pPr>
      <w:r w:rsidRPr="00A043FE">
        <w:rPr>
          <w:rFonts w:cs="Arial"/>
        </w:rPr>
        <w:t>The New Zealand agricultural system is based on an all-year, outdoor grazing system providing a steady number of applications for varieties of Brassica (</w:t>
      </w:r>
      <w:r w:rsidRPr="00A043FE">
        <w:rPr>
          <w:rFonts w:cs="Arial"/>
          <w:i/>
          <w:iCs/>
        </w:rPr>
        <w:t xml:space="preserve">Brassica rapa </w:t>
      </w:r>
      <w:r w:rsidRPr="00A043FE">
        <w:rPr>
          <w:rFonts w:cs="Arial"/>
        </w:rPr>
        <w:t>L</w:t>
      </w:r>
      <w:r w:rsidRPr="00A043FE">
        <w:rPr>
          <w:rFonts w:cs="Arial"/>
          <w:i/>
          <w:iCs/>
        </w:rPr>
        <w:t>.</w:t>
      </w:r>
      <w:r w:rsidRPr="00A043FE">
        <w:rPr>
          <w:rFonts w:cs="Arial"/>
        </w:rPr>
        <w:t xml:space="preserve">, </w:t>
      </w:r>
      <w:r w:rsidRPr="00A043FE">
        <w:rPr>
          <w:rFonts w:cs="Arial"/>
          <w:i/>
          <w:iCs/>
        </w:rPr>
        <w:t xml:space="preserve">Brassica napus </w:t>
      </w:r>
      <w:r w:rsidRPr="00A043FE">
        <w:rPr>
          <w:rFonts w:cs="Arial"/>
        </w:rPr>
        <w:t>L</w:t>
      </w:r>
      <w:r w:rsidRPr="00A043FE">
        <w:rPr>
          <w:rFonts w:cs="Arial"/>
          <w:i/>
          <w:iCs/>
        </w:rPr>
        <w:t>.</w:t>
      </w:r>
      <w:r w:rsidRPr="00A043FE">
        <w:rPr>
          <w:rFonts w:cs="Arial"/>
        </w:rPr>
        <w:t xml:space="preserve">, and </w:t>
      </w:r>
      <w:r w:rsidRPr="00A043FE">
        <w:rPr>
          <w:rFonts w:cs="Arial"/>
          <w:i/>
          <w:iCs/>
        </w:rPr>
        <w:t xml:space="preserve">Brassica oleracea </w:t>
      </w:r>
      <w:r w:rsidRPr="00A043FE">
        <w:rPr>
          <w:rFonts w:cs="Arial"/>
        </w:rPr>
        <w:t>L</w:t>
      </w:r>
      <w:r w:rsidRPr="00A043FE">
        <w:rPr>
          <w:rFonts w:cs="Arial"/>
          <w:i/>
          <w:iCs/>
        </w:rPr>
        <w:t>.</w:t>
      </w:r>
      <w:r w:rsidRPr="00A043FE">
        <w:rPr>
          <w:rFonts w:cs="Arial"/>
        </w:rPr>
        <w:t>) and radish (</w:t>
      </w:r>
      <w:r w:rsidRPr="00A043FE">
        <w:rPr>
          <w:rFonts w:cs="Arial"/>
          <w:i/>
          <w:iCs/>
        </w:rPr>
        <w:t xml:space="preserve">Raphanus sativus </w:t>
      </w:r>
      <w:r w:rsidRPr="00A043FE">
        <w:rPr>
          <w:rFonts w:cs="Arial"/>
        </w:rPr>
        <w:t>L.) as forage crops. The drive to reduce greenhouse gas emissions from livestock seems to be increasing the interest in other species such as plantain (</w:t>
      </w:r>
      <w:r w:rsidRPr="00A043FE">
        <w:rPr>
          <w:rFonts w:cs="Arial"/>
          <w:i/>
          <w:iCs/>
        </w:rPr>
        <w:t xml:space="preserve">Plantago lanceolata </w:t>
      </w:r>
      <w:r w:rsidRPr="00A043FE">
        <w:rPr>
          <w:rFonts w:cs="Arial"/>
        </w:rPr>
        <w:t>L.) and chicory (</w:t>
      </w:r>
      <w:r w:rsidRPr="00A043FE">
        <w:rPr>
          <w:rFonts w:cs="Arial"/>
          <w:i/>
          <w:iCs/>
        </w:rPr>
        <w:t>Cichorium</w:t>
      </w:r>
      <w:r w:rsidRPr="00A043FE">
        <w:rPr>
          <w:rFonts w:cs="Arial"/>
        </w:rPr>
        <w:t xml:space="preserve">), which are claimed to provide reduced greenhouse gas production in animals. The species range is increasing for forage varieties tested and examined in New Zealand, including several varieties of </w:t>
      </w:r>
      <w:r w:rsidRPr="00A043FE">
        <w:rPr>
          <w:rFonts w:cs="Arial"/>
          <w:i/>
          <w:iCs/>
        </w:rPr>
        <w:t xml:space="preserve">Plantago lanceolata </w:t>
      </w:r>
      <w:r w:rsidRPr="00A043FE">
        <w:rPr>
          <w:rFonts w:cs="Arial"/>
        </w:rPr>
        <w:t xml:space="preserve">L. tested using the national test guideline and granted Rights.   </w:t>
      </w:r>
    </w:p>
    <w:p w:rsidR="009555CB" w:rsidRPr="00A043FE" w:rsidRDefault="009555CB" w:rsidP="009555CB"/>
    <w:p w:rsidR="009555CB" w:rsidRPr="00A043FE" w:rsidRDefault="009555CB" w:rsidP="009555CB">
      <w:r w:rsidRPr="00A043FE">
        <w:t>UPOV Test Guidelines remain important for forage species however adaptation is required for national use because the test guidelines are not primarily drafted for testing forage varieties. Examples are the revision of the kale (</w:t>
      </w:r>
      <w:r w:rsidRPr="00A043FE">
        <w:rPr>
          <w:i/>
          <w:iCs/>
        </w:rPr>
        <w:t xml:space="preserve">Brassica oleracea </w:t>
      </w:r>
      <w:r w:rsidRPr="00A043FE">
        <w:t>L.) test guideline, underway in the TWV, and revision of the oil seed rape (</w:t>
      </w:r>
      <w:r w:rsidRPr="00A043FE">
        <w:rPr>
          <w:i/>
          <w:iCs/>
        </w:rPr>
        <w:t xml:space="preserve">Brassica napus </w:t>
      </w:r>
      <w:r w:rsidRPr="00A043FE">
        <w:t xml:space="preserve">L.) test guideline in the TWA. Several leaf characteristics have been proposed to be removed from the oil seed rape test guideline, however the characteristics will continue to be included in the national oil seed rape test guideline because of usefulness for testing varieties for forage.  </w:t>
      </w:r>
    </w:p>
    <w:p w:rsidR="009555CB" w:rsidRPr="00A043FE" w:rsidRDefault="009555CB" w:rsidP="009555CB"/>
    <w:p w:rsidR="009555CB" w:rsidRPr="00A043FE" w:rsidRDefault="009555CB" w:rsidP="009555CB">
      <w:r w:rsidRPr="00A043FE">
        <w:t xml:space="preserve">The availability of plant material for DUS testing continues to provide a range of difficulties and challenges. For certain species it is now increasingly difficult to source older varieties of common knowledge and for varieties which are commercialised under marketing models with no retail access to plant material. There appears to be an increasing unwillingness to make plant material available even for official purposes. This situation requires on going management by the Plant variety Rights Office and the maintenance of communication between all parties concerned.  </w:t>
      </w:r>
    </w:p>
    <w:p w:rsidR="009555CB" w:rsidRPr="00A043FE" w:rsidRDefault="009555CB" w:rsidP="009555CB"/>
    <w:p w:rsidR="009555CB" w:rsidRPr="00A043FE" w:rsidRDefault="009555CB" w:rsidP="009555CB"/>
    <w:p w:rsidR="009555CB" w:rsidRPr="009555CB" w:rsidRDefault="009555CB" w:rsidP="009555CB">
      <w:pPr>
        <w:rPr>
          <w:u w:val="single"/>
        </w:rPr>
      </w:pPr>
      <w:r w:rsidRPr="00A043FE">
        <w:t>5.</w:t>
      </w:r>
      <w:r w:rsidRPr="00A043FE">
        <w:tab/>
      </w:r>
      <w:r w:rsidRPr="009555CB">
        <w:rPr>
          <w:u w:val="single"/>
        </w:rPr>
        <w:t>Activities for the promotion of plant variety protection</w:t>
      </w:r>
    </w:p>
    <w:p w:rsidR="009555CB" w:rsidRPr="00A043FE" w:rsidRDefault="009555CB" w:rsidP="009555CB"/>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242"/>
        <w:gridCol w:w="1021"/>
        <w:gridCol w:w="964"/>
        <w:gridCol w:w="1276"/>
        <w:gridCol w:w="1417"/>
        <w:gridCol w:w="2126"/>
        <w:gridCol w:w="1730"/>
      </w:tblGrid>
      <w:tr w:rsidR="009555CB" w:rsidRPr="00A043FE" w:rsidTr="00647E67">
        <w:tc>
          <w:tcPr>
            <w:tcW w:w="1242" w:type="dxa"/>
            <w:shd w:val="clear" w:color="auto" w:fill="auto"/>
          </w:tcPr>
          <w:p w:rsidR="009555CB" w:rsidRPr="009555CB" w:rsidRDefault="009555CB" w:rsidP="00647E67">
            <w:pPr>
              <w:jc w:val="left"/>
              <w:rPr>
                <w:sz w:val="16"/>
              </w:rPr>
            </w:pPr>
            <w:r w:rsidRPr="009555CB">
              <w:rPr>
                <w:sz w:val="16"/>
              </w:rPr>
              <w:t>Title of activity</w:t>
            </w:r>
          </w:p>
        </w:tc>
        <w:tc>
          <w:tcPr>
            <w:tcW w:w="1021" w:type="dxa"/>
            <w:shd w:val="clear" w:color="auto" w:fill="auto"/>
          </w:tcPr>
          <w:p w:rsidR="009555CB" w:rsidRPr="009555CB" w:rsidRDefault="009555CB" w:rsidP="00647E67">
            <w:pPr>
              <w:jc w:val="left"/>
              <w:rPr>
                <w:sz w:val="16"/>
              </w:rPr>
            </w:pPr>
            <w:r w:rsidRPr="009555CB">
              <w:rPr>
                <w:sz w:val="16"/>
              </w:rPr>
              <w:t>Date</w:t>
            </w:r>
          </w:p>
        </w:tc>
        <w:tc>
          <w:tcPr>
            <w:tcW w:w="964" w:type="dxa"/>
            <w:shd w:val="clear" w:color="auto" w:fill="auto"/>
          </w:tcPr>
          <w:p w:rsidR="009555CB" w:rsidRPr="009555CB" w:rsidRDefault="009555CB" w:rsidP="00647E67">
            <w:pPr>
              <w:jc w:val="left"/>
              <w:rPr>
                <w:sz w:val="16"/>
              </w:rPr>
            </w:pPr>
            <w:r w:rsidRPr="009555CB">
              <w:rPr>
                <w:sz w:val="16"/>
              </w:rPr>
              <w:t>Location</w:t>
            </w:r>
          </w:p>
        </w:tc>
        <w:tc>
          <w:tcPr>
            <w:tcW w:w="1276" w:type="dxa"/>
            <w:shd w:val="clear" w:color="auto" w:fill="auto"/>
          </w:tcPr>
          <w:p w:rsidR="009555CB" w:rsidRPr="009555CB" w:rsidRDefault="009555CB" w:rsidP="00647E67">
            <w:pPr>
              <w:jc w:val="left"/>
              <w:rPr>
                <w:sz w:val="16"/>
              </w:rPr>
            </w:pPr>
            <w:r w:rsidRPr="009555CB">
              <w:rPr>
                <w:sz w:val="16"/>
              </w:rPr>
              <w:t>Organizer(s)</w:t>
            </w:r>
          </w:p>
        </w:tc>
        <w:tc>
          <w:tcPr>
            <w:tcW w:w="1417" w:type="dxa"/>
            <w:shd w:val="clear" w:color="auto" w:fill="auto"/>
          </w:tcPr>
          <w:p w:rsidR="009555CB" w:rsidRPr="009555CB" w:rsidRDefault="009555CB" w:rsidP="00647E67">
            <w:pPr>
              <w:jc w:val="left"/>
              <w:rPr>
                <w:sz w:val="16"/>
              </w:rPr>
            </w:pPr>
            <w:r w:rsidRPr="009555CB">
              <w:rPr>
                <w:sz w:val="16"/>
              </w:rPr>
              <w:t>Purpose of activity</w:t>
            </w:r>
          </w:p>
        </w:tc>
        <w:tc>
          <w:tcPr>
            <w:tcW w:w="2126" w:type="dxa"/>
            <w:shd w:val="clear" w:color="auto" w:fill="auto"/>
          </w:tcPr>
          <w:p w:rsidR="009555CB" w:rsidRPr="009555CB" w:rsidRDefault="009555CB" w:rsidP="00647E67">
            <w:pPr>
              <w:jc w:val="left"/>
              <w:rPr>
                <w:sz w:val="16"/>
              </w:rPr>
            </w:pPr>
            <w:r w:rsidRPr="009555CB">
              <w:rPr>
                <w:sz w:val="16"/>
              </w:rPr>
              <w:t>Participating countries/ organizations (number of participants from each)</w:t>
            </w:r>
          </w:p>
        </w:tc>
        <w:tc>
          <w:tcPr>
            <w:tcW w:w="1730" w:type="dxa"/>
            <w:shd w:val="clear" w:color="auto" w:fill="auto"/>
          </w:tcPr>
          <w:p w:rsidR="009555CB" w:rsidRPr="009555CB" w:rsidRDefault="009555CB" w:rsidP="00647E67">
            <w:pPr>
              <w:jc w:val="left"/>
              <w:rPr>
                <w:sz w:val="16"/>
              </w:rPr>
            </w:pPr>
            <w:r w:rsidRPr="009555CB">
              <w:rPr>
                <w:sz w:val="16"/>
              </w:rPr>
              <w:t>Comments</w:t>
            </w:r>
          </w:p>
        </w:tc>
      </w:tr>
      <w:tr w:rsidR="009555CB" w:rsidRPr="00A043FE" w:rsidTr="00647E67">
        <w:tc>
          <w:tcPr>
            <w:tcW w:w="1242" w:type="dxa"/>
            <w:shd w:val="clear" w:color="auto" w:fill="auto"/>
          </w:tcPr>
          <w:p w:rsidR="009555CB" w:rsidRPr="009555CB" w:rsidRDefault="009555CB" w:rsidP="00647E67">
            <w:pPr>
              <w:jc w:val="left"/>
              <w:rPr>
                <w:sz w:val="16"/>
              </w:rPr>
            </w:pPr>
            <w:r w:rsidRPr="009555CB">
              <w:rPr>
                <w:sz w:val="16"/>
              </w:rPr>
              <w:t>RCEP forum on Intellectual Property (IP) Protection in the Seed Industry</w:t>
            </w:r>
          </w:p>
          <w:p w:rsidR="009555CB" w:rsidRPr="009555CB" w:rsidRDefault="009555CB" w:rsidP="00647E67">
            <w:pPr>
              <w:jc w:val="left"/>
              <w:rPr>
                <w:sz w:val="16"/>
              </w:rPr>
            </w:pPr>
          </w:p>
        </w:tc>
        <w:tc>
          <w:tcPr>
            <w:tcW w:w="1021" w:type="dxa"/>
            <w:shd w:val="clear" w:color="auto" w:fill="auto"/>
          </w:tcPr>
          <w:p w:rsidR="009555CB" w:rsidRPr="009555CB" w:rsidRDefault="009555CB" w:rsidP="00647E67">
            <w:pPr>
              <w:jc w:val="left"/>
              <w:rPr>
                <w:sz w:val="16"/>
              </w:rPr>
            </w:pPr>
            <w:r w:rsidRPr="009555CB">
              <w:rPr>
                <w:sz w:val="16"/>
              </w:rPr>
              <w:t>2 June 2022</w:t>
            </w:r>
          </w:p>
        </w:tc>
        <w:tc>
          <w:tcPr>
            <w:tcW w:w="964" w:type="dxa"/>
            <w:shd w:val="clear" w:color="auto" w:fill="auto"/>
          </w:tcPr>
          <w:p w:rsidR="009555CB" w:rsidRPr="009555CB" w:rsidRDefault="009555CB" w:rsidP="00647E67">
            <w:pPr>
              <w:jc w:val="left"/>
              <w:rPr>
                <w:sz w:val="16"/>
              </w:rPr>
            </w:pPr>
            <w:r w:rsidRPr="009555CB">
              <w:rPr>
                <w:sz w:val="16"/>
              </w:rPr>
              <w:t xml:space="preserve">Hainan, China </w:t>
            </w:r>
            <w:r w:rsidRPr="009555CB">
              <w:rPr>
                <w:sz w:val="16"/>
              </w:rPr>
              <w:br/>
              <w:t>and virtual</w:t>
            </w:r>
          </w:p>
        </w:tc>
        <w:tc>
          <w:tcPr>
            <w:tcW w:w="1276" w:type="dxa"/>
            <w:shd w:val="clear" w:color="auto" w:fill="auto"/>
          </w:tcPr>
          <w:p w:rsidR="009555CB" w:rsidRPr="009555CB" w:rsidRDefault="009555CB" w:rsidP="00647E67">
            <w:pPr>
              <w:jc w:val="left"/>
              <w:rPr>
                <w:sz w:val="16"/>
              </w:rPr>
            </w:pPr>
            <w:r w:rsidRPr="009555CB">
              <w:rPr>
                <w:sz w:val="16"/>
              </w:rPr>
              <w:t>Asia Pacific Seed Alliance (APSA), Association of South East Asian Nations (ASEAN) and China National Seed Trade Association</w:t>
            </w:r>
          </w:p>
        </w:tc>
        <w:tc>
          <w:tcPr>
            <w:tcW w:w="1417" w:type="dxa"/>
            <w:shd w:val="clear" w:color="auto" w:fill="auto"/>
          </w:tcPr>
          <w:p w:rsidR="009555CB" w:rsidRPr="009555CB" w:rsidRDefault="009555CB" w:rsidP="00647E67">
            <w:pPr>
              <w:jc w:val="left"/>
              <w:rPr>
                <w:sz w:val="16"/>
              </w:rPr>
            </w:pPr>
            <w:r w:rsidRPr="009555CB">
              <w:rPr>
                <w:sz w:val="16"/>
              </w:rPr>
              <w:t>Scope of Intellectual Property under RCEP. Exchange of experiences, current practices and increasing cooperation.</w:t>
            </w:r>
          </w:p>
        </w:tc>
        <w:tc>
          <w:tcPr>
            <w:tcW w:w="2126" w:type="dxa"/>
            <w:shd w:val="clear" w:color="auto" w:fill="auto"/>
          </w:tcPr>
          <w:p w:rsidR="009555CB" w:rsidRPr="009555CB" w:rsidRDefault="009555CB" w:rsidP="00647E67">
            <w:pPr>
              <w:jc w:val="left"/>
              <w:rPr>
                <w:sz w:val="16"/>
              </w:rPr>
            </w:pPr>
            <w:r w:rsidRPr="009555CB">
              <w:rPr>
                <w:sz w:val="16"/>
              </w:rPr>
              <w:t>APSA and China National Seed Trade Association members.</w:t>
            </w:r>
          </w:p>
          <w:p w:rsidR="009555CB" w:rsidRPr="009555CB" w:rsidRDefault="009555CB" w:rsidP="00647E67">
            <w:pPr>
              <w:jc w:val="left"/>
              <w:rPr>
                <w:sz w:val="16"/>
              </w:rPr>
            </w:pPr>
            <w:r w:rsidRPr="009555CB">
              <w:rPr>
                <w:sz w:val="16"/>
              </w:rPr>
              <w:t>ASEAN states plus China, Japan, Australia, New Zealand</w:t>
            </w:r>
          </w:p>
          <w:p w:rsidR="009555CB" w:rsidRPr="009555CB" w:rsidRDefault="009555CB" w:rsidP="00647E67">
            <w:pPr>
              <w:jc w:val="left"/>
              <w:rPr>
                <w:sz w:val="16"/>
              </w:rPr>
            </w:pPr>
            <w:r w:rsidRPr="009555CB">
              <w:rPr>
                <w:sz w:val="16"/>
              </w:rPr>
              <w:t>UPOV</w:t>
            </w:r>
          </w:p>
          <w:p w:rsidR="009555CB" w:rsidRPr="009555CB" w:rsidRDefault="009555CB" w:rsidP="00647E67">
            <w:pPr>
              <w:jc w:val="left"/>
              <w:rPr>
                <w:sz w:val="16"/>
              </w:rPr>
            </w:pPr>
            <w:r w:rsidRPr="009555CB">
              <w:rPr>
                <w:sz w:val="16"/>
              </w:rPr>
              <w:t xml:space="preserve">Private Patent Attorneys </w:t>
            </w:r>
          </w:p>
        </w:tc>
        <w:tc>
          <w:tcPr>
            <w:tcW w:w="1730" w:type="dxa"/>
            <w:shd w:val="clear" w:color="auto" w:fill="auto"/>
          </w:tcPr>
          <w:p w:rsidR="009555CB" w:rsidRPr="009555CB" w:rsidRDefault="009555CB" w:rsidP="00647E67">
            <w:pPr>
              <w:jc w:val="left"/>
              <w:rPr>
                <w:sz w:val="16"/>
              </w:rPr>
            </w:pPr>
            <w:r w:rsidRPr="009555CB">
              <w:rPr>
                <w:sz w:val="16"/>
              </w:rPr>
              <w:t>The forum was both in person and virtual</w:t>
            </w:r>
          </w:p>
        </w:tc>
      </w:tr>
      <w:tr w:rsidR="009555CB" w:rsidRPr="00A043FE" w:rsidTr="00647E67">
        <w:tc>
          <w:tcPr>
            <w:tcW w:w="1242" w:type="dxa"/>
            <w:shd w:val="clear" w:color="auto" w:fill="auto"/>
          </w:tcPr>
          <w:p w:rsidR="009555CB" w:rsidRPr="009555CB" w:rsidRDefault="009555CB" w:rsidP="00647E67">
            <w:pPr>
              <w:jc w:val="left"/>
              <w:rPr>
                <w:sz w:val="16"/>
              </w:rPr>
            </w:pPr>
            <w:r w:rsidRPr="009555CB">
              <w:rPr>
                <w:sz w:val="16"/>
              </w:rPr>
              <w:t>Korea Seed and variety Service (KSVS) seminar on the use of image analysis in DUS Testing</w:t>
            </w:r>
          </w:p>
          <w:p w:rsidR="009555CB" w:rsidRPr="009555CB" w:rsidRDefault="009555CB" w:rsidP="00647E67">
            <w:pPr>
              <w:jc w:val="left"/>
              <w:rPr>
                <w:sz w:val="16"/>
              </w:rPr>
            </w:pPr>
          </w:p>
        </w:tc>
        <w:tc>
          <w:tcPr>
            <w:tcW w:w="1021" w:type="dxa"/>
            <w:shd w:val="clear" w:color="auto" w:fill="auto"/>
          </w:tcPr>
          <w:p w:rsidR="009555CB" w:rsidRPr="009555CB" w:rsidRDefault="009555CB" w:rsidP="00647E67">
            <w:pPr>
              <w:jc w:val="left"/>
              <w:rPr>
                <w:sz w:val="16"/>
              </w:rPr>
            </w:pPr>
            <w:r w:rsidRPr="009555CB">
              <w:rPr>
                <w:sz w:val="16"/>
              </w:rPr>
              <w:t>2 December 2021</w:t>
            </w:r>
          </w:p>
        </w:tc>
        <w:tc>
          <w:tcPr>
            <w:tcW w:w="964" w:type="dxa"/>
            <w:shd w:val="clear" w:color="auto" w:fill="auto"/>
          </w:tcPr>
          <w:p w:rsidR="009555CB" w:rsidRPr="009555CB" w:rsidRDefault="009555CB" w:rsidP="00647E67">
            <w:pPr>
              <w:jc w:val="left"/>
              <w:rPr>
                <w:sz w:val="16"/>
              </w:rPr>
            </w:pPr>
            <w:r w:rsidRPr="009555CB">
              <w:rPr>
                <w:sz w:val="16"/>
              </w:rPr>
              <w:t>Seoul, Republic of Korea and virtual</w:t>
            </w:r>
          </w:p>
        </w:tc>
        <w:tc>
          <w:tcPr>
            <w:tcW w:w="1276" w:type="dxa"/>
            <w:shd w:val="clear" w:color="auto" w:fill="auto"/>
          </w:tcPr>
          <w:p w:rsidR="009555CB" w:rsidRPr="009555CB" w:rsidRDefault="009555CB" w:rsidP="00647E67">
            <w:pPr>
              <w:jc w:val="left"/>
              <w:rPr>
                <w:sz w:val="16"/>
              </w:rPr>
            </w:pPr>
            <w:r w:rsidRPr="009555CB">
              <w:rPr>
                <w:sz w:val="16"/>
              </w:rPr>
              <w:t>Korea Seed and variety Service (KSVS)</w:t>
            </w:r>
          </w:p>
        </w:tc>
        <w:tc>
          <w:tcPr>
            <w:tcW w:w="1417" w:type="dxa"/>
            <w:shd w:val="clear" w:color="auto" w:fill="auto"/>
          </w:tcPr>
          <w:p w:rsidR="009555CB" w:rsidRPr="009555CB" w:rsidRDefault="009555CB" w:rsidP="00647E67">
            <w:pPr>
              <w:jc w:val="left"/>
              <w:rPr>
                <w:sz w:val="16"/>
              </w:rPr>
            </w:pPr>
            <w:r w:rsidRPr="009555CB">
              <w:rPr>
                <w:sz w:val="16"/>
              </w:rPr>
              <w:t>Workshop on use of image analysis for DUS testing</w:t>
            </w:r>
          </w:p>
        </w:tc>
        <w:tc>
          <w:tcPr>
            <w:tcW w:w="2126" w:type="dxa"/>
            <w:shd w:val="clear" w:color="auto" w:fill="auto"/>
          </w:tcPr>
          <w:p w:rsidR="009555CB" w:rsidRPr="009555CB" w:rsidRDefault="009555CB" w:rsidP="00647E67">
            <w:pPr>
              <w:jc w:val="left"/>
              <w:rPr>
                <w:sz w:val="16"/>
              </w:rPr>
            </w:pPr>
            <w:r w:rsidRPr="009555CB">
              <w:rPr>
                <w:sz w:val="16"/>
              </w:rPr>
              <w:t>Republic of Korea, UPOV and East Asia Plant variety Protection forum</w:t>
            </w:r>
          </w:p>
        </w:tc>
        <w:tc>
          <w:tcPr>
            <w:tcW w:w="1730" w:type="dxa"/>
            <w:shd w:val="clear" w:color="auto" w:fill="auto"/>
          </w:tcPr>
          <w:p w:rsidR="009555CB" w:rsidRPr="009555CB" w:rsidRDefault="009555CB" w:rsidP="00647E67">
            <w:pPr>
              <w:jc w:val="left"/>
              <w:rPr>
                <w:sz w:val="16"/>
              </w:rPr>
            </w:pPr>
            <w:r w:rsidRPr="009555CB">
              <w:rPr>
                <w:sz w:val="16"/>
              </w:rPr>
              <w:t>New Zealand provided an expert for the panel discussion</w:t>
            </w:r>
          </w:p>
          <w:p w:rsidR="009555CB" w:rsidRPr="009555CB" w:rsidRDefault="009555CB" w:rsidP="00647E67">
            <w:pPr>
              <w:jc w:val="left"/>
              <w:rPr>
                <w:sz w:val="16"/>
              </w:rPr>
            </w:pPr>
            <w:r w:rsidRPr="009555CB">
              <w:rPr>
                <w:sz w:val="16"/>
              </w:rPr>
              <w:t>In person and virtual format</w:t>
            </w:r>
          </w:p>
        </w:tc>
      </w:tr>
    </w:tbl>
    <w:p w:rsidR="009555CB" w:rsidRPr="00A043FE" w:rsidRDefault="009555CB" w:rsidP="009555CB"/>
    <w:p w:rsidR="009555CB" w:rsidRPr="00A043FE" w:rsidRDefault="009555CB" w:rsidP="009555CB"/>
    <w:p w:rsidR="003C641A" w:rsidRPr="00AA2FEE" w:rsidRDefault="003C641A" w:rsidP="003C641A"/>
    <w:p w:rsidR="000362AD" w:rsidRPr="00AA2FEE" w:rsidRDefault="000362AD" w:rsidP="000362AD">
      <w:pPr>
        <w:jc w:val="right"/>
      </w:pPr>
      <w:r w:rsidRPr="00AA2FEE">
        <w:t xml:space="preserve">[Annex </w:t>
      </w:r>
      <w:r w:rsidR="0075382F" w:rsidRPr="00AA2FEE">
        <w:t>X</w:t>
      </w:r>
      <w:r w:rsidRPr="00AA2FEE">
        <w:t>I</w:t>
      </w:r>
      <w:r w:rsidR="0061294D" w:rsidRPr="00AA2FEE">
        <w:t>I</w:t>
      </w:r>
      <w:r w:rsidRPr="00AA2FEE">
        <w:t xml:space="preserve"> follows]</w:t>
      </w:r>
    </w:p>
    <w:p w:rsidR="000362AD" w:rsidRPr="00AA2FEE" w:rsidRDefault="000362AD" w:rsidP="000362AD"/>
    <w:p w:rsidR="000362AD" w:rsidRPr="00AA2FEE" w:rsidRDefault="000362AD" w:rsidP="000362AD">
      <w:pPr>
        <w:jc w:val="left"/>
        <w:sectPr w:rsidR="000362AD" w:rsidRPr="00AA2FEE" w:rsidSect="0049108C">
          <w:headerReference w:type="default" r:id="rId30"/>
          <w:pgSz w:w="11907" w:h="16840" w:code="9"/>
          <w:pgMar w:top="510" w:right="1134" w:bottom="1134" w:left="1134" w:header="510" w:footer="680" w:gutter="0"/>
          <w:pgNumType w:start="1"/>
          <w:cols w:space="720"/>
          <w:titlePg/>
        </w:sectPr>
      </w:pPr>
    </w:p>
    <w:p w:rsidR="000362AD" w:rsidRPr="00AA2FEE" w:rsidRDefault="005A5958" w:rsidP="000362AD">
      <w:pPr>
        <w:jc w:val="center"/>
      </w:pPr>
      <w:r w:rsidRPr="00AA2FEE">
        <w:lastRenderedPageBreak/>
        <w:t>C/56</w:t>
      </w:r>
      <w:r w:rsidR="000362AD" w:rsidRPr="00AA2FEE">
        <w:t>/INF/4</w:t>
      </w:r>
    </w:p>
    <w:p w:rsidR="000362AD" w:rsidRPr="00AA2FEE" w:rsidRDefault="000362AD" w:rsidP="000362AD">
      <w:pPr>
        <w:jc w:val="center"/>
      </w:pPr>
    </w:p>
    <w:p w:rsidR="000362AD" w:rsidRPr="00AA2FEE" w:rsidRDefault="000362AD" w:rsidP="000362AD">
      <w:pPr>
        <w:jc w:val="center"/>
      </w:pPr>
      <w:r w:rsidRPr="00AA2FEE">
        <w:t xml:space="preserve">ANNEX </w:t>
      </w:r>
      <w:r w:rsidR="0075382F" w:rsidRPr="00AA2FEE">
        <w:t>X</w:t>
      </w:r>
      <w:r w:rsidRPr="00AA2FEE">
        <w:t>I</w:t>
      </w:r>
      <w:r w:rsidR="0061294D" w:rsidRPr="00AA2FEE">
        <w:t>I</w:t>
      </w:r>
    </w:p>
    <w:p w:rsidR="000362AD" w:rsidRPr="00AA2FEE" w:rsidRDefault="000362AD" w:rsidP="000362AD">
      <w:pPr>
        <w:jc w:val="center"/>
      </w:pPr>
    </w:p>
    <w:p w:rsidR="000362AD" w:rsidRPr="00AA2FEE" w:rsidRDefault="000362AD" w:rsidP="000362AD">
      <w:pPr>
        <w:jc w:val="center"/>
      </w:pPr>
    </w:p>
    <w:p w:rsidR="003C641A" w:rsidRPr="00AA2FEE" w:rsidRDefault="003C641A" w:rsidP="003C641A">
      <w:pPr>
        <w:jc w:val="center"/>
      </w:pPr>
      <w:r w:rsidRPr="00AA2FEE">
        <w:t>POLAND</w:t>
      </w:r>
    </w:p>
    <w:p w:rsidR="009555CB" w:rsidRPr="00487C9F" w:rsidRDefault="009555CB" w:rsidP="009555CB">
      <w:pPr>
        <w:tabs>
          <w:tab w:val="left" w:pos="4962"/>
        </w:tabs>
        <w:jc w:val="center"/>
        <w:rPr>
          <w:rFonts w:cs="Arial"/>
        </w:rPr>
      </w:pPr>
      <w:r w:rsidRPr="00487C9F">
        <w:rPr>
          <w:rFonts w:cs="Arial"/>
        </w:rPr>
        <w:t>Period: September 1, 2021 – August 29, 2022</w:t>
      </w:r>
    </w:p>
    <w:p w:rsidR="009555CB" w:rsidRPr="00A043FE" w:rsidRDefault="009555CB" w:rsidP="009555CB">
      <w:pPr>
        <w:tabs>
          <w:tab w:val="left" w:pos="4962"/>
        </w:tabs>
        <w:jc w:val="center"/>
        <w:rPr>
          <w:rFonts w:cs="Arial"/>
          <w:sz w:val="22"/>
        </w:rPr>
      </w:pPr>
    </w:p>
    <w:p w:rsidR="009555CB" w:rsidRPr="00A043FE" w:rsidRDefault="009555CB" w:rsidP="009555CB">
      <w:pPr>
        <w:tabs>
          <w:tab w:val="left" w:pos="4962"/>
        </w:tabs>
        <w:jc w:val="center"/>
        <w:rPr>
          <w:rFonts w:cs="Arial"/>
          <w:sz w:val="22"/>
        </w:rPr>
      </w:pPr>
    </w:p>
    <w:p w:rsidR="009555CB" w:rsidRPr="00A043FE" w:rsidRDefault="009555CB" w:rsidP="009555CB">
      <w:pPr>
        <w:rPr>
          <w:rFonts w:cs="Arial"/>
        </w:rPr>
      </w:pPr>
      <w:r w:rsidRPr="00A043FE">
        <w:rPr>
          <w:rFonts w:cs="Arial"/>
        </w:rPr>
        <w:t>I.</w:t>
      </w:r>
      <w:r w:rsidRPr="00A043FE">
        <w:rPr>
          <w:rFonts w:cs="Arial"/>
        </w:rPr>
        <w:tab/>
        <w:t>PLANT VARIETY PROTECTION</w:t>
      </w:r>
    </w:p>
    <w:p w:rsidR="009555CB" w:rsidRPr="00A043FE" w:rsidRDefault="009555CB" w:rsidP="009555CB">
      <w:pPr>
        <w:rPr>
          <w:rFonts w:cs="Arial"/>
          <w:u w:val="single"/>
        </w:rPr>
      </w:pPr>
    </w:p>
    <w:p w:rsidR="009555CB" w:rsidRPr="00A043FE" w:rsidRDefault="009555CB" w:rsidP="009555CB">
      <w:pPr>
        <w:rPr>
          <w:rFonts w:cs="Arial"/>
          <w:u w:val="single"/>
        </w:rPr>
      </w:pPr>
      <w:r w:rsidRPr="00A043FE">
        <w:rPr>
          <w:rFonts w:cs="Arial"/>
        </w:rPr>
        <w:t>1.</w:t>
      </w:r>
      <w:r w:rsidRPr="00A043FE">
        <w:rPr>
          <w:rFonts w:cs="Arial"/>
        </w:rPr>
        <w:tab/>
      </w:r>
      <w:r w:rsidRPr="00A043FE">
        <w:rPr>
          <w:rFonts w:cs="Arial"/>
          <w:u w:val="single"/>
        </w:rPr>
        <w:t>Situation in the legislative field</w:t>
      </w:r>
    </w:p>
    <w:p w:rsidR="009555CB" w:rsidRPr="00A043FE" w:rsidRDefault="009555CB" w:rsidP="009555CB">
      <w:pPr>
        <w:rPr>
          <w:rFonts w:cs="Arial"/>
        </w:rPr>
      </w:pPr>
    </w:p>
    <w:p w:rsidR="009555CB" w:rsidRPr="00A043FE" w:rsidRDefault="009555CB" w:rsidP="009555CB">
      <w:pPr>
        <w:rPr>
          <w:rFonts w:cs="Arial"/>
        </w:rPr>
      </w:pPr>
      <w:r w:rsidRPr="00A043FE">
        <w:rPr>
          <w:rFonts w:cs="Arial"/>
        </w:rPr>
        <w:t xml:space="preserve">The Act of June 26, 2003 on the Legal Protection of Plant varieties (consolidated text: OJ of 2021 item 213) constitutes the legal basis for the national PBR protection system in Poland. </w:t>
      </w:r>
    </w:p>
    <w:p w:rsidR="009555CB" w:rsidRPr="00A043FE" w:rsidRDefault="009555CB" w:rsidP="009555CB">
      <w:pPr>
        <w:rPr>
          <w:rFonts w:cs="Arial"/>
        </w:rPr>
      </w:pPr>
    </w:p>
    <w:p w:rsidR="009555CB" w:rsidRPr="00A043FE" w:rsidRDefault="009555CB" w:rsidP="009555CB">
      <w:pPr>
        <w:rPr>
          <w:rFonts w:cs="Arial"/>
        </w:rPr>
      </w:pPr>
      <w:r w:rsidRPr="00A043FE">
        <w:rPr>
          <w:rFonts w:cs="Arial"/>
        </w:rPr>
        <w:t>The Polish plant variety protection law is based on the 1991 Act of the UPOV Convention.  Since November 1, 2000 all plant genera and species are eligible for PBR protection in Poland.</w:t>
      </w:r>
    </w:p>
    <w:p w:rsidR="009555CB" w:rsidRPr="00A043FE" w:rsidRDefault="009555CB" w:rsidP="009555CB">
      <w:pPr>
        <w:rPr>
          <w:rFonts w:cs="Arial"/>
        </w:rPr>
      </w:pPr>
    </w:p>
    <w:p w:rsidR="009555CB" w:rsidRPr="00A043FE" w:rsidRDefault="009555CB" w:rsidP="009555CB">
      <w:pPr>
        <w:rPr>
          <w:rFonts w:cs="Arial"/>
        </w:rPr>
      </w:pPr>
      <w:r w:rsidRPr="00A043FE">
        <w:rPr>
          <w:rFonts w:cs="Arial"/>
        </w:rPr>
        <w:t xml:space="preserve">In respect of the fees, the Decree of the Minister of Agriculture and Rural Development of February 17, 2004 on fee rates for the lodging an application for the Plant Breeders' Rights protection, DUS testing as well as for the granting and the maintenance of the exclusive right titles </w:t>
      </w:r>
      <w:hyperlink r:id="rId31" w:tgtFrame="_blank" w:history="1">
        <w:r w:rsidRPr="00A043FE">
          <w:rPr>
            <w:rFonts w:cs="Arial"/>
          </w:rPr>
          <w:t>(OJ No 60 of 2004, item 567</w:t>
        </w:r>
      </w:hyperlink>
      <w:r w:rsidRPr="00A043FE">
        <w:rPr>
          <w:rFonts w:cs="Arial"/>
        </w:rPr>
        <w:t xml:space="preserve">; OJ </w:t>
      </w:r>
      <w:hyperlink r:id="rId32" w:tgtFrame="_blank" w:history="1">
        <w:r w:rsidRPr="00A043FE">
          <w:rPr>
            <w:rFonts w:cs="Arial"/>
          </w:rPr>
          <w:t>of 2015, item 2166)</w:t>
        </w:r>
      </w:hyperlink>
      <w:r w:rsidRPr="00A043FE">
        <w:rPr>
          <w:rFonts w:cs="Arial"/>
        </w:rPr>
        <w:t xml:space="preserve"> is in force.</w:t>
      </w:r>
    </w:p>
    <w:p w:rsidR="009555CB" w:rsidRPr="00A043FE" w:rsidRDefault="009555CB" w:rsidP="009555CB">
      <w:pPr>
        <w:rPr>
          <w:rFonts w:cs="Arial"/>
        </w:rPr>
      </w:pPr>
    </w:p>
    <w:p w:rsidR="009555CB" w:rsidRPr="00A043FE" w:rsidRDefault="009555CB" w:rsidP="009555CB">
      <w:pPr>
        <w:rPr>
          <w:rFonts w:cs="Arial"/>
        </w:rPr>
      </w:pPr>
      <w:r w:rsidRPr="00A043FE">
        <w:rPr>
          <w:rFonts w:cs="Arial"/>
        </w:rPr>
        <w:t>Poland became the UPOV member on November 11, 1989 and acceded to the 1991 Act of the UPOV Convention as the twenty-fourth State, on August 15, 2003.</w:t>
      </w:r>
    </w:p>
    <w:p w:rsidR="009555CB" w:rsidRPr="00A043FE" w:rsidRDefault="009555CB" w:rsidP="009555CB">
      <w:pPr>
        <w:rPr>
          <w:rFonts w:cs="Arial"/>
        </w:rPr>
      </w:pPr>
    </w:p>
    <w:p w:rsidR="009555CB" w:rsidRPr="00A043FE" w:rsidRDefault="009555CB" w:rsidP="009555CB">
      <w:pPr>
        <w:rPr>
          <w:rFonts w:cs="Arial"/>
        </w:rPr>
      </w:pPr>
    </w:p>
    <w:p w:rsidR="009555CB" w:rsidRPr="00A043FE" w:rsidRDefault="009555CB" w:rsidP="009555CB">
      <w:pPr>
        <w:rPr>
          <w:rFonts w:cs="Arial"/>
          <w:u w:val="single"/>
        </w:rPr>
      </w:pPr>
      <w:r w:rsidRPr="00A043FE">
        <w:rPr>
          <w:rFonts w:cs="Arial"/>
        </w:rPr>
        <w:t>2.</w:t>
      </w:r>
      <w:r w:rsidRPr="00A043FE">
        <w:rPr>
          <w:rFonts w:cs="Arial"/>
        </w:rPr>
        <w:tab/>
      </w:r>
      <w:r w:rsidRPr="00A043FE">
        <w:rPr>
          <w:rFonts w:cs="Arial"/>
          <w:u w:val="single"/>
        </w:rPr>
        <w:t>Cooperation in examination</w:t>
      </w:r>
    </w:p>
    <w:p w:rsidR="009555CB" w:rsidRPr="00A043FE" w:rsidRDefault="009555CB" w:rsidP="009555CB">
      <w:pPr>
        <w:rPr>
          <w:rFonts w:cs="Arial"/>
          <w:highlight w:val="yellow"/>
        </w:rPr>
      </w:pPr>
    </w:p>
    <w:p w:rsidR="009555CB" w:rsidRPr="00A043FE" w:rsidRDefault="009555CB" w:rsidP="009555CB">
      <w:pPr>
        <w:rPr>
          <w:rFonts w:cs="Arial"/>
          <w:color w:val="000000"/>
        </w:rPr>
      </w:pPr>
      <w:r w:rsidRPr="00A043FE">
        <w:rPr>
          <w:rFonts w:cs="Arial"/>
          <w:color w:val="000000"/>
        </w:rPr>
        <w:t>The Research Centre for Cultivar Testing (COBORU) in Słupia Wielka continues its cooperation in the field of technical examination with different countries.</w:t>
      </w:r>
    </w:p>
    <w:p w:rsidR="009555CB" w:rsidRPr="00A043FE" w:rsidRDefault="009555CB" w:rsidP="009555CB">
      <w:pPr>
        <w:rPr>
          <w:rFonts w:cs="Arial"/>
        </w:rPr>
      </w:pPr>
    </w:p>
    <w:p w:rsidR="009555CB" w:rsidRPr="00A043FE" w:rsidRDefault="009555CB" w:rsidP="009555CB">
      <w:pPr>
        <w:rPr>
          <w:rFonts w:cs="Arial"/>
        </w:rPr>
      </w:pPr>
      <w:r w:rsidRPr="00A043FE">
        <w:rPr>
          <w:rFonts w:cs="Arial"/>
        </w:rPr>
        <w:t xml:space="preserve">We have signed bilateral agreements on DUS testing with the Czech Republic, Hungary and Slovakia.  Unilateral agreements with Estonia, Latvia, Lithuania, Romania, Slovenia and Ukraine are in force. </w:t>
      </w:r>
    </w:p>
    <w:p w:rsidR="009555CB" w:rsidRPr="00A043FE" w:rsidRDefault="009555CB" w:rsidP="009555CB">
      <w:pPr>
        <w:rPr>
          <w:rFonts w:cs="Arial"/>
          <w:color w:val="000000" w:themeColor="text1"/>
        </w:rPr>
      </w:pPr>
    </w:p>
    <w:p w:rsidR="009555CB" w:rsidRPr="00A043FE" w:rsidRDefault="009555CB" w:rsidP="009555CB">
      <w:pPr>
        <w:rPr>
          <w:rFonts w:cs="Arial"/>
          <w:color w:val="000000" w:themeColor="text1"/>
        </w:rPr>
      </w:pPr>
      <w:r w:rsidRPr="00A043FE">
        <w:rPr>
          <w:rFonts w:cs="Arial"/>
          <w:color w:val="000000" w:themeColor="text1"/>
        </w:rPr>
        <w:t>In the reporting period, Poland carried out DUS tests for the authorities from the following countries: Austria (4 varieties), Belgium (1 variety), Czech Republic (17 varieties), Estonia (17 varieties), Finland (5 varieties), France (2 varieties), Germany (2 varieties), Hungary (16 varieties), Latvia (9 varieties), Lithuania (59 varieties), Slovenia (6 varieties), Sweden (1 variety), Switzerland (20 varieties), as well as for the CPVO (116 varieties).</w:t>
      </w:r>
    </w:p>
    <w:p w:rsidR="009555CB" w:rsidRPr="00A043FE" w:rsidRDefault="009555CB" w:rsidP="009555CB">
      <w:pPr>
        <w:rPr>
          <w:rFonts w:cs="Arial"/>
          <w:color w:val="000000" w:themeColor="text1"/>
        </w:rPr>
      </w:pPr>
    </w:p>
    <w:p w:rsidR="009555CB" w:rsidRPr="00A043FE" w:rsidRDefault="009555CB" w:rsidP="009555CB">
      <w:pPr>
        <w:rPr>
          <w:rFonts w:cs="Arial"/>
          <w:color w:val="000000" w:themeColor="text1"/>
        </w:rPr>
      </w:pPr>
      <w:r w:rsidRPr="00A043FE">
        <w:rPr>
          <w:rFonts w:cs="Arial"/>
          <w:color w:val="000000" w:themeColor="text1"/>
        </w:rPr>
        <w:t xml:space="preserve">These tests were done for the different species of agricultural (119 varieties), vegetable (20 varieties), ornamental (92 varieties) and fruit (44 varieties) plants. </w:t>
      </w:r>
    </w:p>
    <w:p w:rsidR="009555CB" w:rsidRPr="00A043FE" w:rsidRDefault="009555CB" w:rsidP="009555CB">
      <w:pPr>
        <w:rPr>
          <w:rFonts w:cs="Arial"/>
          <w:color w:val="000000" w:themeColor="text1"/>
        </w:rPr>
      </w:pPr>
    </w:p>
    <w:p w:rsidR="009555CB" w:rsidRPr="00A043FE" w:rsidRDefault="009555CB" w:rsidP="009555CB">
      <w:pPr>
        <w:rPr>
          <w:rFonts w:cs="Arial"/>
          <w:color w:val="000000" w:themeColor="text1"/>
        </w:rPr>
      </w:pPr>
      <w:r w:rsidRPr="00A043FE">
        <w:rPr>
          <w:rFonts w:cs="Arial"/>
          <w:color w:val="000000" w:themeColor="text1"/>
        </w:rPr>
        <w:t>Altogether, 275 varieties were tested as a commissioned work for the above-mentioned authorities.</w:t>
      </w:r>
    </w:p>
    <w:p w:rsidR="009555CB" w:rsidRPr="00A043FE" w:rsidRDefault="009555CB" w:rsidP="009555CB">
      <w:pPr>
        <w:rPr>
          <w:rFonts w:cs="Arial"/>
        </w:rPr>
      </w:pPr>
    </w:p>
    <w:p w:rsidR="009555CB" w:rsidRPr="00A043FE" w:rsidRDefault="009555CB" w:rsidP="009555CB">
      <w:pPr>
        <w:rPr>
          <w:rFonts w:cs="Arial"/>
        </w:rPr>
      </w:pPr>
      <w:r w:rsidRPr="00A043FE">
        <w:rPr>
          <w:rFonts w:cs="Arial"/>
        </w:rPr>
        <w:t>As in previous years, some authorities, namely: Austria, Belgium, Bosnia and Herzegovina, Bulgaria, Canada, CPVO, Croatia, Czech Republic, Denmark, Estonia, Finland, France, Ireland, Latvia, Lithuania, Netherlands, Norway, Serbia, Sweden, Switzerland and United Kingdom took the technical examination results over from COBORU, in order to base their decisions for their own procedures.</w:t>
      </w:r>
    </w:p>
    <w:p w:rsidR="009555CB" w:rsidRPr="00A043FE" w:rsidRDefault="009555CB" w:rsidP="009555CB">
      <w:pPr>
        <w:rPr>
          <w:rFonts w:cs="Arial"/>
        </w:rPr>
      </w:pPr>
    </w:p>
    <w:p w:rsidR="009555CB" w:rsidRPr="00A043FE" w:rsidRDefault="009555CB" w:rsidP="009555CB">
      <w:pPr>
        <w:rPr>
          <w:rFonts w:cs="Arial"/>
        </w:rPr>
      </w:pPr>
      <w:r w:rsidRPr="00A043FE">
        <w:rPr>
          <w:rFonts w:cs="Arial"/>
        </w:rPr>
        <w:t>Poland actively participated in the work on the elaboration of the technical protocols during the meetings organized by the CPVO.</w:t>
      </w:r>
    </w:p>
    <w:p w:rsidR="009555CB" w:rsidRPr="00A043FE" w:rsidRDefault="009555CB" w:rsidP="009555CB">
      <w:pPr>
        <w:rPr>
          <w:rFonts w:cs="Arial"/>
        </w:rPr>
      </w:pPr>
    </w:p>
    <w:p w:rsidR="009555CB" w:rsidRPr="00A043FE" w:rsidRDefault="009555CB" w:rsidP="009555CB">
      <w:pPr>
        <w:rPr>
          <w:rFonts w:cs="Arial"/>
          <w:highlight w:val="yellow"/>
        </w:rPr>
      </w:pPr>
    </w:p>
    <w:p w:rsidR="009555CB" w:rsidRPr="00A043FE" w:rsidRDefault="009555CB" w:rsidP="009555CB">
      <w:pPr>
        <w:keepNext/>
        <w:rPr>
          <w:rFonts w:cs="Arial"/>
          <w:u w:val="single"/>
        </w:rPr>
      </w:pPr>
      <w:r w:rsidRPr="00A043FE">
        <w:rPr>
          <w:rFonts w:cs="Arial"/>
        </w:rPr>
        <w:t>3. and 4.</w:t>
      </w:r>
      <w:r w:rsidRPr="00A043FE">
        <w:rPr>
          <w:rFonts w:cs="Arial"/>
        </w:rPr>
        <w:tab/>
      </w:r>
      <w:r w:rsidRPr="00A043FE">
        <w:rPr>
          <w:rFonts w:cs="Arial"/>
          <w:u w:val="single"/>
        </w:rPr>
        <w:t>Situation in the administrative and technical fields</w:t>
      </w:r>
    </w:p>
    <w:p w:rsidR="009555CB" w:rsidRPr="00A043FE" w:rsidRDefault="009555CB" w:rsidP="009555CB">
      <w:pPr>
        <w:keepNext/>
        <w:rPr>
          <w:rFonts w:cs="Arial"/>
          <w:u w:val="single"/>
        </w:rPr>
      </w:pPr>
    </w:p>
    <w:p w:rsidR="009555CB" w:rsidRPr="00A043FE" w:rsidRDefault="009555CB" w:rsidP="009555CB">
      <w:pPr>
        <w:rPr>
          <w:rFonts w:cs="Arial"/>
        </w:rPr>
      </w:pPr>
      <w:r w:rsidRPr="00A043FE">
        <w:rPr>
          <w:rFonts w:cs="Arial"/>
        </w:rPr>
        <w:t>COBORU variety testing activity in the field of DUS is done in 12 different Experimental Stations for variety Testing located all over the country.</w:t>
      </w:r>
    </w:p>
    <w:p w:rsidR="009555CB" w:rsidRPr="00A043FE" w:rsidRDefault="009555CB" w:rsidP="009555CB">
      <w:pPr>
        <w:rPr>
          <w:rFonts w:cs="Arial"/>
          <w:highlight w:val="yellow"/>
        </w:rPr>
      </w:pPr>
    </w:p>
    <w:p w:rsidR="009555CB" w:rsidRPr="00A043FE" w:rsidRDefault="009555CB" w:rsidP="009555CB">
      <w:pPr>
        <w:rPr>
          <w:rFonts w:cs="Arial"/>
        </w:rPr>
      </w:pPr>
      <w:r w:rsidRPr="00A043FE">
        <w:rPr>
          <w:rFonts w:cs="Arial"/>
        </w:rPr>
        <w:t xml:space="preserve">In 2021, 10 557 varieties within 196 plant species were tested (which included 9343 varieties in living reference collection and 1214 candidate varieties). </w:t>
      </w:r>
    </w:p>
    <w:p w:rsidR="009555CB" w:rsidRPr="00A043FE" w:rsidRDefault="009555CB" w:rsidP="009555CB">
      <w:pPr>
        <w:rPr>
          <w:rFonts w:cs="Arial"/>
        </w:rPr>
      </w:pPr>
    </w:p>
    <w:p w:rsidR="009555CB" w:rsidRPr="00A043FE" w:rsidRDefault="009555CB" w:rsidP="009555CB">
      <w:pPr>
        <w:rPr>
          <w:rFonts w:cs="Arial"/>
        </w:rPr>
      </w:pPr>
      <w:r w:rsidRPr="00A043FE">
        <w:rPr>
          <w:rFonts w:cs="Arial"/>
        </w:rPr>
        <w:lastRenderedPageBreak/>
        <w:t>The number of varieties tested in Poland, per plant sector, is shown in the graph below.</w:t>
      </w:r>
    </w:p>
    <w:p w:rsidR="009555CB" w:rsidRPr="00A043FE" w:rsidRDefault="009555CB" w:rsidP="009555CB">
      <w:pPr>
        <w:rPr>
          <w:rFonts w:cs="Arial"/>
        </w:rPr>
      </w:pPr>
    </w:p>
    <w:p w:rsidR="009555CB" w:rsidRPr="00A043FE" w:rsidRDefault="009555CB" w:rsidP="009555CB">
      <w:pPr>
        <w:jc w:val="center"/>
        <w:rPr>
          <w:rFonts w:cs="Arial"/>
          <w:u w:val="single"/>
        </w:rPr>
      </w:pPr>
      <w:r w:rsidRPr="00A043FE">
        <w:rPr>
          <w:rFonts w:cs="Arial"/>
          <w:u w:val="single"/>
        </w:rPr>
        <w:t>Number of varieties in DUS testing in 2021</w:t>
      </w:r>
    </w:p>
    <w:p w:rsidR="009555CB" w:rsidRPr="00A043FE" w:rsidRDefault="009555CB" w:rsidP="009555CB">
      <w:pPr>
        <w:jc w:val="center"/>
        <w:rPr>
          <w:rFonts w:cs="Arial"/>
        </w:rPr>
      </w:pPr>
    </w:p>
    <w:p w:rsidR="009555CB" w:rsidRPr="00A043FE" w:rsidRDefault="009555CB" w:rsidP="009555CB">
      <w:pPr>
        <w:rPr>
          <w:rFonts w:cs="Arial"/>
          <w:highlight w:val="yellow"/>
        </w:rPr>
      </w:pPr>
      <w:r w:rsidRPr="00A043FE">
        <w:rPr>
          <w:rFonts w:cs="Arial"/>
          <w:noProof/>
        </w:rPr>
        <w:drawing>
          <wp:inline distT="0" distB="0" distL="0" distR="0" wp14:anchorId="3591E131" wp14:editId="3878D40B">
            <wp:extent cx="5981700" cy="3590925"/>
            <wp:effectExtent l="0" t="0" r="0" b="9525"/>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82538" cy="3591428"/>
                    </a:xfrm>
                    <a:prstGeom prst="rect">
                      <a:avLst/>
                    </a:prstGeom>
                  </pic:spPr>
                </pic:pic>
              </a:graphicData>
            </a:graphic>
          </wp:inline>
        </w:drawing>
      </w:r>
    </w:p>
    <w:p w:rsidR="009555CB" w:rsidRPr="00A043FE" w:rsidRDefault="009555CB" w:rsidP="009555CB">
      <w:pPr>
        <w:rPr>
          <w:rFonts w:cs="Arial"/>
          <w:highlight w:val="yellow"/>
        </w:rPr>
      </w:pPr>
    </w:p>
    <w:p w:rsidR="009555CB" w:rsidRPr="00A043FE" w:rsidRDefault="009555CB" w:rsidP="009555CB">
      <w:pPr>
        <w:rPr>
          <w:rFonts w:cs="Arial"/>
        </w:rPr>
      </w:pPr>
      <w:r w:rsidRPr="00A043FE">
        <w:rPr>
          <w:rFonts w:cs="Arial"/>
        </w:rPr>
        <w:t>In 2021, COBORU received 123 applications for national PBR protection in total, which constitutes a decrease by 25 applications in comparison with the previous year.</w:t>
      </w:r>
    </w:p>
    <w:p w:rsidR="009555CB" w:rsidRPr="00A043FE" w:rsidRDefault="009555CB" w:rsidP="009555CB">
      <w:pPr>
        <w:rPr>
          <w:rFonts w:cs="Arial"/>
        </w:rPr>
      </w:pPr>
    </w:p>
    <w:p w:rsidR="009555CB" w:rsidRPr="00A043FE" w:rsidRDefault="009555CB" w:rsidP="009555CB">
      <w:pPr>
        <w:rPr>
          <w:rFonts w:cs="Arial"/>
        </w:rPr>
      </w:pPr>
      <w:r w:rsidRPr="00A043FE">
        <w:rPr>
          <w:rFonts w:cs="Arial"/>
        </w:rPr>
        <w:t>From January 1 to August 29, 2022, 78 new applications, including 55 domestic and 23 foreign, have been submitted for national PBR.  This number is lower by 16 applications than that observed in the previous reporting period (94).</w:t>
      </w:r>
    </w:p>
    <w:p w:rsidR="009555CB" w:rsidRPr="00A043FE" w:rsidRDefault="009555CB" w:rsidP="009555CB">
      <w:pPr>
        <w:rPr>
          <w:rFonts w:cs="Arial"/>
          <w:highlight w:val="yellow"/>
        </w:rPr>
      </w:pPr>
    </w:p>
    <w:p w:rsidR="009555CB" w:rsidRPr="00A043FE" w:rsidRDefault="009555CB" w:rsidP="009555CB">
      <w:pPr>
        <w:rPr>
          <w:rFonts w:cs="Arial"/>
        </w:rPr>
      </w:pPr>
      <w:r w:rsidRPr="00A043FE">
        <w:rPr>
          <w:rFonts w:cs="Arial"/>
        </w:rPr>
        <w:t xml:space="preserve">In 2021, COBORU granted 88 titles of national protection (13 titles less than in 2020).  At the end of 2021, there were 1313 national PBR titles in force, which comparing to the previous year represents an increase by 21 varieties. </w:t>
      </w:r>
    </w:p>
    <w:p w:rsidR="009555CB" w:rsidRPr="00A043FE" w:rsidRDefault="009555CB" w:rsidP="009555CB">
      <w:pPr>
        <w:rPr>
          <w:rFonts w:cs="Arial"/>
        </w:rPr>
      </w:pPr>
    </w:p>
    <w:p w:rsidR="009555CB" w:rsidRPr="00A043FE" w:rsidRDefault="009555CB" w:rsidP="009555CB">
      <w:pPr>
        <w:rPr>
          <w:rFonts w:cs="Arial"/>
        </w:rPr>
      </w:pPr>
      <w:r w:rsidRPr="00A043FE">
        <w:rPr>
          <w:rFonts w:cs="Arial"/>
        </w:rPr>
        <w:t>In the period from January 1 to August 29, 2022, 65 titles of national PBR protection have been granted.  In total, 1326 varieties are protected in Poland (as on August 29, 2022).</w:t>
      </w:r>
    </w:p>
    <w:p w:rsidR="009555CB" w:rsidRPr="00A043FE" w:rsidRDefault="009555CB" w:rsidP="009555CB">
      <w:pPr>
        <w:rPr>
          <w:rFonts w:cs="Arial"/>
          <w:highlight w:val="yellow"/>
        </w:rPr>
      </w:pPr>
    </w:p>
    <w:p w:rsidR="009555CB" w:rsidRPr="00A043FE" w:rsidRDefault="009555CB" w:rsidP="009555CB">
      <w:pPr>
        <w:rPr>
          <w:rFonts w:cs="Arial"/>
        </w:rPr>
      </w:pPr>
      <w:r w:rsidRPr="00A043FE">
        <w:rPr>
          <w:rFonts w:cs="Arial"/>
        </w:rPr>
        <w:t>Details on the statistics are given in the table below.</w:t>
      </w:r>
    </w:p>
    <w:p w:rsidR="009555CB" w:rsidRPr="00A043FE" w:rsidRDefault="009555CB" w:rsidP="009555CB">
      <w:pPr>
        <w:rPr>
          <w:rFonts w:cs="Arial"/>
        </w:rPr>
      </w:pPr>
    </w:p>
    <w:p w:rsidR="009555CB" w:rsidRPr="00A043FE" w:rsidRDefault="009555CB" w:rsidP="009555CB">
      <w:pPr>
        <w:rPr>
          <w:rFonts w:cs="Arial"/>
        </w:rPr>
      </w:pPr>
      <w:r w:rsidRPr="00A043FE">
        <w:rPr>
          <w:rFonts w:cs="Arial"/>
        </w:rPr>
        <w:t>In the column “Titles having ceased”, 12 varieties for which - within the reported period - national PBR expired are included.</w:t>
      </w:r>
    </w:p>
    <w:p w:rsidR="009555CB" w:rsidRPr="00A043FE" w:rsidRDefault="009555CB" w:rsidP="009555CB">
      <w:pPr>
        <w:rPr>
          <w:rFonts w:cs="Arial"/>
        </w:rPr>
      </w:pPr>
    </w:p>
    <w:p w:rsidR="009555CB" w:rsidRPr="00A043FE" w:rsidRDefault="009555CB" w:rsidP="009555CB">
      <w:pPr>
        <w:rPr>
          <w:rFonts w:cs="Arial"/>
        </w:rPr>
      </w:pPr>
    </w:p>
    <w:tbl>
      <w:tblPr>
        <w:tblW w:w="9610" w:type="dxa"/>
        <w:tblLayout w:type="fixed"/>
        <w:tblCellMar>
          <w:left w:w="70" w:type="dxa"/>
          <w:right w:w="70" w:type="dxa"/>
        </w:tblCellMar>
        <w:tblLook w:val="04A0" w:firstRow="1" w:lastRow="0" w:firstColumn="1" w:lastColumn="0" w:noHBand="0" w:noVBand="1"/>
      </w:tblPr>
      <w:tblGrid>
        <w:gridCol w:w="1552"/>
        <w:gridCol w:w="894"/>
        <w:gridCol w:w="894"/>
        <w:gridCol w:w="894"/>
        <w:gridCol w:w="894"/>
        <w:gridCol w:w="894"/>
        <w:gridCol w:w="894"/>
        <w:gridCol w:w="1298"/>
        <w:gridCol w:w="1396"/>
      </w:tblGrid>
      <w:tr w:rsidR="009555CB" w:rsidRPr="00A043FE" w:rsidTr="00647E67">
        <w:tc>
          <w:tcPr>
            <w:tcW w:w="1552" w:type="dxa"/>
            <w:tcBorders>
              <w:top w:val="single" w:sz="4" w:space="0" w:color="auto"/>
              <w:left w:val="single" w:sz="6" w:space="0" w:color="auto"/>
              <w:bottom w:val="nil"/>
              <w:right w:val="nil"/>
            </w:tcBorders>
          </w:tcPr>
          <w:p w:rsidR="009555CB" w:rsidRPr="00A043FE" w:rsidRDefault="009555CB" w:rsidP="00647E67">
            <w:pPr>
              <w:jc w:val="center"/>
              <w:rPr>
                <w:rFonts w:cs="Arial"/>
              </w:rPr>
            </w:pPr>
          </w:p>
          <w:p w:rsidR="009555CB" w:rsidRPr="00A043FE" w:rsidRDefault="009555CB" w:rsidP="00647E67">
            <w:pPr>
              <w:jc w:val="center"/>
              <w:rPr>
                <w:rFonts w:cs="Arial"/>
              </w:rPr>
            </w:pPr>
            <w:r w:rsidRPr="00A043FE">
              <w:rPr>
                <w:rFonts w:cs="Arial"/>
              </w:rPr>
              <w:t>Plant</w:t>
            </w:r>
          </w:p>
          <w:p w:rsidR="009555CB" w:rsidRPr="00A043FE" w:rsidRDefault="009555CB" w:rsidP="00647E67">
            <w:pPr>
              <w:jc w:val="center"/>
              <w:rPr>
                <w:rFonts w:cs="Arial"/>
              </w:rPr>
            </w:pPr>
            <w:r w:rsidRPr="00A043FE">
              <w:rPr>
                <w:rFonts w:cs="Arial"/>
              </w:rPr>
              <w:t>Species</w:t>
            </w:r>
          </w:p>
        </w:tc>
        <w:tc>
          <w:tcPr>
            <w:tcW w:w="2682" w:type="dxa"/>
            <w:gridSpan w:val="3"/>
            <w:tcBorders>
              <w:top w:val="single" w:sz="4" w:space="0" w:color="auto"/>
              <w:left w:val="single" w:sz="12" w:space="0" w:color="auto"/>
              <w:bottom w:val="nil"/>
              <w:right w:val="single" w:sz="12" w:space="0" w:color="auto"/>
            </w:tcBorders>
            <w:hideMark/>
          </w:tcPr>
          <w:p w:rsidR="009555CB" w:rsidRPr="00A043FE" w:rsidRDefault="009555CB" w:rsidP="00647E67">
            <w:pPr>
              <w:jc w:val="center"/>
              <w:rPr>
                <w:rFonts w:cs="Arial"/>
              </w:rPr>
            </w:pPr>
            <w:r w:rsidRPr="00A043FE">
              <w:rPr>
                <w:rFonts w:cs="Arial"/>
              </w:rPr>
              <w:t>Applications for PBR</w:t>
            </w:r>
          </w:p>
          <w:p w:rsidR="009555CB" w:rsidRPr="00A043FE" w:rsidRDefault="009555CB" w:rsidP="00647E67">
            <w:pPr>
              <w:jc w:val="center"/>
              <w:rPr>
                <w:rFonts w:cs="Arial"/>
              </w:rPr>
            </w:pPr>
            <w:r w:rsidRPr="00A043FE">
              <w:rPr>
                <w:rFonts w:cs="Arial"/>
              </w:rPr>
              <w:t>1.01. – 29.08.2022</w:t>
            </w:r>
          </w:p>
        </w:tc>
        <w:tc>
          <w:tcPr>
            <w:tcW w:w="2682" w:type="dxa"/>
            <w:gridSpan w:val="3"/>
            <w:tcBorders>
              <w:top w:val="single" w:sz="4" w:space="0" w:color="auto"/>
              <w:left w:val="nil"/>
              <w:bottom w:val="nil"/>
              <w:right w:val="single" w:sz="12" w:space="0" w:color="auto"/>
            </w:tcBorders>
            <w:shd w:val="clear" w:color="auto" w:fill="FFFFFF"/>
            <w:hideMark/>
          </w:tcPr>
          <w:p w:rsidR="009555CB" w:rsidRPr="00A043FE" w:rsidRDefault="009555CB" w:rsidP="00647E67">
            <w:pPr>
              <w:jc w:val="center"/>
              <w:rPr>
                <w:rFonts w:cs="Arial"/>
              </w:rPr>
            </w:pPr>
            <w:r w:rsidRPr="00A043FE">
              <w:rPr>
                <w:rFonts w:cs="Arial"/>
              </w:rPr>
              <w:t>Grants of PBR</w:t>
            </w:r>
          </w:p>
          <w:p w:rsidR="009555CB" w:rsidRPr="00A043FE" w:rsidRDefault="009555CB" w:rsidP="00647E67">
            <w:pPr>
              <w:jc w:val="center"/>
              <w:rPr>
                <w:rFonts w:cs="Arial"/>
              </w:rPr>
            </w:pPr>
            <w:r w:rsidRPr="00A043FE">
              <w:rPr>
                <w:rFonts w:cs="Arial"/>
              </w:rPr>
              <w:t>1.01. – 29.08.2022</w:t>
            </w:r>
          </w:p>
        </w:tc>
        <w:tc>
          <w:tcPr>
            <w:tcW w:w="1298" w:type="dxa"/>
            <w:tcBorders>
              <w:top w:val="single" w:sz="4" w:space="0" w:color="auto"/>
              <w:left w:val="nil"/>
              <w:bottom w:val="nil"/>
              <w:right w:val="single" w:sz="12" w:space="0" w:color="auto"/>
            </w:tcBorders>
            <w:hideMark/>
          </w:tcPr>
          <w:p w:rsidR="009555CB" w:rsidRPr="00A043FE" w:rsidRDefault="009555CB" w:rsidP="00647E67">
            <w:pPr>
              <w:jc w:val="center"/>
              <w:rPr>
                <w:rFonts w:cs="Arial"/>
              </w:rPr>
            </w:pPr>
            <w:r w:rsidRPr="00A043FE">
              <w:rPr>
                <w:rFonts w:cs="Arial"/>
              </w:rPr>
              <w:t xml:space="preserve">Titles </w:t>
            </w:r>
          </w:p>
          <w:p w:rsidR="009555CB" w:rsidRPr="00A043FE" w:rsidRDefault="009555CB" w:rsidP="00647E67">
            <w:pPr>
              <w:jc w:val="center"/>
              <w:rPr>
                <w:rFonts w:cs="Arial"/>
              </w:rPr>
            </w:pPr>
            <w:r w:rsidRPr="00A043FE">
              <w:rPr>
                <w:rFonts w:cs="Arial"/>
              </w:rPr>
              <w:t>having ceased</w:t>
            </w:r>
          </w:p>
        </w:tc>
        <w:tc>
          <w:tcPr>
            <w:tcW w:w="1396" w:type="dxa"/>
            <w:tcBorders>
              <w:top w:val="single" w:sz="4" w:space="0" w:color="auto"/>
              <w:left w:val="nil"/>
              <w:bottom w:val="nil"/>
              <w:right w:val="single" w:sz="6" w:space="0" w:color="auto"/>
            </w:tcBorders>
            <w:shd w:val="clear" w:color="auto" w:fill="FFFFFF"/>
            <w:hideMark/>
          </w:tcPr>
          <w:p w:rsidR="009555CB" w:rsidRPr="00A043FE" w:rsidRDefault="009555CB" w:rsidP="00647E67">
            <w:pPr>
              <w:jc w:val="center"/>
              <w:rPr>
                <w:rFonts w:cs="Arial"/>
              </w:rPr>
            </w:pPr>
            <w:r w:rsidRPr="00A043FE">
              <w:rPr>
                <w:rFonts w:cs="Arial"/>
              </w:rPr>
              <w:t>Titles in force as on 29.08.2022</w:t>
            </w:r>
          </w:p>
        </w:tc>
      </w:tr>
      <w:tr w:rsidR="009555CB" w:rsidRPr="00A043FE" w:rsidTr="00647E67">
        <w:tc>
          <w:tcPr>
            <w:tcW w:w="1552" w:type="dxa"/>
            <w:tcBorders>
              <w:top w:val="nil"/>
              <w:left w:val="single" w:sz="6" w:space="0" w:color="auto"/>
              <w:bottom w:val="nil"/>
              <w:right w:val="single" w:sz="12" w:space="0" w:color="auto"/>
            </w:tcBorders>
          </w:tcPr>
          <w:p w:rsidR="009555CB" w:rsidRPr="00A043FE" w:rsidRDefault="009555CB" w:rsidP="00647E67">
            <w:pPr>
              <w:jc w:val="center"/>
              <w:rPr>
                <w:rFonts w:cs="Arial"/>
              </w:rPr>
            </w:pPr>
          </w:p>
        </w:tc>
        <w:tc>
          <w:tcPr>
            <w:tcW w:w="894" w:type="dxa"/>
            <w:tcBorders>
              <w:top w:val="single" w:sz="6" w:space="0" w:color="auto"/>
              <w:left w:val="nil"/>
              <w:bottom w:val="nil"/>
              <w:right w:val="single" w:sz="6" w:space="0" w:color="auto"/>
            </w:tcBorders>
            <w:hideMark/>
          </w:tcPr>
          <w:p w:rsidR="009555CB" w:rsidRPr="00A043FE" w:rsidRDefault="009555CB" w:rsidP="00647E67">
            <w:pPr>
              <w:jc w:val="center"/>
              <w:rPr>
                <w:rFonts w:cs="Arial"/>
              </w:rPr>
            </w:pPr>
            <w:r w:rsidRPr="00A043FE">
              <w:rPr>
                <w:rFonts w:cs="Arial"/>
              </w:rPr>
              <w:t>domestic</w:t>
            </w:r>
          </w:p>
        </w:tc>
        <w:tc>
          <w:tcPr>
            <w:tcW w:w="894" w:type="dxa"/>
            <w:tcBorders>
              <w:top w:val="single" w:sz="6" w:space="0" w:color="auto"/>
              <w:left w:val="nil"/>
              <w:bottom w:val="nil"/>
              <w:right w:val="single" w:sz="6" w:space="0" w:color="auto"/>
            </w:tcBorders>
            <w:hideMark/>
          </w:tcPr>
          <w:p w:rsidR="009555CB" w:rsidRPr="00A043FE" w:rsidRDefault="009555CB" w:rsidP="00647E67">
            <w:pPr>
              <w:jc w:val="center"/>
              <w:rPr>
                <w:rFonts w:cs="Arial"/>
              </w:rPr>
            </w:pPr>
            <w:r w:rsidRPr="00A043FE">
              <w:rPr>
                <w:rFonts w:cs="Arial"/>
              </w:rPr>
              <w:t>foreign</w:t>
            </w:r>
          </w:p>
        </w:tc>
        <w:tc>
          <w:tcPr>
            <w:tcW w:w="894" w:type="dxa"/>
            <w:tcBorders>
              <w:top w:val="single" w:sz="6" w:space="0" w:color="auto"/>
              <w:left w:val="nil"/>
              <w:bottom w:val="nil"/>
              <w:right w:val="single" w:sz="12" w:space="0" w:color="auto"/>
            </w:tcBorders>
            <w:hideMark/>
          </w:tcPr>
          <w:p w:rsidR="009555CB" w:rsidRPr="00A043FE" w:rsidRDefault="009555CB" w:rsidP="00647E67">
            <w:pPr>
              <w:jc w:val="center"/>
              <w:rPr>
                <w:rFonts w:cs="Arial"/>
              </w:rPr>
            </w:pPr>
            <w:r w:rsidRPr="00A043FE">
              <w:rPr>
                <w:rFonts w:cs="Arial"/>
              </w:rPr>
              <w:t>together</w:t>
            </w:r>
          </w:p>
        </w:tc>
        <w:tc>
          <w:tcPr>
            <w:tcW w:w="894" w:type="dxa"/>
            <w:tcBorders>
              <w:top w:val="single" w:sz="6" w:space="0" w:color="auto"/>
              <w:left w:val="nil"/>
              <w:bottom w:val="nil"/>
              <w:right w:val="single" w:sz="6" w:space="0" w:color="auto"/>
            </w:tcBorders>
            <w:hideMark/>
          </w:tcPr>
          <w:p w:rsidR="009555CB" w:rsidRPr="00A043FE" w:rsidRDefault="009555CB" w:rsidP="00647E67">
            <w:pPr>
              <w:jc w:val="center"/>
              <w:rPr>
                <w:rFonts w:cs="Arial"/>
              </w:rPr>
            </w:pPr>
            <w:r w:rsidRPr="00A043FE">
              <w:rPr>
                <w:rFonts w:cs="Arial"/>
              </w:rPr>
              <w:t>domestic</w:t>
            </w:r>
          </w:p>
        </w:tc>
        <w:tc>
          <w:tcPr>
            <w:tcW w:w="894" w:type="dxa"/>
            <w:tcBorders>
              <w:top w:val="single" w:sz="6" w:space="0" w:color="auto"/>
              <w:left w:val="nil"/>
              <w:bottom w:val="nil"/>
              <w:right w:val="single" w:sz="6" w:space="0" w:color="auto"/>
            </w:tcBorders>
            <w:hideMark/>
          </w:tcPr>
          <w:p w:rsidR="009555CB" w:rsidRPr="00A043FE" w:rsidRDefault="009555CB" w:rsidP="00647E67">
            <w:pPr>
              <w:jc w:val="center"/>
              <w:rPr>
                <w:rFonts w:cs="Arial"/>
              </w:rPr>
            </w:pPr>
            <w:r w:rsidRPr="00A043FE">
              <w:rPr>
                <w:rFonts w:cs="Arial"/>
              </w:rPr>
              <w:t>foreign</w:t>
            </w:r>
          </w:p>
        </w:tc>
        <w:tc>
          <w:tcPr>
            <w:tcW w:w="894" w:type="dxa"/>
            <w:tcBorders>
              <w:top w:val="single" w:sz="6" w:space="0" w:color="auto"/>
              <w:left w:val="nil"/>
              <w:bottom w:val="nil"/>
              <w:right w:val="single" w:sz="12" w:space="0" w:color="auto"/>
            </w:tcBorders>
            <w:hideMark/>
          </w:tcPr>
          <w:p w:rsidR="009555CB" w:rsidRPr="00A043FE" w:rsidRDefault="009555CB" w:rsidP="00647E67">
            <w:pPr>
              <w:jc w:val="center"/>
              <w:rPr>
                <w:rFonts w:cs="Arial"/>
              </w:rPr>
            </w:pPr>
            <w:r w:rsidRPr="00A043FE">
              <w:rPr>
                <w:rFonts w:cs="Arial"/>
              </w:rPr>
              <w:t>together</w:t>
            </w:r>
          </w:p>
        </w:tc>
        <w:tc>
          <w:tcPr>
            <w:tcW w:w="1298" w:type="dxa"/>
            <w:tcBorders>
              <w:top w:val="nil"/>
              <w:left w:val="nil"/>
              <w:bottom w:val="nil"/>
              <w:right w:val="single" w:sz="12" w:space="0" w:color="auto"/>
            </w:tcBorders>
          </w:tcPr>
          <w:p w:rsidR="009555CB" w:rsidRPr="00A043FE" w:rsidRDefault="009555CB" w:rsidP="00647E67">
            <w:pPr>
              <w:jc w:val="center"/>
              <w:rPr>
                <w:rFonts w:cs="Arial"/>
              </w:rPr>
            </w:pPr>
          </w:p>
        </w:tc>
        <w:tc>
          <w:tcPr>
            <w:tcW w:w="1396" w:type="dxa"/>
            <w:tcBorders>
              <w:top w:val="nil"/>
              <w:left w:val="nil"/>
              <w:bottom w:val="nil"/>
              <w:right w:val="single" w:sz="6" w:space="0" w:color="auto"/>
            </w:tcBorders>
            <w:shd w:val="clear" w:color="auto" w:fill="FFFFFF"/>
          </w:tcPr>
          <w:p w:rsidR="009555CB" w:rsidRPr="00A043FE" w:rsidRDefault="009555CB" w:rsidP="00647E67">
            <w:pPr>
              <w:jc w:val="center"/>
              <w:rPr>
                <w:rFonts w:cs="Arial"/>
              </w:rPr>
            </w:pPr>
          </w:p>
        </w:tc>
      </w:tr>
      <w:tr w:rsidR="009555CB" w:rsidRPr="00A043FE" w:rsidTr="00647E67">
        <w:tc>
          <w:tcPr>
            <w:tcW w:w="1552" w:type="dxa"/>
            <w:tcBorders>
              <w:top w:val="single" w:sz="12" w:space="0" w:color="auto"/>
              <w:left w:val="single" w:sz="6" w:space="0" w:color="auto"/>
              <w:bottom w:val="single" w:sz="6" w:space="0" w:color="auto"/>
              <w:right w:val="single" w:sz="12" w:space="0" w:color="auto"/>
            </w:tcBorders>
            <w:hideMark/>
          </w:tcPr>
          <w:p w:rsidR="009555CB" w:rsidRPr="00A043FE" w:rsidRDefault="009555CB" w:rsidP="00647E67">
            <w:pPr>
              <w:rPr>
                <w:rFonts w:cs="Arial"/>
              </w:rPr>
            </w:pPr>
            <w:r w:rsidRPr="00A043FE">
              <w:rPr>
                <w:rFonts w:cs="Arial"/>
              </w:rPr>
              <w:t>Agricultural</w:t>
            </w:r>
          </w:p>
        </w:tc>
        <w:tc>
          <w:tcPr>
            <w:tcW w:w="894" w:type="dxa"/>
            <w:tcBorders>
              <w:top w:val="single" w:sz="12" w:space="0" w:color="auto"/>
              <w:left w:val="nil"/>
              <w:bottom w:val="single" w:sz="6" w:space="0" w:color="auto"/>
              <w:right w:val="single" w:sz="6" w:space="0" w:color="auto"/>
            </w:tcBorders>
            <w:hideMark/>
          </w:tcPr>
          <w:p w:rsidR="009555CB" w:rsidRPr="00A043FE" w:rsidRDefault="009555CB" w:rsidP="00647E67">
            <w:pPr>
              <w:ind w:right="284"/>
              <w:jc w:val="right"/>
              <w:rPr>
                <w:rFonts w:cs="Arial"/>
              </w:rPr>
            </w:pPr>
            <w:r w:rsidRPr="00A043FE">
              <w:rPr>
                <w:rFonts w:cs="Arial"/>
              </w:rPr>
              <w:t>32</w:t>
            </w:r>
          </w:p>
        </w:tc>
        <w:tc>
          <w:tcPr>
            <w:tcW w:w="894" w:type="dxa"/>
            <w:tcBorders>
              <w:top w:val="single" w:sz="12" w:space="0" w:color="auto"/>
              <w:left w:val="single" w:sz="6" w:space="0" w:color="auto"/>
              <w:bottom w:val="single" w:sz="6" w:space="0" w:color="auto"/>
              <w:right w:val="single" w:sz="6" w:space="0" w:color="auto"/>
            </w:tcBorders>
            <w:hideMark/>
          </w:tcPr>
          <w:p w:rsidR="009555CB" w:rsidRPr="00A043FE" w:rsidRDefault="009555CB" w:rsidP="00647E67">
            <w:pPr>
              <w:ind w:right="284"/>
              <w:jc w:val="right"/>
              <w:rPr>
                <w:rFonts w:cs="Arial"/>
              </w:rPr>
            </w:pPr>
            <w:r w:rsidRPr="00A043FE">
              <w:rPr>
                <w:rFonts w:cs="Arial"/>
              </w:rPr>
              <w:t>0</w:t>
            </w:r>
          </w:p>
        </w:tc>
        <w:tc>
          <w:tcPr>
            <w:tcW w:w="894" w:type="dxa"/>
            <w:tcBorders>
              <w:top w:val="single" w:sz="12" w:space="0" w:color="auto"/>
              <w:left w:val="single" w:sz="6" w:space="0" w:color="auto"/>
              <w:bottom w:val="single" w:sz="6" w:space="0" w:color="auto"/>
              <w:right w:val="single" w:sz="12" w:space="0" w:color="auto"/>
            </w:tcBorders>
            <w:shd w:val="clear" w:color="auto" w:fill="D9D9D9"/>
            <w:hideMark/>
          </w:tcPr>
          <w:p w:rsidR="009555CB" w:rsidRPr="00A043FE" w:rsidRDefault="009555CB" w:rsidP="00647E67">
            <w:pPr>
              <w:ind w:right="284"/>
              <w:jc w:val="right"/>
              <w:rPr>
                <w:rFonts w:cs="Arial"/>
              </w:rPr>
            </w:pPr>
            <w:r w:rsidRPr="00A043FE">
              <w:rPr>
                <w:rFonts w:cs="Arial"/>
              </w:rPr>
              <w:t>32</w:t>
            </w:r>
          </w:p>
        </w:tc>
        <w:tc>
          <w:tcPr>
            <w:tcW w:w="894" w:type="dxa"/>
            <w:tcBorders>
              <w:top w:val="single" w:sz="12" w:space="0" w:color="auto"/>
              <w:left w:val="nil"/>
              <w:bottom w:val="single" w:sz="6" w:space="0" w:color="auto"/>
              <w:right w:val="single" w:sz="6" w:space="0" w:color="auto"/>
            </w:tcBorders>
            <w:hideMark/>
          </w:tcPr>
          <w:p w:rsidR="009555CB" w:rsidRPr="00A043FE" w:rsidRDefault="009555CB" w:rsidP="00647E67">
            <w:pPr>
              <w:ind w:right="284"/>
              <w:jc w:val="right"/>
              <w:rPr>
                <w:rFonts w:cs="Arial"/>
              </w:rPr>
            </w:pPr>
            <w:r w:rsidRPr="00A043FE">
              <w:rPr>
                <w:rFonts w:cs="Arial"/>
              </w:rPr>
              <w:t>27</w:t>
            </w:r>
          </w:p>
        </w:tc>
        <w:tc>
          <w:tcPr>
            <w:tcW w:w="894" w:type="dxa"/>
            <w:tcBorders>
              <w:top w:val="single" w:sz="12" w:space="0" w:color="auto"/>
              <w:left w:val="single" w:sz="6" w:space="0" w:color="auto"/>
              <w:bottom w:val="single" w:sz="6" w:space="0" w:color="auto"/>
              <w:right w:val="single" w:sz="6" w:space="0" w:color="auto"/>
            </w:tcBorders>
            <w:hideMark/>
          </w:tcPr>
          <w:p w:rsidR="009555CB" w:rsidRPr="00A043FE" w:rsidRDefault="009555CB" w:rsidP="00647E67">
            <w:pPr>
              <w:ind w:right="284"/>
              <w:jc w:val="right"/>
              <w:rPr>
                <w:rFonts w:cs="Arial"/>
              </w:rPr>
            </w:pPr>
            <w:r w:rsidRPr="00A043FE">
              <w:rPr>
                <w:rFonts w:cs="Arial"/>
              </w:rPr>
              <w:t>2</w:t>
            </w:r>
          </w:p>
        </w:tc>
        <w:tc>
          <w:tcPr>
            <w:tcW w:w="894" w:type="dxa"/>
            <w:tcBorders>
              <w:top w:val="single" w:sz="12" w:space="0" w:color="auto"/>
              <w:left w:val="single" w:sz="6" w:space="0" w:color="auto"/>
              <w:bottom w:val="single" w:sz="6" w:space="0" w:color="auto"/>
              <w:right w:val="single" w:sz="12" w:space="0" w:color="auto"/>
            </w:tcBorders>
            <w:shd w:val="clear" w:color="auto" w:fill="D9D9D9"/>
            <w:hideMark/>
          </w:tcPr>
          <w:p w:rsidR="009555CB" w:rsidRPr="00A043FE" w:rsidRDefault="009555CB" w:rsidP="00647E67">
            <w:pPr>
              <w:ind w:right="284"/>
              <w:jc w:val="right"/>
              <w:rPr>
                <w:rFonts w:cs="Arial"/>
              </w:rPr>
            </w:pPr>
            <w:r w:rsidRPr="00A043FE">
              <w:rPr>
                <w:rFonts w:cs="Arial"/>
              </w:rPr>
              <w:t>29</w:t>
            </w:r>
          </w:p>
        </w:tc>
        <w:tc>
          <w:tcPr>
            <w:tcW w:w="1298" w:type="dxa"/>
            <w:tcBorders>
              <w:top w:val="single" w:sz="12" w:space="0" w:color="auto"/>
              <w:left w:val="nil"/>
              <w:bottom w:val="single" w:sz="6" w:space="0" w:color="auto"/>
              <w:right w:val="single" w:sz="12" w:space="0" w:color="auto"/>
            </w:tcBorders>
            <w:hideMark/>
          </w:tcPr>
          <w:p w:rsidR="009555CB" w:rsidRPr="00A043FE" w:rsidRDefault="009555CB" w:rsidP="00647E67">
            <w:pPr>
              <w:ind w:right="284"/>
              <w:jc w:val="right"/>
              <w:rPr>
                <w:rFonts w:cs="Arial"/>
              </w:rPr>
            </w:pPr>
            <w:r w:rsidRPr="00A043FE">
              <w:rPr>
                <w:rFonts w:cs="Arial"/>
              </w:rPr>
              <w:t>28</w:t>
            </w:r>
          </w:p>
        </w:tc>
        <w:tc>
          <w:tcPr>
            <w:tcW w:w="1396" w:type="dxa"/>
            <w:tcBorders>
              <w:top w:val="single" w:sz="12" w:space="0" w:color="auto"/>
              <w:left w:val="nil"/>
              <w:bottom w:val="single" w:sz="6" w:space="0" w:color="auto"/>
              <w:right w:val="single" w:sz="6" w:space="0" w:color="auto"/>
            </w:tcBorders>
            <w:shd w:val="clear" w:color="auto" w:fill="D9D9D9"/>
            <w:hideMark/>
          </w:tcPr>
          <w:p w:rsidR="009555CB" w:rsidRPr="00A043FE" w:rsidRDefault="009555CB" w:rsidP="00647E67">
            <w:pPr>
              <w:ind w:right="284"/>
              <w:jc w:val="right"/>
              <w:rPr>
                <w:rFonts w:cs="Arial"/>
              </w:rPr>
            </w:pPr>
            <w:r w:rsidRPr="00A043FE">
              <w:rPr>
                <w:rFonts w:cs="Arial"/>
              </w:rPr>
              <w:t>735</w:t>
            </w:r>
          </w:p>
        </w:tc>
      </w:tr>
      <w:tr w:rsidR="009555CB" w:rsidRPr="00A043FE" w:rsidTr="00647E67">
        <w:tc>
          <w:tcPr>
            <w:tcW w:w="1552" w:type="dxa"/>
            <w:tcBorders>
              <w:top w:val="single" w:sz="6" w:space="0" w:color="auto"/>
              <w:left w:val="single" w:sz="6" w:space="0" w:color="auto"/>
              <w:bottom w:val="single" w:sz="6" w:space="0" w:color="auto"/>
              <w:right w:val="single" w:sz="12" w:space="0" w:color="auto"/>
            </w:tcBorders>
            <w:hideMark/>
          </w:tcPr>
          <w:p w:rsidR="009555CB" w:rsidRPr="00A043FE" w:rsidRDefault="009555CB" w:rsidP="00647E67">
            <w:pPr>
              <w:rPr>
                <w:rFonts w:cs="Arial"/>
              </w:rPr>
            </w:pPr>
            <w:r w:rsidRPr="00A043FE">
              <w:rPr>
                <w:rFonts w:cs="Arial"/>
              </w:rPr>
              <w:t>Vegetable</w:t>
            </w:r>
          </w:p>
        </w:tc>
        <w:tc>
          <w:tcPr>
            <w:tcW w:w="894" w:type="dxa"/>
            <w:tcBorders>
              <w:top w:val="single" w:sz="6" w:space="0" w:color="auto"/>
              <w:left w:val="nil"/>
              <w:bottom w:val="single" w:sz="6" w:space="0" w:color="auto"/>
              <w:right w:val="single" w:sz="6" w:space="0" w:color="auto"/>
            </w:tcBorders>
            <w:hideMark/>
          </w:tcPr>
          <w:p w:rsidR="009555CB" w:rsidRPr="00A043FE" w:rsidRDefault="009555CB" w:rsidP="00647E67">
            <w:pPr>
              <w:ind w:right="284"/>
              <w:jc w:val="right"/>
              <w:rPr>
                <w:rFonts w:cs="Arial"/>
              </w:rPr>
            </w:pPr>
            <w:r w:rsidRPr="00A043FE">
              <w:rPr>
                <w:rFonts w:cs="Arial"/>
              </w:rPr>
              <w:t>2</w:t>
            </w:r>
          </w:p>
        </w:tc>
        <w:tc>
          <w:tcPr>
            <w:tcW w:w="894" w:type="dxa"/>
            <w:tcBorders>
              <w:top w:val="single" w:sz="6" w:space="0" w:color="auto"/>
              <w:left w:val="single" w:sz="6" w:space="0" w:color="auto"/>
              <w:bottom w:val="single" w:sz="6" w:space="0" w:color="auto"/>
              <w:right w:val="single" w:sz="6" w:space="0" w:color="auto"/>
            </w:tcBorders>
            <w:hideMark/>
          </w:tcPr>
          <w:p w:rsidR="009555CB" w:rsidRPr="00A043FE" w:rsidRDefault="009555CB" w:rsidP="00647E67">
            <w:pPr>
              <w:ind w:right="284"/>
              <w:jc w:val="right"/>
              <w:rPr>
                <w:rFonts w:cs="Arial"/>
              </w:rPr>
            </w:pPr>
            <w:r w:rsidRPr="00A043FE">
              <w:rPr>
                <w:rFonts w:cs="Arial"/>
              </w:rPr>
              <w:t>0</w:t>
            </w:r>
          </w:p>
        </w:tc>
        <w:tc>
          <w:tcPr>
            <w:tcW w:w="894" w:type="dxa"/>
            <w:tcBorders>
              <w:top w:val="single" w:sz="6" w:space="0" w:color="auto"/>
              <w:left w:val="single" w:sz="6" w:space="0" w:color="auto"/>
              <w:bottom w:val="single" w:sz="6" w:space="0" w:color="auto"/>
              <w:right w:val="single" w:sz="12" w:space="0" w:color="auto"/>
            </w:tcBorders>
            <w:shd w:val="clear" w:color="auto" w:fill="D9D9D9"/>
            <w:hideMark/>
          </w:tcPr>
          <w:p w:rsidR="009555CB" w:rsidRPr="00A043FE" w:rsidRDefault="009555CB" w:rsidP="00647E67">
            <w:pPr>
              <w:ind w:right="284"/>
              <w:jc w:val="right"/>
              <w:rPr>
                <w:rFonts w:cs="Arial"/>
              </w:rPr>
            </w:pPr>
            <w:r w:rsidRPr="00A043FE">
              <w:rPr>
                <w:rFonts w:cs="Arial"/>
              </w:rPr>
              <w:t>2</w:t>
            </w:r>
          </w:p>
        </w:tc>
        <w:tc>
          <w:tcPr>
            <w:tcW w:w="894" w:type="dxa"/>
            <w:tcBorders>
              <w:top w:val="single" w:sz="6" w:space="0" w:color="auto"/>
              <w:left w:val="nil"/>
              <w:bottom w:val="single" w:sz="6" w:space="0" w:color="auto"/>
              <w:right w:val="single" w:sz="6" w:space="0" w:color="auto"/>
            </w:tcBorders>
            <w:hideMark/>
          </w:tcPr>
          <w:p w:rsidR="009555CB" w:rsidRPr="00A043FE" w:rsidRDefault="009555CB" w:rsidP="00647E67">
            <w:pPr>
              <w:ind w:right="284"/>
              <w:jc w:val="right"/>
              <w:rPr>
                <w:rFonts w:cs="Arial"/>
              </w:rPr>
            </w:pPr>
            <w:r w:rsidRPr="00A043FE">
              <w:rPr>
                <w:rFonts w:cs="Arial"/>
              </w:rPr>
              <w:t>6</w:t>
            </w:r>
          </w:p>
        </w:tc>
        <w:tc>
          <w:tcPr>
            <w:tcW w:w="894" w:type="dxa"/>
            <w:tcBorders>
              <w:top w:val="single" w:sz="6" w:space="0" w:color="auto"/>
              <w:left w:val="single" w:sz="6" w:space="0" w:color="auto"/>
              <w:bottom w:val="single" w:sz="6" w:space="0" w:color="auto"/>
              <w:right w:val="single" w:sz="6" w:space="0" w:color="auto"/>
            </w:tcBorders>
            <w:hideMark/>
          </w:tcPr>
          <w:p w:rsidR="009555CB" w:rsidRPr="00A043FE" w:rsidRDefault="009555CB" w:rsidP="00647E67">
            <w:pPr>
              <w:ind w:right="284"/>
              <w:jc w:val="right"/>
              <w:rPr>
                <w:rFonts w:cs="Arial"/>
              </w:rPr>
            </w:pPr>
            <w:r w:rsidRPr="00A043FE">
              <w:rPr>
                <w:rFonts w:cs="Arial"/>
              </w:rPr>
              <w:t>0</w:t>
            </w:r>
          </w:p>
        </w:tc>
        <w:tc>
          <w:tcPr>
            <w:tcW w:w="894" w:type="dxa"/>
            <w:tcBorders>
              <w:top w:val="single" w:sz="6" w:space="0" w:color="auto"/>
              <w:left w:val="single" w:sz="6" w:space="0" w:color="auto"/>
              <w:bottom w:val="single" w:sz="6" w:space="0" w:color="auto"/>
              <w:right w:val="single" w:sz="12" w:space="0" w:color="auto"/>
            </w:tcBorders>
            <w:shd w:val="clear" w:color="auto" w:fill="D9D9D9"/>
            <w:hideMark/>
          </w:tcPr>
          <w:p w:rsidR="009555CB" w:rsidRPr="00A043FE" w:rsidRDefault="009555CB" w:rsidP="00647E67">
            <w:pPr>
              <w:ind w:right="284"/>
              <w:jc w:val="right"/>
              <w:rPr>
                <w:rFonts w:cs="Arial"/>
              </w:rPr>
            </w:pPr>
            <w:r w:rsidRPr="00A043FE">
              <w:rPr>
                <w:rFonts w:cs="Arial"/>
              </w:rPr>
              <w:t>6</w:t>
            </w:r>
          </w:p>
        </w:tc>
        <w:tc>
          <w:tcPr>
            <w:tcW w:w="1298" w:type="dxa"/>
            <w:tcBorders>
              <w:top w:val="single" w:sz="6" w:space="0" w:color="auto"/>
              <w:left w:val="nil"/>
              <w:bottom w:val="single" w:sz="6" w:space="0" w:color="auto"/>
              <w:right w:val="single" w:sz="12" w:space="0" w:color="auto"/>
            </w:tcBorders>
            <w:hideMark/>
          </w:tcPr>
          <w:p w:rsidR="009555CB" w:rsidRPr="00A043FE" w:rsidRDefault="009555CB" w:rsidP="00647E67">
            <w:pPr>
              <w:ind w:right="284"/>
              <w:jc w:val="right"/>
              <w:rPr>
                <w:rFonts w:cs="Arial"/>
              </w:rPr>
            </w:pPr>
            <w:r w:rsidRPr="00A043FE">
              <w:rPr>
                <w:rFonts w:cs="Arial"/>
              </w:rPr>
              <w:t>6</w:t>
            </w:r>
          </w:p>
        </w:tc>
        <w:tc>
          <w:tcPr>
            <w:tcW w:w="1396" w:type="dxa"/>
            <w:tcBorders>
              <w:top w:val="single" w:sz="6" w:space="0" w:color="auto"/>
              <w:left w:val="nil"/>
              <w:bottom w:val="single" w:sz="6" w:space="0" w:color="auto"/>
              <w:right w:val="single" w:sz="6" w:space="0" w:color="auto"/>
            </w:tcBorders>
            <w:shd w:val="clear" w:color="auto" w:fill="D9D9D9"/>
            <w:hideMark/>
          </w:tcPr>
          <w:p w:rsidR="009555CB" w:rsidRPr="00A043FE" w:rsidRDefault="009555CB" w:rsidP="00647E67">
            <w:pPr>
              <w:ind w:right="284"/>
              <w:jc w:val="right"/>
              <w:rPr>
                <w:rFonts w:cs="Arial"/>
              </w:rPr>
            </w:pPr>
            <w:r w:rsidRPr="00A043FE">
              <w:rPr>
                <w:rFonts w:cs="Arial"/>
              </w:rPr>
              <w:t>207</w:t>
            </w:r>
          </w:p>
        </w:tc>
      </w:tr>
      <w:tr w:rsidR="009555CB" w:rsidRPr="00A043FE" w:rsidTr="00647E67">
        <w:tc>
          <w:tcPr>
            <w:tcW w:w="1552" w:type="dxa"/>
            <w:tcBorders>
              <w:top w:val="single" w:sz="6" w:space="0" w:color="auto"/>
              <w:left w:val="single" w:sz="6" w:space="0" w:color="auto"/>
              <w:bottom w:val="nil"/>
              <w:right w:val="single" w:sz="12" w:space="0" w:color="auto"/>
            </w:tcBorders>
            <w:hideMark/>
          </w:tcPr>
          <w:p w:rsidR="009555CB" w:rsidRPr="00A043FE" w:rsidRDefault="009555CB" w:rsidP="00647E67">
            <w:pPr>
              <w:rPr>
                <w:rFonts w:cs="Arial"/>
              </w:rPr>
            </w:pPr>
            <w:r w:rsidRPr="00A043FE">
              <w:rPr>
                <w:rFonts w:cs="Arial"/>
              </w:rPr>
              <w:t>Ornamental</w:t>
            </w:r>
          </w:p>
        </w:tc>
        <w:tc>
          <w:tcPr>
            <w:tcW w:w="894" w:type="dxa"/>
            <w:tcBorders>
              <w:top w:val="single" w:sz="6" w:space="0" w:color="auto"/>
              <w:left w:val="nil"/>
              <w:bottom w:val="nil"/>
              <w:right w:val="single" w:sz="6" w:space="0" w:color="auto"/>
            </w:tcBorders>
            <w:hideMark/>
          </w:tcPr>
          <w:p w:rsidR="009555CB" w:rsidRPr="00A043FE" w:rsidRDefault="009555CB" w:rsidP="00647E67">
            <w:pPr>
              <w:ind w:right="284"/>
              <w:jc w:val="right"/>
              <w:rPr>
                <w:rFonts w:cs="Arial"/>
              </w:rPr>
            </w:pPr>
            <w:r w:rsidRPr="00A043FE">
              <w:rPr>
                <w:rFonts w:cs="Arial"/>
              </w:rPr>
              <w:t>18</w:t>
            </w:r>
          </w:p>
        </w:tc>
        <w:tc>
          <w:tcPr>
            <w:tcW w:w="894" w:type="dxa"/>
            <w:tcBorders>
              <w:top w:val="single" w:sz="6" w:space="0" w:color="auto"/>
              <w:left w:val="single" w:sz="6" w:space="0" w:color="auto"/>
              <w:bottom w:val="nil"/>
              <w:right w:val="single" w:sz="6" w:space="0" w:color="auto"/>
            </w:tcBorders>
            <w:hideMark/>
          </w:tcPr>
          <w:p w:rsidR="009555CB" w:rsidRPr="00A043FE" w:rsidRDefault="009555CB" w:rsidP="00647E67">
            <w:pPr>
              <w:ind w:right="284"/>
              <w:jc w:val="right"/>
              <w:rPr>
                <w:rFonts w:cs="Arial"/>
              </w:rPr>
            </w:pPr>
            <w:r w:rsidRPr="00A043FE">
              <w:rPr>
                <w:rFonts w:cs="Arial"/>
              </w:rPr>
              <w:t>22</w:t>
            </w:r>
          </w:p>
        </w:tc>
        <w:tc>
          <w:tcPr>
            <w:tcW w:w="894" w:type="dxa"/>
            <w:tcBorders>
              <w:top w:val="single" w:sz="6" w:space="0" w:color="auto"/>
              <w:left w:val="single" w:sz="6" w:space="0" w:color="auto"/>
              <w:bottom w:val="nil"/>
              <w:right w:val="single" w:sz="12" w:space="0" w:color="auto"/>
            </w:tcBorders>
            <w:shd w:val="clear" w:color="auto" w:fill="D9D9D9"/>
            <w:hideMark/>
          </w:tcPr>
          <w:p w:rsidR="009555CB" w:rsidRPr="00A043FE" w:rsidRDefault="009555CB" w:rsidP="00647E67">
            <w:pPr>
              <w:ind w:right="284"/>
              <w:jc w:val="right"/>
              <w:rPr>
                <w:rFonts w:cs="Arial"/>
              </w:rPr>
            </w:pPr>
            <w:r w:rsidRPr="00A043FE">
              <w:rPr>
                <w:rFonts w:cs="Arial"/>
              </w:rPr>
              <w:t>40</w:t>
            </w:r>
          </w:p>
        </w:tc>
        <w:tc>
          <w:tcPr>
            <w:tcW w:w="894" w:type="dxa"/>
            <w:tcBorders>
              <w:top w:val="single" w:sz="6" w:space="0" w:color="auto"/>
              <w:left w:val="nil"/>
              <w:bottom w:val="nil"/>
              <w:right w:val="single" w:sz="6" w:space="0" w:color="auto"/>
            </w:tcBorders>
            <w:hideMark/>
          </w:tcPr>
          <w:p w:rsidR="009555CB" w:rsidRPr="00A043FE" w:rsidRDefault="009555CB" w:rsidP="00647E67">
            <w:pPr>
              <w:ind w:right="284"/>
              <w:jc w:val="right"/>
              <w:rPr>
                <w:rFonts w:cs="Arial"/>
              </w:rPr>
            </w:pPr>
            <w:r w:rsidRPr="00A043FE">
              <w:rPr>
                <w:rFonts w:cs="Arial"/>
              </w:rPr>
              <w:t>16</w:t>
            </w:r>
          </w:p>
        </w:tc>
        <w:tc>
          <w:tcPr>
            <w:tcW w:w="894" w:type="dxa"/>
            <w:tcBorders>
              <w:top w:val="single" w:sz="6" w:space="0" w:color="auto"/>
              <w:left w:val="single" w:sz="6" w:space="0" w:color="auto"/>
              <w:bottom w:val="nil"/>
              <w:right w:val="single" w:sz="6" w:space="0" w:color="auto"/>
            </w:tcBorders>
            <w:hideMark/>
          </w:tcPr>
          <w:p w:rsidR="009555CB" w:rsidRPr="00A043FE" w:rsidRDefault="009555CB" w:rsidP="00647E67">
            <w:pPr>
              <w:ind w:right="284"/>
              <w:jc w:val="right"/>
              <w:rPr>
                <w:rFonts w:cs="Arial"/>
              </w:rPr>
            </w:pPr>
            <w:r w:rsidRPr="00A043FE">
              <w:rPr>
                <w:rFonts w:cs="Arial"/>
              </w:rPr>
              <w:t>3</w:t>
            </w:r>
          </w:p>
        </w:tc>
        <w:tc>
          <w:tcPr>
            <w:tcW w:w="894" w:type="dxa"/>
            <w:tcBorders>
              <w:top w:val="single" w:sz="6" w:space="0" w:color="auto"/>
              <w:left w:val="single" w:sz="6" w:space="0" w:color="auto"/>
              <w:bottom w:val="nil"/>
              <w:right w:val="single" w:sz="12" w:space="0" w:color="auto"/>
            </w:tcBorders>
            <w:shd w:val="clear" w:color="auto" w:fill="D9D9D9"/>
            <w:hideMark/>
          </w:tcPr>
          <w:p w:rsidR="009555CB" w:rsidRPr="00A043FE" w:rsidRDefault="009555CB" w:rsidP="00647E67">
            <w:pPr>
              <w:ind w:right="284"/>
              <w:jc w:val="right"/>
              <w:rPr>
                <w:rFonts w:cs="Arial"/>
              </w:rPr>
            </w:pPr>
            <w:r w:rsidRPr="00A043FE">
              <w:rPr>
                <w:rFonts w:cs="Arial"/>
              </w:rPr>
              <w:t>19</w:t>
            </w:r>
          </w:p>
        </w:tc>
        <w:tc>
          <w:tcPr>
            <w:tcW w:w="1298" w:type="dxa"/>
            <w:tcBorders>
              <w:top w:val="single" w:sz="6" w:space="0" w:color="auto"/>
              <w:left w:val="nil"/>
              <w:bottom w:val="nil"/>
              <w:right w:val="single" w:sz="12" w:space="0" w:color="auto"/>
            </w:tcBorders>
            <w:hideMark/>
          </w:tcPr>
          <w:p w:rsidR="009555CB" w:rsidRPr="00A043FE" w:rsidRDefault="009555CB" w:rsidP="00647E67">
            <w:pPr>
              <w:ind w:right="284"/>
              <w:jc w:val="right"/>
              <w:rPr>
                <w:rFonts w:cs="Arial"/>
              </w:rPr>
            </w:pPr>
            <w:r w:rsidRPr="00A043FE">
              <w:rPr>
                <w:rFonts w:cs="Arial"/>
              </w:rPr>
              <w:t>12</w:t>
            </w:r>
          </w:p>
        </w:tc>
        <w:tc>
          <w:tcPr>
            <w:tcW w:w="1396" w:type="dxa"/>
            <w:tcBorders>
              <w:top w:val="single" w:sz="6" w:space="0" w:color="auto"/>
              <w:left w:val="nil"/>
              <w:bottom w:val="nil"/>
              <w:right w:val="single" w:sz="6" w:space="0" w:color="auto"/>
            </w:tcBorders>
            <w:shd w:val="clear" w:color="auto" w:fill="D9D9D9"/>
            <w:hideMark/>
          </w:tcPr>
          <w:p w:rsidR="009555CB" w:rsidRPr="00A043FE" w:rsidRDefault="009555CB" w:rsidP="00647E67">
            <w:pPr>
              <w:ind w:right="284"/>
              <w:jc w:val="right"/>
              <w:rPr>
                <w:rFonts w:cs="Arial"/>
              </w:rPr>
            </w:pPr>
            <w:r w:rsidRPr="00A043FE">
              <w:rPr>
                <w:rFonts w:cs="Arial"/>
              </w:rPr>
              <w:t>260</w:t>
            </w:r>
          </w:p>
        </w:tc>
      </w:tr>
      <w:tr w:rsidR="009555CB" w:rsidRPr="00A043FE" w:rsidTr="00647E67">
        <w:tc>
          <w:tcPr>
            <w:tcW w:w="1552" w:type="dxa"/>
            <w:tcBorders>
              <w:top w:val="single" w:sz="6" w:space="0" w:color="auto"/>
              <w:left w:val="single" w:sz="6" w:space="0" w:color="auto"/>
              <w:bottom w:val="nil"/>
              <w:right w:val="single" w:sz="12" w:space="0" w:color="auto"/>
            </w:tcBorders>
            <w:hideMark/>
          </w:tcPr>
          <w:p w:rsidR="009555CB" w:rsidRPr="00A043FE" w:rsidRDefault="009555CB" w:rsidP="00647E67">
            <w:pPr>
              <w:rPr>
                <w:rFonts w:cs="Arial"/>
              </w:rPr>
            </w:pPr>
            <w:r w:rsidRPr="00A043FE">
              <w:rPr>
                <w:rFonts w:cs="Arial"/>
              </w:rPr>
              <w:t>Fruit</w:t>
            </w:r>
          </w:p>
        </w:tc>
        <w:tc>
          <w:tcPr>
            <w:tcW w:w="894" w:type="dxa"/>
            <w:tcBorders>
              <w:top w:val="single" w:sz="6" w:space="0" w:color="auto"/>
              <w:left w:val="nil"/>
              <w:bottom w:val="nil"/>
              <w:right w:val="single" w:sz="6" w:space="0" w:color="auto"/>
            </w:tcBorders>
            <w:hideMark/>
          </w:tcPr>
          <w:p w:rsidR="009555CB" w:rsidRPr="00A043FE" w:rsidRDefault="009555CB" w:rsidP="00647E67">
            <w:pPr>
              <w:ind w:right="284"/>
              <w:jc w:val="right"/>
              <w:rPr>
                <w:rFonts w:cs="Arial"/>
              </w:rPr>
            </w:pPr>
            <w:r w:rsidRPr="00A043FE">
              <w:rPr>
                <w:rFonts w:cs="Arial"/>
              </w:rPr>
              <w:t>3</w:t>
            </w:r>
          </w:p>
        </w:tc>
        <w:tc>
          <w:tcPr>
            <w:tcW w:w="894" w:type="dxa"/>
            <w:tcBorders>
              <w:top w:val="single" w:sz="6" w:space="0" w:color="auto"/>
              <w:left w:val="single" w:sz="6" w:space="0" w:color="auto"/>
              <w:bottom w:val="nil"/>
              <w:right w:val="single" w:sz="6" w:space="0" w:color="auto"/>
            </w:tcBorders>
            <w:hideMark/>
          </w:tcPr>
          <w:p w:rsidR="009555CB" w:rsidRPr="00A043FE" w:rsidRDefault="009555CB" w:rsidP="00647E67">
            <w:pPr>
              <w:ind w:right="284"/>
              <w:jc w:val="right"/>
              <w:rPr>
                <w:rFonts w:cs="Arial"/>
              </w:rPr>
            </w:pPr>
            <w:r w:rsidRPr="00A043FE">
              <w:rPr>
                <w:rFonts w:cs="Arial"/>
              </w:rPr>
              <w:t>1</w:t>
            </w:r>
          </w:p>
        </w:tc>
        <w:tc>
          <w:tcPr>
            <w:tcW w:w="894" w:type="dxa"/>
            <w:tcBorders>
              <w:top w:val="single" w:sz="6" w:space="0" w:color="auto"/>
              <w:left w:val="single" w:sz="6" w:space="0" w:color="auto"/>
              <w:bottom w:val="nil"/>
              <w:right w:val="single" w:sz="12" w:space="0" w:color="auto"/>
            </w:tcBorders>
            <w:shd w:val="clear" w:color="auto" w:fill="D9D9D9"/>
            <w:hideMark/>
          </w:tcPr>
          <w:p w:rsidR="009555CB" w:rsidRPr="00A043FE" w:rsidRDefault="009555CB" w:rsidP="00647E67">
            <w:pPr>
              <w:ind w:right="284"/>
              <w:jc w:val="right"/>
              <w:rPr>
                <w:rFonts w:cs="Arial"/>
              </w:rPr>
            </w:pPr>
            <w:r w:rsidRPr="00A043FE">
              <w:rPr>
                <w:rFonts w:cs="Arial"/>
              </w:rPr>
              <w:t>4</w:t>
            </w:r>
          </w:p>
        </w:tc>
        <w:tc>
          <w:tcPr>
            <w:tcW w:w="894" w:type="dxa"/>
            <w:tcBorders>
              <w:top w:val="single" w:sz="6" w:space="0" w:color="auto"/>
              <w:left w:val="nil"/>
              <w:bottom w:val="nil"/>
              <w:right w:val="single" w:sz="6" w:space="0" w:color="auto"/>
            </w:tcBorders>
            <w:hideMark/>
          </w:tcPr>
          <w:p w:rsidR="009555CB" w:rsidRPr="00A043FE" w:rsidRDefault="009555CB" w:rsidP="00647E67">
            <w:pPr>
              <w:ind w:right="284"/>
              <w:jc w:val="right"/>
              <w:rPr>
                <w:rFonts w:cs="Arial"/>
              </w:rPr>
            </w:pPr>
            <w:r w:rsidRPr="00A043FE">
              <w:rPr>
                <w:rFonts w:cs="Arial"/>
              </w:rPr>
              <w:t>10</w:t>
            </w:r>
          </w:p>
        </w:tc>
        <w:tc>
          <w:tcPr>
            <w:tcW w:w="894" w:type="dxa"/>
            <w:tcBorders>
              <w:top w:val="single" w:sz="6" w:space="0" w:color="auto"/>
              <w:left w:val="single" w:sz="6" w:space="0" w:color="auto"/>
              <w:bottom w:val="nil"/>
              <w:right w:val="single" w:sz="6" w:space="0" w:color="auto"/>
            </w:tcBorders>
            <w:hideMark/>
          </w:tcPr>
          <w:p w:rsidR="009555CB" w:rsidRPr="00A043FE" w:rsidRDefault="009555CB" w:rsidP="00647E67">
            <w:pPr>
              <w:ind w:right="284"/>
              <w:jc w:val="right"/>
              <w:rPr>
                <w:rFonts w:cs="Arial"/>
              </w:rPr>
            </w:pPr>
            <w:r w:rsidRPr="00A043FE">
              <w:rPr>
                <w:rFonts w:cs="Arial"/>
              </w:rPr>
              <w:t>1</w:t>
            </w:r>
          </w:p>
        </w:tc>
        <w:tc>
          <w:tcPr>
            <w:tcW w:w="894" w:type="dxa"/>
            <w:tcBorders>
              <w:top w:val="single" w:sz="6" w:space="0" w:color="auto"/>
              <w:left w:val="single" w:sz="6" w:space="0" w:color="auto"/>
              <w:bottom w:val="nil"/>
              <w:right w:val="single" w:sz="12" w:space="0" w:color="auto"/>
            </w:tcBorders>
            <w:shd w:val="clear" w:color="auto" w:fill="D9D9D9"/>
            <w:hideMark/>
          </w:tcPr>
          <w:p w:rsidR="009555CB" w:rsidRPr="00A043FE" w:rsidRDefault="009555CB" w:rsidP="00647E67">
            <w:pPr>
              <w:ind w:right="284"/>
              <w:jc w:val="right"/>
              <w:rPr>
                <w:rFonts w:cs="Arial"/>
              </w:rPr>
            </w:pPr>
            <w:r w:rsidRPr="00A043FE">
              <w:rPr>
                <w:rFonts w:cs="Arial"/>
              </w:rPr>
              <w:t>11</w:t>
            </w:r>
          </w:p>
        </w:tc>
        <w:tc>
          <w:tcPr>
            <w:tcW w:w="1298" w:type="dxa"/>
            <w:tcBorders>
              <w:top w:val="single" w:sz="6" w:space="0" w:color="auto"/>
              <w:left w:val="nil"/>
              <w:bottom w:val="nil"/>
              <w:right w:val="single" w:sz="12" w:space="0" w:color="auto"/>
            </w:tcBorders>
            <w:hideMark/>
          </w:tcPr>
          <w:p w:rsidR="009555CB" w:rsidRPr="00A043FE" w:rsidRDefault="009555CB" w:rsidP="00647E67">
            <w:pPr>
              <w:ind w:right="284"/>
              <w:jc w:val="right"/>
              <w:rPr>
                <w:rFonts w:cs="Arial"/>
              </w:rPr>
            </w:pPr>
            <w:r w:rsidRPr="00A043FE">
              <w:rPr>
                <w:rFonts w:cs="Arial"/>
              </w:rPr>
              <w:t>6</w:t>
            </w:r>
          </w:p>
        </w:tc>
        <w:tc>
          <w:tcPr>
            <w:tcW w:w="1396" w:type="dxa"/>
            <w:tcBorders>
              <w:top w:val="single" w:sz="6" w:space="0" w:color="auto"/>
              <w:left w:val="nil"/>
              <w:bottom w:val="nil"/>
              <w:right w:val="single" w:sz="6" w:space="0" w:color="auto"/>
            </w:tcBorders>
            <w:shd w:val="clear" w:color="auto" w:fill="D9D9D9"/>
            <w:hideMark/>
          </w:tcPr>
          <w:p w:rsidR="009555CB" w:rsidRPr="00A043FE" w:rsidRDefault="009555CB" w:rsidP="00647E67">
            <w:pPr>
              <w:ind w:right="284"/>
              <w:jc w:val="right"/>
              <w:rPr>
                <w:rFonts w:cs="Arial"/>
              </w:rPr>
            </w:pPr>
            <w:r w:rsidRPr="00A043FE">
              <w:rPr>
                <w:rFonts w:cs="Arial"/>
              </w:rPr>
              <w:t>124</w:t>
            </w:r>
          </w:p>
        </w:tc>
      </w:tr>
      <w:tr w:rsidR="009555CB" w:rsidRPr="00A043FE" w:rsidTr="00647E67">
        <w:tc>
          <w:tcPr>
            <w:tcW w:w="1552" w:type="dxa"/>
            <w:tcBorders>
              <w:top w:val="single" w:sz="12" w:space="0" w:color="auto"/>
              <w:left w:val="single" w:sz="6" w:space="0" w:color="auto"/>
              <w:bottom w:val="single" w:sz="6" w:space="0" w:color="auto"/>
              <w:right w:val="single" w:sz="12" w:space="0" w:color="auto"/>
            </w:tcBorders>
            <w:shd w:val="clear" w:color="auto" w:fill="FFFFFF"/>
            <w:hideMark/>
          </w:tcPr>
          <w:p w:rsidR="009555CB" w:rsidRPr="00A043FE" w:rsidRDefault="009555CB" w:rsidP="00647E67">
            <w:pPr>
              <w:rPr>
                <w:rFonts w:cs="Arial"/>
              </w:rPr>
            </w:pPr>
            <w:r w:rsidRPr="00A043FE">
              <w:rPr>
                <w:rFonts w:cs="Arial"/>
                <w:b/>
              </w:rPr>
              <w:t>Total</w:t>
            </w:r>
          </w:p>
        </w:tc>
        <w:tc>
          <w:tcPr>
            <w:tcW w:w="894" w:type="dxa"/>
            <w:tcBorders>
              <w:top w:val="single" w:sz="12" w:space="0" w:color="auto"/>
              <w:left w:val="nil"/>
              <w:bottom w:val="single" w:sz="6" w:space="0" w:color="auto"/>
              <w:right w:val="single" w:sz="6" w:space="0" w:color="auto"/>
            </w:tcBorders>
            <w:shd w:val="clear" w:color="auto" w:fill="D9D9D9"/>
            <w:hideMark/>
          </w:tcPr>
          <w:p w:rsidR="009555CB" w:rsidRPr="00A043FE" w:rsidRDefault="009555CB" w:rsidP="00647E67">
            <w:pPr>
              <w:ind w:right="284"/>
              <w:jc w:val="right"/>
              <w:rPr>
                <w:rFonts w:cs="Arial"/>
                <w:b/>
              </w:rPr>
            </w:pPr>
            <w:r w:rsidRPr="00A043FE">
              <w:rPr>
                <w:rFonts w:cs="Arial"/>
                <w:b/>
              </w:rPr>
              <w:t>55</w:t>
            </w:r>
          </w:p>
        </w:tc>
        <w:tc>
          <w:tcPr>
            <w:tcW w:w="894" w:type="dxa"/>
            <w:tcBorders>
              <w:top w:val="single" w:sz="12" w:space="0" w:color="auto"/>
              <w:left w:val="single" w:sz="6" w:space="0" w:color="auto"/>
              <w:bottom w:val="single" w:sz="6" w:space="0" w:color="auto"/>
              <w:right w:val="single" w:sz="6" w:space="0" w:color="auto"/>
            </w:tcBorders>
            <w:shd w:val="clear" w:color="auto" w:fill="D9D9D9"/>
            <w:hideMark/>
          </w:tcPr>
          <w:p w:rsidR="009555CB" w:rsidRPr="00A043FE" w:rsidRDefault="009555CB" w:rsidP="00647E67">
            <w:pPr>
              <w:ind w:right="284"/>
              <w:jc w:val="right"/>
              <w:rPr>
                <w:rFonts w:cs="Arial"/>
                <w:b/>
              </w:rPr>
            </w:pPr>
            <w:r w:rsidRPr="00A043FE">
              <w:rPr>
                <w:rFonts w:cs="Arial"/>
                <w:b/>
              </w:rPr>
              <w:t>23</w:t>
            </w:r>
          </w:p>
        </w:tc>
        <w:tc>
          <w:tcPr>
            <w:tcW w:w="894" w:type="dxa"/>
            <w:tcBorders>
              <w:top w:val="single" w:sz="12" w:space="0" w:color="auto"/>
              <w:left w:val="single" w:sz="6" w:space="0" w:color="auto"/>
              <w:bottom w:val="single" w:sz="6" w:space="0" w:color="auto"/>
              <w:right w:val="single" w:sz="12" w:space="0" w:color="auto"/>
            </w:tcBorders>
            <w:shd w:val="clear" w:color="auto" w:fill="D9D9D9"/>
            <w:hideMark/>
          </w:tcPr>
          <w:p w:rsidR="009555CB" w:rsidRPr="00A043FE" w:rsidRDefault="009555CB" w:rsidP="00647E67">
            <w:pPr>
              <w:ind w:right="284"/>
              <w:jc w:val="right"/>
              <w:rPr>
                <w:rFonts w:cs="Arial"/>
                <w:b/>
              </w:rPr>
            </w:pPr>
            <w:r w:rsidRPr="00A043FE">
              <w:rPr>
                <w:rFonts w:cs="Arial"/>
                <w:b/>
              </w:rPr>
              <w:t>78</w:t>
            </w:r>
          </w:p>
        </w:tc>
        <w:tc>
          <w:tcPr>
            <w:tcW w:w="894" w:type="dxa"/>
            <w:tcBorders>
              <w:top w:val="single" w:sz="12" w:space="0" w:color="auto"/>
              <w:left w:val="nil"/>
              <w:bottom w:val="single" w:sz="6" w:space="0" w:color="auto"/>
              <w:right w:val="single" w:sz="6" w:space="0" w:color="auto"/>
            </w:tcBorders>
            <w:shd w:val="clear" w:color="auto" w:fill="D9D9D9"/>
            <w:hideMark/>
          </w:tcPr>
          <w:p w:rsidR="009555CB" w:rsidRPr="00A043FE" w:rsidRDefault="009555CB" w:rsidP="00647E67">
            <w:pPr>
              <w:ind w:right="284"/>
              <w:jc w:val="right"/>
              <w:rPr>
                <w:rFonts w:cs="Arial"/>
                <w:b/>
              </w:rPr>
            </w:pPr>
            <w:r w:rsidRPr="00A043FE">
              <w:rPr>
                <w:rFonts w:cs="Arial"/>
                <w:b/>
              </w:rPr>
              <w:t>59</w:t>
            </w:r>
          </w:p>
        </w:tc>
        <w:tc>
          <w:tcPr>
            <w:tcW w:w="894" w:type="dxa"/>
            <w:tcBorders>
              <w:top w:val="single" w:sz="12" w:space="0" w:color="auto"/>
              <w:left w:val="single" w:sz="6" w:space="0" w:color="auto"/>
              <w:bottom w:val="single" w:sz="6" w:space="0" w:color="auto"/>
              <w:right w:val="single" w:sz="6" w:space="0" w:color="auto"/>
            </w:tcBorders>
            <w:shd w:val="clear" w:color="auto" w:fill="D9D9D9"/>
            <w:hideMark/>
          </w:tcPr>
          <w:p w:rsidR="009555CB" w:rsidRPr="00A043FE" w:rsidRDefault="009555CB" w:rsidP="00647E67">
            <w:pPr>
              <w:ind w:right="284"/>
              <w:jc w:val="right"/>
              <w:rPr>
                <w:rFonts w:cs="Arial"/>
                <w:b/>
              </w:rPr>
            </w:pPr>
            <w:r w:rsidRPr="00A043FE">
              <w:rPr>
                <w:rFonts w:cs="Arial"/>
                <w:b/>
              </w:rPr>
              <w:t>6</w:t>
            </w:r>
          </w:p>
        </w:tc>
        <w:tc>
          <w:tcPr>
            <w:tcW w:w="894" w:type="dxa"/>
            <w:tcBorders>
              <w:top w:val="single" w:sz="12" w:space="0" w:color="auto"/>
              <w:left w:val="single" w:sz="6" w:space="0" w:color="auto"/>
              <w:bottom w:val="single" w:sz="6" w:space="0" w:color="auto"/>
              <w:right w:val="single" w:sz="12" w:space="0" w:color="auto"/>
            </w:tcBorders>
            <w:shd w:val="clear" w:color="auto" w:fill="D9D9D9"/>
            <w:hideMark/>
          </w:tcPr>
          <w:p w:rsidR="009555CB" w:rsidRPr="00A043FE" w:rsidRDefault="009555CB" w:rsidP="00647E67">
            <w:pPr>
              <w:ind w:right="284"/>
              <w:jc w:val="right"/>
              <w:rPr>
                <w:rFonts w:cs="Arial"/>
                <w:b/>
              </w:rPr>
            </w:pPr>
            <w:r w:rsidRPr="00A043FE">
              <w:rPr>
                <w:rFonts w:cs="Arial"/>
                <w:b/>
              </w:rPr>
              <w:t>65</w:t>
            </w:r>
          </w:p>
        </w:tc>
        <w:tc>
          <w:tcPr>
            <w:tcW w:w="1298" w:type="dxa"/>
            <w:tcBorders>
              <w:top w:val="single" w:sz="12" w:space="0" w:color="auto"/>
              <w:left w:val="nil"/>
              <w:bottom w:val="single" w:sz="6" w:space="0" w:color="auto"/>
              <w:right w:val="single" w:sz="12" w:space="0" w:color="auto"/>
            </w:tcBorders>
            <w:shd w:val="clear" w:color="auto" w:fill="D9D9D9"/>
            <w:hideMark/>
          </w:tcPr>
          <w:p w:rsidR="009555CB" w:rsidRPr="00A043FE" w:rsidRDefault="009555CB" w:rsidP="00647E67">
            <w:pPr>
              <w:ind w:right="284"/>
              <w:jc w:val="right"/>
              <w:rPr>
                <w:rFonts w:cs="Arial"/>
                <w:b/>
              </w:rPr>
            </w:pPr>
            <w:r w:rsidRPr="00A043FE">
              <w:rPr>
                <w:rFonts w:cs="Arial"/>
                <w:b/>
              </w:rPr>
              <w:t>52</w:t>
            </w:r>
          </w:p>
        </w:tc>
        <w:tc>
          <w:tcPr>
            <w:tcW w:w="1396" w:type="dxa"/>
            <w:tcBorders>
              <w:top w:val="single" w:sz="12" w:space="0" w:color="auto"/>
              <w:left w:val="nil"/>
              <w:bottom w:val="single" w:sz="6" w:space="0" w:color="auto"/>
              <w:right w:val="single" w:sz="6" w:space="0" w:color="auto"/>
            </w:tcBorders>
            <w:shd w:val="clear" w:color="auto" w:fill="D9D9D9"/>
            <w:hideMark/>
          </w:tcPr>
          <w:p w:rsidR="009555CB" w:rsidRPr="00A043FE" w:rsidRDefault="009555CB" w:rsidP="00647E67">
            <w:pPr>
              <w:ind w:right="284"/>
              <w:jc w:val="right"/>
              <w:rPr>
                <w:rFonts w:cs="Arial"/>
                <w:b/>
              </w:rPr>
            </w:pPr>
            <w:r w:rsidRPr="00A043FE">
              <w:rPr>
                <w:rFonts w:cs="Arial"/>
                <w:b/>
              </w:rPr>
              <w:t>1326</w:t>
            </w:r>
          </w:p>
        </w:tc>
      </w:tr>
    </w:tbl>
    <w:p w:rsidR="009555CB" w:rsidRPr="00A043FE" w:rsidRDefault="009555CB" w:rsidP="009555CB">
      <w:pPr>
        <w:rPr>
          <w:rFonts w:cs="Arial"/>
          <w:u w:val="single"/>
        </w:rPr>
      </w:pPr>
    </w:p>
    <w:p w:rsidR="009555CB" w:rsidRPr="00A043FE" w:rsidRDefault="009555CB" w:rsidP="009555CB">
      <w:pPr>
        <w:rPr>
          <w:rFonts w:cs="Arial"/>
          <w:u w:val="single"/>
        </w:rPr>
      </w:pPr>
    </w:p>
    <w:p w:rsidR="009555CB" w:rsidRPr="00A043FE" w:rsidRDefault="009555CB" w:rsidP="009555CB">
      <w:pPr>
        <w:keepNext/>
        <w:rPr>
          <w:rFonts w:cs="Arial"/>
          <w:u w:val="single"/>
        </w:rPr>
      </w:pPr>
      <w:r w:rsidRPr="00A043FE">
        <w:rPr>
          <w:rFonts w:cs="Arial"/>
        </w:rPr>
        <w:lastRenderedPageBreak/>
        <w:t>5.</w:t>
      </w:r>
      <w:r w:rsidRPr="00A043FE">
        <w:rPr>
          <w:rFonts w:cs="Arial"/>
        </w:rPr>
        <w:tab/>
      </w:r>
      <w:r w:rsidRPr="00A043FE">
        <w:rPr>
          <w:rFonts w:cs="Arial"/>
          <w:u w:val="single"/>
        </w:rPr>
        <w:t>Activities for the promotion of plant variety protection</w:t>
      </w:r>
    </w:p>
    <w:p w:rsidR="009555CB" w:rsidRPr="00A043FE" w:rsidRDefault="009555CB" w:rsidP="009555CB">
      <w:pPr>
        <w:keepNext/>
        <w:rPr>
          <w:rFonts w:cs="Arial"/>
        </w:rPr>
      </w:pPr>
    </w:p>
    <w:p w:rsidR="009555CB" w:rsidRPr="00A043FE" w:rsidRDefault="009555CB" w:rsidP="009555CB">
      <w:pPr>
        <w:rPr>
          <w:rFonts w:cs="Arial"/>
        </w:rPr>
      </w:pPr>
      <w:r w:rsidRPr="00A043FE">
        <w:rPr>
          <w:rFonts w:cs="Arial"/>
        </w:rPr>
        <w:t xml:space="preserve">Representatives from Poland regularly participate in the sessions of the UPOV organs and in the UPOV Technical Working Parties. </w:t>
      </w:r>
    </w:p>
    <w:p w:rsidR="009555CB" w:rsidRPr="00A043FE" w:rsidRDefault="009555CB" w:rsidP="009555CB">
      <w:pPr>
        <w:rPr>
          <w:rFonts w:cs="Arial"/>
        </w:rPr>
      </w:pPr>
    </w:p>
    <w:p w:rsidR="009555CB" w:rsidRPr="00A043FE" w:rsidRDefault="009555CB" w:rsidP="009555CB">
      <w:pPr>
        <w:rPr>
          <w:rFonts w:cs="Arial"/>
        </w:rPr>
      </w:pPr>
      <w:r w:rsidRPr="00A043FE">
        <w:rPr>
          <w:rFonts w:cs="Arial"/>
        </w:rPr>
        <w:t>Furthermore, Polish representatives take part in the meetings of the Standing Committee on CPVR DG SANTE, Brussels as well as in the CPVO Administrative Council meetings.</w:t>
      </w:r>
    </w:p>
    <w:p w:rsidR="009555CB" w:rsidRPr="00A043FE" w:rsidRDefault="009555CB" w:rsidP="009555CB">
      <w:pPr>
        <w:rPr>
          <w:rFonts w:cs="Arial"/>
        </w:rPr>
      </w:pPr>
    </w:p>
    <w:p w:rsidR="009555CB" w:rsidRPr="00A043FE" w:rsidRDefault="009555CB" w:rsidP="009555CB">
      <w:pPr>
        <w:rPr>
          <w:rFonts w:cs="Arial"/>
          <w:color w:val="000000" w:themeColor="text1"/>
        </w:rPr>
      </w:pPr>
      <w:r w:rsidRPr="00A043FE">
        <w:rPr>
          <w:rFonts w:cs="Arial"/>
          <w:color w:val="000000" w:themeColor="text1"/>
        </w:rPr>
        <w:t xml:space="preserve">Within the reporting period, the UPOV Distance Learning Course “Introduction to the UPOV System of Plant variety Protection under the UPOV Convention” (DL-205) has successfully been completed by two COBORU experts and one DUS examiner. </w:t>
      </w:r>
    </w:p>
    <w:p w:rsidR="009555CB" w:rsidRPr="00A043FE" w:rsidRDefault="009555CB" w:rsidP="009555CB">
      <w:pPr>
        <w:rPr>
          <w:rFonts w:cs="Arial"/>
        </w:rPr>
      </w:pPr>
    </w:p>
    <w:p w:rsidR="009555CB" w:rsidRPr="00A043FE" w:rsidRDefault="009555CB" w:rsidP="009555CB">
      <w:pPr>
        <w:rPr>
          <w:rFonts w:cs="Arial"/>
          <w:i/>
          <w:iCs/>
        </w:rPr>
      </w:pPr>
      <w:r w:rsidRPr="00A043FE">
        <w:rPr>
          <w:rFonts w:cs="Arial"/>
          <w:i/>
          <w:iCs/>
        </w:rPr>
        <w:t>Publications</w:t>
      </w:r>
    </w:p>
    <w:p w:rsidR="009555CB" w:rsidRPr="00A043FE" w:rsidRDefault="009555CB" w:rsidP="009555CB">
      <w:pPr>
        <w:rPr>
          <w:rFonts w:cs="Arial"/>
        </w:rPr>
      </w:pPr>
    </w:p>
    <w:p w:rsidR="009555CB" w:rsidRPr="00A043FE" w:rsidRDefault="009555CB" w:rsidP="009555CB">
      <w:pPr>
        <w:rPr>
          <w:rFonts w:cs="Arial"/>
        </w:rPr>
      </w:pPr>
      <w:r w:rsidRPr="00A043FE">
        <w:rPr>
          <w:rFonts w:cs="Arial"/>
        </w:rPr>
        <w:t xml:space="preserve">Every two months COBORU issues the </w:t>
      </w:r>
      <w:r w:rsidRPr="00A043FE">
        <w:rPr>
          <w:rFonts w:cs="Arial"/>
          <w:i/>
          <w:iCs/>
        </w:rPr>
        <w:t xml:space="preserve">Polish Gazette for Plant Breeders’ Rights and National List </w:t>
      </w:r>
      <w:r w:rsidRPr="00A043FE">
        <w:rPr>
          <w:rFonts w:cs="Arial"/>
        </w:rPr>
        <w:t xml:space="preserve">(Diariusz), which contains details referring to national PBR protection and national listing systems. </w:t>
      </w:r>
    </w:p>
    <w:p w:rsidR="009555CB" w:rsidRPr="00A043FE" w:rsidRDefault="009555CB" w:rsidP="009555CB">
      <w:pPr>
        <w:rPr>
          <w:rFonts w:cs="Arial"/>
        </w:rPr>
      </w:pPr>
    </w:p>
    <w:p w:rsidR="009555CB" w:rsidRPr="00A043FE" w:rsidRDefault="009555CB" w:rsidP="009555CB">
      <w:pPr>
        <w:rPr>
          <w:rFonts w:cs="Arial"/>
        </w:rPr>
      </w:pPr>
      <w:r w:rsidRPr="00A043FE">
        <w:rPr>
          <w:rFonts w:cs="Arial"/>
        </w:rPr>
        <w:t xml:space="preserve">The list of varieties protected by national Plant Breeders’ Rights (including provisional PBR’s), valid as on June 30, 2022, has been published in the third number of the </w:t>
      </w:r>
      <w:r w:rsidRPr="00A043FE">
        <w:rPr>
          <w:rFonts w:cs="Arial"/>
          <w:i/>
          <w:iCs/>
        </w:rPr>
        <w:t>Polish Gazette for Plant Breeders’ Rights and National List</w:t>
      </w:r>
      <w:r w:rsidRPr="00A043FE">
        <w:rPr>
          <w:rFonts w:cs="Arial"/>
          <w:iCs/>
        </w:rPr>
        <w:t>,</w:t>
      </w:r>
      <w:r w:rsidRPr="00A043FE">
        <w:rPr>
          <w:rFonts w:cs="Arial"/>
          <w:i/>
          <w:iCs/>
        </w:rPr>
        <w:t xml:space="preserve"> </w:t>
      </w:r>
      <w:r w:rsidRPr="00A043FE">
        <w:rPr>
          <w:rFonts w:cs="Arial"/>
          <w:iCs/>
        </w:rPr>
        <w:t xml:space="preserve">i.e. </w:t>
      </w:r>
      <w:r w:rsidRPr="00A043FE">
        <w:rPr>
          <w:rFonts w:cs="Arial"/>
        </w:rPr>
        <w:t>No 3(170)2022.</w:t>
      </w:r>
    </w:p>
    <w:p w:rsidR="009555CB" w:rsidRPr="00A043FE" w:rsidRDefault="009555CB" w:rsidP="009555CB">
      <w:pPr>
        <w:rPr>
          <w:rFonts w:cs="Arial"/>
        </w:rPr>
      </w:pPr>
    </w:p>
    <w:p w:rsidR="009555CB" w:rsidRPr="00A043FE" w:rsidRDefault="009555CB" w:rsidP="009555CB">
      <w:pPr>
        <w:rPr>
          <w:rFonts w:cs="Arial"/>
        </w:rPr>
      </w:pPr>
      <w:r w:rsidRPr="00A043FE">
        <w:rPr>
          <w:rFonts w:cs="Arial"/>
        </w:rPr>
        <w:t xml:space="preserve">The Official Gazette can also be found on our website, in the section: </w:t>
      </w:r>
      <w:r w:rsidRPr="00A043FE">
        <w:rPr>
          <w:rFonts w:cs="Arial"/>
          <w:i/>
          <w:iCs/>
        </w:rPr>
        <w:t>Publications</w:t>
      </w:r>
      <w:r w:rsidRPr="00A043FE">
        <w:rPr>
          <w:rFonts w:cs="Arial"/>
        </w:rPr>
        <w:t>.</w:t>
      </w:r>
    </w:p>
    <w:p w:rsidR="009555CB" w:rsidRPr="00A043FE" w:rsidRDefault="009555CB" w:rsidP="009555CB">
      <w:pPr>
        <w:rPr>
          <w:rFonts w:cs="Arial"/>
        </w:rPr>
      </w:pPr>
    </w:p>
    <w:p w:rsidR="009555CB" w:rsidRPr="00A043FE" w:rsidRDefault="009555CB" w:rsidP="009555CB">
      <w:pPr>
        <w:rPr>
          <w:rFonts w:cs="Arial"/>
        </w:rPr>
      </w:pPr>
      <w:r w:rsidRPr="00A043FE">
        <w:rPr>
          <w:rFonts w:cs="Arial"/>
        </w:rPr>
        <w:t>Additionally, the Research Centre for Cultivar Testing maintains and updates systematically a homepage</w:t>
      </w:r>
      <w:r w:rsidRPr="00A043FE">
        <w:rPr>
          <w:rFonts w:cs="Arial"/>
          <w:iCs/>
        </w:rPr>
        <w:t xml:space="preserve"> </w:t>
      </w:r>
      <w:hyperlink r:id="rId34" w:history="1">
        <w:r w:rsidRPr="00A043FE">
          <w:rPr>
            <w:rStyle w:val="Hyperlink"/>
            <w:rFonts w:cs="Arial"/>
            <w:iCs/>
          </w:rPr>
          <w:t>www.coboru.gov.pl</w:t>
        </w:r>
      </w:hyperlink>
      <w:r w:rsidRPr="00A043FE">
        <w:rPr>
          <w:rFonts w:cs="Arial"/>
          <w:i/>
          <w:iCs/>
        </w:rPr>
        <w:t xml:space="preserve"> </w:t>
      </w:r>
      <w:r w:rsidRPr="00A043FE">
        <w:rPr>
          <w:rFonts w:cs="Arial"/>
        </w:rPr>
        <w:t>that contains the official information on PVP matters in Poland.</w:t>
      </w:r>
    </w:p>
    <w:p w:rsidR="009555CB" w:rsidRPr="00A043FE" w:rsidRDefault="009555CB" w:rsidP="009555CB">
      <w:pPr>
        <w:rPr>
          <w:rFonts w:cs="Arial"/>
        </w:rPr>
      </w:pPr>
    </w:p>
    <w:p w:rsidR="009555CB" w:rsidRPr="00A043FE" w:rsidRDefault="009555CB" w:rsidP="009555CB">
      <w:pPr>
        <w:rPr>
          <w:rFonts w:cs="Arial"/>
        </w:rPr>
      </w:pPr>
      <w:r w:rsidRPr="00A043FE">
        <w:rPr>
          <w:rFonts w:cs="Arial"/>
        </w:rPr>
        <w:t>During the reporting period COBORU was involved in the following promotional activities:</w:t>
      </w:r>
    </w:p>
    <w:p w:rsidR="009555CB" w:rsidRPr="00A043FE" w:rsidRDefault="009555CB" w:rsidP="009555CB">
      <w:pPr>
        <w:rPr>
          <w:rFonts w:cs="Arial"/>
          <w:color w:val="000000"/>
        </w:rPr>
      </w:pP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691"/>
        <w:gridCol w:w="1276"/>
        <w:gridCol w:w="1276"/>
        <w:gridCol w:w="1559"/>
        <w:gridCol w:w="2126"/>
        <w:gridCol w:w="1985"/>
      </w:tblGrid>
      <w:tr w:rsidR="009555CB" w:rsidRPr="00A043FE" w:rsidTr="00647E67">
        <w:trPr>
          <w:tblHeader/>
        </w:trPr>
        <w:tc>
          <w:tcPr>
            <w:tcW w:w="1691" w:type="dxa"/>
            <w:hideMark/>
          </w:tcPr>
          <w:p w:rsidR="009555CB" w:rsidRPr="00A043FE" w:rsidRDefault="009555CB" w:rsidP="00647E67">
            <w:pPr>
              <w:jc w:val="left"/>
              <w:rPr>
                <w:rFonts w:cs="Arial"/>
                <w:sz w:val="16"/>
                <w:szCs w:val="18"/>
              </w:rPr>
            </w:pPr>
            <w:r w:rsidRPr="00A043FE">
              <w:rPr>
                <w:rFonts w:cs="Arial"/>
                <w:sz w:val="16"/>
                <w:szCs w:val="18"/>
              </w:rPr>
              <w:t>Title of activity</w:t>
            </w:r>
          </w:p>
        </w:tc>
        <w:tc>
          <w:tcPr>
            <w:tcW w:w="1276" w:type="dxa"/>
            <w:hideMark/>
          </w:tcPr>
          <w:p w:rsidR="009555CB" w:rsidRPr="00A043FE" w:rsidRDefault="009555CB" w:rsidP="00647E67">
            <w:pPr>
              <w:jc w:val="left"/>
              <w:rPr>
                <w:rFonts w:cs="Arial"/>
                <w:sz w:val="16"/>
                <w:szCs w:val="18"/>
              </w:rPr>
            </w:pPr>
            <w:r w:rsidRPr="00A043FE">
              <w:rPr>
                <w:rFonts w:cs="Arial"/>
                <w:sz w:val="16"/>
                <w:szCs w:val="18"/>
              </w:rPr>
              <w:t>Date</w:t>
            </w:r>
          </w:p>
        </w:tc>
        <w:tc>
          <w:tcPr>
            <w:tcW w:w="1276" w:type="dxa"/>
            <w:hideMark/>
          </w:tcPr>
          <w:p w:rsidR="009555CB" w:rsidRPr="00A043FE" w:rsidRDefault="009555CB" w:rsidP="00647E67">
            <w:pPr>
              <w:jc w:val="left"/>
              <w:rPr>
                <w:rFonts w:cs="Arial"/>
                <w:sz w:val="16"/>
                <w:szCs w:val="18"/>
              </w:rPr>
            </w:pPr>
            <w:r w:rsidRPr="00A043FE">
              <w:rPr>
                <w:rFonts w:cs="Arial"/>
                <w:sz w:val="16"/>
                <w:szCs w:val="18"/>
              </w:rPr>
              <w:t>Location</w:t>
            </w:r>
          </w:p>
        </w:tc>
        <w:tc>
          <w:tcPr>
            <w:tcW w:w="1559" w:type="dxa"/>
            <w:hideMark/>
          </w:tcPr>
          <w:p w:rsidR="009555CB" w:rsidRPr="00A043FE" w:rsidRDefault="009555CB" w:rsidP="00647E67">
            <w:pPr>
              <w:jc w:val="left"/>
              <w:rPr>
                <w:rFonts w:cs="Arial"/>
                <w:sz w:val="16"/>
                <w:szCs w:val="18"/>
              </w:rPr>
            </w:pPr>
            <w:r w:rsidRPr="00A043FE">
              <w:rPr>
                <w:rFonts w:cs="Arial"/>
                <w:sz w:val="16"/>
                <w:szCs w:val="18"/>
              </w:rPr>
              <w:t>Organizer(s)</w:t>
            </w:r>
          </w:p>
        </w:tc>
        <w:tc>
          <w:tcPr>
            <w:tcW w:w="2126" w:type="dxa"/>
            <w:hideMark/>
          </w:tcPr>
          <w:p w:rsidR="009555CB" w:rsidRPr="00A043FE" w:rsidRDefault="009555CB" w:rsidP="00647E67">
            <w:pPr>
              <w:jc w:val="left"/>
              <w:rPr>
                <w:rFonts w:cs="Arial"/>
                <w:sz w:val="16"/>
                <w:szCs w:val="18"/>
              </w:rPr>
            </w:pPr>
            <w:r w:rsidRPr="00A043FE">
              <w:rPr>
                <w:rFonts w:cs="Arial"/>
                <w:sz w:val="16"/>
                <w:szCs w:val="18"/>
              </w:rPr>
              <w:t>Purpose of activity</w:t>
            </w:r>
          </w:p>
        </w:tc>
        <w:tc>
          <w:tcPr>
            <w:tcW w:w="1985" w:type="dxa"/>
            <w:hideMark/>
          </w:tcPr>
          <w:p w:rsidR="009555CB" w:rsidRPr="00A043FE" w:rsidRDefault="009555CB" w:rsidP="00647E67">
            <w:pPr>
              <w:jc w:val="left"/>
              <w:rPr>
                <w:rFonts w:cs="Arial"/>
                <w:sz w:val="16"/>
                <w:szCs w:val="18"/>
              </w:rPr>
            </w:pPr>
            <w:r w:rsidRPr="00A043FE">
              <w:rPr>
                <w:rFonts w:cs="Arial"/>
                <w:sz w:val="16"/>
                <w:szCs w:val="18"/>
              </w:rPr>
              <w:t>Participating countries/ organizations (number of participants from each)</w:t>
            </w:r>
          </w:p>
        </w:tc>
      </w:tr>
      <w:tr w:rsidR="009555CB" w:rsidRPr="00A043FE" w:rsidTr="00647E67">
        <w:trPr>
          <w:cantSplit/>
        </w:trPr>
        <w:tc>
          <w:tcPr>
            <w:tcW w:w="1691" w:type="dxa"/>
          </w:tcPr>
          <w:p w:rsidR="009555CB" w:rsidRPr="00A043FE" w:rsidRDefault="009555CB" w:rsidP="00647E67">
            <w:pPr>
              <w:jc w:val="left"/>
              <w:rPr>
                <w:rFonts w:cs="Arial"/>
                <w:color w:val="000000"/>
                <w:sz w:val="16"/>
                <w:szCs w:val="18"/>
              </w:rPr>
            </w:pPr>
            <w:r w:rsidRPr="00A043FE">
              <w:rPr>
                <w:rFonts w:cs="Arial"/>
                <w:color w:val="000000"/>
                <w:sz w:val="16"/>
                <w:szCs w:val="18"/>
              </w:rPr>
              <w:t>1. Twining Project Meetings: UA 19 ENI HE 01 20 for Ukraine</w:t>
            </w:r>
          </w:p>
          <w:p w:rsidR="009555CB" w:rsidRPr="00A043FE" w:rsidRDefault="009555CB" w:rsidP="00647E67">
            <w:pPr>
              <w:jc w:val="left"/>
              <w:rPr>
                <w:rFonts w:cs="Arial"/>
                <w:color w:val="000000"/>
                <w:sz w:val="16"/>
                <w:szCs w:val="18"/>
              </w:rPr>
            </w:pPr>
          </w:p>
        </w:tc>
        <w:tc>
          <w:tcPr>
            <w:tcW w:w="1276" w:type="dxa"/>
          </w:tcPr>
          <w:p w:rsidR="009555CB" w:rsidRPr="00A043FE" w:rsidRDefault="009555CB" w:rsidP="00647E67">
            <w:pPr>
              <w:jc w:val="left"/>
              <w:rPr>
                <w:rFonts w:cs="Arial"/>
                <w:color w:val="000000"/>
                <w:sz w:val="16"/>
                <w:szCs w:val="18"/>
              </w:rPr>
            </w:pPr>
            <w:r w:rsidRPr="00A043FE">
              <w:rPr>
                <w:rFonts w:cs="Arial"/>
                <w:color w:val="000000"/>
                <w:sz w:val="16"/>
                <w:szCs w:val="18"/>
              </w:rPr>
              <w:t>23.12.2021</w:t>
            </w:r>
          </w:p>
          <w:p w:rsidR="009555CB" w:rsidRPr="00A043FE" w:rsidRDefault="009555CB" w:rsidP="00647E67">
            <w:pPr>
              <w:jc w:val="left"/>
              <w:rPr>
                <w:rFonts w:cs="Arial"/>
                <w:color w:val="000000"/>
                <w:sz w:val="16"/>
                <w:szCs w:val="18"/>
              </w:rPr>
            </w:pPr>
          </w:p>
          <w:p w:rsidR="009555CB" w:rsidRPr="00A043FE" w:rsidRDefault="009555CB" w:rsidP="00647E67">
            <w:pPr>
              <w:jc w:val="left"/>
              <w:rPr>
                <w:rFonts w:cs="Arial"/>
                <w:color w:val="000000"/>
                <w:sz w:val="16"/>
                <w:szCs w:val="18"/>
              </w:rPr>
            </w:pPr>
            <w:r w:rsidRPr="00A043FE">
              <w:rPr>
                <w:rFonts w:cs="Arial"/>
                <w:color w:val="000000"/>
                <w:sz w:val="16"/>
                <w:szCs w:val="18"/>
              </w:rPr>
              <w:t>01.03.2022</w:t>
            </w:r>
          </w:p>
          <w:p w:rsidR="009555CB" w:rsidRPr="00A043FE" w:rsidRDefault="009555CB" w:rsidP="00647E67">
            <w:pPr>
              <w:jc w:val="left"/>
              <w:rPr>
                <w:rFonts w:cs="Arial"/>
                <w:color w:val="000000"/>
                <w:sz w:val="16"/>
                <w:szCs w:val="18"/>
              </w:rPr>
            </w:pPr>
          </w:p>
        </w:tc>
        <w:tc>
          <w:tcPr>
            <w:tcW w:w="1276" w:type="dxa"/>
          </w:tcPr>
          <w:p w:rsidR="009555CB" w:rsidRPr="00A043FE" w:rsidRDefault="009555CB" w:rsidP="00647E67">
            <w:pPr>
              <w:jc w:val="left"/>
              <w:rPr>
                <w:rFonts w:cs="Arial"/>
                <w:color w:val="000000"/>
                <w:sz w:val="16"/>
                <w:szCs w:val="18"/>
              </w:rPr>
            </w:pPr>
            <w:r w:rsidRPr="00A043FE">
              <w:rPr>
                <w:rFonts w:cs="Arial"/>
                <w:color w:val="000000"/>
                <w:sz w:val="16"/>
                <w:szCs w:val="18"/>
              </w:rPr>
              <w:t>On-line</w:t>
            </w:r>
          </w:p>
          <w:p w:rsidR="009555CB" w:rsidRPr="00A043FE" w:rsidRDefault="009555CB" w:rsidP="00647E67">
            <w:pPr>
              <w:jc w:val="left"/>
              <w:rPr>
                <w:rFonts w:cs="Arial"/>
                <w:color w:val="000000"/>
                <w:sz w:val="16"/>
                <w:szCs w:val="18"/>
              </w:rPr>
            </w:pPr>
          </w:p>
          <w:p w:rsidR="009555CB" w:rsidRPr="00A043FE" w:rsidRDefault="009555CB" w:rsidP="00647E67">
            <w:pPr>
              <w:jc w:val="left"/>
              <w:rPr>
                <w:rFonts w:cs="Arial"/>
                <w:color w:val="000000"/>
                <w:sz w:val="16"/>
                <w:szCs w:val="18"/>
              </w:rPr>
            </w:pPr>
            <w:r w:rsidRPr="00A043FE">
              <w:rPr>
                <w:rFonts w:cs="Arial"/>
                <w:color w:val="000000"/>
                <w:sz w:val="16"/>
                <w:szCs w:val="18"/>
              </w:rPr>
              <w:t>On-line</w:t>
            </w:r>
          </w:p>
        </w:tc>
        <w:tc>
          <w:tcPr>
            <w:tcW w:w="1559" w:type="dxa"/>
          </w:tcPr>
          <w:p w:rsidR="009555CB" w:rsidRPr="00A043FE" w:rsidRDefault="009555CB" w:rsidP="00647E67">
            <w:pPr>
              <w:jc w:val="left"/>
              <w:rPr>
                <w:rFonts w:cs="Arial"/>
                <w:color w:val="000000"/>
                <w:sz w:val="16"/>
                <w:szCs w:val="18"/>
              </w:rPr>
            </w:pPr>
            <w:r w:rsidRPr="00A043FE">
              <w:rPr>
                <w:rFonts w:cs="Arial"/>
                <w:color w:val="000000"/>
                <w:sz w:val="16"/>
                <w:szCs w:val="18"/>
              </w:rPr>
              <w:t>European Commission,</w:t>
            </w:r>
          </w:p>
          <w:p w:rsidR="009555CB" w:rsidRPr="00A043FE" w:rsidRDefault="009555CB" w:rsidP="00647E67">
            <w:pPr>
              <w:jc w:val="left"/>
              <w:rPr>
                <w:rFonts w:cs="Arial"/>
                <w:color w:val="000000"/>
                <w:sz w:val="16"/>
                <w:szCs w:val="18"/>
              </w:rPr>
            </w:pPr>
            <w:r w:rsidRPr="00A043FE">
              <w:rPr>
                <w:rFonts w:cs="Arial"/>
                <w:color w:val="000000"/>
                <w:sz w:val="16"/>
                <w:szCs w:val="18"/>
              </w:rPr>
              <w:t>SPPS - Latvia,</w:t>
            </w:r>
          </w:p>
          <w:p w:rsidR="009555CB" w:rsidRPr="00A043FE" w:rsidRDefault="009555CB" w:rsidP="00647E67">
            <w:pPr>
              <w:jc w:val="left"/>
              <w:rPr>
                <w:rFonts w:cs="Arial"/>
                <w:color w:val="000000"/>
                <w:sz w:val="16"/>
                <w:szCs w:val="18"/>
              </w:rPr>
            </w:pPr>
            <w:r w:rsidRPr="00A043FE">
              <w:rPr>
                <w:rFonts w:cs="Arial"/>
                <w:color w:val="000000"/>
                <w:sz w:val="16"/>
                <w:szCs w:val="18"/>
              </w:rPr>
              <w:t>UIBOR - Ukraine,</w:t>
            </w:r>
          </w:p>
          <w:p w:rsidR="009555CB" w:rsidRPr="00A043FE" w:rsidRDefault="009555CB" w:rsidP="00647E67">
            <w:pPr>
              <w:jc w:val="left"/>
              <w:rPr>
                <w:rFonts w:cs="Arial"/>
                <w:color w:val="000000"/>
                <w:sz w:val="16"/>
                <w:szCs w:val="18"/>
              </w:rPr>
            </w:pPr>
            <w:r w:rsidRPr="00A043FE">
              <w:rPr>
                <w:rFonts w:cs="Arial"/>
                <w:color w:val="000000"/>
                <w:sz w:val="16"/>
                <w:szCs w:val="18"/>
              </w:rPr>
              <w:t>Ministry of Foreign Affairs of the Republic of Poland</w:t>
            </w:r>
          </w:p>
        </w:tc>
        <w:tc>
          <w:tcPr>
            <w:tcW w:w="2126" w:type="dxa"/>
          </w:tcPr>
          <w:p w:rsidR="009555CB" w:rsidRPr="00A043FE" w:rsidRDefault="009555CB" w:rsidP="00647E67">
            <w:pPr>
              <w:jc w:val="left"/>
              <w:rPr>
                <w:rFonts w:cs="Arial"/>
                <w:sz w:val="16"/>
                <w:szCs w:val="18"/>
              </w:rPr>
            </w:pPr>
            <w:r w:rsidRPr="00A043FE">
              <w:rPr>
                <w:rFonts w:cs="Arial"/>
                <w:sz w:val="16"/>
                <w:szCs w:val="18"/>
              </w:rPr>
              <w:t>Working meeting</w:t>
            </w:r>
          </w:p>
          <w:p w:rsidR="009555CB" w:rsidRPr="00A043FE" w:rsidRDefault="009555CB" w:rsidP="00647E67">
            <w:pPr>
              <w:jc w:val="left"/>
              <w:rPr>
                <w:rFonts w:cs="Arial"/>
                <w:sz w:val="16"/>
                <w:szCs w:val="18"/>
              </w:rPr>
            </w:pPr>
          </w:p>
          <w:p w:rsidR="009555CB" w:rsidRPr="00A043FE" w:rsidRDefault="009555CB" w:rsidP="00647E67">
            <w:pPr>
              <w:jc w:val="left"/>
              <w:rPr>
                <w:rFonts w:cs="Arial"/>
                <w:color w:val="000000"/>
                <w:sz w:val="16"/>
                <w:szCs w:val="18"/>
              </w:rPr>
            </w:pPr>
            <w:r w:rsidRPr="00A043FE">
              <w:rPr>
                <w:rFonts w:cs="Arial"/>
                <w:sz w:val="16"/>
                <w:szCs w:val="18"/>
              </w:rPr>
              <w:t>Steering Committee</w:t>
            </w:r>
            <w:r w:rsidRPr="00A043FE">
              <w:rPr>
                <w:rFonts w:cs="Arial"/>
                <w:color w:val="000000"/>
                <w:sz w:val="16"/>
                <w:szCs w:val="18"/>
              </w:rPr>
              <w:t>: Quarterly report</w:t>
            </w:r>
          </w:p>
        </w:tc>
        <w:tc>
          <w:tcPr>
            <w:tcW w:w="1985" w:type="dxa"/>
          </w:tcPr>
          <w:p w:rsidR="009555CB" w:rsidRPr="00A043FE" w:rsidRDefault="009555CB" w:rsidP="00647E67">
            <w:pPr>
              <w:jc w:val="left"/>
              <w:rPr>
                <w:rFonts w:cs="Arial"/>
                <w:color w:val="000000"/>
                <w:sz w:val="16"/>
                <w:szCs w:val="18"/>
              </w:rPr>
            </w:pPr>
            <w:r w:rsidRPr="00A043FE">
              <w:rPr>
                <w:rFonts w:cs="Arial"/>
                <w:color w:val="000000"/>
                <w:sz w:val="16"/>
                <w:szCs w:val="18"/>
              </w:rPr>
              <w:t>PL: 2</w:t>
            </w:r>
          </w:p>
          <w:p w:rsidR="009555CB" w:rsidRPr="00A043FE" w:rsidRDefault="009555CB" w:rsidP="00647E67">
            <w:pPr>
              <w:jc w:val="left"/>
              <w:rPr>
                <w:rFonts w:cs="Arial"/>
                <w:color w:val="000000"/>
                <w:sz w:val="16"/>
                <w:szCs w:val="18"/>
              </w:rPr>
            </w:pPr>
            <w:r w:rsidRPr="00A043FE">
              <w:rPr>
                <w:rFonts w:cs="Arial"/>
                <w:color w:val="000000"/>
                <w:sz w:val="16"/>
                <w:szCs w:val="18"/>
              </w:rPr>
              <w:t>Total: 17</w:t>
            </w:r>
          </w:p>
        </w:tc>
      </w:tr>
      <w:tr w:rsidR="009555CB" w:rsidRPr="00A043FE" w:rsidTr="00647E67">
        <w:trPr>
          <w:cantSplit/>
        </w:trPr>
        <w:tc>
          <w:tcPr>
            <w:tcW w:w="1691" w:type="dxa"/>
            <w:hideMark/>
          </w:tcPr>
          <w:p w:rsidR="009555CB" w:rsidRPr="00A043FE" w:rsidRDefault="009555CB" w:rsidP="00647E67">
            <w:pPr>
              <w:jc w:val="left"/>
              <w:rPr>
                <w:rFonts w:cs="Arial"/>
                <w:color w:val="000000"/>
                <w:sz w:val="16"/>
                <w:szCs w:val="18"/>
              </w:rPr>
            </w:pPr>
            <w:r w:rsidRPr="00A043FE">
              <w:rPr>
                <w:rFonts w:cs="Arial"/>
                <w:color w:val="000000"/>
                <w:sz w:val="16"/>
                <w:szCs w:val="18"/>
              </w:rPr>
              <w:t>2. IMMODUS working meeting</w:t>
            </w:r>
          </w:p>
        </w:tc>
        <w:tc>
          <w:tcPr>
            <w:tcW w:w="1276" w:type="dxa"/>
            <w:hideMark/>
          </w:tcPr>
          <w:p w:rsidR="009555CB" w:rsidRPr="00A043FE" w:rsidRDefault="009555CB" w:rsidP="00647E67">
            <w:pPr>
              <w:jc w:val="left"/>
              <w:rPr>
                <w:rFonts w:cs="Arial"/>
                <w:color w:val="000000"/>
                <w:sz w:val="16"/>
                <w:szCs w:val="18"/>
              </w:rPr>
            </w:pPr>
            <w:r w:rsidRPr="00A043FE">
              <w:rPr>
                <w:rFonts w:cs="Arial"/>
                <w:color w:val="000000"/>
                <w:sz w:val="16"/>
                <w:szCs w:val="18"/>
              </w:rPr>
              <w:t>04-05.05.2022</w:t>
            </w:r>
          </w:p>
        </w:tc>
        <w:tc>
          <w:tcPr>
            <w:tcW w:w="1276" w:type="dxa"/>
            <w:hideMark/>
          </w:tcPr>
          <w:p w:rsidR="009555CB" w:rsidRPr="00A043FE" w:rsidRDefault="009555CB" w:rsidP="00647E67">
            <w:pPr>
              <w:jc w:val="left"/>
              <w:rPr>
                <w:rFonts w:cs="Arial"/>
                <w:color w:val="000000"/>
                <w:sz w:val="16"/>
                <w:szCs w:val="18"/>
              </w:rPr>
            </w:pPr>
            <w:r w:rsidRPr="00A043FE">
              <w:rPr>
                <w:rFonts w:cs="Arial"/>
                <w:color w:val="000000"/>
                <w:sz w:val="16"/>
                <w:szCs w:val="18"/>
              </w:rPr>
              <w:t>Brussels</w:t>
            </w:r>
          </w:p>
        </w:tc>
        <w:tc>
          <w:tcPr>
            <w:tcW w:w="1559" w:type="dxa"/>
            <w:hideMark/>
          </w:tcPr>
          <w:p w:rsidR="009555CB" w:rsidRPr="00A043FE" w:rsidRDefault="009555CB" w:rsidP="00647E67">
            <w:pPr>
              <w:jc w:val="left"/>
              <w:rPr>
                <w:rFonts w:cs="Arial"/>
                <w:color w:val="000000"/>
                <w:sz w:val="16"/>
                <w:szCs w:val="18"/>
              </w:rPr>
            </w:pPr>
            <w:r w:rsidRPr="00A043FE">
              <w:rPr>
                <w:rFonts w:cs="Arial"/>
                <w:color w:val="000000"/>
                <w:sz w:val="16"/>
                <w:szCs w:val="18"/>
              </w:rPr>
              <w:t>CPVO</w:t>
            </w:r>
          </w:p>
        </w:tc>
        <w:tc>
          <w:tcPr>
            <w:tcW w:w="2126" w:type="dxa"/>
            <w:hideMark/>
          </w:tcPr>
          <w:p w:rsidR="009555CB" w:rsidRPr="00A043FE" w:rsidRDefault="009555CB" w:rsidP="00647E67">
            <w:pPr>
              <w:jc w:val="left"/>
              <w:rPr>
                <w:rFonts w:cs="Arial"/>
                <w:color w:val="000000"/>
                <w:sz w:val="16"/>
                <w:szCs w:val="18"/>
              </w:rPr>
            </w:pPr>
            <w:r w:rsidRPr="00A043FE">
              <w:rPr>
                <w:rFonts w:cs="Arial"/>
                <w:color w:val="000000"/>
                <w:sz w:val="16"/>
                <w:szCs w:val="18"/>
              </w:rPr>
              <w:t>Update on the revision of the PRM regulation</w:t>
            </w:r>
          </w:p>
          <w:p w:rsidR="009555CB" w:rsidRPr="00A043FE" w:rsidRDefault="009555CB" w:rsidP="00647E67">
            <w:pPr>
              <w:jc w:val="left"/>
              <w:rPr>
                <w:rFonts w:cs="Arial"/>
                <w:color w:val="000000"/>
                <w:sz w:val="16"/>
                <w:szCs w:val="18"/>
              </w:rPr>
            </w:pPr>
            <w:r w:rsidRPr="00A043FE">
              <w:rPr>
                <w:rFonts w:cs="Arial"/>
                <w:color w:val="000000"/>
                <w:sz w:val="16"/>
                <w:szCs w:val="18"/>
              </w:rPr>
              <w:t>Reporting</w:t>
            </w:r>
          </w:p>
        </w:tc>
        <w:tc>
          <w:tcPr>
            <w:tcW w:w="1985" w:type="dxa"/>
            <w:hideMark/>
          </w:tcPr>
          <w:p w:rsidR="009555CB" w:rsidRPr="00A043FE" w:rsidRDefault="009555CB" w:rsidP="00647E67">
            <w:pPr>
              <w:jc w:val="left"/>
              <w:rPr>
                <w:rFonts w:cs="Arial"/>
                <w:color w:val="000000"/>
                <w:sz w:val="16"/>
                <w:szCs w:val="18"/>
              </w:rPr>
            </w:pPr>
            <w:r w:rsidRPr="00A043FE">
              <w:rPr>
                <w:rFonts w:cs="Arial"/>
                <w:color w:val="000000"/>
                <w:sz w:val="16"/>
                <w:szCs w:val="18"/>
              </w:rPr>
              <w:t>PL: 1</w:t>
            </w:r>
          </w:p>
          <w:p w:rsidR="009555CB" w:rsidRPr="00A043FE" w:rsidRDefault="009555CB" w:rsidP="00647E67">
            <w:pPr>
              <w:jc w:val="left"/>
              <w:rPr>
                <w:rFonts w:cs="Arial"/>
                <w:color w:val="000000"/>
                <w:sz w:val="16"/>
                <w:szCs w:val="18"/>
              </w:rPr>
            </w:pPr>
            <w:r w:rsidRPr="00A043FE">
              <w:rPr>
                <w:rFonts w:cs="Arial"/>
                <w:color w:val="000000"/>
                <w:sz w:val="16"/>
                <w:szCs w:val="18"/>
              </w:rPr>
              <w:t>Total: 20</w:t>
            </w:r>
          </w:p>
        </w:tc>
      </w:tr>
      <w:tr w:rsidR="009555CB" w:rsidRPr="00A043FE" w:rsidTr="00647E67">
        <w:trPr>
          <w:cantSplit/>
        </w:trPr>
        <w:tc>
          <w:tcPr>
            <w:tcW w:w="1691" w:type="dxa"/>
            <w:hideMark/>
          </w:tcPr>
          <w:p w:rsidR="009555CB" w:rsidRPr="00A043FE" w:rsidRDefault="009555CB" w:rsidP="00647E67">
            <w:pPr>
              <w:jc w:val="left"/>
              <w:rPr>
                <w:rFonts w:cs="Arial"/>
                <w:color w:val="000000"/>
                <w:sz w:val="16"/>
                <w:szCs w:val="18"/>
              </w:rPr>
            </w:pPr>
            <w:r w:rsidRPr="00A043FE">
              <w:rPr>
                <w:rFonts w:cs="Arial"/>
                <w:color w:val="000000"/>
                <w:sz w:val="16"/>
                <w:szCs w:val="18"/>
              </w:rPr>
              <w:t>3. EU Twining Project Meetings: BA 18 IPA AG 03 19 for Bosnia and Herzegovina</w:t>
            </w:r>
          </w:p>
        </w:tc>
        <w:tc>
          <w:tcPr>
            <w:tcW w:w="1276" w:type="dxa"/>
            <w:hideMark/>
          </w:tcPr>
          <w:p w:rsidR="009555CB" w:rsidRPr="00A043FE" w:rsidRDefault="009555CB" w:rsidP="00647E67">
            <w:pPr>
              <w:jc w:val="left"/>
              <w:rPr>
                <w:rFonts w:cs="Arial"/>
                <w:color w:val="000000"/>
                <w:sz w:val="16"/>
                <w:szCs w:val="18"/>
              </w:rPr>
            </w:pPr>
            <w:r w:rsidRPr="00A043FE">
              <w:rPr>
                <w:rFonts w:cs="Arial"/>
                <w:color w:val="000000"/>
                <w:sz w:val="16"/>
                <w:szCs w:val="18"/>
              </w:rPr>
              <w:t>23-25.05.2022</w:t>
            </w:r>
          </w:p>
          <w:p w:rsidR="009555CB" w:rsidRPr="00A043FE" w:rsidRDefault="009555CB" w:rsidP="00647E67">
            <w:pPr>
              <w:jc w:val="left"/>
              <w:rPr>
                <w:rFonts w:cs="Arial"/>
                <w:color w:val="000000"/>
                <w:sz w:val="16"/>
                <w:szCs w:val="18"/>
              </w:rPr>
            </w:pPr>
          </w:p>
        </w:tc>
        <w:tc>
          <w:tcPr>
            <w:tcW w:w="1276" w:type="dxa"/>
            <w:hideMark/>
          </w:tcPr>
          <w:p w:rsidR="009555CB" w:rsidRPr="00A043FE" w:rsidRDefault="009555CB" w:rsidP="00647E67">
            <w:pPr>
              <w:jc w:val="left"/>
              <w:rPr>
                <w:rFonts w:cs="Arial"/>
                <w:color w:val="000000"/>
                <w:sz w:val="16"/>
                <w:szCs w:val="18"/>
              </w:rPr>
            </w:pPr>
            <w:r w:rsidRPr="00A043FE">
              <w:rPr>
                <w:rFonts w:cs="Arial"/>
                <w:color w:val="000000"/>
                <w:sz w:val="16"/>
                <w:szCs w:val="18"/>
              </w:rPr>
              <w:t>Poland, Słupia Wielka, Zybiszów</w:t>
            </w:r>
          </w:p>
        </w:tc>
        <w:tc>
          <w:tcPr>
            <w:tcW w:w="1559" w:type="dxa"/>
            <w:hideMark/>
          </w:tcPr>
          <w:p w:rsidR="009555CB" w:rsidRPr="00A043FE" w:rsidRDefault="009555CB" w:rsidP="00647E67">
            <w:pPr>
              <w:jc w:val="left"/>
              <w:rPr>
                <w:rFonts w:cs="Arial"/>
                <w:color w:val="000000"/>
                <w:sz w:val="16"/>
                <w:szCs w:val="18"/>
              </w:rPr>
            </w:pPr>
            <w:r w:rsidRPr="00A043FE">
              <w:rPr>
                <w:rFonts w:cs="Arial"/>
                <w:color w:val="000000"/>
                <w:sz w:val="16"/>
                <w:szCs w:val="18"/>
              </w:rPr>
              <w:t>COBORU/</w:t>
            </w:r>
          </w:p>
          <w:p w:rsidR="009555CB" w:rsidRPr="00A043FE" w:rsidRDefault="009555CB" w:rsidP="00647E67">
            <w:pPr>
              <w:jc w:val="left"/>
              <w:rPr>
                <w:rFonts w:cs="Arial"/>
                <w:color w:val="000000"/>
                <w:sz w:val="16"/>
                <w:szCs w:val="18"/>
              </w:rPr>
            </w:pPr>
            <w:r w:rsidRPr="00A043FE">
              <w:rPr>
                <w:rFonts w:cs="Arial"/>
                <w:color w:val="000000"/>
                <w:sz w:val="16"/>
                <w:szCs w:val="18"/>
              </w:rPr>
              <w:t>PIORIN</w:t>
            </w:r>
          </w:p>
        </w:tc>
        <w:tc>
          <w:tcPr>
            <w:tcW w:w="2126" w:type="dxa"/>
            <w:hideMark/>
          </w:tcPr>
          <w:p w:rsidR="009555CB" w:rsidRPr="00A043FE" w:rsidRDefault="009555CB" w:rsidP="00647E67">
            <w:pPr>
              <w:jc w:val="left"/>
              <w:rPr>
                <w:rFonts w:cs="Arial"/>
                <w:color w:val="000000"/>
                <w:sz w:val="16"/>
                <w:szCs w:val="18"/>
              </w:rPr>
            </w:pPr>
            <w:r w:rsidRPr="00A043FE">
              <w:rPr>
                <w:rFonts w:cs="Arial"/>
                <w:color w:val="000000"/>
                <w:sz w:val="16"/>
                <w:szCs w:val="18"/>
              </w:rPr>
              <w:t>Project action: PVP and national listing systems in Poland as well as phytosanitary system training</w:t>
            </w:r>
          </w:p>
        </w:tc>
        <w:tc>
          <w:tcPr>
            <w:tcW w:w="1985" w:type="dxa"/>
            <w:hideMark/>
          </w:tcPr>
          <w:p w:rsidR="009555CB" w:rsidRPr="00A043FE" w:rsidRDefault="009555CB" w:rsidP="00647E67">
            <w:pPr>
              <w:jc w:val="left"/>
              <w:rPr>
                <w:rFonts w:cs="Arial"/>
                <w:color w:val="000000"/>
                <w:sz w:val="16"/>
                <w:szCs w:val="18"/>
              </w:rPr>
            </w:pPr>
            <w:r w:rsidRPr="00A043FE">
              <w:rPr>
                <w:rFonts w:cs="Arial"/>
                <w:color w:val="000000"/>
                <w:sz w:val="16"/>
                <w:szCs w:val="18"/>
              </w:rPr>
              <w:t>B&amp;H: 8</w:t>
            </w:r>
          </w:p>
          <w:p w:rsidR="009555CB" w:rsidRPr="00A043FE" w:rsidRDefault="009555CB" w:rsidP="00647E67">
            <w:pPr>
              <w:jc w:val="left"/>
              <w:rPr>
                <w:rFonts w:cs="Arial"/>
                <w:color w:val="000000"/>
                <w:sz w:val="16"/>
                <w:szCs w:val="18"/>
              </w:rPr>
            </w:pPr>
            <w:r w:rsidRPr="00A043FE">
              <w:rPr>
                <w:rFonts w:cs="Arial"/>
                <w:color w:val="000000"/>
                <w:sz w:val="16"/>
                <w:szCs w:val="18"/>
              </w:rPr>
              <w:t>PL: 9</w:t>
            </w:r>
          </w:p>
        </w:tc>
      </w:tr>
      <w:tr w:rsidR="009555CB" w:rsidRPr="00A043FE" w:rsidTr="00647E67">
        <w:trPr>
          <w:cantSplit/>
        </w:trPr>
        <w:tc>
          <w:tcPr>
            <w:tcW w:w="1691" w:type="dxa"/>
            <w:hideMark/>
          </w:tcPr>
          <w:p w:rsidR="009555CB" w:rsidRPr="00A043FE" w:rsidRDefault="009555CB" w:rsidP="00647E67">
            <w:pPr>
              <w:jc w:val="left"/>
              <w:rPr>
                <w:rFonts w:cs="Arial"/>
                <w:color w:val="000000"/>
                <w:sz w:val="16"/>
                <w:szCs w:val="18"/>
              </w:rPr>
            </w:pPr>
            <w:r w:rsidRPr="00A043FE">
              <w:rPr>
                <w:rFonts w:cs="Arial"/>
                <w:color w:val="000000"/>
                <w:sz w:val="16"/>
                <w:szCs w:val="18"/>
              </w:rPr>
              <w:t>4. Visit of the Polish delegation in NEBIH (HU)</w:t>
            </w:r>
          </w:p>
        </w:tc>
        <w:tc>
          <w:tcPr>
            <w:tcW w:w="1276" w:type="dxa"/>
            <w:hideMark/>
          </w:tcPr>
          <w:p w:rsidR="009555CB" w:rsidRPr="00A043FE" w:rsidRDefault="009555CB" w:rsidP="00647E67">
            <w:pPr>
              <w:jc w:val="left"/>
              <w:rPr>
                <w:rFonts w:cs="Arial"/>
                <w:color w:val="000000"/>
                <w:sz w:val="16"/>
                <w:szCs w:val="18"/>
              </w:rPr>
            </w:pPr>
            <w:r w:rsidRPr="00A043FE">
              <w:rPr>
                <w:rFonts w:cs="Arial"/>
                <w:color w:val="000000"/>
                <w:sz w:val="16"/>
                <w:szCs w:val="18"/>
              </w:rPr>
              <w:t>04-07.07.2022</w:t>
            </w:r>
          </w:p>
        </w:tc>
        <w:tc>
          <w:tcPr>
            <w:tcW w:w="1276" w:type="dxa"/>
            <w:hideMark/>
          </w:tcPr>
          <w:p w:rsidR="009555CB" w:rsidRPr="00A043FE" w:rsidRDefault="009555CB" w:rsidP="00647E67">
            <w:pPr>
              <w:jc w:val="left"/>
              <w:rPr>
                <w:rFonts w:cs="Arial"/>
                <w:color w:val="000000"/>
                <w:sz w:val="16"/>
                <w:szCs w:val="18"/>
              </w:rPr>
            </w:pPr>
            <w:r w:rsidRPr="00A043FE">
              <w:rPr>
                <w:rFonts w:cs="Arial"/>
                <w:color w:val="000000"/>
                <w:sz w:val="16"/>
                <w:szCs w:val="18"/>
              </w:rPr>
              <w:t>Hungary</w:t>
            </w:r>
          </w:p>
        </w:tc>
        <w:tc>
          <w:tcPr>
            <w:tcW w:w="1559" w:type="dxa"/>
            <w:hideMark/>
          </w:tcPr>
          <w:p w:rsidR="009555CB" w:rsidRPr="00A043FE" w:rsidRDefault="009555CB" w:rsidP="00647E67">
            <w:pPr>
              <w:jc w:val="left"/>
              <w:rPr>
                <w:rFonts w:cs="Arial"/>
                <w:color w:val="000000"/>
                <w:sz w:val="16"/>
                <w:szCs w:val="18"/>
              </w:rPr>
            </w:pPr>
            <w:r w:rsidRPr="00A043FE">
              <w:rPr>
                <w:rFonts w:cs="Arial"/>
                <w:color w:val="000000"/>
                <w:sz w:val="16"/>
                <w:szCs w:val="18"/>
              </w:rPr>
              <w:t>COBORU/</w:t>
            </w:r>
          </w:p>
          <w:p w:rsidR="009555CB" w:rsidRPr="00A043FE" w:rsidRDefault="009555CB" w:rsidP="00647E67">
            <w:pPr>
              <w:jc w:val="left"/>
              <w:rPr>
                <w:rFonts w:cs="Arial"/>
                <w:color w:val="000000"/>
                <w:sz w:val="16"/>
                <w:szCs w:val="18"/>
              </w:rPr>
            </w:pPr>
            <w:r w:rsidRPr="00A043FE">
              <w:rPr>
                <w:rFonts w:cs="Arial"/>
                <w:color w:val="000000"/>
                <w:sz w:val="16"/>
                <w:szCs w:val="18"/>
              </w:rPr>
              <w:t>NEBIH</w:t>
            </w:r>
          </w:p>
        </w:tc>
        <w:tc>
          <w:tcPr>
            <w:tcW w:w="2126" w:type="dxa"/>
            <w:hideMark/>
          </w:tcPr>
          <w:p w:rsidR="009555CB" w:rsidRPr="00A043FE" w:rsidRDefault="009555CB" w:rsidP="00647E67">
            <w:pPr>
              <w:jc w:val="left"/>
              <w:rPr>
                <w:rFonts w:cs="Arial"/>
                <w:color w:val="000000"/>
                <w:sz w:val="16"/>
                <w:szCs w:val="18"/>
              </w:rPr>
            </w:pPr>
            <w:r w:rsidRPr="00A043FE">
              <w:rPr>
                <w:rFonts w:cs="Arial"/>
                <w:color w:val="000000"/>
                <w:sz w:val="16"/>
                <w:szCs w:val="18"/>
              </w:rPr>
              <w:t>Discussion on the most important issues concerning mutual provision of experimental services in the range of the official DUS testing</w:t>
            </w:r>
          </w:p>
        </w:tc>
        <w:tc>
          <w:tcPr>
            <w:tcW w:w="1985" w:type="dxa"/>
            <w:hideMark/>
          </w:tcPr>
          <w:p w:rsidR="009555CB" w:rsidRPr="00A043FE" w:rsidRDefault="009555CB" w:rsidP="00647E67">
            <w:pPr>
              <w:jc w:val="left"/>
              <w:rPr>
                <w:rFonts w:cs="Arial"/>
                <w:color w:val="000000"/>
                <w:sz w:val="16"/>
                <w:szCs w:val="18"/>
              </w:rPr>
            </w:pPr>
            <w:r w:rsidRPr="00A043FE">
              <w:rPr>
                <w:rFonts w:cs="Arial"/>
                <w:color w:val="000000"/>
                <w:sz w:val="16"/>
                <w:szCs w:val="18"/>
              </w:rPr>
              <w:t>PL: 8</w:t>
            </w:r>
          </w:p>
          <w:p w:rsidR="009555CB" w:rsidRPr="00A043FE" w:rsidRDefault="009555CB" w:rsidP="00647E67">
            <w:pPr>
              <w:jc w:val="left"/>
              <w:rPr>
                <w:rFonts w:cs="Arial"/>
                <w:color w:val="000000"/>
                <w:sz w:val="16"/>
                <w:szCs w:val="18"/>
              </w:rPr>
            </w:pPr>
            <w:r w:rsidRPr="00A043FE">
              <w:rPr>
                <w:rFonts w:cs="Arial"/>
                <w:color w:val="000000"/>
                <w:sz w:val="16"/>
                <w:szCs w:val="18"/>
              </w:rPr>
              <w:t>HU: 23</w:t>
            </w:r>
          </w:p>
        </w:tc>
      </w:tr>
      <w:tr w:rsidR="009555CB" w:rsidRPr="00A043FE" w:rsidTr="00647E67">
        <w:trPr>
          <w:cantSplit/>
        </w:trPr>
        <w:tc>
          <w:tcPr>
            <w:tcW w:w="1691" w:type="dxa"/>
            <w:hideMark/>
          </w:tcPr>
          <w:p w:rsidR="009555CB" w:rsidRPr="00A043FE" w:rsidRDefault="009555CB" w:rsidP="00647E67">
            <w:pPr>
              <w:jc w:val="left"/>
              <w:rPr>
                <w:rFonts w:cs="Arial"/>
                <w:color w:val="000000"/>
                <w:sz w:val="16"/>
                <w:szCs w:val="18"/>
              </w:rPr>
            </w:pPr>
            <w:r w:rsidRPr="00A043FE">
              <w:rPr>
                <w:rFonts w:cs="Arial"/>
                <w:color w:val="000000"/>
                <w:sz w:val="16"/>
                <w:szCs w:val="18"/>
              </w:rPr>
              <w:t>5. Twelve Working Seminar on Statistical Methods in variety Testing</w:t>
            </w:r>
          </w:p>
        </w:tc>
        <w:tc>
          <w:tcPr>
            <w:tcW w:w="1276" w:type="dxa"/>
            <w:hideMark/>
          </w:tcPr>
          <w:p w:rsidR="009555CB" w:rsidRPr="00A043FE" w:rsidRDefault="009555CB" w:rsidP="00647E67">
            <w:pPr>
              <w:jc w:val="left"/>
              <w:rPr>
                <w:rFonts w:cs="Arial"/>
                <w:color w:val="000000"/>
                <w:sz w:val="16"/>
                <w:szCs w:val="18"/>
              </w:rPr>
            </w:pPr>
            <w:r w:rsidRPr="00A043FE">
              <w:rPr>
                <w:rFonts w:cs="Arial"/>
                <w:color w:val="000000"/>
                <w:sz w:val="16"/>
                <w:szCs w:val="18"/>
              </w:rPr>
              <w:t>04-07.07.2022</w:t>
            </w:r>
          </w:p>
        </w:tc>
        <w:tc>
          <w:tcPr>
            <w:tcW w:w="1276" w:type="dxa"/>
            <w:hideMark/>
          </w:tcPr>
          <w:p w:rsidR="009555CB" w:rsidRPr="00A043FE" w:rsidRDefault="009555CB" w:rsidP="00647E67">
            <w:pPr>
              <w:jc w:val="left"/>
              <w:rPr>
                <w:rFonts w:cs="Arial"/>
                <w:color w:val="000000"/>
                <w:sz w:val="16"/>
                <w:szCs w:val="18"/>
              </w:rPr>
            </w:pPr>
            <w:r w:rsidRPr="00A043FE">
              <w:rPr>
                <w:rFonts w:cs="Arial"/>
                <w:color w:val="000000"/>
                <w:sz w:val="16"/>
                <w:szCs w:val="18"/>
              </w:rPr>
              <w:t>Poland, Słupia Wielka</w:t>
            </w:r>
          </w:p>
        </w:tc>
        <w:tc>
          <w:tcPr>
            <w:tcW w:w="1559" w:type="dxa"/>
            <w:hideMark/>
          </w:tcPr>
          <w:p w:rsidR="009555CB" w:rsidRPr="00A043FE" w:rsidRDefault="009555CB" w:rsidP="00647E67">
            <w:pPr>
              <w:jc w:val="left"/>
              <w:rPr>
                <w:rFonts w:cs="Arial"/>
                <w:color w:val="000000"/>
                <w:sz w:val="16"/>
                <w:szCs w:val="18"/>
              </w:rPr>
            </w:pPr>
            <w:r w:rsidRPr="00A043FE">
              <w:rPr>
                <w:rFonts w:cs="Arial"/>
                <w:color w:val="000000"/>
                <w:sz w:val="16"/>
                <w:szCs w:val="18"/>
              </w:rPr>
              <w:t>COBORU</w:t>
            </w:r>
          </w:p>
        </w:tc>
        <w:tc>
          <w:tcPr>
            <w:tcW w:w="2126" w:type="dxa"/>
            <w:hideMark/>
          </w:tcPr>
          <w:p w:rsidR="009555CB" w:rsidRPr="00A043FE" w:rsidRDefault="009555CB" w:rsidP="00647E67">
            <w:pPr>
              <w:jc w:val="left"/>
              <w:rPr>
                <w:rFonts w:cs="Arial"/>
                <w:color w:val="000000"/>
                <w:sz w:val="16"/>
                <w:szCs w:val="18"/>
              </w:rPr>
            </w:pPr>
            <w:r w:rsidRPr="00A043FE">
              <w:rPr>
                <w:rFonts w:cs="Arial"/>
                <w:color w:val="000000"/>
                <w:sz w:val="16"/>
                <w:szCs w:val="18"/>
              </w:rPr>
              <w:t>Statistical Methods in variety Testing</w:t>
            </w:r>
          </w:p>
        </w:tc>
        <w:tc>
          <w:tcPr>
            <w:tcW w:w="1985" w:type="dxa"/>
            <w:hideMark/>
          </w:tcPr>
          <w:p w:rsidR="009555CB" w:rsidRPr="00A043FE" w:rsidRDefault="009555CB" w:rsidP="00647E67">
            <w:pPr>
              <w:jc w:val="left"/>
              <w:rPr>
                <w:rFonts w:cs="Arial"/>
                <w:color w:val="000000"/>
                <w:sz w:val="16"/>
                <w:szCs w:val="18"/>
              </w:rPr>
            </w:pPr>
            <w:r w:rsidRPr="00A043FE">
              <w:rPr>
                <w:rFonts w:cs="Arial"/>
                <w:color w:val="000000"/>
                <w:sz w:val="16"/>
                <w:szCs w:val="18"/>
              </w:rPr>
              <w:t>PL: 10</w:t>
            </w:r>
          </w:p>
          <w:p w:rsidR="009555CB" w:rsidRPr="00A043FE" w:rsidRDefault="009555CB" w:rsidP="00647E67">
            <w:pPr>
              <w:jc w:val="left"/>
              <w:rPr>
                <w:rFonts w:cs="Arial"/>
                <w:color w:val="000000"/>
                <w:sz w:val="16"/>
                <w:szCs w:val="18"/>
              </w:rPr>
            </w:pPr>
            <w:r w:rsidRPr="00A043FE">
              <w:rPr>
                <w:rFonts w:cs="Arial"/>
                <w:color w:val="000000"/>
                <w:sz w:val="16"/>
                <w:szCs w:val="18"/>
              </w:rPr>
              <w:t>Total: 26</w:t>
            </w:r>
          </w:p>
        </w:tc>
      </w:tr>
    </w:tbl>
    <w:p w:rsidR="009555CB" w:rsidRPr="00A043FE" w:rsidRDefault="009555CB" w:rsidP="009555CB"/>
    <w:p w:rsidR="009555CB" w:rsidRPr="00A043FE" w:rsidRDefault="009555CB" w:rsidP="009555CB"/>
    <w:p w:rsidR="009555CB" w:rsidRPr="00A043FE" w:rsidRDefault="009555CB" w:rsidP="009555CB">
      <w:r w:rsidRPr="00A043FE">
        <w:t>II.</w:t>
      </w:r>
      <w:r w:rsidRPr="00A043FE">
        <w:tab/>
        <w:t>OTHER DEVELOPMENTS OF RELEVANCE TO UPOV</w:t>
      </w:r>
    </w:p>
    <w:p w:rsidR="009555CB" w:rsidRPr="00A043FE" w:rsidRDefault="009555CB" w:rsidP="009555CB"/>
    <w:p w:rsidR="009555CB" w:rsidRPr="00A043FE" w:rsidRDefault="009555CB" w:rsidP="009555CB">
      <w:r w:rsidRPr="00A043FE">
        <w:t>The</w:t>
      </w:r>
      <w:r w:rsidRPr="00A043FE">
        <w:rPr>
          <w:i/>
          <w:iCs/>
        </w:rPr>
        <w:t xml:space="preserve"> Polish National List of Agricultural Plant</w:t>
      </w:r>
      <w:r w:rsidRPr="00A043FE">
        <w:t xml:space="preserve"> variet</w:t>
      </w:r>
      <w:r w:rsidRPr="00A043FE">
        <w:rPr>
          <w:i/>
          <w:iCs/>
        </w:rPr>
        <w:t xml:space="preserve">ies, </w:t>
      </w:r>
      <w:r w:rsidRPr="00A043FE">
        <w:t>the</w:t>
      </w:r>
      <w:r w:rsidRPr="00A043FE">
        <w:rPr>
          <w:i/>
          <w:iCs/>
        </w:rPr>
        <w:t xml:space="preserve"> Polish National List of Vegetable Plant</w:t>
      </w:r>
      <w:r w:rsidRPr="00A043FE">
        <w:t xml:space="preserve"> variet</w:t>
      </w:r>
      <w:r w:rsidRPr="00A043FE">
        <w:rPr>
          <w:i/>
          <w:iCs/>
        </w:rPr>
        <w:t xml:space="preserve">ies </w:t>
      </w:r>
      <w:r w:rsidRPr="00A043FE">
        <w:t xml:space="preserve">and the </w:t>
      </w:r>
      <w:r w:rsidRPr="00A043FE">
        <w:rPr>
          <w:i/>
          <w:iCs/>
        </w:rPr>
        <w:t>Polish National List of Fruit Plant</w:t>
      </w:r>
      <w:r w:rsidRPr="00A043FE">
        <w:t xml:space="preserve"> variet</w:t>
      </w:r>
      <w:r w:rsidRPr="00A043FE">
        <w:rPr>
          <w:i/>
          <w:iCs/>
        </w:rPr>
        <w:t xml:space="preserve">ies </w:t>
      </w:r>
      <w:r w:rsidRPr="00A043FE">
        <w:t xml:space="preserve">were issued in May 2022. These Official Lists as well as updated lists of varieties are also available at: </w:t>
      </w:r>
      <w:hyperlink r:id="rId35" w:history="1">
        <w:r w:rsidRPr="00A043FE">
          <w:t>www.coboru.gov.pl</w:t>
        </w:r>
      </w:hyperlink>
    </w:p>
    <w:p w:rsidR="009555CB" w:rsidRPr="00A043FE" w:rsidRDefault="009555CB" w:rsidP="009555CB">
      <w:pPr>
        <w:rPr>
          <w:color w:val="000000"/>
          <w:sz w:val="22"/>
          <w:szCs w:val="22"/>
        </w:rPr>
      </w:pPr>
    </w:p>
    <w:p w:rsidR="009555CB" w:rsidRDefault="009555CB" w:rsidP="000362AD">
      <w:pPr>
        <w:jc w:val="left"/>
      </w:pPr>
    </w:p>
    <w:p w:rsidR="000362AD" w:rsidRPr="00AA2FEE" w:rsidRDefault="0075382F" w:rsidP="009555CB">
      <w:pPr>
        <w:jc w:val="right"/>
      </w:pPr>
      <w:r w:rsidRPr="00AA2FEE">
        <w:t xml:space="preserve">[Annex </w:t>
      </w:r>
      <w:r w:rsidR="000362AD" w:rsidRPr="00AA2FEE">
        <w:t>X</w:t>
      </w:r>
      <w:r w:rsidR="0061294D" w:rsidRPr="00AA2FEE">
        <w:t>I</w:t>
      </w:r>
      <w:r w:rsidRPr="00AA2FEE">
        <w:t>II</w:t>
      </w:r>
      <w:r w:rsidR="000362AD" w:rsidRPr="00AA2FEE">
        <w:t xml:space="preserve"> follows]</w:t>
      </w:r>
    </w:p>
    <w:p w:rsidR="000362AD" w:rsidRPr="00AA2FEE" w:rsidRDefault="000362AD" w:rsidP="000362AD">
      <w:pPr>
        <w:jc w:val="left"/>
        <w:sectPr w:rsidR="000362AD" w:rsidRPr="00AA2FEE" w:rsidSect="0049108C">
          <w:headerReference w:type="default" r:id="rId36"/>
          <w:pgSz w:w="11907" w:h="16840" w:code="9"/>
          <w:pgMar w:top="510" w:right="1134" w:bottom="1134" w:left="1134" w:header="510" w:footer="680" w:gutter="0"/>
          <w:pgNumType w:start="1"/>
          <w:cols w:space="720"/>
          <w:titlePg/>
        </w:sectPr>
      </w:pPr>
    </w:p>
    <w:p w:rsidR="000362AD" w:rsidRPr="00AA2FEE" w:rsidRDefault="005A5958" w:rsidP="000362AD">
      <w:pPr>
        <w:jc w:val="center"/>
      </w:pPr>
      <w:r w:rsidRPr="00AA2FEE">
        <w:lastRenderedPageBreak/>
        <w:t>C/56</w:t>
      </w:r>
      <w:r w:rsidR="000362AD" w:rsidRPr="00AA2FEE">
        <w:t>/INF/4</w:t>
      </w:r>
    </w:p>
    <w:p w:rsidR="000362AD" w:rsidRPr="00AA2FEE" w:rsidRDefault="000362AD" w:rsidP="000362AD">
      <w:pPr>
        <w:jc w:val="center"/>
      </w:pPr>
    </w:p>
    <w:p w:rsidR="000362AD" w:rsidRPr="00AA2FEE" w:rsidRDefault="0075382F" w:rsidP="000362AD">
      <w:pPr>
        <w:jc w:val="center"/>
      </w:pPr>
      <w:r w:rsidRPr="00AA2FEE">
        <w:t xml:space="preserve">ANNEX </w:t>
      </w:r>
      <w:r w:rsidR="000362AD" w:rsidRPr="00AA2FEE">
        <w:t>X</w:t>
      </w:r>
      <w:r w:rsidRPr="00AA2FEE">
        <w:t>II</w:t>
      </w:r>
      <w:r w:rsidR="0061294D" w:rsidRPr="00AA2FEE">
        <w:t>I</w:t>
      </w:r>
    </w:p>
    <w:p w:rsidR="000362AD" w:rsidRPr="00AA2FEE" w:rsidRDefault="000362AD" w:rsidP="000362AD">
      <w:pPr>
        <w:jc w:val="center"/>
      </w:pPr>
    </w:p>
    <w:p w:rsidR="000362AD" w:rsidRPr="00AA2FEE" w:rsidRDefault="000362AD" w:rsidP="000362AD">
      <w:pPr>
        <w:jc w:val="center"/>
      </w:pPr>
    </w:p>
    <w:p w:rsidR="003C641A" w:rsidRPr="00AA2FEE" w:rsidRDefault="003C641A" w:rsidP="003C641A">
      <w:pPr>
        <w:jc w:val="center"/>
      </w:pPr>
      <w:r w:rsidRPr="00AA2FEE">
        <w:t>REPUBLIC OF KOREA</w:t>
      </w:r>
    </w:p>
    <w:p w:rsidR="003C641A" w:rsidRPr="00AA2FEE" w:rsidRDefault="003C641A" w:rsidP="003C641A">
      <w:pPr>
        <w:rPr>
          <w:rFonts w:cs="Arial"/>
        </w:rPr>
      </w:pPr>
    </w:p>
    <w:p w:rsidR="003C641A" w:rsidRPr="00AA2FEE" w:rsidRDefault="003C641A" w:rsidP="003C641A">
      <w:pPr>
        <w:rPr>
          <w:rFonts w:cs="Arial"/>
        </w:rPr>
      </w:pPr>
    </w:p>
    <w:p w:rsidR="00523888" w:rsidRPr="005B4322" w:rsidRDefault="00523888" w:rsidP="00523888">
      <w:r w:rsidRPr="005B4322">
        <w:t>I.</w:t>
      </w:r>
      <w:r w:rsidRPr="005B4322">
        <w:tab/>
        <w:t>PLANT VARIETY PROTECTION</w:t>
      </w:r>
    </w:p>
    <w:p w:rsidR="00523888" w:rsidRPr="00A67586" w:rsidRDefault="00523888" w:rsidP="00523888"/>
    <w:p w:rsidR="00523888" w:rsidRPr="00A67586" w:rsidRDefault="00523888" w:rsidP="00523888">
      <w:pPr>
        <w:tabs>
          <w:tab w:val="left" w:pos="426"/>
          <w:tab w:val="left" w:pos="1276"/>
        </w:tabs>
      </w:pPr>
      <w:r w:rsidRPr="00A67586">
        <w:t xml:space="preserve">1. </w:t>
      </w:r>
      <w:r w:rsidRPr="00A67586">
        <w:tab/>
      </w:r>
      <w:r w:rsidRPr="00A67586">
        <w:rPr>
          <w:u w:val="single"/>
        </w:rPr>
        <w:t>Situation in the legislative field</w:t>
      </w:r>
    </w:p>
    <w:p w:rsidR="00523888" w:rsidRPr="00A67586" w:rsidRDefault="00523888" w:rsidP="00523888"/>
    <w:p w:rsidR="00523888" w:rsidRPr="00A67586" w:rsidRDefault="00523888" w:rsidP="00523888">
      <w:pPr>
        <w:ind w:left="567"/>
      </w:pPr>
      <w:r>
        <w:t>No changes.</w:t>
      </w:r>
    </w:p>
    <w:p w:rsidR="00523888" w:rsidRDefault="00523888" w:rsidP="00523888"/>
    <w:p w:rsidR="00523888" w:rsidRPr="005B4322" w:rsidRDefault="00523888" w:rsidP="00523888"/>
    <w:p w:rsidR="00523888" w:rsidRPr="00A67586" w:rsidRDefault="00523888" w:rsidP="00523888">
      <w:r w:rsidRPr="00A67586">
        <w:t>2.</w:t>
      </w:r>
      <w:r w:rsidRPr="00A67586">
        <w:tab/>
      </w:r>
      <w:r w:rsidRPr="00A67586">
        <w:rPr>
          <w:u w:val="single"/>
        </w:rPr>
        <w:t>Cooperation in examination</w:t>
      </w:r>
    </w:p>
    <w:p w:rsidR="00523888" w:rsidRPr="00A67586" w:rsidRDefault="00523888" w:rsidP="00523888">
      <w:pPr>
        <w:tabs>
          <w:tab w:val="left" w:pos="426"/>
          <w:tab w:val="left" w:pos="851"/>
        </w:tabs>
      </w:pPr>
    </w:p>
    <w:p w:rsidR="00523888" w:rsidRDefault="00523888" w:rsidP="00523888">
      <w:pPr>
        <w:tabs>
          <w:tab w:val="left" w:pos="426"/>
        </w:tabs>
      </w:pPr>
      <w:r>
        <w:t>Korea Seed &amp; Variety Service (KSVS) offered DUS reports to:</w:t>
      </w:r>
    </w:p>
    <w:p w:rsidR="00523888" w:rsidRDefault="00523888" w:rsidP="00523888">
      <w:pPr>
        <w:tabs>
          <w:tab w:val="left" w:pos="426"/>
        </w:tabs>
      </w:pPr>
    </w:p>
    <w:p w:rsidR="00523888" w:rsidRDefault="00523888" w:rsidP="00523888">
      <w:pPr>
        <w:pStyle w:val="ListParagraph"/>
        <w:numPr>
          <w:ilvl w:val="0"/>
          <w:numId w:val="28"/>
        </w:numPr>
        <w:tabs>
          <w:tab w:val="left" w:pos="426"/>
        </w:tabs>
        <w:jc w:val="both"/>
        <w:rPr>
          <w:szCs w:val="20"/>
        </w:rPr>
      </w:pPr>
      <w:r>
        <w:rPr>
          <w:rFonts w:hint="eastAsia"/>
          <w:szCs w:val="20"/>
          <w:lang w:eastAsia="ko-KR"/>
        </w:rPr>
        <w:t>PBR office, IP Australia</w:t>
      </w:r>
    </w:p>
    <w:p w:rsidR="00523888" w:rsidRDefault="00523888" w:rsidP="00523888">
      <w:pPr>
        <w:pStyle w:val="ListParagraph"/>
        <w:numPr>
          <w:ilvl w:val="0"/>
          <w:numId w:val="28"/>
        </w:numPr>
        <w:tabs>
          <w:tab w:val="left" w:pos="426"/>
        </w:tabs>
        <w:jc w:val="both"/>
        <w:rPr>
          <w:szCs w:val="20"/>
        </w:rPr>
      </w:pPr>
      <w:r>
        <w:rPr>
          <w:szCs w:val="20"/>
          <w:lang w:eastAsia="ko-KR"/>
        </w:rPr>
        <w:t>Intellectual Property Office of Singapore</w:t>
      </w:r>
    </w:p>
    <w:p w:rsidR="00523888" w:rsidRPr="009818FD" w:rsidRDefault="00523888" w:rsidP="00523888">
      <w:pPr>
        <w:pStyle w:val="ListParagraph"/>
        <w:numPr>
          <w:ilvl w:val="0"/>
          <w:numId w:val="28"/>
        </w:numPr>
        <w:tabs>
          <w:tab w:val="left" w:pos="426"/>
          <w:tab w:val="left" w:pos="851"/>
        </w:tabs>
        <w:jc w:val="both"/>
        <w:rPr>
          <w:b/>
          <w:szCs w:val="20"/>
        </w:rPr>
      </w:pPr>
      <w:r w:rsidRPr="009818FD">
        <w:rPr>
          <w:szCs w:val="20"/>
          <w:lang w:eastAsia="ko-KR"/>
        </w:rPr>
        <w:t>Kenya Plant Health Inspectorate Service</w:t>
      </w:r>
      <w:r>
        <w:rPr>
          <w:szCs w:val="20"/>
          <w:lang w:eastAsia="ko-KR"/>
        </w:rPr>
        <w:t xml:space="preserve"> </w:t>
      </w:r>
      <w:r w:rsidRPr="009818FD">
        <w:rPr>
          <w:szCs w:val="20"/>
          <w:lang w:eastAsia="ko-KR"/>
        </w:rPr>
        <w:t>(KEPHIS)</w:t>
      </w:r>
    </w:p>
    <w:p w:rsidR="00523888" w:rsidRPr="00A67586" w:rsidRDefault="00523888" w:rsidP="00523888"/>
    <w:p w:rsidR="00523888" w:rsidRPr="00A67586" w:rsidRDefault="00523888" w:rsidP="00523888"/>
    <w:p w:rsidR="00523888" w:rsidRPr="00A67586" w:rsidRDefault="00523888" w:rsidP="00523888">
      <w:pPr>
        <w:rPr>
          <w:u w:val="single"/>
        </w:rPr>
      </w:pPr>
      <w:r w:rsidRPr="00A67586">
        <w:t>3.</w:t>
      </w:r>
      <w:r w:rsidRPr="00A67586">
        <w:tab/>
      </w:r>
      <w:r w:rsidRPr="00A67586">
        <w:rPr>
          <w:u w:val="single"/>
        </w:rPr>
        <w:t>Situation in the administrative field</w:t>
      </w:r>
    </w:p>
    <w:p w:rsidR="00523888" w:rsidRPr="00A67586" w:rsidRDefault="00523888" w:rsidP="00523888"/>
    <w:p w:rsidR="00523888" w:rsidRPr="00A67586" w:rsidRDefault="00523888" w:rsidP="00523888">
      <w:r>
        <w:t>In the first half of 2022, KSVS received 272 applications and granted 284 PBR</w:t>
      </w:r>
      <w:r>
        <w:rPr>
          <w:rFonts w:hint="eastAsia"/>
          <w:lang w:eastAsia="ko-KR"/>
        </w:rPr>
        <w:t xml:space="preserve">s </w:t>
      </w:r>
      <w:r>
        <w:rPr>
          <w:lang w:eastAsia="ko-KR"/>
        </w:rPr>
        <w:t>resulting</w:t>
      </w:r>
      <w:r>
        <w:rPr>
          <w:rFonts w:hint="eastAsia"/>
          <w:lang w:eastAsia="ko-KR"/>
        </w:rPr>
        <w:t xml:space="preserve"> </w:t>
      </w:r>
      <w:r>
        <w:rPr>
          <w:lang w:eastAsia="ko-KR"/>
        </w:rPr>
        <w:t>in 12,436 applications and 9,083 grants in total since the introduction of PVP system in 1998.</w:t>
      </w:r>
    </w:p>
    <w:p w:rsidR="00523888" w:rsidRDefault="00523888" w:rsidP="00523888"/>
    <w:p w:rsidR="00523888" w:rsidRPr="00A67586" w:rsidRDefault="00523888" w:rsidP="00523888"/>
    <w:p w:rsidR="00523888" w:rsidRPr="00A67586" w:rsidRDefault="00523888" w:rsidP="00523888">
      <w:r w:rsidRPr="00A67586">
        <w:t>4.</w:t>
      </w:r>
      <w:r w:rsidRPr="00A67586">
        <w:tab/>
      </w:r>
      <w:r w:rsidRPr="00A67586">
        <w:rPr>
          <w:u w:val="single"/>
        </w:rPr>
        <w:t>Situation in the technical field</w:t>
      </w:r>
    </w:p>
    <w:p w:rsidR="00523888" w:rsidRPr="005B4322" w:rsidRDefault="00523888" w:rsidP="00523888"/>
    <w:p w:rsidR="00523888" w:rsidRDefault="00523888" w:rsidP="00523888">
      <w:pPr>
        <w:ind w:left="567"/>
      </w:pPr>
      <w:r>
        <w:t>No changes.</w:t>
      </w:r>
    </w:p>
    <w:p w:rsidR="00523888" w:rsidRPr="005B4322" w:rsidRDefault="00523888" w:rsidP="00523888"/>
    <w:p w:rsidR="00523888" w:rsidRPr="005B4322" w:rsidRDefault="00523888" w:rsidP="00523888"/>
    <w:p w:rsidR="00523888" w:rsidRPr="00A67586" w:rsidRDefault="00523888" w:rsidP="00523888">
      <w:pPr>
        <w:rPr>
          <w:u w:val="single"/>
        </w:rPr>
      </w:pPr>
      <w:r w:rsidRPr="00A67586">
        <w:t>5.</w:t>
      </w:r>
      <w:r w:rsidRPr="00A67586">
        <w:tab/>
      </w:r>
      <w:r w:rsidRPr="00A67586">
        <w:rPr>
          <w:u w:val="single"/>
        </w:rPr>
        <w:t>Activities for the promotion of plant variety protection</w:t>
      </w:r>
    </w:p>
    <w:p w:rsidR="00523888" w:rsidRPr="00A67586" w:rsidRDefault="00523888" w:rsidP="00523888"/>
    <w:tbl>
      <w:tblPr>
        <w:tblStyle w:val="TableGrid"/>
        <w:tblW w:w="9903" w:type="dxa"/>
        <w:tblLayout w:type="fixed"/>
        <w:tblCellMar>
          <w:top w:w="28" w:type="dxa"/>
          <w:left w:w="57" w:type="dxa"/>
          <w:bottom w:w="28" w:type="dxa"/>
          <w:right w:w="57" w:type="dxa"/>
        </w:tblCellMar>
        <w:tblLook w:val="01E0" w:firstRow="1" w:lastRow="1" w:firstColumn="1" w:lastColumn="1" w:noHBand="0" w:noVBand="0"/>
      </w:tblPr>
      <w:tblGrid>
        <w:gridCol w:w="1413"/>
        <w:gridCol w:w="1089"/>
        <w:gridCol w:w="1604"/>
        <w:gridCol w:w="1418"/>
        <w:gridCol w:w="2268"/>
        <w:gridCol w:w="2111"/>
      </w:tblGrid>
      <w:tr w:rsidR="00523888" w:rsidRPr="00A67586" w:rsidTr="00647E67">
        <w:tc>
          <w:tcPr>
            <w:tcW w:w="1413" w:type="dxa"/>
          </w:tcPr>
          <w:p w:rsidR="00523888" w:rsidRPr="00523888" w:rsidRDefault="00523888" w:rsidP="00647E67">
            <w:pPr>
              <w:jc w:val="left"/>
              <w:rPr>
                <w:sz w:val="16"/>
              </w:rPr>
            </w:pPr>
            <w:r w:rsidRPr="00523888">
              <w:rPr>
                <w:sz w:val="16"/>
              </w:rPr>
              <w:t>Title of activity</w:t>
            </w:r>
          </w:p>
        </w:tc>
        <w:tc>
          <w:tcPr>
            <w:tcW w:w="1089" w:type="dxa"/>
          </w:tcPr>
          <w:p w:rsidR="00523888" w:rsidRPr="00523888" w:rsidRDefault="00523888" w:rsidP="00647E67">
            <w:pPr>
              <w:jc w:val="left"/>
              <w:rPr>
                <w:sz w:val="16"/>
              </w:rPr>
            </w:pPr>
            <w:r w:rsidRPr="00523888">
              <w:rPr>
                <w:sz w:val="16"/>
              </w:rPr>
              <w:t>Date</w:t>
            </w:r>
          </w:p>
        </w:tc>
        <w:tc>
          <w:tcPr>
            <w:tcW w:w="1604" w:type="dxa"/>
          </w:tcPr>
          <w:p w:rsidR="00523888" w:rsidRPr="00523888" w:rsidRDefault="00523888" w:rsidP="00647E67">
            <w:pPr>
              <w:jc w:val="left"/>
              <w:rPr>
                <w:sz w:val="16"/>
              </w:rPr>
            </w:pPr>
            <w:r w:rsidRPr="00523888">
              <w:rPr>
                <w:sz w:val="16"/>
              </w:rPr>
              <w:t>Location</w:t>
            </w:r>
          </w:p>
        </w:tc>
        <w:tc>
          <w:tcPr>
            <w:tcW w:w="1418" w:type="dxa"/>
          </w:tcPr>
          <w:p w:rsidR="00523888" w:rsidRPr="00523888" w:rsidRDefault="00523888" w:rsidP="00647E67">
            <w:pPr>
              <w:jc w:val="left"/>
              <w:rPr>
                <w:sz w:val="16"/>
              </w:rPr>
            </w:pPr>
            <w:r w:rsidRPr="00523888">
              <w:rPr>
                <w:sz w:val="16"/>
              </w:rPr>
              <w:t>Organizer(s)</w:t>
            </w:r>
          </w:p>
        </w:tc>
        <w:tc>
          <w:tcPr>
            <w:tcW w:w="2268" w:type="dxa"/>
          </w:tcPr>
          <w:p w:rsidR="00523888" w:rsidRPr="00523888" w:rsidRDefault="00523888" w:rsidP="00647E67">
            <w:pPr>
              <w:jc w:val="left"/>
              <w:rPr>
                <w:sz w:val="16"/>
              </w:rPr>
            </w:pPr>
            <w:r w:rsidRPr="00523888">
              <w:rPr>
                <w:sz w:val="16"/>
              </w:rPr>
              <w:t>Purpose of activity</w:t>
            </w:r>
          </w:p>
        </w:tc>
        <w:tc>
          <w:tcPr>
            <w:tcW w:w="2111" w:type="dxa"/>
          </w:tcPr>
          <w:p w:rsidR="00523888" w:rsidRPr="00523888" w:rsidRDefault="00523888" w:rsidP="00647E67">
            <w:pPr>
              <w:jc w:val="left"/>
              <w:rPr>
                <w:sz w:val="16"/>
              </w:rPr>
            </w:pPr>
            <w:r w:rsidRPr="00523888">
              <w:rPr>
                <w:sz w:val="16"/>
              </w:rPr>
              <w:t>Participating countries/ organizations (number of participants from each)</w:t>
            </w:r>
          </w:p>
        </w:tc>
      </w:tr>
      <w:tr w:rsidR="00523888" w:rsidRPr="005B4322" w:rsidTr="00647E67">
        <w:tc>
          <w:tcPr>
            <w:tcW w:w="1413" w:type="dxa"/>
          </w:tcPr>
          <w:p w:rsidR="00523888" w:rsidRPr="00523888" w:rsidRDefault="00523888" w:rsidP="00647E67">
            <w:pPr>
              <w:jc w:val="left"/>
              <w:rPr>
                <w:sz w:val="16"/>
              </w:rPr>
            </w:pPr>
            <w:r w:rsidRPr="00523888">
              <w:rPr>
                <w:sz w:val="16"/>
              </w:rPr>
              <w:t xml:space="preserve">Training course for capacity building for seed industry development in Asian region </w:t>
            </w:r>
          </w:p>
        </w:tc>
        <w:tc>
          <w:tcPr>
            <w:tcW w:w="1089" w:type="dxa"/>
          </w:tcPr>
          <w:p w:rsidR="00523888" w:rsidRPr="00523888" w:rsidRDefault="00523888" w:rsidP="00647E67">
            <w:pPr>
              <w:jc w:val="left"/>
              <w:rPr>
                <w:sz w:val="16"/>
              </w:rPr>
            </w:pPr>
            <w:r w:rsidRPr="00523888">
              <w:rPr>
                <w:rFonts w:hint="eastAsia"/>
                <w:sz w:val="16"/>
              </w:rPr>
              <w:t>25.09.2022</w:t>
            </w:r>
            <w:r w:rsidRPr="00523888">
              <w:rPr>
                <w:sz w:val="16"/>
              </w:rPr>
              <w:t>-</w:t>
            </w:r>
            <w:r w:rsidRPr="00523888">
              <w:rPr>
                <w:rFonts w:hint="eastAsia"/>
                <w:sz w:val="16"/>
              </w:rPr>
              <w:t xml:space="preserve"> 08.10.2022</w:t>
            </w:r>
          </w:p>
        </w:tc>
        <w:tc>
          <w:tcPr>
            <w:tcW w:w="1604" w:type="dxa"/>
          </w:tcPr>
          <w:p w:rsidR="00523888" w:rsidRPr="00523888" w:rsidRDefault="00523888" w:rsidP="00647E67">
            <w:pPr>
              <w:jc w:val="left"/>
              <w:rPr>
                <w:sz w:val="16"/>
              </w:rPr>
            </w:pPr>
            <w:r w:rsidRPr="00523888">
              <w:rPr>
                <w:sz w:val="16"/>
              </w:rPr>
              <w:t>Gimchoen-si, Gyeongsangbuk-do</w:t>
            </w:r>
          </w:p>
        </w:tc>
        <w:tc>
          <w:tcPr>
            <w:tcW w:w="1418" w:type="dxa"/>
          </w:tcPr>
          <w:p w:rsidR="00523888" w:rsidRPr="00523888" w:rsidRDefault="00523888" w:rsidP="00647E67">
            <w:pPr>
              <w:jc w:val="left"/>
              <w:rPr>
                <w:sz w:val="16"/>
              </w:rPr>
            </w:pPr>
            <w:r w:rsidRPr="00523888">
              <w:rPr>
                <w:rFonts w:hint="eastAsia"/>
                <w:sz w:val="16"/>
              </w:rPr>
              <w:t>Korea Seed &amp; Variety Service</w:t>
            </w:r>
          </w:p>
        </w:tc>
        <w:tc>
          <w:tcPr>
            <w:tcW w:w="2268" w:type="dxa"/>
          </w:tcPr>
          <w:p w:rsidR="00523888" w:rsidRPr="00523888" w:rsidRDefault="00523888" w:rsidP="00647E67">
            <w:pPr>
              <w:jc w:val="left"/>
              <w:rPr>
                <w:sz w:val="16"/>
              </w:rPr>
            </w:pPr>
            <w:r w:rsidRPr="00523888">
              <w:rPr>
                <w:rFonts w:hint="eastAsia"/>
                <w:sz w:val="16"/>
              </w:rPr>
              <w:t>Promotion of development of advanced seed system and technology in Asian region;</w:t>
            </w:r>
          </w:p>
          <w:p w:rsidR="00523888" w:rsidRPr="00523888" w:rsidRDefault="00523888" w:rsidP="00647E67">
            <w:pPr>
              <w:jc w:val="left"/>
              <w:rPr>
                <w:sz w:val="16"/>
              </w:rPr>
            </w:pPr>
            <w:r w:rsidRPr="00523888">
              <w:rPr>
                <w:sz w:val="16"/>
              </w:rPr>
              <w:t>In the field of PVP, seed production, seed testing</w:t>
            </w:r>
          </w:p>
        </w:tc>
        <w:tc>
          <w:tcPr>
            <w:tcW w:w="2111" w:type="dxa"/>
          </w:tcPr>
          <w:p w:rsidR="00523888" w:rsidRPr="00523888" w:rsidRDefault="00523888" w:rsidP="00647E67">
            <w:pPr>
              <w:jc w:val="left"/>
              <w:rPr>
                <w:sz w:val="16"/>
              </w:rPr>
            </w:pPr>
            <w:r w:rsidRPr="00523888">
              <w:rPr>
                <w:rFonts w:hint="eastAsia"/>
                <w:sz w:val="16"/>
              </w:rPr>
              <w:t>15 persons from 15 Asian countries.</w:t>
            </w:r>
          </w:p>
        </w:tc>
      </w:tr>
    </w:tbl>
    <w:p w:rsidR="00523888" w:rsidRPr="00A67586" w:rsidRDefault="00523888" w:rsidP="00523888"/>
    <w:p w:rsidR="00523888" w:rsidRPr="00A67586" w:rsidRDefault="00523888" w:rsidP="00523888"/>
    <w:p w:rsidR="00523888" w:rsidRPr="005B4322" w:rsidRDefault="00523888" w:rsidP="00523888">
      <w:r w:rsidRPr="005B4322">
        <w:t>II.</w:t>
      </w:r>
      <w:r w:rsidRPr="005B4322">
        <w:tab/>
        <w:t xml:space="preserve">OTHER DEVELOPMENTS OF RELEVANCE TO UPOV </w:t>
      </w:r>
    </w:p>
    <w:p w:rsidR="00523888" w:rsidRPr="005B4322" w:rsidRDefault="00523888" w:rsidP="00523888"/>
    <w:p w:rsidR="00523888" w:rsidRPr="005B4322" w:rsidRDefault="00523888" w:rsidP="00523888">
      <w:r w:rsidRPr="005B4322">
        <w:t xml:space="preserve">No remarks </w:t>
      </w:r>
    </w:p>
    <w:p w:rsidR="00523888" w:rsidRDefault="00523888" w:rsidP="00523888"/>
    <w:p w:rsidR="003C641A" w:rsidRPr="00AA2FEE" w:rsidRDefault="003C641A" w:rsidP="003C641A"/>
    <w:p w:rsidR="000362AD" w:rsidRPr="00AA2FEE" w:rsidRDefault="000362AD" w:rsidP="000362AD">
      <w:pPr>
        <w:jc w:val="left"/>
      </w:pPr>
    </w:p>
    <w:p w:rsidR="000362AD" w:rsidRPr="00AA2FEE" w:rsidRDefault="000362AD" w:rsidP="000362AD">
      <w:pPr>
        <w:jc w:val="left"/>
      </w:pPr>
    </w:p>
    <w:p w:rsidR="000362AD" w:rsidRPr="00AA2FEE" w:rsidRDefault="000362AD" w:rsidP="000362AD">
      <w:pPr>
        <w:jc w:val="right"/>
      </w:pPr>
      <w:r w:rsidRPr="00AA2FEE">
        <w:t>[Annex X</w:t>
      </w:r>
      <w:r w:rsidR="0075382F" w:rsidRPr="00AA2FEE">
        <w:t>I</w:t>
      </w:r>
      <w:r w:rsidR="0061294D" w:rsidRPr="00AA2FEE">
        <w:t>V</w:t>
      </w:r>
      <w:r w:rsidRPr="00AA2FEE">
        <w:t xml:space="preserve"> follows]</w:t>
      </w:r>
    </w:p>
    <w:p w:rsidR="000362AD" w:rsidRPr="00AA2FEE" w:rsidRDefault="000362AD" w:rsidP="000362AD"/>
    <w:p w:rsidR="000362AD" w:rsidRPr="00AA2FEE" w:rsidRDefault="000362AD" w:rsidP="000362AD">
      <w:pPr>
        <w:jc w:val="left"/>
        <w:sectPr w:rsidR="000362AD" w:rsidRPr="00AA2FEE" w:rsidSect="0049108C">
          <w:headerReference w:type="default" r:id="rId37"/>
          <w:pgSz w:w="11907" w:h="16840" w:code="9"/>
          <w:pgMar w:top="510" w:right="1134" w:bottom="1134" w:left="1134" w:header="510" w:footer="680" w:gutter="0"/>
          <w:pgNumType w:start="1"/>
          <w:cols w:space="720"/>
          <w:titlePg/>
        </w:sectPr>
      </w:pPr>
    </w:p>
    <w:p w:rsidR="000362AD" w:rsidRPr="00AA2FEE" w:rsidRDefault="005A5958" w:rsidP="000362AD">
      <w:pPr>
        <w:jc w:val="center"/>
      </w:pPr>
      <w:r w:rsidRPr="00AA2FEE">
        <w:lastRenderedPageBreak/>
        <w:t>C/56</w:t>
      </w:r>
      <w:r w:rsidR="000362AD" w:rsidRPr="00AA2FEE">
        <w:t>/INF/4</w:t>
      </w:r>
    </w:p>
    <w:p w:rsidR="000362AD" w:rsidRPr="00AA2FEE" w:rsidRDefault="000362AD" w:rsidP="000362AD">
      <w:pPr>
        <w:jc w:val="center"/>
      </w:pPr>
    </w:p>
    <w:p w:rsidR="000362AD" w:rsidRPr="00AA2FEE" w:rsidRDefault="000362AD" w:rsidP="000362AD">
      <w:pPr>
        <w:jc w:val="center"/>
      </w:pPr>
      <w:r w:rsidRPr="00AA2FEE">
        <w:t>ANNEX X</w:t>
      </w:r>
      <w:r w:rsidR="0061294D" w:rsidRPr="00AA2FEE">
        <w:t>IV</w:t>
      </w:r>
    </w:p>
    <w:p w:rsidR="000362AD" w:rsidRPr="00AA2FEE" w:rsidRDefault="000362AD" w:rsidP="000362AD">
      <w:pPr>
        <w:jc w:val="center"/>
      </w:pPr>
    </w:p>
    <w:p w:rsidR="000362AD" w:rsidRPr="00AA2FEE" w:rsidRDefault="000362AD" w:rsidP="000362AD">
      <w:pPr>
        <w:jc w:val="center"/>
      </w:pPr>
    </w:p>
    <w:p w:rsidR="003C641A" w:rsidRPr="00AA2FEE" w:rsidRDefault="003C641A" w:rsidP="003C641A">
      <w:pPr>
        <w:jc w:val="center"/>
      </w:pPr>
      <w:r w:rsidRPr="00AA2FEE">
        <w:t>REPUBLIC OF MOLDOVA</w:t>
      </w:r>
    </w:p>
    <w:p w:rsidR="003C641A" w:rsidRPr="00AA2FEE" w:rsidRDefault="003C641A" w:rsidP="003C641A">
      <w:pPr>
        <w:rPr>
          <w:rFonts w:cs="Arial"/>
        </w:rPr>
      </w:pPr>
    </w:p>
    <w:p w:rsidR="003C641A" w:rsidRPr="00AA2FEE" w:rsidRDefault="003C641A" w:rsidP="003C641A">
      <w:pPr>
        <w:rPr>
          <w:rFonts w:cs="Arial"/>
        </w:rPr>
      </w:pPr>
    </w:p>
    <w:p w:rsidR="00523888" w:rsidRPr="00A043FE" w:rsidRDefault="00523888" w:rsidP="00523888">
      <w:r w:rsidRPr="00A043FE">
        <w:t>I.</w:t>
      </w:r>
      <w:r w:rsidRPr="00A043FE">
        <w:tab/>
        <w:t>PLANT VARIETY PROTECTION</w:t>
      </w:r>
    </w:p>
    <w:p w:rsidR="00523888" w:rsidRPr="00A043FE" w:rsidRDefault="00523888" w:rsidP="00523888">
      <w:pPr>
        <w:tabs>
          <w:tab w:val="left" w:pos="4962"/>
        </w:tabs>
        <w:rPr>
          <w:rFonts w:cs="Arial"/>
          <w:u w:val="single"/>
        </w:rPr>
      </w:pPr>
    </w:p>
    <w:p w:rsidR="00523888" w:rsidRPr="00A043FE" w:rsidRDefault="00523888" w:rsidP="00523888">
      <w:pPr>
        <w:rPr>
          <w:u w:val="single"/>
        </w:rPr>
      </w:pPr>
      <w:r w:rsidRPr="00A043FE">
        <w:t>1.</w:t>
      </w:r>
      <w:r w:rsidRPr="00A043FE">
        <w:tab/>
      </w:r>
      <w:r w:rsidRPr="00A043FE">
        <w:rPr>
          <w:u w:val="single"/>
        </w:rPr>
        <w:t>Situation in the legislative field</w:t>
      </w:r>
    </w:p>
    <w:p w:rsidR="00523888" w:rsidRPr="00A043FE" w:rsidRDefault="00523888" w:rsidP="00523888"/>
    <w:p w:rsidR="00523888" w:rsidRPr="00A043FE" w:rsidRDefault="00523888" w:rsidP="00523888">
      <w:r w:rsidRPr="00A043FE">
        <w:t>1.1.</w:t>
      </w:r>
      <w:r w:rsidRPr="00A043FE">
        <w:tab/>
        <w:t>Amendments to the Law and the implementing regulations:  No changes.</w:t>
      </w:r>
    </w:p>
    <w:p w:rsidR="00523888" w:rsidRPr="00A043FE" w:rsidRDefault="00523888" w:rsidP="00523888"/>
    <w:p w:rsidR="00523888" w:rsidRPr="00A043FE" w:rsidRDefault="00523888" w:rsidP="00523888">
      <w:r w:rsidRPr="00A043FE">
        <w:t>1.2.</w:t>
      </w:r>
      <w:r w:rsidRPr="00A043FE">
        <w:tab/>
        <w:t>Extension of protection to further genera and species</w:t>
      </w:r>
    </w:p>
    <w:p w:rsidR="00523888" w:rsidRPr="00A043FE" w:rsidRDefault="00523888" w:rsidP="00523888"/>
    <w:p w:rsidR="00523888" w:rsidRPr="00A043FE" w:rsidRDefault="00523888" w:rsidP="00523888">
      <w:pPr>
        <w:ind w:left="567"/>
      </w:pPr>
      <w:r w:rsidRPr="00A043FE">
        <w:t xml:space="preserve">According to the </w:t>
      </w:r>
      <w:r w:rsidRPr="00A043FE">
        <w:rPr>
          <w:caps/>
        </w:rPr>
        <w:t>l</w:t>
      </w:r>
      <w:r w:rsidRPr="00A043FE">
        <w:t>aw No.39-XVI/2008 on the Protection of Plant varieties, the protection is offered to varieties of all botanical genera and species, including hybrids between genera and species.</w:t>
      </w:r>
    </w:p>
    <w:p w:rsidR="00523888" w:rsidRPr="00A043FE" w:rsidRDefault="00523888" w:rsidP="00523888"/>
    <w:p w:rsidR="00523888" w:rsidRPr="00A043FE" w:rsidRDefault="00523888" w:rsidP="00523888">
      <w:r w:rsidRPr="00A043FE">
        <w:t>1.3.</w:t>
      </w:r>
      <w:r w:rsidRPr="00A043FE">
        <w:tab/>
        <w:t>Case Law</w:t>
      </w:r>
    </w:p>
    <w:p w:rsidR="00523888" w:rsidRPr="00A043FE" w:rsidRDefault="00523888" w:rsidP="00523888"/>
    <w:p w:rsidR="00523888" w:rsidRPr="00A043FE" w:rsidRDefault="00523888" w:rsidP="00523888">
      <w:pPr>
        <w:ind w:left="567"/>
        <w:rPr>
          <w:highlight w:val="yellow"/>
        </w:rPr>
      </w:pPr>
      <w:r w:rsidRPr="00A043FE">
        <w:t>There is no precedent with regard to the protection of breeders’ rights.</w:t>
      </w:r>
    </w:p>
    <w:p w:rsidR="00523888" w:rsidRPr="00A043FE" w:rsidRDefault="00523888" w:rsidP="00523888"/>
    <w:p w:rsidR="00523888" w:rsidRPr="00A043FE" w:rsidRDefault="00523888" w:rsidP="00523888"/>
    <w:p w:rsidR="00523888" w:rsidRPr="00A043FE" w:rsidRDefault="00523888" w:rsidP="00523888">
      <w:r w:rsidRPr="00A043FE">
        <w:t>2.</w:t>
      </w:r>
      <w:r w:rsidRPr="00A043FE">
        <w:tab/>
      </w:r>
      <w:r w:rsidRPr="00A043FE">
        <w:rPr>
          <w:u w:val="single"/>
        </w:rPr>
        <w:t>Cooperation in examination</w:t>
      </w:r>
    </w:p>
    <w:p w:rsidR="00523888" w:rsidRPr="00A043FE" w:rsidRDefault="00523888" w:rsidP="00523888"/>
    <w:p w:rsidR="00523888" w:rsidRPr="00A043FE" w:rsidRDefault="00523888" w:rsidP="00523888">
      <w:r w:rsidRPr="00A043FE">
        <w:t>Utilization of existing DUS report offered by:</w:t>
      </w:r>
    </w:p>
    <w:p w:rsidR="00523888" w:rsidRPr="00A043FE" w:rsidRDefault="00523888" w:rsidP="00523888">
      <w:pPr>
        <w:numPr>
          <w:ilvl w:val="0"/>
          <w:numId w:val="9"/>
        </w:numPr>
      </w:pPr>
      <w:r w:rsidRPr="00A043FE">
        <w:t>CPVO</w:t>
      </w:r>
    </w:p>
    <w:p w:rsidR="00523888" w:rsidRPr="00A043FE" w:rsidRDefault="00523888" w:rsidP="00523888">
      <w:pPr>
        <w:numPr>
          <w:ilvl w:val="0"/>
          <w:numId w:val="9"/>
        </w:numPr>
      </w:pPr>
      <w:r w:rsidRPr="00A043FE">
        <w:t>GEVES, FR</w:t>
      </w:r>
    </w:p>
    <w:p w:rsidR="00523888" w:rsidRPr="00A043FE" w:rsidRDefault="00523888" w:rsidP="00523888">
      <w:pPr>
        <w:numPr>
          <w:ilvl w:val="0"/>
          <w:numId w:val="9"/>
        </w:numPr>
      </w:pPr>
      <w:r w:rsidRPr="00A043FE">
        <w:t>Bundessortenamt, DE</w:t>
      </w:r>
    </w:p>
    <w:p w:rsidR="00523888" w:rsidRPr="00A043FE" w:rsidRDefault="00523888" w:rsidP="00523888"/>
    <w:p w:rsidR="00523888" w:rsidRPr="00A043FE" w:rsidRDefault="00523888" w:rsidP="00523888"/>
    <w:p w:rsidR="00523888" w:rsidRPr="00A043FE" w:rsidRDefault="00523888" w:rsidP="00523888">
      <w:r w:rsidRPr="00A043FE">
        <w:t>3.</w:t>
      </w:r>
      <w:r w:rsidRPr="00A043FE">
        <w:tab/>
      </w:r>
      <w:r w:rsidRPr="00A043FE">
        <w:rPr>
          <w:u w:val="single"/>
        </w:rPr>
        <w:t>Situation in the administrative field</w:t>
      </w:r>
    </w:p>
    <w:p w:rsidR="00523888" w:rsidRPr="00A043FE" w:rsidRDefault="00523888" w:rsidP="00523888"/>
    <w:p w:rsidR="00523888" w:rsidRPr="00A043FE" w:rsidRDefault="00523888" w:rsidP="00523888">
      <w:pPr>
        <w:ind w:left="567"/>
      </w:pPr>
      <w:r w:rsidRPr="00A043FE">
        <w:t>-</w:t>
      </w:r>
      <w:r w:rsidRPr="00A043FE">
        <w:tab/>
        <w:t>Changes in the administrative structure - No changes.</w:t>
      </w:r>
    </w:p>
    <w:p w:rsidR="00523888" w:rsidRPr="00A043FE" w:rsidRDefault="00523888" w:rsidP="00523888">
      <w:pPr>
        <w:ind w:left="1418" w:hanging="425"/>
      </w:pPr>
    </w:p>
    <w:p w:rsidR="00523888" w:rsidRPr="00A043FE" w:rsidRDefault="00523888" w:rsidP="00523888">
      <w:pPr>
        <w:ind w:left="567"/>
      </w:pPr>
      <w:r w:rsidRPr="00A043FE">
        <w:t>-</w:t>
      </w:r>
      <w:r w:rsidRPr="00A043FE">
        <w:tab/>
        <w:t>Changes in office procedures and systems- No changes.</w:t>
      </w:r>
    </w:p>
    <w:p w:rsidR="00523888" w:rsidRPr="00A043FE" w:rsidRDefault="00523888" w:rsidP="00523888"/>
    <w:p w:rsidR="00523888" w:rsidRPr="00A043FE" w:rsidRDefault="00523888" w:rsidP="00523888">
      <w:pPr>
        <w:overflowPunct w:val="0"/>
        <w:autoSpaceDE w:val="0"/>
        <w:autoSpaceDN w:val="0"/>
        <w:adjustRightInd w:val="0"/>
        <w:textAlignment w:val="baseline"/>
        <w:rPr>
          <w:i/>
        </w:rPr>
      </w:pPr>
      <w:r w:rsidRPr="00A043FE">
        <w:rPr>
          <w:i/>
        </w:rPr>
        <w:t xml:space="preserve">Changes in the Procedural and Protection System </w:t>
      </w:r>
    </w:p>
    <w:p w:rsidR="00523888" w:rsidRPr="00A043FE" w:rsidRDefault="00523888" w:rsidP="00523888"/>
    <w:p w:rsidR="00523888" w:rsidRPr="00A043FE" w:rsidRDefault="00523888" w:rsidP="00523888">
      <w:r w:rsidRPr="00A043FE">
        <w:t>Five national test guidelines were developed for:</w:t>
      </w:r>
    </w:p>
    <w:p w:rsidR="00523888" w:rsidRPr="002C0C6C" w:rsidRDefault="00523888" w:rsidP="00523888">
      <w:pPr>
        <w:pStyle w:val="ListParagraph"/>
        <w:numPr>
          <w:ilvl w:val="0"/>
          <w:numId w:val="29"/>
        </w:numPr>
        <w:jc w:val="both"/>
        <w:rPr>
          <w:rFonts w:cs="Arial"/>
          <w:szCs w:val="20"/>
          <w:lang w:val="es-ES" w:eastAsia="ro-RO"/>
        </w:rPr>
      </w:pPr>
      <w:r w:rsidRPr="002C0C6C">
        <w:rPr>
          <w:rFonts w:cs="Arial"/>
          <w:szCs w:val="20"/>
          <w:lang w:val="es-ES"/>
        </w:rPr>
        <w:t>Oregano (</w:t>
      </w:r>
      <w:r w:rsidRPr="002C0C6C">
        <w:rPr>
          <w:rFonts w:cs="Arial"/>
          <w:i/>
          <w:szCs w:val="20"/>
          <w:lang w:val="es-ES" w:eastAsia="ro-RO"/>
        </w:rPr>
        <w:t xml:space="preserve">Origanum vulgare </w:t>
      </w:r>
      <w:r w:rsidRPr="002C0C6C">
        <w:rPr>
          <w:rFonts w:cs="Arial"/>
          <w:szCs w:val="20"/>
          <w:lang w:val="es-ES" w:eastAsia="ro-RO"/>
        </w:rPr>
        <w:t>L.) – MTG/21/1</w:t>
      </w:r>
    </w:p>
    <w:p w:rsidR="00523888" w:rsidRPr="00A043FE" w:rsidRDefault="00523888" w:rsidP="00523888">
      <w:pPr>
        <w:pStyle w:val="ListParagraph"/>
        <w:numPr>
          <w:ilvl w:val="0"/>
          <w:numId w:val="29"/>
        </w:numPr>
        <w:jc w:val="both"/>
        <w:rPr>
          <w:rFonts w:cs="Arial"/>
          <w:color w:val="000000"/>
          <w:szCs w:val="20"/>
          <w:lang w:eastAsia="ro-RO"/>
        </w:rPr>
      </w:pPr>
      <w:r w:rsidRPr="00A043FE">
        <w:rPr>
          <w:rFonts w:cs="Arial"/>
          <w:color w:val="000000"/>
          <w:szCs w:val="20"/>
          <w:lang w:eastAsia="ro-RO"/>
        </w:rPr>
        <w:t>Elecampane (</w:t>
      </w:r>
      <w:r w:rsidRPr="00A043FE">
        <w:rPr>
          <w:rFonts w:cs="Arial"/>
          <w:i/>
          <w:szCs w:val="20"/>
        </w:rPr>
        <w:t>Inula helenium</w:t>
      </w:r>
      <w:r w:rsidRPr="00A043FE">
        <w:rPr>
          <w:rFonts w:cs="Arial"/>
          <w:szCs w:val="20"/>
        </w:rPr>
        <w:t xml:space="preserve"> L.</w:t>
      </w:r>
      <w:r w:rsidRPr="00A043FE">
        <w:rPr>
          <w:rFonts w:cs="Arial"/>
          <w:color w:val="000000"/>
          <w:szCs w:val="20"/>
          <w:lang w:eastAsia="ro-RO"/>
        </w:rPr>
        <w:t>) – MTG/22/1</w:t>
      </w:r>
    </w:p>
    <w:p w:rsidR="00523888" w:rsidRPr="00A043FE" w:rsidRDefault="00523888" w:rsidP="00523888">
      <w:pPr>
        <w:pStyle w:val="ListParagraph"/>
        <w:numPr>
          <w:ilvl w:val="0"/>
          <w:numId w:val="29"/>
        </w:numPr>
        <w:jc w:val="both"/>
        <w:rPr>
          <w:rFonts w:cs="Arial"/>
          <w:szCs w:val="20"/>
        </w:rPr>
      </w:pPr>
      <w:r w:rsidRPr="00A043FE">
        <w:rPr>
          <w:rFonts w:cs="Arial"/>
          <w:szCs w:val="20"/>
        </w:rPr>
        <w:t>Knifofie (</w:t>
      </w:r>
      <w:r w:rsidRPr="00A043FE">
        <w:rPr>
          <w:rFonts w:cs="Arial"/>
          <w:i/>
          <w:szCs w:val="20"/>
        </w:rPr>
        <w:t>Kniphofia</w:t>
      </w:r>
      <w:r w:rsidRPr="00A043FE">
        <w:rPr>
          <w:rFonts w:cs="Arial"/>
          <w:szCs w:val="20"/>
        </w:rPr>
        <w:t xml:space="preserve"> Moench) – MTG/23/1</w:t>
      </w:r>
    </w:p>
    <w:p w:rsidR="00523888" w:rsidRPr="00A043FE" w:rsidRDefault="00523888" w:rsidP="00523888">
      <w:pPr>
        <w:pStyle w:val="ListParagraph"/>
        <w:numPr>
          <w:ilvl w:val="0"/>
          <w:numId w:val="29"/>
        </w:numPr>
        <w:spacing w:line="276" w:lineRule="auto"/>
        <w:ind w:right="34"/>
        <w:jc w:val="both"/>
        <w:rPr>
          <w:rFonts w:cs="Arial"/>
          <w:szCs w:val="20"/>
        </w:rPr>
      </w:pPr>
      <w:r w:rsidRPr="00A043FE">
        <w:rPr>
          <w:rFonts w:cs="Arial"/>
          <w:szCs w:val="20"/>
        </w:rPr>
        <w:t>Astragal (</w:t>
      </w:r>
      <w:r w:rsidRPr="00A043FE">
        <w:rPr>
          <w:rFonts w:cs="Arial"/>
          <w:i/>
          <w:szCs w:val="20"/>
        </w:rPr>
        <w:t xml:space="preserve">Astragalus galegiformis </w:t>
      </w:r>
      <w:r w:rsidRPr="00A043FE">
        <w:rPr>
          <w:rFonts w:cs="Arial"/>
          <w:szCs w:val="20"/>
        </w:rPr>
        <w:t>L.) – MTG/24/1</w:t>
      </w:r>
    </w:p>
    <w:p w:rsidR="00523888" w:rsidRPr="00A043FE" w:rsidRDefault="00523888" w:rsidP="00523888">
      <w:pPr>
        <w:pStyle w:val="ListParagraph"/>
        <w:numPr>
          <w:ilvl w:val="0"/>
          <w:numId w:val="29"/>
        </w:numPr>
        <w:spacing w:line="276" w:lineRule="auto"/>
        <w:ind w:right="34"/>
        <w:jc w:val="both"/>
        <w:rPr>
          <w:rFonts w:cs="Arial"/>
          <w:szCs w:val="20"/>
        </w:rPr>
      </w:pPr>
      <w:r w:rsidRPr="00A043FE">
        <w:rPr>
          <w:rFonts w:cs="Arial"/>
          <w:szCs w:val="20"/>
        </w:rPr>
        <w:t>Topinambur (</w:t>
      </w:r>
      <w:r w:rsidRPr="00A043FE">
        <w:rPr>
          <w:rFonts w:cs="Arial"/>
          <w:i/>
          <w:szCs w:val="20"/>
          <w:lang w:eastAsia="ro-RO"/>
        </w:rPr>
        <w:t xml:space="preserve">Helianthus tuberosus </w:t>
      </w:r>
      <w:r w:rsidRPr="00A043FE">
        <w:rPr>
          <w:rFonts w:cs="Arial"/>
          <w:szCs w:val="20"/>
          <w:lang w:eastAsia="ro-RO"/>
        </w:rPr>
        <w:t>L.</w:t>
      </w:r>
      <w:r w:rsidRPr="00A043FE">
        <w:rPr>
          <w:rFonts w:cs="Arial"/>
          <w:szCs w:val="20"/>
        </w:rPr>
        <w:t>) – MTG/25/1</w:t>
      </w:r>
    </w:p>
    <w:p w:rsidR="00523888" w:rsidRPr="00A043FE" w:rsidRDefault="00523888" w:rsidP="00523888"/>
    <w:p w:rsidR="00523888" w:rsidRPr="00A043FE" w:rsidRDefault="00523888" w:rsidP="00523888">
      <w:pPr>
        <w:rPr>
          <w:i/>
        </w:rPr>
      </w:pPr>
      <w:r w:rsidRPr="00A043FE">
        <w:rPr>
          <w:i/>
        </w:rPr>
        <w:t>Statistics</w:t>
      </w:r>
    </w:p>
    <w:p w:rsidR="00523888" w:rsidRPr="00A043FE" w:rsidRDefault="00523888" w:rsidP="00523888"/>
    <w:p w:rsidR="00523888" w:rsidRPr="00A043FE" w:rsidRDefault="00523888" w:rsidP="00523888">
      <w:r w:rsidRPr="00A043FE">
        <w:t>In the period from January 1, 2021 to December 31, 2021:</w:t>
      </w:r>
    </w:p>
    <w:p w:rsidR="00523888" w:rsidRPr="00A043FE" w:rsidRDefault="00523888" w:rsidP="00523888"/>
    <w:p w:rsidR="00523888" w:rsidRPr="00A043FE" w:rsidRDefault="00523888" w:rsidP="00523888">
      <w:pPr>
        <w:spacing w:after="120"/>
        <w:ind w:left="567" w:hanging="567"/>
      </w:pPr>
      <w:r w:rsidRPr="00A043FE">
        <w:t>-</w:t>
      </w:r>
      <w:r w:rsidRPr="00A043FE">
        <w:tab/>
        <w:t xml:space="preserve">15 applications have been received (10 for national applicants and 5 for foreign applicants), as follows: </w:t>
      </w:r>
    </w:p>
    <w:p w:rsidR="00523888" w:rsidRPr="00A043FE" w:rsidRDefault="00523888" w:rsidP="00523888">
      <w:pPr>
        <w:pStyle w:val="NoSpacing"/>
        <w:ind w:left="567"/>
        <w:rPr>
          <w:rFonts w:ascii="Arial" w:hAnsi="Arial" w:cs="Arial"/>
          <w:lang w:val="en-US"/>
        </w:rPr>
      </w:pPr>
      <w:r w:rsidRPr="00A043FE">
        <w:rPr>
          <w:rFonts w:ascii="Arial" w:hAnsi="Arial" w:cs="Arial"/>
          <w:lang w:val="en-US"/>
        </w:rPr>
        <w:t>Apple (</w:t>
      </w:r>
      <w:r w:rsidRPr="00A043FE">
        <w:rPr>
          <w:rFonts w:ascii="Arial" w:hAnsi="Arial" w:cs="Arial"/>
          <w:bCs/>
          <w:i/>
          <w:lang w:val="en-US"/>
        </w:rPr>
        <w:t xml:space="preserve">Malus domestica </w:t>
      </w:r>
      <w:r w:rsidRPr="00A043FE">
        <w:rPr>
          <w:rFonts w:ascii="Arial" w:hAnsi="Arial" w:cs="Arial"/>
          <w:bCs/>
          <w:lang w:val="en-US"/>
        </w:rPr>
        <w:t>Borkh</w:t>
      </w:r>
      <w:r w:rsidRPr="00A043FE">
        <w:rPr>
          <w:rFonts w:ascii="Arial" w:hAnsi="Arial" w:cs="Arial"/>
          <w:lang w:val="en-US"/>
        </w:rPr>
        <w:t>) – 2</w:t>
      </w:r>
    </w:p>
    <w:p w:rsidR="00523888" w:rsidRPr="00A043FE" w:rsidRDefault="00523888" w:rsidP="00523888">
      <w:pPr>
        <w:pStyle w:val="NoSpacing"/>
        <w:ind w:left="567"/>
        <w:rPr>
          <w:rFonts w:ascii="Arial" w:hAnsi="Arial" w:cs="Arial"/>
          <w:lang w:val="en-US"/>
        </w:rPr>
      </w:pPr>
      <w:r w:rsidRPr="00A043FE">
        <w:rPr>
          <w:rFonts w:ascii="Arial" w:hAnsi="Arial" w:cs="Arial"/>
          <w:lang w:val="en-US"/>
        </w:rPr>
        <w:t>Sunflower (</w:t>
      </w:r>
      <w:r w:rsidRPr="00A043FE">
        <w:rPr>
          <w:rFonts w:ascii="Arial" w:hAnsi="Arial" w:cs="Arial"/>
          <w:i/>
          <w:lang w:val="en-US"/>
        </w:rPr>
        <w:t>Helianthus annuus</w:t>
      </w:r>
      <w:r w:rsidRPr="00A043FE">
        <w:rPr>
          <w:rFonts w:ascii="Arial" w:hAnsi="Arial" w:cs="Arial"/>
          <w:lang w:val="en-US"/>
        </w:rPr>
        <w:t>) – 1</w:t>
      </w:r>
    </w:p>
    <w:p w:rsidR="00523888" w:rsidRPr="00A043FE" w:rsidRDefault="00523888" w:rsidP="00523888">
      <w:pPr>
        <w:pStyle w:val="NoSpacing"/>
        <w:ind w:left="567"/>
        <w:rPr>
          <w:rFonts w:ascii="Arial" w:hAnsi="Arial" w:cs="Arial"/>
          <w:lang w:val="en-US"/>
        </w:rPr>
      </w:pPr>
      <w:r w:rsidRPr="00A043FE">
        <w:rPr>
          <w:rFonts w:ascii="Arial" w:hAnsi="Arial" w:cs="Arial"/>
          <w:lang w:val="en-US"/>
        </w:rPr>
        <w:t>Barley (</w:t>
      </w:r>
      <w:r w:rsidRPr="00A043FE">
        <w:rPr>
          <w:rFonts w:ascii="Arial" w:hAnsi="Arial" w:cs="Arial"/>
          <w:bCs/>
          <w:i/>
          <w:lang w:val="en-US"/>
        </w:rPr>
        <w:t xml:space="preserve">Hordeum vulgare </w:t>
      </w:r>
      <w:r w:rsidRPr="00A043FE">
        <w:rPr>
          <w:rFonts w:ascii="Arial" w:hAnsi="Arial" w:cs="Arial"/>
          <w:bCs/>
          <w:lang w:val="en-US"/>
        </w:rPr>
        <w:t>L.</w:t>
      </w:r>
      <w:r w:rsidRPr="00A043FE">
        <w:rPr>
          <w:rFonts w:ascii="Arial" w:hAnsi="Arial" w:cs="Arial"/>
          <w:lang w:val="en-US"/>
        </w:rPr>
        <w:t>) – 1</w:t>
      </w:r>
    </w:p>
    <w:p w:rsidR="00523888" w:rsidRPr="00A043FE" w:rsidRDefault="00523888" w:rsidP="00523888">
      <w:pPr>
        <w:ind w:left="567"/>
        <w:rPr>
          <w:rFonts w:cs="Arial"/>
        </w:rPr>
      </w:pPr>
      <w:r w:rsidRPr="00A043FE">
        <w:rPr>
          <w:rFonts w:cs="Arial"/>
        </w:rPr>
        <w:t>Wheat (</w:t>
      </w:r>
      <w:r w:rsidRPr="00A043FE">
        <w:rPr>
          <w:rFonts w:cs="Arial"/>
          <w:i/>
        </w:rPr>
        <w:t xml:space="preserve">Triticum aestivum </w:t>
      </w:r>
      <w:r w:rsidRPr="00A043FE">
        <w:rPr>
          <w:rFonts w:cs="Arial"/>
        </w:rPr>
        <w:t>L.) – 2</w:t>
      </w:r>
    </w:p>
    <w:p w:rsidR="00523888" w:rsidRPr="002C0C6C" w:rsidRDefault="00523888" w:rsidP="00523888">
      <w:pPr>
        <w:ind w:left="567"/>
        <w:rPr>
          <w:rFonts w:cs="Arial"/>
          <w:lang w:val="es-ES"/>
        </w:rPr>
      </w:pPr>
      <w:r w:rsidRPr="002C0C6C">
        <w:rPr>
          <w:rFonts w:cs="Arial"/>
          <w:lang w:val="es-ES"/>
        </w:rPr>
        <w:t>Lavender (</w:t>
      </w:r>
      <w:r w:rsidRPr="002C0C6C">
        <w:rPr>
          <w:rFonts w:cs="Arial"/>
          <w:i/>
          <w:lang w:val="es-ES"/>
        </w:rPr>
        <w:t>Lavandula angustifolia</w:t>
      </w:r>
      <w:r w:rsidRPr="002C0C6C">
        <w:rPr>
          <w:rFonts w:cs="Arial"/>
          <w:lang w:val="es-ES"/>
        </w:rPr>
        <w:t xml:space="preserve"> Mill.) – 2</w:t>
      </w:r>
    </w:p>
    <w:p w:rsidR="00523888" w:rsidRPr="002C0C6C" w:rsidRDefault="00523888" w:rsidP="00523888">
      <w:pPr>
        <w:ind w:left="567"/>
        <w:rPr>
          <w:rFonts w:cs="Arial"/>
          <w:lang w:val="es-ES"/>
        </w:rPr>
      </w:pPr>
      <w:r w:rsidRPr="002C0C6C">
        <w:rPr>
          <w:rFonts w:cs="Arial"/>
          <w:lang w:val="es-ES"/>
        </w:rPr>
        <w:t>Immortelle (</w:t>
      </w:r>
      <w:r w:rsidRPr="002C0C6C">
        <w:rPr>
          <w:rFonts w:cs="Arial"/>
          <w:i/>
          <w:lang w:val="es-ES"/>
        </w:rPr>
        <w:t>Helichrysum italicam</w:t>
      </w:r>
      <w:r w:rsidRPr="002C0C6C">
        <w:rPr>
          <w:rFonts w:cs="Arial"/>
          <w:lang w:val="es-ES"/>
        </w:rPr>
        <w:t xml:space="preserve"> Rhot Guss.) – 1</w:t>
      </w:r>
    </w:p>
    <w:p w:rsidR="00523888" w:rsidRPr="00A043FE" w:rsidRDefault="00523888" w:rsidP="00523888">
      <w:pPr>
        <w:ind w:left="567"/>
        <w:rPr>
          <w:rFonts w:cs="Arial"/>
        </w:rPr>
      </w:pPr>
      <w:r w:rsidRPr="00A043FE">
        <w:rPr>
          <w:rFonts w:cs="Arial"/>
        </w:rPr>
        <w:t>Prunus rootstock (</w:t>
      </w:r>
      <w:r w:rsidRPr="00A043FE">
        <w:rPr>
          <w:rFonts w:cs="Arial"/>
          <w:i/>
        </w:rPr>
        <w:t>Prunus</w:t>
      </w:r>
      <w:r w:rsidRPr="00A043FE">
        <w:rPr>
          <w:rFonts w:cs="Arial"/>
        </w:rPr>
        <w:t xml:space="preserve"> L.) – 3</w:t>
      </w:r>
    </w:p>
    <w:p w:rsidR="00523888" w:rsidRPr="00A043FE" w:rsidRDefault="00523888" w:rsidP="00523888">
      <w:pPr>
        <w:ind w:left="567"/>
        <w:rPr>
          <w:rFonts w:cs="Arial"/>
        </w:rPr>
      </w:pPr>
      <w:r w:rsidRPr="00A043FE">
        <w:rPr>
          <w:rFonts w:cs="Arial"/>
        </w:rPr>
        <w:t>Indian chrysanrhemum (</w:t>
      </w:r>
      <w:r w:rsidRPr="00A043FE">
        <w:rPr>
          <w:rFonts w:cs="Arial"/>
          <w:i/>
        </w:rPr>
        <w:t>Chrysanthemum indicum</w:t>
      </w:r>
      <w:r w:rsidRPr="00A043FE">
        <w:rPr>
          <w:rFonts w:cs="Arial"/>
        </w:rPr>
        <w:t xml:space="preserve"> L.) – 1</w:t>
      </w:r>
    </w:p>
    <w:p w:rsidR="00523888" w:rsidRPr="00A043FE" w:rsidRDefault="00523888" w:rsidP="00523888">
      <w:pPr>
        <w:ind w:left="567"/>
        <w:rPr>
          <w:rFonts w:cs="Arial"/>
        </w:rPr>
      </w:pPr>
      <w:r w:rsidRPr="00A043FE">
        <w:rPr>
          <w:rFonts w:cs="Arial"/>
        </w:rPr>
        <w:t>Lemon Day-lily (</w:t>
      </w:r>
      <w:r w:rsidRPr="00A043FE">
        <w:rPr>
          <w:rFonts w:cs="Arial"/>
          <w:i/>
        </w:rPr>
        <w:t>Hemerocallis x hibrida hort</w:t>
      </w:r>
      <w:r w:rsidRPr="00A043FE">
        <w:rPr>
          <w:rFonts w:cs="Arial"/>
        </w:rPr>
        <w:t>.) – 1</w:t>
      </w:r>
    </w:p>
    <w:p w:rsidR="00523888" w:rsidRPr="00A043FE" w:rsidRDefault="00523888" w:rsidP="00523888">
      <w:pPr>
        <w:ind w:left="567"/>
        <w:rPr>
          <w:rFonts w:eastAsia="Calibri"/>
          <w:b/>
          <w:bCs/>
          <w:i/>
          <w:iCs/>
          <w:sz w:val="24"/>
          <w:szCs w:val="24"/>
        </w:rPr>
      </w:pPr>
      <w:r w:rsidRPr="00A043FE">
        <w:rPr>
          <w:rFonts w:cs="Arial"/>
        </w:rPr>
        <w:t>Pear (</w:t>
      </w:r>
      <w:r w:rsidRPr="00A043FE">
        <w:rPr>
          <w:rFonts w:cs="Arial"/>
          <w:i/>
        </w:rPr>
        <w:t>Pyrus communis</w:t>
      </w:r>
      <w:r w:rsidRPr="00A043FE">
        <w:rPr>
          <w:rFonts w:cs="Arial"/>
        </w:rPr>
        <w:t xml:space="preserve"> L.) - 1</w:t>
      </w:r>
    </w:p>
    <w:p w:rsidR="00523888" w:rsidRPr="00A043FE" w:rsidRDefault="00523888" w:rsidP="00523888">
      <w:pPr>
        <w:pStyle w:val="NoSpacing"/>
        <w:rPr>
          <w:sz w:val="24"/>
          <w:szCs w:val="24"/>
          <w:lang w:val="en-US"/>
        </w:rPr>
      </w:pPr>
    </w:p>
    <w:p w:rsidR="00523888" w:rsidRPr="00A043FE" w:rsidRDefault="00523888" w:rsidP="00154735">
      <w:pPr>
        <w:keepNext/>
        <w:ind w:left="567" w:hanging="567"/>
        <w:rPr>
          <w:rFonts w:cs="Arial"/>
        </w:rPr>
      </w:pPr>
      <w:r w:rsidRPr="00A043FE">
        <w:rPr>
          <w:rFonts w:cs="Arial"/>
        </w:rPr>
        <w:lastRenderedPageBreak/>
        <w:t>-</w:t>
      </w:r>
      <w:r w:rsidRPr="00A043FE">
        <w:rPr>
          <w:rFonts w:cs="Arial"/>
        </w:rPr>
        <w:tab/>
        <w:t xml:space="preserve">28 patents for plant varieties have been issued (26 for national applicants and 2 for foreign applicants), as follows: </w:t>
      </w:r>
    </w:p>
    <w:p w:rsidR="00523888" w:rsidRPr="00A043FE" w:rsidRDefault="00523888" w:rsidP="00523888">
      <w:pPr>
        <w:pStyle w:val="NoSpacing"/>
        <w:keepNext/>
        <w:rPr>
          <w:rFonts w:ascii="Arial" w:hAnsi="Arial" w:cs="Arial"/>
          <w:lang w:val="en-US"/>
        </w:rPr>
      </w:pPr>
    </w:p>
    <w:p w:rsidR="00523888" w:rsidRPr="002C0C6C" w:rsidRDefault="00523888" w:rsidP="00523888">
      <w:pPr>
        <w:pStyle w:val="NoSpacing"/>
        <w:ind w:left="567"/>
        <w:rPr>
          <w:rFonts w:ascii="Arial" w:hAnsi="Arial" w:cs="Arial"/>
          <w:lang w:val="de-DE"/>
        </w:rPr>
      </w:pPr>
      <w:r w:rsidRPr="002C0C6C">
        <w:rPr>
          <w:rFonts w:ascii="Arial" w:hAnsi="Arial" w:cs="Arial"/>
          <w:lang w:val="de-DE"/>
        </w:rPr>
        <w:t>Barley (</w:t>
      </w:r>
      <w:r w:rsidRPr="002C0C6C">
        <w:rPr>
          <w:rFonts w:ascii="Arial" w:hAnsi="Arial" w:cs="Arial"/>
          <w:bCs/>
          <w:i/>
          <w:lang w:val="de-DE"/>
        </w:rPr>
        <w:t xml:space="preserve">Hordeum vulgare </w:t>
      </w:r>
      <w:r w:rsidRPr="002C0C6C">
        <w:rPr>
          <w:rFonts w:ascii="Arial" w:hAnsi="Arial" w:cs="Arial"/>
          <w:bCs/>
          <w:lang w:val="de-DE"/>
        </w:rPr>
        <w:t>L.</w:t>
      </w:r>
      <w:r w:rsidRPr="002C0C6C">
        <w:rPr>
          <w:rFonts w:ascii="Arial" w:hAnsi="Arial" w:cs="Arial"/>
          <w:lang w:val="de-DE"/>
        </w:rPr>
        <w:t>) – 2</w:t>
      </w:r>
    </w:p>
    <w:p w:rsidR="00523888" w:rsidRPr="002C0C6C" w:rsidRDefault="00523888" w:rsidP="00523888">
      <w:pPr>
        <w:pStyle w:val="NoSpacing"/>
        <w:ind w:left="567"/>
        <w:rPr>
          <w:rFonts w:ascii="Arial" w:hAnsi="Arial" w:cs="Arial"/>
          <w:lang w:val="de-DE"/>
        </w:rPr>
      </w:pPr>
      <w:r w:rsidRPr="002C0C6C">
        <w:rPr>
          <w:rFonts w:ascii="Arial" w:hAnsi="Arial" w:cs="Arial"/>
          <w:lang w:val="de-DE"/>
        </w:rPr>
        <w:t>Beans (</w:t>
      </w:r>
      <w:r w:rsidRPr="002C0C6C">
        <w:rPr>
          <w:rFonts w:ascii="Arial" w:hAnsi="Arial" w:cs="Arial"/>
          <w:i/>
          <w:lang w:val="de-DE"/>
        </w:rPr>
        <w:t>Phaseolus vulgaris</w:t>
      </w:r>
      <w:r w:rsidRPr="002C0C6C">
        <w:rPr>
          <w:rFonts w:ascii="Arial" w:hAnsi="Arial" w:cs="Arial"/>
          <w:lang w:val="de-DE"/>
        </w:rPr>
        <w:t xml:space="preserve"> L.) - 1</w:t>
      </w:r>
    </w:p>
    <w:p w:rsidR="00523888" w:rsidRPr="002C0C6C" w:rsidRDefault="00523888" w:rsidP="00523888">
      <w:pPr>
        <w:pStyle w:val="NoSpacing"/>
        <w:ind w:left="567"/>
        <w:rPr>
          <w:rFonts w:ascii="Arial" w:hAnsi="Arial" w:cs="Arial"/>
          <w:lang w:val="de-DE"/>
        </w:rPr>
      </w:pPr>
      <w:r w:rsidRPr="002C0C6C">
        <w:rPr>
          <w:rFonts w:ascii="Arial" w:hAnsi="Arial" w:cs="Arial"/>
          <w:lang w:val="de-DE"/>
        </w:rPr>
        <w:t>Blackberry (</w:t>
      </w:r>
      <w:r w:rsidRPr="002C0C6C">
        <w:rPr>
          <w:rFonts w:ascii="Arial" w:hAnsi="Arial" w:cs="Arial"/>
          <w:i/>
          <w:lang w:val="de-DE"/>
        </w:rPr>
        <w:t>Rubus fruticosus</w:t>
      </w:r>
      <w:r w:rsidRPr="002C0C6C">
        <w:rPr>
          <w:rFonts w:ascii="Arial" w:hAnsi="Arial" w:cs="Arial"/>
          <w:lang w:val="de-DE"/>
        </w:rPr>
        <w:t xml:space="preserve"> L.) - 1</w:t>
      </w:r>
    </w:p>
    <w:p w:rsidR="00523888" w:rsidRPr="002C0C6C" w:rsidRDefault="00523888" w:rsidP="00523888">
      <w:pPr>
        <w:pStyle w:val="NoSpacing"/>
        <w:ind w:left="567"/>
        <w:rPr>
          <w:rFonts w:ascii="Arial" w:hAnsi="Arial" w:cs="Arial"/>
          <w:lang w:val="de-DE"/>
        </w:rPr>
      </w:pPr>
      <w:r w:rsidRPr="002C0C6C">
        <w:rPr>
          <w:rFonts w:ascii="Arial" w:hAnsi="Arial" w:cs="Arial"/>
          <w:lang w:val="de-DE"/>
        </w:rPr>
        <w:t>Chickpeas (</w:t>
      </w:r>
      <w:r w:rsidRPr="002C0C6C">
        <w:rPr>
          <w:rFonts w:ascii="Arial" w:hAnsi="Arial" w:cs="Arial"/>
          <w:i/>
          <w:lang w:val="de-DE"/>
        </w:rPr>
        <w:t>Cicer arietinum</w:t>
      </w:r>
      <w:r w:rsidRPr="002C0C6C">
        <w:rPr>
          <w:rFonts w:ascii="Arial" w:hAnsi="Arial" w:cs="Arial"/>
          <w:lang w:val="de-DE"/>
        </w:rPr>
        <w:t xml:space="preserve"> L.) - 1</w:t>
      </w:r>
    </w:p>
    <w:p w:rsidR="00523888" w:rsidRPr="002C0C6C" w:rsidRDefault="00523888" w:rsidP="00523888">
      <w:pPr>
        <w:pStyle w:val="NoSpacing"/>
        <w:ind w:left="567"/>
        <w:rPr>
          <w:rFonts w:ascii="Arial" w:hAnsi="Arial" w:cs="Arial"/>
          <w:lang w:val="de-DE"/>
        </w:rPr>
      </w:pPr>
      <w:r w:rsidRPr="002C0C6C">
        <w:rPr>
          <w:rFonts w:ascii="Arial" w:hAnsi="Arial" w:cs="Arial"/>
          <w:lang w:val="de-DE"/>
        </w:rPr>
        <w:t>Chrysanthemum (</w:t>
      </w:r>
      <w:r w:rsidRPr="002C0C6C">
        <w:rPr>
          <w:rFonts w:ascii="Arial" w:hAnsi="Arial" w:cs="Arial"/>
          <w:i/>
          <w:lang w:val="de-DE"/>
        </w:rPr>
        <w:t>Chrysanthemum indicum</w:t>
      </w:r>
      <w:r w:rsidRPr="002C0C6C">
        <w:rPr>
          <w:rFonts w:ascii="Arial" w:hAnsi="Arial" w:cs="Arial"/>
          <w:lang w:val="de-DE"/>
        </w:rPr>
        <w:t xml:space="preserve"> L.) – 1</w:t>
      </w:r>
    </w:p>
    <w:p w:rsidR="00523888" w:rsidRPr="00A043FE" w:rsidRDefault="00523888" w:rsidP="00523888">
      <w:pPr>
        <w:pStyle w:val="NoSpacing"/>
        <w:ind w:left="567"/>
        <w:rPr>
          <w:rFonts w:ascii="Arial" w:hAnsi="Arial" w:cs="Arial"/>
          <w:lang w:val="en-US"/>
        </w:rPr>
      </w:pPr>
      <w:r w:rsidRPr="00A043FE">
        <w:rPr>
          <w:rFonts w:ascii="Arial" w:hAnsi="Arial" w:cs="Arial"/>
          <w:lang w:val="en-US"/>
        </w:rPr>
        <w:t>Garlic (</w:t>
      </w:r>
      <w:r w:rsidRPr="00A043FE">
        <w:rPr>
          <w:rFonts w:ascii="Arial" w:hAnsi="Arial" w:cs="Arial"/>
          <w:i/>
          <w:lang w:val="en-US"/>
        </w:rPr>
        <w:t>Allium sativum</w:t>
      </w:r>
      <w:r w:rsidRPr="00A043FE">
        <w:rPr>
          <w:rFonts w:ascii="Arial" w:hAnsi="Arial" w:cs="Arial"/>
          <w:lang w:val="en-US"/>
        </w:rPr>
        <w:t xml:space="preserve"> L.) - 2</w:t>
      </w:r>
    </w:p>
    <w:p w:rsidR="00523888" w:rsidRPr="00A043FE" w:rsidRDefault="00523888" w:rsidP="00523888">
      <w:pPr>
        <w:pStyle w:val="NoSpacing"/>
        <w:ind w:left="567"/>
        <w:rPr>
          <w:rFonts w:ascii="Arial" w:hAnsi="Arial" w:cs="Arial"/>
          <w:lang w:val="en-US"/>
        </w:rPr>
      </w:pPr>
      <w:r w:rsidRPr="00A043FE">
        <w:rPr>
          <w:rFonts w:ascii="Arial" w:hAnsi="Arial" w:cs="Arial"/>
          <w:lang w:val="en-US"/>
        </w:rPr>
        <w:t>Hazelnut (</w:t>
      </w:r>
      <w:r w:rsidRPr="00A043FE">
        <w:rPr>
          <w:rFonts w:ascii="Arial" w:hAnsi="Arial" w:cs="Arial"/>
          <w:i/>
          <w:lang w:val="en-US"/>
        </w:rPr>
        <w:t>Corylus avellana</w:t>
      </w:r>
      <w:r w:rsidRPr="00A043FE">
        <w:rPr>
          <w:rFonts w:ascii="Arial" w:hAnsi="Arial" w:cs="Arial"/>
          <w:lang w:val="en-US"/>
        </w:rPr>
        <w:t xml:space="preserve"> L.) - 1</w:t>
      </w:r>
    </w:p>
    <w:p w:rsidR="00523888" w:rsidRPr="00A043FE" w:rsidRDefault="00523888" w:rsidP="00523888">
      <w:pPr>
        <w:pStyle w:val="NoSpacing"/>
        <w:ind w:left="567"/>
        <w:rPr>
          <w:rFonts w:ascii="Arial" w:hAnsi="Arial" w:cs="Arial"/>
          <w:lang w:val="en-US"/>
        </w:rPr>
      </w:pPr>
      <w:r w:rsidRPr="00A043FE">
        <w:rPr>
          <w:rFonts w:ascii="Arial" w:hAnsi="Arial" w:cs="Arial"/>
          <w:lang w:val="en-US"/>
        </w:rPr>
        <w:t>Maize (</w:t>
      </w:r>
      <w:r w:rsidRPr="00A043FE">
        <w:rPr>
          <w:rFonts w:ascii="Arial" w:hAnsi="Arial" w:cs="Arial"/>
          <w:i/>
          <w:lang w:val="en-US"/>
        </w:rPr>
        <w:t>Zea mays</w:t>
      </w:r>
      <w:r w:rsidRPr="00A043FE">
        <w:rPr>
          <w:rFonts w:ascii="Arial" w:hAnsi="Arial" w:cs="Arial"/>
          <w:lang w:val="en-US"/>
        </w:rPr>
        <w:t xml:space="preserve"> L.) - 4</w:t>
      </w:r>
    </w:p>
    <w:p w:rsidR="00523888" w:rsidRPr="00A043FE" w:rsidRDefault="00523888" w:rsidP="00523888">
      <w:pPr>
        <w:pStyle w:val="NoSpacing"/>
        <w:ind w:left="567"/>
        <w:rPr>
          <w:rFonts w:ascii="Arial" w:hAnsi="Arial" w:cs="Arial"/>
          <w:iCs/>
          <w:lang w:val="en-US"/>
        </w:rPr>
      </w:pPr>
      <w:r w:rsidRPr="00A043FE">
        <w:rPr>
          <w:rFonts w:ascii="Arial" w:hAnsi="Arial" w:cs="Arial"/>
          <w:lang w:val="en-US"/>
        </w:rPr>
        <w:t>Onion (</w:t>
      </w:r>
      <w:r w:rsidRPr="00A043FE">
        <w:rPr>
          <w:rFonts w:ascii="Arial" w:hAnsi="Arial" w:cs="Arial"/>
          <w:iCs/>
          <w:lang w:val="en-US"/>
        </w:rPr>
        <w:t>Allium cepa</w:t>
      </w:r>
      <w:r w:rsidRPr="00A043FE">
        <w:rPr>
          <w:rFonts w:ascii="Arial" w:hAnsi="Arial" w:cs="Arial"/>
          <w:i/>
          <w:iCs/>
          <w:lang w:val="en-US"/>
        </w:rPr>
        <w:t xml:space="preserve">) </w:t>
      </w:r>
      <w:r w:rsidRPr="00A043FE">
        <w:rPr>
          <w:rFonts w:ascii="Arial" w:hAnsi="Arial" w:cs="Arial"/>
          <w:iCs/>
          <w:lang w:val="en-US"/>
        </w:rPr>
        <w:t>– 1</w:t>
      </w:r>
    </w:p>
    <w:p w:rsidR="00523888" w:rsidRPr="00A043FE" w:rsidRDefault="00523888" w:rsidP="00523888">
      <w:pPr>
        <w:pStyle w:val="NoSpacing"/>
        <w:ind w:left="567"/>
        <w:rPr>
          <w:rFonts w:ascii="Arial" w:hAnsi="Arial" w:cs="Arial"/>
          <w:lang w:val="en-US"/>
        </w:rPr>
      </w:pPr>
      <w:r w:rsidRPr="00A043FE">
        <w:rPr>
          <w:rFonts w:ascii="Arial" w:hAnsi="Arial" w:cs="Arial"/>
          <w:lang w:val="en-US"/>
        </w:rPr>
        <w:t>Peony (</w:t>
      </w:r>
      <w:r w:rsidRPr="00A043FE">
        <w:rPr>
          <w:rFonts w:ascii="Arial" w:hAnsi="Arial" w:cs="Arial"/>
          <w:i/>
          <w:lang w:val="en-US"/>
        </w:rPr>
        <w:t>Paeonia lactiflora</w:t>
      </w:r>
      <w:r w:rsidRPr="00A043FE">
        <w:rPr>
          <w:rFonts w:ascii="Arial" w:hAnsi="Arial" w:cs="Arial"/>
          <w:lang w:val="en-US"/>
        </w:rPr>
        <w:t xml:space="preserve"> Pall.) - 1</w:t>
      </w:r>
    </w:p>
    <w:p w:rsidR="00523888" w:rsidRPr="00A043FE" w:rsidRDefault="00523888" w:rsidP="00523888">
      <w:pPr>
        <w:pStyle w:val="NoSpacing"/>
        <w:ind w:left="567"/>
        <w:rPr>
          <w:rFonts w:ascii="Arial" w:hAnsi="Arial" w:cs="Arial"/>
          <w:lang w:val="en-US"/>
        </w:rPr>
      </w:pPr>
      <w:r w:rsidRPr="00A043FE">
        <w:rPr>
          <w:rFonts w:ascii="Arial" w:hAnsi="Arial" w:cs="Arial"/>
          <w:lang w:val="en-US"/>
        </w:rPr>
        <w:t>Plums (</w:t>
      </w:r>
      <w:r w:rsidRPr="00A043FE">
        <w:rPr>
          <w:rFonts w:ascii="Arial" w:hAnsi="Arial" w:cs="Arial"/>
          <w:i/>
          <w:lang w:val="en-US"/>
        </w:rPr>
        <w:t>Prunus domestica</w:t>
      </w:r>
      <w:r w:rsidRPr="00A043FE">
        <w:rPr>
          <w:rFonts w:ascii="Arial" w:hAnsi="Arial" w:cs="Arial"/>
          <w:lang w:val="en-US"/>
        </w:rPr>
        <w:t xml:space="preserve"> L.) - 2</w:t>
      </w:r>
    </w:p>
    <w:p w:rsidR="00523888" w:rsidRPr="00A043FE" w:rsidRDefault="00523888" w:rsidP="00523888">
      <w:pPr>
        <w:pStyle w:val="NoSpacing"/>
        <w:ind w:left="567"/>
        <w:rPr>
          <w:rFonts w:ascii="Arial" w:hAnsi="Arial" w:cs="Arial"/>
          <w:lang w:val="en-US"/>
        </w:rPr>
      </w:pPr>
      <w:r w:rsidRPr="00A043FE">
        <w:rPr>
          <w:rFonts w:ascii="Arial" w:hAnsi="Arial" w:cs="Arial"/>
          <w:lang w:val="en-US"/>
        </w:rPr>
        <w:t>Soybean (</w:t>
      </w:r>
      <w:r w:rsidRPr="00A043FE">
        <w:rPr>
          <w:rFonts w:ascii="Arial" w:hAnsi="Arial" w:cs="Arial"/>
          <w:i/>
          <w:lang w:val="en-US"/>
        </w:rPr>
        <w:t>Glicine max</w:t>
      </w:r>
      <w:r w:rsidRPr="00A043FE">
        <w:rPr>
          <w:rFonts w:ascii="Arial" w:hAnsi="Arial" w:cs="Arial"/>
          <w:lang w:val="en-US"/>
        </w:rPr>
        <w:t>. L. Merrill) - 1</w:t>
      </w:r>
    </w:p>
    <w:p w:rsidR="00523888" w:rsidRPr="00A043FE" w:rsidRDefault="00523888" w:rsidP="00523888">
      <w:pPr>
        <w:pStyle w:val="NoSpacing"/>
        <w:ind w:left="567"/>
        <w:rPr>
          <w:rFonts w:ascii="Arial" w:hAnsi="Arial" w:cs="Arial"/>
          <w:lang w:val="en-US"/>
        </w:rPr>
      </w:pPr>
      <w:r w:rsidRPr="00A043FE">
        <w:rPr>
          <w:rFonts w:ascii="Arial" w:hAnsi="Arial" w:cs="Arial"/>
          <w:lang w:val="en-US"/>
        </w:rPr>
        <w:t>Sunflower (</w:t>
      </w:r>
      <w:r w:rsidRPr="00A043FE">
        <w:rPr>
          <w:rFonts w:ascii="Arial" w:hAnsi="Arial" w:cs="Arial"/>
          <w:i/>
          <w:lang w:val="en-US"/>
        </w:rPr>
        <w:t>Helianthus annuus</w:t>
      </w:r>
      <w:r w:rsidRPr="00A043FE">
        <w:rPr>
          <w:rFonts w:ascii="Arial" w:hAnsi="Arial" w:cs="Arial"/>
          <w:lang w:val="en-US"/>
        </w:rPr>
        <w:t>) – 2</w:t>
      </w:r>
    </w:p>
    <w:p w:rsidR="00523888" w:rsidRPr="00A043FE" w:rsidRDefault="00523888" w:rsidP="00523888">
      <w:pPr>
        <w:pStyle w:val="NoSpacing"/>
        <w:ind w:left="567"/>
        <w:rPr>
          <w:rFonts w:ascii="Arial" w:hAnsi="Arial" w:cs="Arial"/>
          <w:lang w:val="en-US"/>
        </w:rPr>
      </w:pPr>
      <w:r w:rsidRPr="00A043FE">
        <w:rPr>
          <w:rFonts w:ascii="Arial" w:hAnsi="Arial" w:cs="Arial"/>
          <w:lang w:val="en-US"/>
        </w:rPr>
        <w:t>Tomato (</w:t>
      </w:r>
      <w:r w:rsidRPr="00A043FE">
        <w:rPr>
          <w:rFonts w:ascii="Arial" w:hAnsi="Arial" w:cs="Arial"/>
          <w:i/>
          <w:lang w:val="en-US"/>
        </w:rPr>
        <w:t>Solanum lycopersicum</w:t>
      </w:r>
      <w:r w:rsidRPr="00A043FE">
        <w:rPr>
          <w:rFonts w:ascii="Arial" w:hAnsi="Arial" w:cs="Arial"/>
          <w:lang w:val="en-US"/>
        </w:rPr>
        <w:t xml:space="preserve"> L.)- 2</w:t>
      </w:r>
    </w:p>
    <w:p w:rsidR="00523888" w:rsidRPr="00A043FE" w:rsidRDefault="00523888" w:rsidP="00523888">
      <w:pPr>
        <w:pStyle w:val="NoSpacing"/>
        <w:ind w:left="567"/>
        <w:rPr>
          <w:rFonts w:ascii="Arial" w:hAnsi="Arial" w:cs="Arial"/>
          <w:lang w:val="en-US"/>
        </w:rPr>
      </w:pPr>
      <w:r w:rsidRPr="00A043FE">
        <w:rPr>
          <w:rFonts w:ascii="Arial" w:hAnsi="Arial" w:cs="Arial"/>
          <w:lang w:val="en-US"/>
        </w:rPr>
        <w:t>Grapevine (</w:t>
      </w:r>
      <w:r w:rsidRPr="00A043FE">
        <w:rPr>
          <w:rFonts w:ascii="Arial" w:hAnsi="Arial" w:cs="Arial"/>
          <w:i/>
          <w:lang w:val="en-US"/>
        </w:rPr>
        <w:t>Vitis vinifera</w:t>
      </w:r>
      <w:r w:rsidRPr="00A043FE">
        <w:rPr>
          <w:rFonts w:ascii="Arial" w:hAnsi="Arial" w:cs="Arial"/>
          <w:lang w:val="en-US"/>
        </w:rPr>
        <w:t xml:space="preserve"> L.) - 4</w:t>
      </w:r>
    </w:p>
    <w:p w:rsidR="00523888" w:rsidRPr="00A043FE" w:rsidRDefault="00523888" w:rsidP="00523888">
      <w:pPr>
        <w:ind w:left="567"/>
        <w:rPr>
          <w:rFonts w:cs="Arial"/>
        </w:rPr>
      </w:pPr>
      <w:r w:rsidRPr="00A043FE">
        <w:rPr>
          <w:rFonts w:cs="Arial"/>
        </w:rPr>
        <w:t>Wheat (</w:t>
      </w:r>
      <w:r w:rsidRPr="00A043FE">
        <w:rPr>
          <w:rFonts w:cs="Arial"/>
          <w:i/>
        </w:rPr>
        <w:t xml:space="preserve">Triticum aestivum </w:t>
      </w:r>
      <w:r w:rsidRPr="00A043FE">
        <w:rPr>
          <w:rFonts w:cs="Arial"/>
        </w:rPr>
        <w:t>L.) – 1</w:t>
      </w:r>
    </w:p>
    <w:p w:rsidR="00523888" w:rsidRPr="00A043FE" w:rsidRDefault="00523888" w:rsidP="00523888">
      <w:pPr>
        <w:ind w:left="567"/>
        <w:rPr>
          <w:rFonts w:cs="Arial"/>
        </w:rPr>
      </w:pPr>
      <w:r w:rsidRPr="00A043FE">
        <w:rPr>
          <w:rFonts w:cs="Arial"/>
        </w:rPr>
        <w:t>Lemon Day-lily (</w:t>
      </w:r>
      <w:r w:rsidRPr="00A043FE">
        <w:rPr>
          <w:rFonts w:cs="Arial"/>
          <w:i/>
        </w:rPr>
        <w:t>Hemerocallis x hibrida hort</w:t>
      </w:r>
      <w:r w:rsidRPr="00A043FE">
        <w:rPr>
          <w:rFonts w:cs="Arial"/>
        </w:rPr>
        <w:t>.) – 1</w:t>
      </w:r>
    </w:p>
    <w:p w:rsidR="00523888" w:rsidRPr="00A043FE" w:rsidRDefault="00523888" w:rsidP="00523888"/>
    <w:p w:rsidR="00523888" w:rsidRPr="00A043FE" w:rsidRDefault="00523888" w:rsidP="00523888"/>
    <w:p w:rsidR="00523888" w:rsidRPr="00A043FE" w:rsidRDefault="00523888" w:rsidP="00523888">
      <w:r w:rsidRPr="00A043FE">
        <w:t>4.</w:t>
      </w:r>
      <w:r w:rsidRPr="00A043FE">
        <w:tab/>
      </w:r>
      <w:r w:rsidRPr="00A043FE">
        <w:rPr>
          <w:u w:val="single"/>
        </w:rPr>
        <w:t>Situation in the technical field</w:t>
      </w:r>
      <w:r w:rsidRPr="00A043FE">
        <w:t>:  No changes.</w:t>
      </w:r>
    </w:p>
    <w:p w:rsidR="00523888" w:rsidRPr="00A043FE" w:rsidRDefault="00523888" w:rsidP="00523888"/>
    <w:p w:rsidR="00523888" w:rsidRPr="00A043FE" w:rsidRDefault="00523888" w:rsidP="00523888"/>
    <w:p w:rsidR="00523888" w:rsidRPr="00A043FE" w:rsidRDefault="00523888" w:rsidP="00523888">
      <w:pPr>
        <w:rPr>
          <w:u w:val="single"/>
        </w:rPr>
      </w:pPr>
      <w:r w:rsidRPr="00A043FE">
        <w:t>5.</w:t>
      </w:r>
      <w:r w:rsidRPr="00A043FE">
        <w:tab/>
      </w:r>
      <w:r w:rsidRPr="00A043FE">
        <w:rPr>
          <w:u w:val="single"/>
        </w:rPr>
        <w:t>Activities for the promotion of plant varieties protection</w:t>
      </w:r>
    </w:p>
    <w:p w:rsidR="00523888" w:rsidRPr="00A043FE" w:rsidRDefault="00523888" w:rsidP="00523888">
      <w:pPr>
        <w:rPr>
          <w:sz w:val="25"/>
          <w:szCs w:val="25"/>
        </w:rPr>
      </w:pPr>
    </w:p>
    <w:p w:rsidR="00523888" w:rsidRPr="00A043FE" w:rsidRDefault="00523888" w:rsidP="00523888">
      <w:r w:rsidRPr="00A043FE">
        <w:t xml:space="preserve">On a regular basis, AGEPI maintains the website </w:t>
      </w:r>
      <w:hyperlink r:id="rId38" w:history="1">
        <w:r w:rsidRPr="00A043FE">
          <w:rPr>
            <w:rStyle w:val="Hyperlink"/>
          </w:rPr>
          <w:t>www.agepi.gov.md</w:t>
        </w:r>
      </w:hyperlink>
      <w:r w:rsidRPr="00A043FE">
        <w:t>, where the national legislation in the field of plant varieties protection can be accessed, as well as the application forms for a plant variety patent, and useful related information for applicants and breeders, available in Romanian, Russian and English languages.</w:t>
      </w:r>
    </w:p>
    <w:p w:rsidR="00523888" w:rsidRPr="00A043FE" w:rsidRDefault="00523888" w:rsidP="00523888"/>
    <w:p w:rsidR="00523888" w:rsidRPr="00A043FE" w:rsidRDefault="00523888" w:rsidP="00523888">
      <w:r w:rsidRPr="00A043FE">
        <w:t>Information materials related to the protection of plant varieties are distributed under the different activities organized by AGEPI or in which AGEPI is involved, like seminars, IP awareness campaigns and exhibitions.</w:t>
      </w:r>
    </w:p>
    <w:p w:rsidR="00523888" w:rsidRPr="00A043FE" w:rsidRDefault="00523888" w:rsidP="00523888"/>
    <w:p w:rsidR="00523888" w:rsidRPr="00A043FE" w:rsidRDefault="00523888" w:rsidP="00523888">
      <w:r w:rsidRPr="00A043FE">
        <w:t>Since 2016 the Republic of Moldova, represented by AGEPI, is a participating member of the UPOV project on the development of an electronic application form UPOV PRISMA.</w:t>
      </w:r>
    </w:p>
    <w:p w:rsidR="00523888" w:rsidRPr="00A043FE" w:rsidRDefault="00523888" w:rsidP="00523888">
      <w:pPr>
        <w:jc w:val="left"/>
      </w:pPr>
    </w:p>
    <w:p w:rsidR="003C641A" w:rsidRPr="00AA2FEE" w:rsidRDefault="003C641A" w:rsidP="003C641A">
      <w:pPr>
        <w:jc w:val="left"/>
      </w:pPr>
    </w:p>
    <w:p w:rsidR="000362AD" w:rsidRPr="00AA2FEE" w:rsidRDefault="000362AD" w:rsidP="000362AD">
      <w:pPr>
        <w:jc w:val="left"/>
      </w:pPr>
    </w:p>
    <w:p w:rsidR="000362AD" w:rsidRPr="00AA2FEE" w:rsidRDefault="0061294D" w:rsidP="000362AD">
      <w:pPr>
        <w:jc w:val="right"/>
      </w:pPr>
      <w:r w:rsidRPr="00AA2FEE">
        <w:t>[Annex X</w:t>
      </w:r>
      <w:r w:rsidR="0075382F" w:rsidRPr="00AA2FEE">
        <w:t>V</w:t>
      </w:r>
      <w:r w:rsidR="000362AD" w:rsidRPr="00AA2FEE">
        <w:t xml:space="preserve"> follows]</w:t>
      </w:r>
    </w:p>
    <w:p w:rsidR="000362AD" w:rsidRPr="00AA2FEE" w:rsidRDefault="000362AD" w:rsidP="000362AD"/>
    <w:p w:rsidR="000362AD" w:rsidRPr="00AA2FEE" w:rsidRDefault="000362AD" w:rsidP="000362AD">
      <w:pPr>
        <w:jc w:val="left"/>
        <w:sectPr w:rsidR="000362AD" w:rsidRPr="00AA2FEE" w:rsidSect="0049108C">
          <w:headerReference w:type="default" r:id="rId39"/>
          <w:pgSz w:w="11907" w:h="16840" w:code="9"/>
          <w:pgMar w:top="510" w:right="1134" w:bottom="1134" w:left="1134" w:header="510" w:footer="680" w:gutter="0"/>
          <w:pgNumType w:start="1"/>
          <w:cols w:space="720"/>
          <w:titlePg/>
        </w:sectPr>
      </w:pPr>
    </w:p>
    <w:p w:rsidR="000362AD" w:rsidRPr="00AA2FEE" w:rsidRDefault="005A5958" w:rsidP="000362AD">
      <w:pPr>
        <w:jc w:val="center"/>
      </w:pPr>
      <w:r w:rsidRPr="00AA2FEE">
        <w:lastRenderedPageBreak/>
        <w:t>C/56</w:t>
      </w:r>
      <w:r w:rsidR="000362AD" w:rsidRPr="00AA2FEE">
        <w:t>/INF/4</w:t>
      </w:r>
    </w:p>
    <w:p w:rsidR="000362AD" w:rsidRPr="00AA2FEE" w:rsidRDefault="000362AD" w:rsidP="000362AD">
      <w:pPr>
        <w:jc w:val="center"/>
      </w:pPr>
    </w:p>
    <w:p w:rsidR="000362AD" w:rsidRPr="00AA2FEE" w:rsidRDefault="000362AD" w:rsidP="000362AD">
      <w:pPr>
        <w:jc w:val="center"/>
      </w:pPr>
      <w:r w:rsidRPr="00AA2FEE">
        <w:t>ANNEX X</w:t>
      </w:r>
      <w:r w:rsidR="0075382F" w:rsidRPr="00AA2FEE">
        <w:t>V</w:t>
      </w:r>
    </w:p>
    <w:p w:rsidR="000362AD" w:rsidRPr="00AA2FEE" w:rsidRDefault="000362AD" w:rsidP="000362AD">
      <w:pPr>
        <w:jc w:val="center"/>
      </w:pPr>
    </w:p>
    <w:p w:rsidR="000362AD" w:rsidRPr="00AA2FEE" w:rsidRDefault="000362AD" w:rsidP="000362AD">
      <w:pPr>
        <w:jc w:val="center"/>
      </w:pPr>
    </w:p>
    <w:p w:rsidR="00F43FBA" w:rsidRPr="00AA2FEE" w:rsidRDefault="0075382F" w:rsidP="00F43FBA">
      <w:pPr>
        <w:jc w:val="center"/>
      </w:pPr>
      <w:r w:rsidRPr="00AA2FEE">
        <w:t>CZECH REPUBLIC</w:t>
      </w:r>
    </w:p>
    <w:p w:rsidR="00F43FBA" w:rsidRPr="00AA2FEE" w:rsidRDefault="00F43FBA" w:rsidP="00F43FBA">
      <w:pPr>
        <w:jc w:val="center"/>
      </w:pPr>
    </w:p>
    <w:p w:rsidR="00F43FBA" w:rsidRPr="00AA2FEE" w:rsidRDefault="00F43FBA" w:rsidP="00F43FBA">
      <w:pPr>
        <w:jc w:val="center"/>
      </w:pPr>
    </w:p>
    <w:p w:rsidR="00913125" w:rsidRPr="001E3628" w:rsidRDefault="00913125" w:rsidP="00913125">
      <w:r w:rsidRPr="001E3628">
        <w:t>I.</w:t>
      </w:r>
      <w:r w:rsidRPr="001E3628">
        <w:tab/>
        <w:t>PLANT VARIETY PROTECTION</w:t>
      </w:r>
    </w:p>
    <w:p w:rsidR="00913125" w:rsidRPr="00A67586" w:rsidRDefault="00913125" w:rsidP="00913125"/>
    <w:p w:rsidR="00913125" w:rsidRPr="001E3628" w:rsidRDefault="00913125" w:rsidP="00913125">
      <w:pPr>
        <w:tabs>
          <w:tab w:val="left" w:pos="426"/>
          <w:tab w:val="left" w:pos="1276"/>
        </w:tabs>
      </w:pPr>
      <w:r w:rsidRPr="00A67586">
        <w:t xml:space="preserve">1. </w:t>
      </w:r>
      <w:r w:rsidRPr="00A67586">
        <w:tab/>
      </w:r>
      <w:r w:rsidRPr="00A67586">
        <w:rPr>
          <w:u w:val="single"/>
        </w:rPr>
        <w:t>Situation in the legislative field</w:t>
      </w:r>
      <w:r>
        <w:t xml:space="preserve">:  </w:t>
      </w:r>
      <w:r w:rsidRPr="00602C45">
        <w:t>Nothing to report.</w:t>
      </w:r>
    </w:p>
    <w:p w:rsidR="00913125" w:rsidRDefault="00913125" w:rsidP="00913125"/>
    <w:p w:rsidR="00913125" w:rsidRPr="00A67586" w:rsidRDefault="00913125" w:rsidP="00913125"/>
    <w:p w:rsidR="00913125" w:rsidRPr="00A67586" w:rsidRDefault="00913125" w:rsidP="00913125">
      <w:r w:rsidRPr="00A67586">
        <w:t>2.</w:t>
      </w:r>
      <w:r w:rsidRPr="00A67586">
        <w:tab/>
      </w:r>
      <w:r w:rsidRPr="00A67586">
        <w:rPr>
          <w:u w:val="single"/>
        </w:rPr>
        <w:t>Cooperation in examination</w:t>
      </w:r>
    </w:p>
    <w:p w:rsidR="00913125" w:rsidRPr="00A67586" w:rsidRDefault="00913125" w:rsidP="00913125">
      <w:pPr>
        <w:tabs>
          <w:tab w:val="left" w:pos="426"/>
          <w:tab w:val="left" w:pos="851"/>
        </w:tabs>
      </w:pPr>
    </w:p>
    <w:p w:rsidR="00913125" w:rsidRPr="004A30EE" w:rsidRDefault="00913125" w:rsidP="00913125">
      <w:r w:rsidRPr="004A30EE">
        <w:t>The bilateral agreements on cooperation in examination with Austria, Denmark, Hungary, Netherlands, Poland, Romania, Slovakia, Slovenia</w:t>
      </w:r>
      <w:r>
        <w:t>, and</w:t>
      </w:r>
      <w:r w:rsidRPr="004A30EE">
        <w:t xml:space="preserve"> CPVO continue unchanged.</w:t>
      </w:r>
    </w:p>
    <w:p w:rsidR="00913125" w:rsidRPr="00A67586" w:rsidRDefault="00913125" w:rsidP="00913125"/>
    <w:p w:rsidR="00913125" w:rsidRPr="00A67586" w:rsidRDefault="00913125" w:rsidP="00913125"/>
    <w:p w:rsidR="00913125" w:rsidRPr="00A67586" w:rsidRDefault="00913125" w:rsidP="00913125">
      <w:pPr>
        <w:rPr>
          <w:u w:val="single"/>
        </w:rPr>
      </w:pPr>
      <w:r w:rsidRPr="00A67586">
        <w:t>3.</w:t>
      </w:r>
      <w:r w:rsidRPr="00A67586">
        <w:tab/>
      </w:r>
      <w:r w:rsidRPr="00A67586">
        <w:rPr>
          <w:u w:val="single"/>
        </w:rPr>
        <w:t>Situation in the administrative field</w:t>
      </w:r>
      <w:r w:rsidRPr="001E3628">
        <w:t xml:space="preserve">: </w:t>
      </w:r>
      <w:r>
        <w:t xml:space="preserve"> </w:t>
      </w:r>
      <w:r w:rsidRPr="00602C45">
        <w:t>Nothing to report.</w:t>
      </w:r>
    </w:p>
    <w:p w:rsidR="00913125" w:rsidRDefault="00913125" w:rsidP="00913125"/>
    <w:p w:rsidR="00913125" w:rsidRPr="00A67586" w:rsidRDefault="00913125" w:rsidP="00913125"/>
    <w:p w:rsidR="00913125" w:rsidRPr="00A67586" w:rsidRDefault="00913125" w:rsidP="00913125">
      <w:pPr>
        <w:spacing w:line="360" w:lineRule="auto"/>
      </w:pPr>
      <w:r w:rsidRPr="00A67586">
        <w:t>4.</w:t>
      </w:r>
      <w:r w:rsidRPr="00A67586">
        <w:tab/>
      </w:r>
      <w:r w:rsidRPr="00A67586">
        <w:rPr>
          <w:u w:val="single"/>
        </w:rPr>
        <w:t>Situation in the technical field</w:t>
      </w:r>
      <w:r w:rsidRPr="001E3628">
        <w:t xml:space="preserve">: </w:t>
      </w:r>
      <w:r>
        <w:t xml:space="preserve"> </w:t>
      </w:r>
      <w:r w:rsidRPr="00602C45">
        <w:t>Nothing to report.</w:t>
      </w:r>
    </w:p>
    <w:p w:rsidR="00913125" w:rsidRPr="00A67586" w:rsidRDefault="00913125" w:rsidP="00913125"/>
    <w:p w:rsidR="00913125" w:rsidRPr="00A67586" w:rsidRDefault="00913125" w:rsidP="00913125"/>
    <w:p w:rsidR="00913125" w:rsidRDefault="00913125" w:rsidP="00913125">
      <w:pPr>
        <w:rPr>
          <w:u w:val="single"/>
        </w:rPr>
      </w:pPr>
      <w:r w:rsidRPr="00A67586">
        <w:t>5.</w:t>
      </w:r>
      <w:r w:rsidRPr="00A67586">
        <w:tab/>
      </w:r>
      <w:r w:rsidRPr="00A67586">
        <w:rPr>
          <w:u w:val="single"/>
        </w:rPr>
        <w:t>Activities for the promotion of plant variety protection</w:t>
      </w:r>
    </w:p>
    <w:p w:rsidR="00913125" w:rsidRDefault="00913125" w:rsidP="00913125">
      <w:pPr>
        <w:rPr>
          <w:u w:val="single"/>
        </w:rPr>
      </w:pPr>
    </w:p>
    <w:p w:rsidR="00913125" w:rsidRPr="001473F0" w:rsidRDefault="00913125" w:rsidP="00913125">
      <w:r w:rsidRPr="001473F0">
        <w:t>Experts of the Central Institute for Supervision and Testing in Agriculture (ÚKZÚZ) participated in virtual and physical meetings of the UPOV Bodies (C, CAJ, CC, TC, TWA, TWC, TWF, TWV) and meetings organized by the CPVO (Administrative Council, meetings with experts on agricultural species, vegetable and fruit species, annual meeting with Examination offices and certain species expert virtual meetings.</w:t>
      </w:r>
    </w:p>
    <w:p w:rsidR="00913125" w:rsidRPr="001473F0" w:rsidRDefault="00913125" w:rsidP="00913125"/>
    <w:p w:rsidR="00913125" w:rsidRPr="00147A00" w:rsidRDefault="00913125" w:rsidP="00913125">
      <w:r w:rsidRPr="001473F0">
        <w:t>Experts of the Ministry in Agriculture and ÚKZÚZ take the opportunity to try promoting the importance of the system of Plant Breeders Rights and its impact on the EU economy and the environment in some events organized within the framework of the Czech Presidency of the Council of the EU.</w:t>
      </w:r>
    </w:p>
    <w:p w:rsidR="00913125" w:rsidRPr="00147A00" w:rsidRDefault="00913125" w:rsidP="00913125"/>
    <w:p w:rsidR="00913125" w:rsidRPr="00A67586" w:rsidRDefault="00913125" w:rsidP="00913125"/>
    <w:p w:rsidR="00913125" w:rsidRPr="001E3628" w:rsidRDefault="00913125" w:rsidP="00913125">
      <w:r w:rsidRPr="001E3628">
        <w:t>II.</w:t>
      </w:r>
      <w:r w:rsidRPr="001E3628">
        <w:tab/>
        <w:t>OTHER DEVELOPMENTS OF RELEVANCE TO UPOV</w:t>
      </w:r>
    </w:p>
    <w:p w:rsidR="00913125" w:rsidRDefault="00913125" w:rsidP="00913125">
      <w:pPr>
        <w:rPr>
          <w:b/>
        </w:rPr>
      </w:pPr>
    </w:p>
    <w:p w:rsidR="00913125" w:rsidRPr="00602C45" w:rsidRDefault="00913125" w:rsidP="00913125">
      <w:r w:rsidRPr="00602C45">
        <w:t>Nothing to report.</w:t>
      </w:r>
    </w:p>
    <w:p w:rsidR="00913125" w:rsidRPr="00A67586" w:rsidRDefault="00913125" w:rsidP="00913125"/>
    <w:p w:rsidR="000362AD" w:rsidRPr="00AA2FEE" w:rsidRDefault="000362AD" w:rsidP="000362AD">
      <w:pPr>
        <w:jc w:val="left"/>
      </w:pPr>
    </w:p>
    <w:p w:rsidR="000362AD" w:rsidRPr="00AA2FEE" w:rsidRDefault="000362AD" w:rsidP="000362AD">
      <w:pPr>
        <w:jc w:val="left"/>
      </w:pPr>
    </w:p>
    <w:p w:rsidR="000362AD" w:rsidRPr="00AA2FEE" w:rsidRDefault="000362AD" w:rsidP="000362AD">
      <w:pPr>
        <w:jc w:val="right"/>
      </w:pPr>
      <w:r w:rsidRPr="00AA2FEE">
        <w:t>[Annex X</w:t>
      </w:r>
      <w:r w:rsidR="0075382F" w:rsidRPr="00AA2FEE">
        <w:t>V</w:t>
      </w:r>
      <w:r w:rsidR="0061294D" w:rsidRPr="00AA2FEE">
        <w:t>I</w:t>
      </w:r>
      <w:r w:rsidRPr="00AA2FEE">
        <w:t xml:space="preserve"> follows]</w:t>
      </w:r>
    </w:p>
    <w:p w:rsidR="000362AD" w:rsidRPr="00AA2FEE" w:rsidRDefault="000362AD" w:rsidP="000362AD"/>
    <w:p w:rsidR="000362AD" w:rsidRPr="00AA2FEE" w:rsidRDefault="000362AD" w:rsidP="000362AD">
      <w:pPr>
        <w:jc w:val="left"/>
        <w:sectPr w:rsidR="000362AD" w:rsidRPr="00AA2FEE" w:rsidSect="0049108C">
          <w:headerReference w:type="default" r:id="rId40"/>
          <w:pgSz w:w="11907" w:h="16840" w:code="9"/>
          <w:pgMar w:top="510" w:right="1134" w:bottom="1134" w:left="1134" w:header="510" w:footer="680" w:gutter="0"/>
          <w:pgNumType w:start="1"/>
          <w:cols w:space="720"/>
          <w:titlePg/>
        </w:sectPr>
      </w:pPr>
    </w:p>
    <w:p w:rsidR="000362AD" w:rsidRPr="00AA2FEE" w:rsidRDefault="005A5958" w:rsidP="000362AD">
      <w:pPr>
        <w:jc w:val="center"/>
      </w:pPr>
      <w:r w:rsidRPr="00AA2FEE">
        <w:lastRenderedPageBreak/>
        <w:t>C/56</w:t>
      </w:r>
      <w:r w:rsidR="000362AD" w:rsidRPr="00AA2FEE">
        <w:t>/INF/4</w:t>
      </w:r>
    </w:p>
    <w:p w:rsidR="000362AD" w:rsidRPr="00AA2FEE" w:rsidRDefault="000362AD" w:rsidP="000362AD">
      <w:pPr>
        <w:jc w:val="center"/>
      </w:pPr>
    </w:p>
    <w:p w:rsidR="000362AD" w:rsidRPr="00AA2FEE" w:rsidRDefault="000362AD" w:rsidP="000362AD">
      <w:pPr>
        <w:jc w:val="center"/>
      </w:pPr>
      <w:r w:rsidRPr="00AA2FEE">
        <w:t xml:space="preserve">ANNEX </w:t>
      </w:r>
      <w:r w:rsidR="0075382F" w:rsidRPr="00AA2FEE">
        <w:t>XV</w:t>
      </w:r>
      <w:r w:rsidR="0061294D" w:rsidRPr="00AA2FEE">
        <w:t>I</w:t>
      </w:r>
    </w:p>
    <w:p w:rsidR="000362AD" w:rsidRPr="00AA2FEE" w:rsidRDefault="000362AD" w:rsidP="000362AD">
      <w:pPr>
        <w:jc w:val="center"/>
      </w:pPr>
    </w:p>
    <w:p w:rsidR="000362AD" w:rsidRPr="00AA2FEE" w:rsidRDefault="000362AD" w:rsidP="000362AD">
      <w:pPr>
        <w:jc w:val="center"/>
      </w:pPr>
    </w:p>
    <w:p w:rsidR="00F43FBA" w:rsidRPr="00AA2FEE" w:rsidRDefault="0075382F" w:rsidP="00F43FBA">
      <w:pPr>
        <w:jc w:val="center"/>
      </w:pPr>
      <w:r w:rsidRPr="00AA2FEE">
        <w:t>SERBIA</w:t>
      </w:r>
    </w:p>
    <w:p w:rsidR="00C42508" w:rsidRPr="00A043FE" w:rsidRDefault="00C42508" w:rsidP="00C42508">
      <w:pPr>
        <w:jc w:val="center"/>
      </w:pPr>
      <w:r w:rsidRPr="00A043FE">
        <w:t>(September 2021 - September 2022)</w:t>
      </w:r>
    </w:p>
    <w:p w:rsidR="00C42508" w:rsidRPr="00A043FE" w:rsidRDefault="00C42508" w:rsidP="00C42508"/>
    <w:p w:rsidR="00C42508" w:rsidRPr="00A043FE" w:rsidRDefault="00C42508" w:rsidP="00C42508"/>
    <w:p w:rsidR="00C42508" w:rsidRPr="00A043FE" w:rsidRDefault="00C42508" w:rsidP="00C42508">
      <w:r w:rsidRPr="00A043FE">
        <w:t>I.</w:t>
      </w:r>
      <w:r w:rsidRPr="00A043FE">
        <w:tab/>
        <w:t>PLANT VARIETY PROTECTION</w:t>
      </w:r>
    </w:p>
    <w:p w:rsidR="00C42508" w:rsidRPr="00A043FE" w:rsidRDefault="00C42508" w:rsidP="00C42508"/>
    <w:p w:rsidR="00C42508" w:rsidRPr="00A043FE" w:rsidRDefault="00C42508" w:rsidP="00C42508">
      <w:r w:rsidRPr="00A043FE">
        <w:t xml:space="preserve">1. </w:t>
      </w:r>
      <w:r w:rsidRPr="00A043FE">
        <w:tab/>
      </w:r>
      <w:r w:rsidRPr="00A043FE">
        <w:rPr>
          <w:u w:val="single"/>
        </w:rPr>
        <w:t>Situation in the legislative field</w:t>
      </w:r>
    </w:p>
    <w:p w:rsidR="00C42508" w:rsidRPr="00A043FE" w:rsidRDefault="00C42508" w:rsidP="00C42508"/>
    <w:p w:rsidR="00C42508" w:rsidRPr="00A043FE" w:rsidRDefault="00C42508" w:rsidP="00C42508">
      <w:r w:rsidRPr="00A043FE">
        <w:t>1.1</w:t>
      </w:r>
      <w:r w:rsidRPr="00A043FE">
        <w:tab/>
        <w:t>Amendments of the law and the implementing regulations</w:t>
      </w:r>
    </w:p>
    <w:p w:rsidR="00C42508" w:rsidRPr="00A043FE" w:rsidRDefault="00C42508" w:rsidP="00C42508">
      <w:pPr>
        <w:ind w:left="567"/>
      </w:pPr>
    </w:p>
    <w:p w:rsidR="00C42508" w:rsidRPr="00A043FE" w:rsidRDefault="00C42508" w:rsidP="00C42508">
      <w:pPr>
        <w:ind w:left="567"/>
      </w:pPr>
      <w:r w:rsidRPr="00A043FE">
        <w:t>There were no changes</w:t>
      </w:r>
      <w:r>
        <w:t>.</w:t>
      </w:r>
    </w:p>
    <w:p w:rsidR="00C42508" w:rsidRPr="00A043FE" w:rsidRDefault="00C42508" w:rsidP="00C42508"/>
    <w:p w:rsidR="00C42508" w:rsidRPr="00A043FE" w:rsidRDefault="00C42508" w:rsidP="00C42508">
      <w:r w:rsidRPr="00A043FE">
        <w:t>1.2</w:t>
      </w:r>
      <w:r w:rsidRPr="00A043FE">
        <w:tab/>
        <w:t>Extension of protection to further genera and species (made or planned)</w:t>
      </w:r>
    </w:p>
    <w:p w:rsidR="00C42508" w:rsidRPr="00A043FE" w:rsidRDefault="00C42508" w:rsidP="00C42508"/>
    <w:p w:rsidR="00C42508" w:rsidRPr="00A043FE" w:rsidRDefault="00C42508" w:rsidP="00C42508">
      <w:pPr>
        <w:ind w:left="567"/>
      </w:pPr>
      <w:r w:rsidRPr="00A043FE">
        <w:t>All plant genera and species are subject to protection under the Law on the Protection of Plant Breeders Rights (</w:t>
      </w:r>
      <w:r>
        <w:t>“</w:t>
      </w:r>
      <w:r w:rsidRPr="00A043FE">
        <w:t>Official Gazette of RS</w:t>
      </w:r>
      <w:r>
        <w:t>”</w:t>
      </w:r>
      <w:r w:rsidRPr="00A043FE">
        <w:t>, No. 41/2009 and 88/2011).</w:t>
      </w:r>
    </w:p>
    <w:p w:rsidR="00C42508" w:rsidRPr="00A043FE" w:rsidRDefault="00C42508" w:rsidP="00C42508"/>
    <w:p w:rsidR="00C42508" w:rsidRPr="00A043FE" w:rsidRDefault="00C42508" w:rsidP="00C42508"/>
    <w:p w:rsidR="00C42508" w:rsidRPr="00A043FE" w:rsidRDefault="00C42508" w:rsidP="00C42508">
      <w:r w:rsidRPr="00A043FE">
        <w:t>2.</w:t>
      </w:r>
      <w:r w:rsidRPr="00A043FE">
        <w:tab/>
      </w:r>
      <w:r w:rsidRPr="00A043FE">
        <w:rPr>
          <w:u w:val="single"/>
        </w:rPr>
        <w:t>Cooperation in examination</w:t>
      </w:r>
    </w:p>
    <w:p w:rsidR="00C42508" w:rsidRPr="00A043FE" w:rsidRDefault="00C42508" w:rsidP="00C42508"/>
    <w:p w:rsidR="00C42508" w:rsidRPr="00A043FE" w:rsidRDefault="00C42508" w:rsidP="00C42508">
      <w:pPr>
        <w:ind w:left="567"/>
      </w:pPr>
      <w:r>
        <w:t>Nothing to report.</w:t>
      </w:r>
    </w:p>
    <w:p w:rsidR="00C42508" w:rsidRPr="00A043FE" w:rsidRDefault="00C42508" w:rsidP="00C42508"/>
    <w:p w:rsidR="00C42508" w:rsidRPr="00A043FE" w:rsidRDefault="00C42508" w:rsidP="00C42508">
      <w:pPr>
        <w:rPr>
          <w:u w:val="single"/>
        </w:rPr>
      </w:pPr>
      <w:r w:rsidRPr="00A043FE">
        <w:t>3.</w:t>
      </w:r>
      <w:r w:rsidRPr="00A043FE">
        <w:tab/>
      </w:r>
      <w:r w:rsidRPr="00A043FE">
        <w:rPr>
          <w:u w:val="single"/>
        </w:rPr>
        <w:t>Situation in the administrative field</w:t>
      </w:r>
    </w:p>
    <w:p w:rsidR="00C42508" w:rsidRPr="00A043FE" w:rsidRDefault="00C42508" w:rsidP="00C42508"/>
    <w:p w:rsidR="00C42508" w:rsidRPr="00A043FE" w:rsidRDefault="00C42508" w:rsidP="00C42508">
      <w:r w:rsidRPr="00A043FE">
        <w:t>-</w:t>
      </w:r>
      <w:r w:rsidRPr="00A043FE">
        <w:tab/>
        <w:t>Changes in the administrative structure</w:t>
      </w:r>
    </w:p>
    <w:p w:rsidR="00C42508" w:rsidRPr="00A043FE" w:rsidRDefault="00C42508" w:rsidP="00C42508"/>
    <w:p w:rsidR="00C42508" w:rsidRPr="00A043FE" w:rsidRDefault="00C42508" w:rsidP="00C42508">
      <w:r w:rsidRPr="00A043FE">
        <w:t>There were no changes in the administrative structure.</w:t>
      </w:r>
    </w:p>
    <w:p w:rsidR="00C42508" w:rsidRPr="00A043FE" w:rsidRDefault="00C42508" w:rsidP="00C42508"/>
    <w:p w:rsidR="00C42508" w:rsidRPr="00A043FE" w:rsidRDefault="00C42508" w:rsidP="00C42508">
      <w:r w:rsidRPr="00A043FE">
        <w:t xml:space="preserve">Ministry of Agriculture, Forestry and Water Management - Plant Protection Directorate is designated authority for the protection of the plant breeders’ rights in the Republic of Serbia. </w:t>
      </w:r>
      <w:r>
        <w:t xml:space="preserve"> </w:t>
      </w:r>
      <w:r w:rsidRPr="00A043FE">
        <w:t xml:space="preserve">Plant Protection Directorate performs also tasks related to: protection of plants against harmful organisms; authorization and control of plant protection and plant nutrition products; plant variety registration for National List; biological safety (GMO); phytosanitary inspections. </w:t>
      </w:r>
      <w:r>
        <w:t xml:space="preserve"> </w:t>
      </w:r>
      <w:r w:rsidRPr="00A043FE">
        <w:t>Within Plant Protection Directorate, Group for Plant Variety Protection and Biosafety exercises administrative procedures related to provisions of the Law on Protection of Plant Breeders Rights and to granting of plant breeders rights, also as tasks related to biological safety (GMO).</w:t>
      </w:r>
    </w:p>
    <w:p w:rsidR="00C42508" w:rsidRPr="00A043FE" w:rsidRDefault="00C42508" w:rsidP="00C42508"/>
    <w:p w:rsidR="00C42508" w:rsidRPr="00A043FE" w:rsidRDefault="00C42508" w:rsidP="00C42508">
      <w:r w:rsidRPr="00A043FE">
        <w:t>-</w:t>
      </w:r>
      <w:r w:rsidRPr="00A043FE">
        <w:tab/>
        <w:t>Changes in office procedures and systems</w:t>
      </w:r>
    </w:p>
    <w:p w:rsidR="00C42508" w:rsidRPr="00A043FE" w:rsidRDefault="00C42508" w:rsidP="00C42508"/>
    <w:p w:rsidR="00C42508" w:rsidRPr="00A043FE" w:rsidRDefault="00C42508" w:rsidP="00C42508">
      <w:r w:rsidRPr="00A043FE">
        <w:t>There were no changes.</w:t>
      </w:r>
    </w:p>
    <w:p w:rsidR="00C42508" w:rsidRPr="00A043FE" w:rsidRDefault="00C42508" w:rsidP="00C42508"/>
    <w:p w:rsidR="00C42508" w:rsidRPr="00A043FE" w:rsidRDefault="00C42508" w:rsidP="00C42508">
      <w:r w:rsidRPr="00A043FE">
        <w:t>4.</w:t>
      </w:r>
      <w:r w:rsidRPr="00A043FE">
        <w:tab/>
      </w:r>
      <w:r w:rsidRPr="00A043FE">
        <w:rPr>
          <w:u w:val="single"/>
        </w:rPr>
        <w:t>Situation in the technical field</w:t>
      </w:r>
    </w:p>
    <w:p w:rsidR="00C42508" w:rsidRDefault="00C42508" w:rsidP="00C42508">
      <w:pPr>
        <w:rPr>
          <w:color w:val="000000"/>
          <w:spacing w:val="-2"/>
        </w:rPr>
      </w:pPr>
    </w:p>
    <w:p w:rsidR="00C42508" w:rsidRPr="00A043FE" w:rsidRDefault="00C42508" w:rsidP="00C42508">
      <w:pPr>
        <w:rPr>
          <w:color w:val="000000"/>
          <w:spacing w:val="-2"/>
        </w:rPr>
      </w:pPr>
      <w:r w:rsidRPr="00A043FE">
        <w:rPr>
          <w:color w:val="000000"/>
          <w:spacing w:val="-2"/>
        </w:rPr>
        <w:t>Serbia participate</w:t>
      </w:r>
      <w:r>
        <w:rPr>
          <w:color w:val="000000"/>
          <w:spacing w:val="-2"/>
        </w:rPr>
        <w:t>s</w:t>
      </w:r>
      <w:r w:rsidRPr="00A043FE">
        <w:rPr>
          <w:color w:val="000000"/>
          <w:spacing w:val="-2"/>
        </w:rPr>
        <w:t xml:space="preserve"> in the UPOV PRISMA PBR Application Tool.</w:t>
      </w:r>
    </w:p>
    <w:p w:rsidR="00C42508" w:rsidRPr="00A043FE" w:rsidRDefault="00C42508" w:rsidP="00C42508">
      <w:pPr>
        <w:rPr>
          <w:color w:val="000000"/>
          <w:spacing w:val="-2"/>
        </w:rPr>
      </w:pPr>
    </w:p>
    <w:p w:rsidR="00C42508" w:rsidRPr="00A043FE" w:rsidRDefault="00C42508" w:rsidP="00C42508">
      <w:pPr>
        <w:rPr>
          <w:kern w:val="28"/>
        </w:rPr>
      </w:pPr>
      <w:r w:rsidRPr="00A043FE">
        <w:rPr>
          <w:lang w:bidi="ne-NP"/>
        </w:rPr>
        <w:t xml:space="preserve">Since September 2021 to September 2022, plant breeders` rights have been granted for 75 plant varieties, based on the results of the examination of plant varieties and proposals of the Expert Council for Protection of Plant Breeders’ Rights, as a special expert body of </w:t>
      </w:r>
      <w:r w:rsidRPr="00A043FE">
        <w:t>the Ministry of Agriculture, Forestry and Water Management - Plant Protection Directorate</w:t>
      </w:r>
      <w:r w:rsidRPr="00A043FE">
        <w:rPr>
          <w:lang w:bidi="ne-NP"/>
        </w:rPr>
        <w:t>.</w:t>
      </w:r>
    </w:p>
    <w:p w:rsidR="00C42508" w:rsidRPr="00A043FE" w:rsidRDefault="00C42508" w:rsidP="00C42508"/>
    <w:p w:rsidR="00C42508" w:rsidRPr="00A043FE" w:rsidRDefault="00C42508" w:rsidP="00C42508">
      <w:r w:rsidRPr="00A043FE">
        <w:t xml:space="preserve">PVP registers, also as other information related to plant breeders’ rights are available on the web page: </w:t>
      </w:r>
      <w:hyperlink r:id="rId41" w:history="1">
        <w:r w:rsidRPr="00A043FE">
          <w:rPr>
            <w:rStyle w:val="Hyperlink"/>
            <w:rFonts w:cs="Arial"/>
          </w:rPr>
          <w:t>https://www.uzb.minpolj.gov.rs/index.php?option=com_content&amp;view=article&amp;id=61&amp;Itemid=14&amp;lang=en</w:t>
        </w:r>
      </w:hyperlink>
    </w:p>
    <w:p w:rsidR="00C42508" w:rsidRDefault="00C42508" w:rsidP="00C42508"/>
    <w:p w:rsidR="00C42508" w:rsidRPr="00A043FE" w:rsidRDefault="00C42508" w:rsidP="00C42508"/>
    <w:p w:rsidR="00C42508" w:rsidRDefault="00C42508" w:rsidP="00C42508">
      <w:pPr>
        <w:jc w:val="left"/>
      </w:pPr>
      <w:r>
        <w:br w:type="page"/>
      </w:r>
    </w:p>
    <w:p w:rsidR="00C42508" w:rsidRPr="00A043FE" w:rsidRDefault="00C42508" w:rsidP="00C42508">
      <w:pPr>
        <w:rPr>
          <w:u w:val="single"/>
        </w:rPr>
      </w:pPr>
      <w:r w:rsidRPr="00A043FE">
        <w:lastRenderedPageBreak/>
        <w:t>5.</w:t>
      </w:r>
      <w:r w:rsidRPr="00A043FE">
        <w:tab/>
      </w:r>
      <w:r w:rsidRPr="00A043FE">
        <w:rPr>
          <w:u w:val="single"/>
        </w:rPr>
        <w:t>Activities for the promotion of plant variety protection</w:t>
      </w:r>
    </w:p>
    <w:p w:rsidR="00C42508" w:rsidRPr="00A043FE" w:rsidRDefault="00C42508" w:rsidP="00C42508"/>
    <w:tbl>
      <w:tblPr>
        <w:tblStyle w:val="TableGrid"/>
        <w:tblW w:w="9691" w:type="dxa"/>
        <w:tblLayout w:type="fixed"/>
        <w:tblCellMar>
          <w:top w:w="28" w:type="dxa"/>
          <w:left w:w="57" w:type="dxa"/>
          <w:bottom w:w="28" w:type="dxa"/>
          <w:right w:w="57" w:type="dxa"/>
        </w:tblCellMar>
        <w:tblLook w:val="01E0" w:firstRow="1" w:lastRow="1" w:firstColumn="1" w:lastColumn="1" w:noHBand="0" w:noVBand="0"/>
      </w:tblPr>
      <w:tblGrid>
        <w:gridCol w:w="1895"/>
        <w:gridCol w:w="992"/>
        <w:gridCol w:w="1276"/>
        <w:gridCol w:w="2693"/>
        <w:gridCol w:w="2835"/>
      </w:tblGrid>
      <w:tr w:rsidR="00C42508" w:rsidRPr="00A043FE" w:rsidTr="00647E67">
        <w:tc>
          <w:tcPr>
            <w:tcW w:w="1895" w:type="dxa"/>
          </w:tcPr>
          <w:p w:rsidR="00C42508" w:rsidRPr="00C42508" w:rsidRDefault="00C42508" w:rsidP="00647E67">
            <w:pPr>
              <w:jc w:val="left"/>
              <w:rPr>
                <w:sz w:val="16"/>
                <w:szCs w:val="18"/>
              </w:rPr>
            </w:pPr>
            <w:r w:rsidRPr="00C42508">
              <w:rPr>
                <w:sz w:val="16"/>
                <w:szCs w:val="18"/>
              </w:rPr>
              <w:t>Title of activity</w:t>
            </w:r>
          </w:p>
        </w:tc>
        <w:tc>
          <w:tcPr>
            <w:tcW w:w="992" w:type="dxa"/>
          </w:tcPr>
          <w:p w:rsidR="00C42508" w:rsidRPr="00C42508" w:rsidRDefault="00C42508" w:rsidP="00647E67">
            <w:pPr>
              <w:jc w:val="left"/>
              <w:rPr>
                <w:sz w:val="16"/>
                <w:szCs w:val="18"/>
              </w:rPr>
            </w:pPr>
            <w:r w:rsidRPr="00C42508">
              <w:rPr>
                <w:sz w:val="16"/>
                <w:szCs w:val="18"/>
              </w:rPr>
              <w:t>Date</w:t>
            </w:r>
          </w:p>
        </w:tc>
        <w:tc>
          <w:tcPr>
            <w:tcW w:w="1276" w:type="dxa"/>
          </w:tcPr>
          <w:p w:rsidR="00C42508" w:rsidRPr="00C42508" w:rsidRDefault="00C42508" w:rsidP="00647E67">
            <w:pPr>
              <w:jc w:val="left"/>
              <w:rPr>
                <w:sz w:val="16"/>
                <w:szCs w:val="18"/>
              </w:rPr>
            </w:pPr>
            <w:r w:rsidRPr="00C42508">
              <w:rPr>
                <w:sz w:val="16"/>
                <w:szCs w:val="18"/>
              </w:rPr>
              <w:t>Location</w:t>
            </w:r>
          </w:p>
        </w:tc>
        <w:tc>
          <w:tcPr>
            <w:tcW w:w="2693" w:type="dxa"/>
          </w:tcPr>
          <w:p w:rsidR="00C42508" w:rsidRPr="00C42508" w:rsidRDefault="00C42508" w:rsidP="00647E67">
            <w:pPr>
              <w:jc w:val="left"/>
              <w:rPr>
                <w:sz w:val="16"/>
                <w:szCs w:val="18"/>
              </w:rPr>
            </w:pPr>
            <w:r w:rsidRPr="00C42508">
              <w:rPr>
                <w:sz w:val="16"/>
                <w:szCs w:val="18"/>
              </w:rPr>
              <w:t>Organizer(s)</w:t>
            </w:r>
          </w:p>
        </w:tc>
        <w:tc>
          <w:tcPr>
            <w:tcW w:w="2835" w:type="dxa"/>
          </w:tcPr>
          <w:p w:rsidR="00C42508" w:rsidRPr="00C42508" w:rsidRDefault="00C42508" w:rsidP="00647E67">
            <w:pPr>
              <w:jc w:val="left"/>
              <w:rPr>
                <w:sz w:val="16"/>
                <w:szCs w:val="18"/>
              </w:rPr>
            </w:pPr>
            <w:r w:rsidRPr="00C42508">
              <w:rPr>
                <w:sz w:val="16"/>
                <w:szCs w:val="18"/>
              </w:rPr>
              <w:t>Purpose of activity</w:t>
            </w:r>
          </w:p>
        </w:tc>
      </w:tr>
      <w:tr w:rsidR="00C42508" w:rsidRPr="00A043FE" w:rsidTr="00647E67">
        <w:tc>
          <w:tcPr>
            <w:tcW w:w="1895" w:type="dxa"/>
          </w:tcPr>
          <w:p w:rsidR="00C42508" w:rsidRPr="00C42508" w:rsidRDefault="00C42508" w:rsidP="00647E67">
            <w:pPr>
              <w:jc w:val="left"/>
              <w:rPr>
                <w:sz w:val="16"/>
                <w:szCs w:val="18"/>
                <w:shd w:val="clear" w:color="auto" w:fill="FFFFFF"/>
              </w:rPr>
            </w:pPr>
            <w:r w:rsidRPr="00C42508">
              <w:rPr>
                <w:sz w:val="16"/>
                <w:szCs w:val="18"/>
                <w:shd w:val="clear" w:color="auto" w:fill="FFFFFF"/>
              </w:rPr>
              <w:t>Plant Breeders Rights System in Serbia</w:t>
            </w:r>
          </w:p>
        </w:tc>
        <w:tc>
          <w:tcPr>
            <w:tcW w:w="992" w:type="dxa"/>
          </w:tcPr>
          <w:p w:rsidR="00C42508" w:rsidRPr="00C42508" w:rsidRDefault="00C42508" w:rsidP="00647E67">
            <w:pPr>
              <w:jc w:val="left"/>
              <w:rPr>
                <w:sz w:val="16"/>
                <w:szCs w:val="18"/>
              </w:rPr>
            </w:pPr>
            <w:r w:rsidRPr="00C42508">
              <w:rPr>
                <w:sz w:val="16"/>
                <w:szCs w:val="18"/>
              </w:rPr>
              <w:t>October 6, 2021</w:t>
            </w:r>
          </w:p>
        </w:tc>
        <w:tc>
          <w:tcPr>
            <w:tcW w:w="1276" w:type="dxa"/>
          </w:tcPr>
          <w:p w:rsidR="00C42508" w:rsidRPr="00C42508" w:rsidRDefault="00C42508" w:rsidP="00647E67">
            <w:pPr>
              <w:jc w:val="left"/>
              <w:rPr>
                <w:sz w:val="16"/>
                <w:szCs w:val="18"/>
              </w:rPr>
            </w:pPr>
            <w:r w:rsidRPr="00C42508">
              <w:rPr>
                <w:sz w:val="16"/>
                <w:szCs w:val="18"/>
              </w:rPr>
              <w:t>Belgrade</w:t>
            </w:r>
          </w:p>
          <w:p w:rsidR="00C42508" w:rsidRPr="00C42508" w:rsidRDefault="00C42508" w:rsidP="00647E67">
            <w:pPr>
              <w:jc w:val="left"/>
              <w:rPr>
                <w:sz w:val="16"/>
                <w:szCs w:val="18"/>
              </w:rPr>
            </w:pPr>
          </w:p>
          <w:p w:rsidR="00C42508" w:rsidRPr="00C42508" w:rsidRDefault="00C42508" w:rsidP="00647E67">
            <w:pPr>
              <w:jc w:val="left"/>
              <w:rPr>
                <w:sz w:val="16"/>
                <w:szCs w:val="18"/>
              </w:rPr>
            </w:pPr>
            <w:r w:rsidRPr="00C42508">
              <w:rPr>
                <w:sz w:val="16"/>
                <w:szCs w:val="18"/>
              </w:rPr>
              <w:t xml:space="preserve">Republic of Serbia </w:t>
            </w:r>
          </w:p>
        </w:tc>
        <w:tc>
          <w:tcPr>
            <w:tcW w:w="2693" w:type="dxa"/>
          </w:tcPr>
          <w:p w:rsidR="00C42508" w:rsidRPr="00C42508" w:rsidRDefault="00C42508" w:rsidP="00647E67">
            <w:pPr>
              <w:jc w:val="left"/>
              <w:rPr>
                <w:sz w:val="16"/>
                <w:szCs w:val="18"/>
              </w:rPr>
            </w:pPr>
            <w:r w:rsidRPr="00C42508">
              <w:rPr>
                <w:sz w:val="16"/>
                <w:szCs w:val="18"/>
              </w:rPr>
              <w:t>United States Agency for International Development (USAID)</w:t>
            </w:r>
          </w:p>
          <w:p w:rsidR="00C42508" w:rsidRPr="00C42508" w:rsidRDefault="00C42508" w:rsidP="00647E67">
            <w:pPr>
              <w:jc w:val="left"/>
              <w:rPr>
                <w:sz w:val="16"/>
                <w:szCs w:val="18"/>
              </w:rPr>
            </w:pPr>
          </w:p>
          <w:p w:rsidR="00C42508" w:rsidRPr="00C42508" w:rsidRDefault="00C42508" w:rsidP="00647E67">
            <w:pPr>
              <w:jc w:val="left"/>
              <w:rPr>
                <w:sz w:val="16"/>
                <w:szCs w:val="18"/>
              </w:rPr>
            </w:pPr>
            <w:r w:rsidRPr="00C42508">
              <w:rPr>
                <w:sz w:val="16"/>
                <w:szCs w:val="18"/>
              </w:rPr>
              <w:t>Ministry of Agriculture, Forestry and Water Management of the Republic of Serbia</w:t>
            </w:r>
          </w:p>
          <w:p w:rsidR="00C42508" w:rsidRPr="00C42508" w:rsidRDefault="00C42508" w:rsidP="00647E67">
            <w:pPr>
              <w:jc w:val="left"/>
              <w:rPr>
                <w:sz w:val="16"/>
                <w:szCs w:val="18"/>
              </w:rPr>
            </w:pPr>
          </w:p>
          <w:p w:rsidR="00C42508" w:rsidRPr="00C42508" w:rsidRDefault="00C42508" w:rsidP="00647E67">
            <w:pPr>
              <w:jc w:val="left"/>
              <w:rPr>
                <w:sz w:val="16"/>
                <w:szCs w:val="18"/>
              </w:rPr>
            </w:pPr>
            <w:r w:rsidRPr="00C42508">
              <w:rPr>
                <w:rStyle w:val="Emphasis"/>
                <w:rFonts w:cs="Arial"/>
                <w:bCs/>
                <w:sz w:val="16"/>
                <w:szCs w:val="18"/>
                <w:shd w:val="clear" w:color="auto" w:fill="FFFFFF"/>
              </w:rPr>
              <w:t xml:space="preserve">Embassy of the Netherlands </w:t>
            </w:r>
            <w:r w:rsidRPr="00C42508">
              <w:rPr>
                <w:sz w:val="16"/>
                <w:szCs w:val="18"/>
                <w:shd w:val="clear" w:color="auto" w:fill="FFFFFF"/>
              </w:rPr>
              <w:t>in Belgrade, Serbia</w:t>
            </w:r>
          </w:p>
          <w:p w:rsidR="00C42508" w:rsidRPr="00C42508" w:rsidRDefault="00C42508" w:rsidP="00647E67">
            <w:pPr>
              <w:jc w:val="left"/>
              <w:rPr>
                <w:sz w:val="16"/>
                <w:szCs w:val="18"/>
              </w:rPr>
            </w:pPr>
          </w:p>
          <w:p w:rsidR="00C42508" w:rsidRPr="00C42508" w:rsidRDefault="00C42508" w:rsidP="00647E67">
            <w:pPr>
              <w:jc w:val="left"/>
              <w:rPr>
                <w:sz w:val="16"/>
                <w:szCs w:val="18"/>
              </w:rPr>
            </w:pPr>
            <w:r w:rsidRPr="00C42508">
              <w:rPr>
                <w:sz w:val="16"/>
                <w:szCs w:val="18"/>
              </w:rPr>
              <w:t>AGRO Belgrade</w:t>
            </w:r>
          </w:p>
        </w:tc>
        <w:tc>
          <w:tcPr>
            <w:tcW w:w="2835" w:type="dxa"/>
          </w:tcPr>
          <w:p w:rsidR="00C42508" w:rsidRPr="00C42508" w:rsidRDefault="00C42508" w:rsidP="00647E67">
            <w:pPr>
              <w:jc w:val="left"/>
              <w:rPr>
                <w:sz w:val="16"/>
                <w:szCs w:val="18"/>
                <w:shd w:val="clear" w:color="auto" w:fill="FFFFFF"/>
              </w:rPr>
            </w:pPr>
            <w:r w:rsidRPr="00C42508">
              <w:rPr>
                <w:sz w:val="16"/>
                <w:szCs w:val="18"/>
                <w:shd w:val="clear" w:color="auto" w:fill="FFFFFF"/>
              </w:rPr>
              <w:t>Berry Business Forum</w:t>
            </w:r>
          </w:p>
          <w:p w:rsidR="00C42508" w:rsidRPr="00C42508" w:rsidRDefault="00C42508" w:rsidP="00647E67">
            <w:pPr>
              <w:jc w:val="left"/>
              <w:rPr>
                <w:sz w:val="16"/>
                <w:szCs w:val="18"/>
                <w:shd w:val="clear" w:color="auto" w:fill="FFFFFF"/>
              </w:rPr>
            </w:pPr>
          </w:p>
          <w:p w:rsidR="00C42508" w:rsidRPr="00C42508" w:rsidRDefault="00C42508" w:rsidP="00647E67">
            <w:pPr>
              <w:jc w:val="left"/>
              <w:rPr>
                <w:sz w:val="16"/>
                <w:szCs w:val="18"/>
              </w:rPr>
            </w:pPr>
            <w:r w:rsidRPr="00C42508">
              <w:rPr>
                <w:sz w:val="16"/>
                <w:szCs w:val="18"/>
                <w:shd w:val="clear" w:color="auto" w:fill="FFFFFF"/>
              </w:rPr>
              <w:t>A specialized conference organized for the producers and exporters of fresh berries and berry industry members in Serbia</w:t>
            </w:r>
          </w:p>
        </w:tc>
      </w:tr>
    </w:tbl>
    <w:p w:rsidR="00C42508" w:rsidRPr="00A043FE" w:rsidRDefault="00C42508" w:rsidP="00C42508"/>
    <w:p w:rsidR="000362AD" w:rsidRPr="00AA2FEE" w:rsidRDefault="000362AD" w:rsidP="000362AD">
      <w:pPr>
        <w:jc w:val="left"/>
      </w:pPr>
    </w:p>
    <w:p w:rsidR="000362AD" w:rsidRPr="00AA2FEE" w:rsidRDefault="000362AD" w:rsidP="000362AD">
      <w:pPr>
        <w:jc w:val="left"/>
      </w:pPr>
    </w:p>
    <w:p w:rsidR="000362AD" w:rsidRPr="00AA2FEE" w:rsidRDefault="000362AD" w:rsidP="000362AD">
      <w:pPr>
        <w:jc w:val="right"/>
      </w:pPr>
      <w:r w:rsidRPr="00AA2FEE">
        <w:t>[Annex X</w:t>
      </w:r>
      <w:r w:rsidR="0075382F" w:rsidRPr="00AA2FEE">
        <w:t>V</w:t>
      </w:r>
      <w:r w:rsidR="0061294D" w:rsidRPr="00AA2FEE">
        <w:t>I</w:t>
      </w:r>
      <w:r w:rsidRPr="00AA2FEE">
        <w:t>I follows]</w:t>
      </w:r>
    </w:p>
    <w:p w:rsidR="000362AD" w:rsidRPr="00AA2FEE" w:rsidRDefault="000362AD" w:rsidP="000362AD"/>
    <w:p w:rsidR="000362AD" w:rsidRPr="00AA2FEE" w:rsidRDefault="000362AD" w:rsidP="000362AD">
      <w:pPr>
        <w:jc w:val="left"/>
        <w:sectPr w:rsidR="000362AD" w:rsidRPr="00AA2FEE" w:rsidSect="0049108C">
          <w:headerReference w:type="default" r:id="rId42"/>
          <w:headerReference w:type="first" r:id="rId43"/>
          <w:pgSz w:w="11907" w:h="16840" w:code="9"/>
          <w:pgMar w:top="510" w:right="1134" w:bottom="1134" w:left="1134" w:header="510" w:footer="680" w:gutter="0"/>
          <w:pgNumType w:start="1"/>
          <w:cols w:space="720"/>
          <w:titlePg/>
        </w:sectPr>
      </w:pPr>
    </w:p>
    <w:p w:rsidR="000362AD" w:rsidRPr="00AA2FEE" w:rsidRDefault="005A5958" w:rsidP="000362AD">
      <w:pPr>
        <w:jc w:val="center"/>
      </w:pPr>
      <w:r w:rsidRPr="00AA2FEE">
        <w:lastRenderedPageBreak/>
        <w:t>C/56</w:t>
      </w:r>
      <w:r w:rsidR="000362AD" w:rsidRPr="00AA2FEE">
        <w:t>/INF/4</w:t>
      </w:r>
    </w:p>
    <w:p w:rsidR="000362AD" w:rsidRPr="00AA2FEE" w:rsidRDefault="000362AD" w:rsidP="000362AD">
      <w:pPr>
        <w:jc w:val="center"/>
      </w:pPr>
    </w:p>
    <w:p w:rsidR="000362AD" w:rsidRPr="00AA2FEE" w:rsidRDefault="000362AD" w:rsidP="000362AD">
      <w:pPr>
        <w:jc w:val="center"/>
      </w:pPr>
      <w:r w:rsidRPr="00AA2FEE">
        <w:t>ANNEX X</w:t>
      </w:r>
      <w:r w:rsidR="0075382F" w:rsidRPr="00AA2FEE">
        <w:t>V</w:t>
      </w:r>
      <w:r w:rsidRPr="00AA2FEE">
        <w:t>I</w:t>
      </w:r>
      <w:r w:rsidR="0061294D" w:rsidRPr="00AA2FEE">
        <w:t>I</w:t>
      </w:r>
    </w:p>
    <w:p w:rsidR="000362AD" w:rsidRPr="00AA2FEE" w:rsidRDefault="000362AD" w:rsidP="000362AD">
      <w:pPr>
        <w:jc w:val="center"/>
      </w:pPr>
    </w:p>
    <w:p w:rsidR="000362AD" w:rsidRPr="00AA2FEE" w:rsidRDefault="000362AD" w:rsidP="000362AD">
      <w:pPr>
        <w:jc w:val="center"/>
      </w:pPr>
    </w:p>
    <w:p w:rsidR="00242EA4" w:rsidRPr="00AA2FEE" w:rsidRDefault="0075382F" w:rsidP="00242EA4">
      <w:pPr>
        <w:jc w:val="center"/>
      </w:pPr>
      <w:r w:rsidRPr="00AA2FEE">
        <w:t>SINGAPORE</w:t>
      </w:r>
    </w:p>
    <w:p w:rsidR="00242EA4" w:rsidRPr="00AA2FEE" w:rsidRDefault="00242EA4" w:rsidP="00242EA4">
      <w:pPr>
        <w:jc w:val="center"/>
      </w:pPr>
    </w:p>
    <w:p w:rsidR="00242EA4" w:rsidRPr="00AA2FEE" w:rsidRDefault="00242EA4" w:rsidP="00242EA4">
      <w:pPr>
        <w:jc w:val="center"/>
      </w:pPr>
    </w:p>
    <w:p w:rsidR="00094940" w:rsidRPr="00A67586" w:rsidRDefault="00094940" w:rsidP="00094940">
      <w:pPr>
        <w:tabs>
          <w:tab w:val="left" w:pos="426"/>
          <w:tab w:val="left" w:pos="1276"/>
        </w:tabs>
      </w:pPr>
      <w:r w:rsidRPr="00A67586">
        <w:t xml:space="preserve">1. </w:t>
      </w:r>
      <w:r w:rsidRPr="00A67586">
        <w:tab/>
      </w:r>
      <w:r w:rsidRPr="00A67586">
        <w:rPr>
          <w:u w:val="single"/>
        </w:rPr>
        <w:t>Situation in the legislative field</w:t>
      </w:r>
    </w:p>
    <w:p w:rsidR="00094940" w:rsidRPr="00A67586" w:rsidRDefault="00094940" w:rsidP="00094940"/>
    <w:p w:rsidR="00094940" w:rsidRPr="00A67586" w:rsidRDefault="00094940" w:rsidP="00094940">
      <w:r w:rsidRPr="00A67586">
        <w:t>1.1</w:t>
      </w:r>
      <w:r w:rsidRPr="00A67586">
        <w:tab/>
        <w:t>Amendments of the law and the implementing regulations</w:t>
      </w:r>
    </w:p>
    <w:p w:rsidR="00094940" w:rsidRPr="00EE7CC6" w:rsidRDefault="00094940" w:rsidP="00094940"/>
    <w:p w:rsidR="00094940" w:rsidRPr="00EE7CC6" w:rsidRDefault="00094940" w:rsidP="00094940">
      <w:pPr>
        <w:numPr>
          <w:ilvl w:val="0"/>
          <w:numId w:val="31"/>
        </w:numPr>
        <w:ind w:left="1134" w:hanging="567"/>
      </w:pPr>
      <w:r w:rsidRPr="00EE7CC6">
        <w:t>Amendment of the Singapore Plant Varieties Protection (PVP) Act with the commencement of the Intellectual Property (Amendment) Act 2022 and Intellectual Pr</w:t>
      </w:r>
      <w:r>
        <w:t>operty (Dispute Resolution) Act </w:t>
      </w:r>
      <w:r w:rsidRPr="00EE7CC6">
        <w:t>2019 on 26 May 2022 and 10 June 2022.</w:t>
      </w:r>
    </w:p>
    <w:p w:rsidR="00094940" w:rsidRPr="00EE7CC6" w:rsidRDefault="00094940" w:rsidP="00094940">
      <w:pPr>
        <w:ind w:left="1134" w:hanging="567"/>
      </w:pPr>
    </w:p>
    <w:p w:rsidR="00094940" w:rsidRDefault="00094940" w:rsidP="00094940">
      <w:pPr>
        <w:numPr>
          <w:ilvl w:val="0"/>
          <w:numId w:val="31"/>
        </w:numPr>
        <w:ind w:left="1134" w:hanging="567"/>
      </w:pPr>
      <w:r w:rsidRPr="00EE7CC6">
        <w:t>Amendment of the Singapore PVP Rules with the commencement of the Plant Varieties Protection (Amendment) and (Amendment No. 2) Rules 2022 on 1 April 2022 and 26 May 2022.</w:t>
      </w:r>
    </w:p>
    <w:p w:rsidR="00094940" w:rsidRPr="00EE7CC6" w:rsidRDefault="00094940" w:rsidP="00094940"/>
    <w:p w:rsidR="00094940" w:rsidRPr="00EE7CC6" w:rsidRDefault="00094940" w:rsidP="00094940">
      <w:r w:rsidRPr="00EE7CC6">
        <w:t>1.2</w:t>
      </w:r>
      <w:r w:rsidRPr="00EE7CC6">
        <w:tab/>
        <w:t>Extension of protection to further genera and species</w:t>
      </w:r>
    </w:p>
    <w:p w:rsidR="00094940" w:rsidRPr="00EE7CC6" w:rsidRDefault="00094940" w:rsidP="00094940"/>
    <w:p w:rsidR="00094940" w:rsidRPr="00EE7CC6" w:rsidRDefault="00094940" w:rsidP="00094940">
      <w:pPr>
        <w:ind w:left="567"/>
      </w:pPr>
      <w:r w:rsidRPr="00EE7CC6">
        <w:t>Singapore has allowed the protection of all plant genera and species since 30 July 2014.</w:t>
      </w:r>
    </w:p>
    <w:p w:rsidR="00094940" w:rsidRPr="00EE7CC6" w:rsidRDefault="00094940" w:rsidP="00094940"/>
    <w:p w:rsidR="00094940" w:rsidRPr="00EE7CC6" w:rsidRDefault="00094940" w:rsidP="00094940">
      <w:r w:rsidRPr="00EE7CC6">
        <w:t>1.3</w:t>
      </w:r>
      <w:r w:rsidRPr="00EE7CC6">
        <w:tab/>
        <w:t>Case law</w:t>
      </w:r>
      <w:r>
        <w:t xml:space="preserve">:  </w:t>
      </w:r>
      <w:r w:rsidRPr="00EE7CC6">
        <w:t>No updates.</w:t>
      </w:r>
    </w:p>
    <w:p w:rsidR="00094940" w:rsidRDefault="00094940" w:rsidP="00094940"/>
    <w:p w:rsidR="00094940" w:rsidRPr="00A67586" w:rsidRDefault="00094940" w:rsidP="00094940"/>
    <w:p w:rsidR="00094940" w:rsidRPr="00DD33B9" w:rsidRDefault="00094940" w:rsidP="00094940">
      <w:r w:rsidRPr="00A67586">
        <w:t>2.</w:t>
      </w:r>
      <w:r w:rsidRPr="00A67586">
        <w:tab/>
      </w:r>
      <w:r w:rsidRPr="00A67586">
        <w:rPr>
          <w:u w:val="single"/>
        </w:rPr>
        <w:t>Cooperation in examination</w:t>
      </w:r>
      <w:r>
        <w:t xml:space="preserve">:  </w:t>
      </w:r>
      <w:r w:rsidRPr="00DD33B9">
        <w:t>N</w:t>
      </w:r>
      <w:r>
        <w:t>o updates.</w:t>
      </w:r>
    </w:p>
    <w:p w:rsidR="00094940" w:rsidRDefault="00094940" w:rsidP="00094940"/>
    <w:p w:rsidR="00094940" w:rsidRPr="00A67586" w:rsidRDefault="00094940" w:rsidP="00094940"/>
    <w:p w:rsidR="00094940" w:rsidRPr="00A67586" w:rsidRDefault="00094940" w:rsidP="00094940">
      <w:pPr>
        <w:rPr>
          <w:u w:val="single"/>
        </w:rPr>
      </w:pPr>
      <w:r w:rsidRPr="00A67586">
        <w:t>3.</w:t>
      </w:r>
      <w:r w:rsidRPr="00A67586">
        <w:tab/>
      </w:r>
      <w:r w:rsidRPr="00A67586">
        <w:rPr>
          <w:u w:val="single"/>
        </w:rPr>
        <w:t>Situation in the administrative field</w:t>
      </w:r>
    </w:p>
    <w:p w:rsidR="00094940" w:rsidRPr="00A67586" w:rsidRDefault="00094940" w:rsidP="00094940"/>
    <w:p w:rsidR="00094940" w:rsidRDefault="00094940" w:rsidP="00094940">
      <w:pPr>
        <w:rPr>
          <w:u w:val="single"/>
        </w:rPr>
      </w:pPr>
      <w:r w:rsidRPr="00EE7CC6">
        <w:rPr>
          <w:u w:val="single"/>
        </w:rPr>
        <w:t>Changes in office procedures and systems</w:t>
      </w:r>
    </w:p>
    <w:p w:rsidR="00094940" w:rsidRPr="00EE7CC6" w:rsidRDefault="00094940" w:rsidP="00094940"/>
    <w:p w:rsidR="00094940" w:rsidRPr="00336505" w:rsidRDefault="00094940" w:rsidP="00094940">
      <w:pPr>
        <w:pStyle w:val="ListParagraph"/>
        <w:numPr>
          <w:ilvl w:val="0"/>
          <w:numId w:val="30"/>
        </w:numPr>
        <w:ind w:left="567" w:hanging="567"/>
        <w:contextualSpacing/>
        <w:jc w:val="both"/>
        <w:rPr>
          <w:szCs w:val="20"/>
        </w:rPr>
      </w:pPr>
      <w:r w:rsidRPr="00336505">
        <w:rPr>
          <w:bCs/>
          <w:szCs w:val="20"/>
        </w:rPr>
        <w:t>Submissions via electronic means as a default:</w:t>
      </w:r>
      <w:r w:rsidRPr="00336505">
        <w:rPr>
          <w:szCs w:val="20"/>
        </w:rPr>
        <w:t xml:space="preserve"> Unless otherwise specified by the Registrar, for any transaction under the Plant Varieties Protection Act 2004 and Rules, the default mode through which parties give or send to, file with or serve on the Registrar documents will be electronically via FormSG.</w:t>
      </w:r>
    </w:p>
    <w:p w:rsidR="00094940" w:rsidRPr="00336505" w:rsidRDefault="00094940" w:rsidP="00094940">
      <w:pPr>
        <w:pStyle w:val="ListParagraph"/>
        <w:ind w:left="567"/>
        <w:rPr>
          <w:szCs w:val="20"/>
        </w:rPr>
      </w:pPr>
    </w:p>
    <w:p w:rsidR="00094940" w:rsidRPr="00336505" w:rsidRDefault="00094940" w:rsidP="00094940">
      <w:pPr>
        <w:pStyle w:val="ListParagraph"/>
        <w:numPr>
          <w:ilvl w:val="0"/>
          <w:numId w:val="30"/>
        </w:numPr>
        <w:ind w:left="567" w:hanging="567"/>
        <w:contextualSpacing/>
        <w:jc w:val="both"/>
        <w:rPr>
          <w:szCs w:val="20"/>
        </w:rPr>
      </w:pPr>
      <w:r w:rsidRPr="00336505">
        <w:rPr>
          <w:bCs/>
          <w:szCs w:val="20"/>
        </w:rPr>
        <w:t>Extending period to furnish information, documents or propagating material for examination:</w:t>
      </w:r>
      <w:r w:rsidRPr="00336505">
        <w:rPr>
          <w:szCs w:val="20"/>
        </w:rPr>
        <w:t xml:space="preserve"> This change will provide applicants with the flexibility to (i) furnish propagating material and to (ii) extend time to submit relevant information during the course of examination. It will no longer be mandatory to submit propagating material of the candidate variety via Form PVP 9. Submission of propagating material will only be required when requested by the Registrar or Examiner. The change also provides the Registrar or Examiner the discretion to extend the period for submission of requested information, document or propagating material for examination.</w:t>
      </w:r>
    </w:p>
    <w:p w:rsidR="00094940" w:rsidRPr="00336505" w:rsidRDefault="00094940" w:rsidP="00094940">
      <w:pPr>
        <w:pStyle w:val="ListParagraph"/>
        <w:ind w:left="567"/>
        <w:rPr>
          <w:szCs w:val="20"/>
        </w:rPr>
      </w:pPr>
    </w:p>
    <w:p w:rsidR="00094940" w:rsidRPr="00EE7CC6" w:rsidRDefault="00094940" w:rsidP="00094940">
      <w:pPr>
        <w:pStyle w:val="ListParagraph"/>
        <w:numPr>
          <w:ilvl w:val="0"/>
          <w:numId w:val="30"/>
        </w:numPr>
        <w:ind w:left="567" w:hanging="567"/>
        <w:contextualSpacing/>
        <w:jc w:val="both"/>
        <w:rPr>
          <w:szCs w:val="20"/>
        </w:rPr>
      </w:pPr>
      <w:r w:rsidRPr="00336505">
        <w:rPr>
          <w:bCs/>
          <w:szCs w:val="20"/>
        </w:rPr>
        <w:t>Introducing late payment of annual fee to maintain grant of protection:</w:t>
      </w:r>
      <w:r w:rsidRPr="00336505">
        <w:rPr>
          <w:szCs w:val="20"/>
        </w:rPr>
        <w:t xml:space="preserve"> This change is to streamline the process for maintenance of IP rights when proprietors need more tim</w:t>
      </w:r>
      <w:r w:rsidRPr="00EE7CC6">
        <w:rPr>
          <w:szCs w:val="20"/>
        </w:rPr>
        <w:t xml:space="preserve">e or miss the deadline to pay the renewal fee. Proprietors will be able to make late payment of annual fee, six months from that anniversary of the date of the grant of protection. This will replace the current option to request extension of time for annual fee payment. </w:t>
      </w:r>
    </w:p>
    <w:p w:rsidR="00094940" w:rsidRPr="00EE7CC6" w:rsidRDefault="00094940" w:rsidP="00094940"/>
    <w:p w:rsidR="00094940" w:rsidRPr="00EE7CC6" w:rsidRDefault="00094940" w:rsidP="00094940"/>
    <w:p w:rsidR="00094940" w:rsidRPr="00EE7CC6" w:rsidRDefault="00094940" w:rsidP="00094940">
      <w:r w:rsidRPr="00A67586">
        <w:t>4.</w:t>
      </w:r>
      <w:r w:rsidRPr="00A67586">
        <w:tab/>
      </w:r>
      <w:r w:rsidRPr="00A67586">
        <w:rPr>
          <w:u w:val="single"/>
        </w:rPr>
        <w:t>Situation in the technical field</w:t>
      </w:r>
      <w:r>
        <w:t xml:space="preserve">:  </w:t>
      </w:r>
      <w:r w:rsidRPr="00EE7CC6">
        <w:t>No updates.</w:t>
      </w:r>
    </w:p>
    <w:p w:rsidR="00094940" w:rsidRDefault="00094940" w:rsidP="00094940"/>
    <w:p w:rsidR="00094940" w:rsidRPr="00A67586" w:rsidRDefault="00094940" w:rsidP="00094940"/>
    <w:p w:rsidR="00094940" w:rsidRPr="00EE7CC6" w:rsidRDefault="00094940" w:rsidP="00094940">
      <w:r w:rsidRPr="00A67586">
        <w:t>5.</w:t>
      </w:r>
      <w:r w:rsidRPr="00A67586">
        <w:tab/>
      </w:r>
      <w:r w:rsidRPr="00A67586">
        <w:rPr>
          <w:u w:val="single"/>
        </w:rPr>
        <w:t>Activities for the promotion of plant variety protection</w:t>
      </w:r>
      <w:r>
        <w:t xml:space="preserve">:  </w:t>
      </w:r>
      <w:r w:rsidRPr="00EE7CC6">
        <w:t>No updates.</w:t>
      </w:r>
    </w:p>
    <w:p w:rsidR="00094940" w:rsidRDefault="00094940" w:rsidP="00094940"/>
    <w:p w:rsidR="00094940" w:rsidRPr="00A67586" w:rsidRDefault="00094940" w:rsidP="00094940"/>
    <w:p w:rsidR="00094940" w:rsidRPr="00EE7CC6" w:rsidRDefault="00094940" w:rsidP="00094940">
      <w:r w:rsidRPr="00EE7CC6">
        <w:t>II.</w:t>
      </w:r>
      <w:r w:rsidRPr="00EE7CC6">
        <w:tab/>
        <w:t>OTHER DEVELOPMENTS OF RELEVANCE TO UPOV</w:t>
      </w:r>
    </w:p>
    <w:p w:rsidR="00094940" w:rsidRPr="00EE7CC6" w:rsidRDefault="00094940" w:rsidP="00094940"/>
    <w:p w:rsidR="00094940" w:rsidRPr="00EE7CC6" w:rsidRDefault="00094940" w:rsidP="00094940">
      <w:pPr>
        <w:spacing w:line="360" w:lineRule="auto"/>
        <w:ind w:left="567"/>
      </w:pPr>
      <w:r w:rsidRPr="00EE7CC6">
        <w:t>No updates.</w:t>
      </w:r>
    </w:p>
    <w:p w:rsidR="00094940" w:rsidRDefault="00094940" w:rsidP="00094940"/>
    <w:p w:rsidR="00242EA4" w:rsidRPr="00AA2FEE" w:rsidRDefault="00242EA4" w:rsidP="00242EA4"/>
    <w:p w:rsidR="000362AD" w:rsidRPr="00AA2FEE" w:rsidRDefault="000362AD" w:rsidP="00094940">
      <w:pPr>
        <w:jc w:val="right"/>
      </w:pPr>
      <w:r w:rsidRPr="00AA2FEE">
        <w:t>[Annex XV</w:t>
      </w:r>
      <w:r w:rsidR="0061294D" w:rsidRPr="00AA2FEE">
        <w:t>I</w:t>
      </w:r>
      <w:r w:rsidR="0075382F" w:rsidRPr="00AA2FEE">
        <w:t>II</w:t>
      </w:r>
      <w:r w:rsidRPr="00AA2FEE">
        <w:t xml:space="preserve"> follows]</w:t>
      </w:r>
    </w:p>
    <w:p w:rsidR="000362AD" w:rsidRPr="00AA2FEE" w:rsidRDefault="000362AD" w:rsidP="000362AD">
      <w:pPr>
        <w:jc w:val="left"/>
        <w:sectPr w:rsidR="000362AD" w:rsidRPr="00AA2FEE" w:rsidSect="0049108C">
          <w:headerReference w:type="default" r:id="rId44"/>
          <w:pgSz w:w="11907" w:h="16840" w:code="9"/>
          <w:pgMar w:top="510" w:right="1134" w:bottom="1134" w:left="1134" w:header="510" w:footer="680" w:gutter="0"/>
          <w:pgNumType w:start="1"/>
          <w:cols w:space="720"/>
          <w:titlePg/>
        </w:sectPr>
      </w:pPr>
    </w:p>
    <w:p w:rsidR="000362AD" w:rsidRPr="00AA2FEE" w:rsidRDefault="005A5958" w:rsidP="000362AD">
      <w:pPr>
        <w:jc w:val="center"/>
      </w:pPr>
      <w:r w:rsidRPr="00AA2FEE">
        <w:lastRenderedPageBreak/>
        <w:t>C/56</w:t>
      </w:r>
      <w:r w:rsidR="000362AD" w:rsidRPr="00AA2FEE">
        <w:t>/INF/4</w:t>
      </w:r>
    </w:p>
    <w:p w:rsidR="000362AD" w:rsidRPr="00AA2FEE" w:rsidRDefault="000362AD" w:rsidP="000362AD">
      <w:pPr>
        <w:jc w:val="center"/>
      </w:pPr>
    </w:p>
    <w:p w:rsidR="000362AD" w:rsidRPr="00AA2FEE" w:rsidRDefault="0075382F" w:rsidP="000362AD">
      <w:pPr>
        <w:jc w:val="center"/>
      </w:pPr>
      <w:r w:rsidRPr="00AA2FEE">
        <w:t>ANNEX X</w:t>
      </w:r>
      <w:r w:rsidR="0061294D" w:rsidRPr="00AA2FEE">
        <w:t>VIII</w:t>
      </w:r>
    </w:p>
    <w:p w:rsidR="000362AD" w:rsidRPr="00AA2FEE" w:rsidRDefault="000362AD" w:rsidP="000362AD">
      <w:pPr>
        <w:jc w:val="center"/>
      </w:pPr>
    </w:p>
    <w:p w:rsidR="000362AD" w:rsidRPr="00AA2FEE" w:rsidRDefault="000362AD" w:rsidP="000362AD">
      <w:pPr>
        <w:jc w:val="center"/>
      </w:pPr>
    </w:p>
    <w:p w:rsidR="00242EA4" w:rsidRPr="00AA2FEE" w:rsidRDefault="0075382F" w:rsidP="00242EA4">
      <w:pPr>
        <w:jc w:val="center"/>
      </w:pPr>
      <w:r w:rsidRPr="00AA2FEE">
        <w:t>UKRAINE</w:t>
      </w:r>
    </w:p>
    <w:p w:rsidR="00242EA4" w:rsidRPr="00AA2FEE" w:rsidRDefault="00242EA4" w:rsidP="00242EA4">
      <w:pPr>
        <w:jc w:val="center"/>
      </w:pPr>
    </w:p>
    <w:p w:rsidR="00242EA4" w:rsidRPr="00AA2FEE" w:rsidRDefault="00242EA4" w:rsidP="00242EA4">
      <w:pPr>
        <w:jc w:val="center"/>
      </w:pPr>
    </w:p>
    <w:p w:rsidR="00F54014" w:rsidRPr="00A043FE" w:rsidRDefault="00F54014" w:rsidP="00F54014">
      <w:r w:rsidRPr="00A043FE">
        <w:t>I.</w:t>
      </w:r>
      <w:r w:rsidRPr="00A043FE">
        <w:tab/>
        <w:t>PROTECTION OF PLANT VARIETIES</w:t>
      </w:r>
    </w:p>
    <w:p w:rsidR="00F54014" w:rsidRPr="00A043FE" w:rsidRDefault="00F54014" w:rsidP="00F54014"/>
    <w:p w:rsidR="00F54014" w:rsidRPr="00A043FE" w:rsidRDefault="00F54014" w:rsidP="00F54014">
      <w:r w:rsidRPr="00A043FE">
        <w:t>1.</w:t>
      </w:r>
      <w:r w:rsidRPr="00A043FE">
        <w:tab/>
      </w:r>
      <w:r w:rsidRPr="00A043FE">
        <w:rPr>
          <w:u w:val="single"/>
        </w:rPr>
        <w:t>The situation in the legal sphere.</w:t>
      </w:r>
      <w:r w:rsidRPr="00A043FE">
        <w:t xml:space="preserve"> </w:t>
      </w:r>
    </w:p>
    <w:p w:rsidR="00F54014" w:rsidRPr="00A043FE" w:rsidRDefault="00F54014" w:rsidP="00F54014"/>
    <w:p w:rsidR="00F54014" w:rsidRPr="00A043FE" w:rsidRDefault="00F54014" w:rsidP="00F54014">
      <w:pPr>
        <w:spacing w:after="120"/>
      </w:pPr>
      <w:r w:rsidRPr="00A043FE">
        <w:t>No longer in force:</w:t>
      </w:r>
    </w:p>
    <w:p w:rsidR="00F54014" w:rsidRPr="00A043FE" w:rsidRDefault="00F54014" w:rsidP="00F54014">
      <w:pPr>
        <w:numPr>
          <w:ilvl w:val="0"/>
          <w:numId w:val="33"/>
        </w:numPr>
        <w:spacing w:after="120"/>
      </w:pPr>
      <w:r w:rsidRPr="00A043FE">
        <w:t>Order of the Ministry of Agrarian Policy of Ukraine dated December 13, 2002 No. 390 “On Approval of the Regulation on the State Register of Intellectual Property Rights for Plant varieties and Issuance of Ukrainian Patents for Plant varieties” (title in the edition of the Order of the Ministry of Agrarian Policy of Ukraine dated August 15, 2008 No. 515), registered in the Ministry of Justice of Ukraine on January 31, 2003 No. 80/7401);</w:t>
      </w:r>
    </w:p>
    <w:p w:rsidR="00F54014" w:rsidRPr="00A043FE" w:rsidRDefault="00F54014" w:rsidP="00F54014">
      <w:pPr>
        <w:numPr>
          <w:ilvl w:val="0"/>
          <w:numId w:val="33"/>
        </w:numPr>
        <w:spacing w:after="120"/>
      </w:pPr>
      <w:r w:rsidRPr="00A043FE">
        <w:t>Order of the Ministry of Agrarian Policy of Ukraine dated February 26, 2003 No. 42 “On Approval of the Regulation on the State Register of Applications for Plant varieties”, registered in the Ministry of Justice of Ukraine on March 19, 2003 No. 220/7541;</w:t>
      </w:r>
    </w:p>
    <w:p w:rsidR="00F54014" w:rsidRPr="00A043FE" w:rsidRDefault="00F54014" w:rsidP="00F54014">
      <w:pPr>
        <w:numPr>
          <w:ilvl w:val="0"/>
          <w:numId w:val="33"/>
        </w:numPr>
        <w:spacing w:after="120"/>
      </w:pPr>
      <w:r w:rsidRPr="00A043FE">
        <w:t>Order No. 515 of the Ministry of Agrarian Policy of Ukraine dated August 15, 2008 “On Amendments to the Order No. 390 of the Ministry of Agrarian Policy of Ukraine dated December 13, 2002”, registered in the Ministry of Justice of Ukraine on December 2, 2008 No. 1149/15840;</w:t>
      </w:r>
    </w:p>
    <w:p w:rsidR="00F54014" w:rsidRPr="00A043FE" w:rsidRDefault="00F54014" w:rsidP="00F54014">
      <w:pPr>
        <w:numPr>
          <w:ilvl w:val="0"/>
          <w:numId w:val="33"/>
        </w:numPr>
        <w:spacing w:after="120"/>
      </w:pPr>
      <w:r w:rsidRPr="00A043FE">
        <w:t>Order of the Ministry of Agrarian Policy and Food of Ukraine dated June 21, 2016 No. 212 “On Approval of the List of Genera and Species, which varieties are tested for Suitability for the Distribution of varieties.”</w:t>
      </w:r>
    </w:p>
    <w:p w:rsidR="00F54014" w:rsidRPr="00A043FE" w:rsidRDefault="00F54014" w:rsidP="00F54014">
      <w:r w:rsidRPr="00A043FE">
        <w:t>Amendments were made to the Order of the Ministry of Agrarian Policy of Ukraine dated May 28, 2003 No. 151 “On Approval of the Regulation on the Certificate of Authorship to Plant variety”.</w:t>
      </w:r>
    </w:p>
    <w:p w:rsidR="00F54014" w:rsidRPr="00A043FE" w:rsidRDefault="00F54014" w:rsidP="00F54014"/>
    <w:p w:rsidR="00F54014" w:rsidRPr="00A043FE" w:rsidRDefault="00F54014" w:rsidP="00F54014"/>
    <w:p w:rsidR="00F54014" w:rsidRPr="00A043FE" w:rsidRDefault="00F54014" w:rsidP="00F54014">
      <w:pPr>
        <w:rPr>
          <w:u w:val="single"/>
        </w:rPr>
      </w:pPr>
      <w:r w:rsidRPr="00A043FE">
        <w:t>2.</w:t>
      </w:r>
      <w:r w:rsidRPr="00A043FE">
        <w:tab/>
      </w:r>
      <w:r w:rsidRPr="00A043FE">
        <w:rPr>
          <w:u w:val="single"/>
        </w:rPr>
        <w:t>Cooperation in expertise.</w:t>
      </w:r>
    </w:p>
    <w:p w:rsidR="00F54014" w:rsidRPr="00A043FE" w:rsidRDefault="00F54014" w:rsidP="00F54014"/>
    <w:p w:rsidR="00F54014" w:rsidRPr="00A043FE" w:rsidRDefault="00F54014" w:rsidP="00F54014">
      <w:r w:rsidRPr="00A043FE">
        <w:t>During 2021, Ukraine carried out an exchange of 104 reports on the results of field research on DUS.  Ukraine used DUS expert reports of the following countries:  Austria, Belgium, Bulgaria, France, Germany, Hungary, Italy, Netherlands, Portugal, Romania, Slovakia, Spain and United Kingdom.  In addition, Ukraine provided reports to Serbia and Turkey.</w:t>
      </w:r>
    </w:p>
    <w:p w:rsidR="00F54014" w:rsidRPr="00A043FE" w:rsidRDefault="00F54014" w:rsidP="00F54014"/>
    <w:p w:rsidR="00F54014" w:rsidRPr="00A043FE" w:rsidRDefault="00F54014" w:rsidP="00F54014"/>
    <w:p w:rsidR="00F54014" w:rsidRPr="00A043FE" w:rsidRDefault="00F54014" w:rsidP="00F54014">
      <w:pPr>
        <w:rPr>
          <w:u w:val="single"/>
        </w:rPr>
      </w:pPr>
      <w:r w:rsidRPr="00A043FE">
        <w:t>3.</w:t>
      </w:r>
      <w:r w:rsidRPr="00A043FE">
        <w:tab/>
      </w:r>
      <w:r w:rsidRPr="00A043FE">
        <w:rPr>
          <w:u w:val="single"/>
        </w:rPr>
        <w:t>The situation in the administrative sphere.</w:t>
      </w:r>
    </w:p>
    <w:p w:rsidR="00F54014" w:rsidRPr="00A043FE" w:rsidRDefault="00F54014" w:rsidP="00F54014"/>
    <w:p w:rsidR="00F54014" w:rsidRPr="00A043FE" w:rsidRDefault="00F54014" w:rsidP="00F54014">
      <w:r w:rsidRPr="00A043FE">
        <w:t>The Ministry of Agrarian Policy and Food of Ukraine is the competent authority for the registration of rights to plant varieties in Ukraine since 2020.</w:t>
      </w:r>
    </w:p>
    <w:p w:rsidR="00F54014" w:rsidRPr="00A043FE" w:rsidRDefault="00F54014" w:rsidP="00F54014"/>
    <w:p w:rsidR="00F54014" w:rsidRPr="00A043FE" w:rsidRDefault="00F54014" w:rsidP="00F54014"/>
    <w:p w:rsidR="00F54014" w:rsidRPr="00A043FE" w:rsidRDefault="00F54014" w:rsidP="00F54014">
      <w:pPr>
        <w:rPr>
          <w:u w:val="single"/>
        </w:rPr>
      </w:pPr>
      <w:r w:rsidRPr="00A043FE">
        <w:t>4.</w:t>
      </w:r>
      <w:r w:rsidRPr="00A043FE">
        <w:tab/>
      </w:r>
      <w:r w:rsidRPr="00A043FE">
        <w:rPr>
          <w:u w:val="single"/>
        </w:rPr>
        <w:t>The situation in the technical sphere.</w:t>
      </w:r>
    </w:p>
    <w:p w:rsidR="00F54014" w:rsidRPr="00A043FE" w:rsidRDefault="00F54014" w:rsidP="00F54014"/>
    <w:p w:rsidR="00F54014" w:rsidRPr="00A043FE" w:rsidRDefault="00F54014" w:rsidP="00F54014">
      <w:r w:rsidRPr="00A043FE">
        <w:t>The Order of the Ministry of Agrarian Policy and Food of Ukraine dated November, 25 2021 No. 387 “On Approval of the List of Genera and Species, which varieties are tested for Suitability for the Distribution of varieties and for Distinctness, Uniformity and Stability” introduced a number of changes:</w:t>
      </w:r>
    </w:p>
    <w:p w:rsidR="00F54014" w:rsidRPr="00A043FE" w:rsidRDefault="00F54014" w:rsidP="00F54014"/>
    <w:p w:rsidR="00F54014" w:rsidRPr="00A043FE" w:rsidRDefault="00F54014" w:rsidP="00F54014">
      <w:r w:rsidRPr="00A043FE">
        <w:t>lettuce (</w:t>
      </w:r>
      <w:r w:rsidRPr="00A043FE">
        <w:rPr>
          <w:i/>
        </w:rPr>
        <w:t>Latuca saliva</w:t>
      </w:r>
      <w:r w:rsidRPr="00A043FE">
        <w:t xml:space="preserve"> L.), dill fragrant (</w:t>
      </w:r>
      <w:r w:rsidRPr="00A043FE">
        <w:rPr>
          <w:i/>
        </w:rPr>
        <w:t>Anethum graveolens</w:t>
      </w:r>
      <w:r w:rsidRPr="00A043FE">
        <w:t xml:space="preserve"> L.), garden parsley (</w:t>
      </w:r>
      <w:r w:rsidRPr="00A043FE">
        <w:rPr>
          <w:i/>
        </w:rPr>
        <w:t>Petroselinum crispum</w:t>
      </w:r>
      <w:r w:rsidRPr="00A043FE">
        <w:t xml:space="preserve"> (Mill.) Nyman ex A.W.Hill)), garden spinach (</w:t>
      </w:r>
      <w:r w:rsidRPr="00A043FE">
        <w:rPr>
          <w:i/>
        </w:rPr>
        <w:t>Spinacea oleracea</w:t>
      </w:r>
      <w:r w:rsidRPr="00A043FE">
        <w:t xml:space="preserve"> L.), strawberry (</w:t>
      </w:r>
      <w:r w:rsidRPr="00A043FE">
        <w:rPr>
          <w:i/>
        </w:rPr>
        <w:t>Fragaria</w:t>
      </w:r>
      <w:r w:rsidRPr="00A043FE">
        <w:t xml:space="preserve"> L.) were added and clover (all species) (</w:t>
      </w:r>
      <w:r w:rsidRPr="00A043FE">
        <w:rPr>
          <w:i/>
        </w:rPr>
        <w:t>Trifolium</w:t>
      </w:r>
      <w:r w:rsidRPr="00A043FE">
        <w:t xml:space="preserve"> L.), alfalfa (all species) (</w:t>
      </w:r>
      <w:r w:rsidRPr="00A043FE">
        <w:rPr>
          <w:i/>
        </w:rPr>
        <w:t>Medicago</w:t>
      </w:r>
      <w:r w:rsidRPr="00A043FE">
        <w:t xml:space="preserve"> L.) were removed from the list valid in 2020.</w:t>
      </w:r>
    </w:p>
    <w:p w:rsidR="00F54014" w:rsidRPr="00A043FE" w:rsidRDefault="00F54014" w:rsidP="00F54014"/>
    <w:p w:rsidR="00F54014" w:rsidRPr="00A043FE" w:rsidRDefault="00F54014" w:rsidP="00F54014">
      <w:r w:rsidRPr="00A043FE">
        <w:t>In 2021, the following methods for the examination of plant varieties were developed:</w:t>
      </w:r>
    </w:p>
    <w:p w:rsidR="00F54014" w:rsidRPr="00A043FE" w:rsidRDefault="00F54014" w:rsidP="00F54014"/>
    <w:p w:rsidR="00F54014" w:rsidRPr="00A043FE" w:rsidRDefault="00F54014" w:rsidP="00F54014">
      <w:pPr>
        <w:numPr>
          <w:ilvl w:val="0"/>
          <w:numId w:val="32"/>
        </w:numPr>
        <w:spacing w:after="120"/>
      </w:pPr>
      <w:r w:rsidRPr="00A043FE">
        <w:t>method of examination of pistachio varieties (</w:t>
      </w:r>
      <w:r w:rsidRPr="00A043FE">
        <w:rPr>
          <w:i/>
        </w:rPr>
        <w:t>Pistacia vera</w:t>
      </w:r>
      <w:r w:rsidRPr="00A043FE">
        <w:t xml:space="preserve"> L.) for Distinctness, Uniformity and Stability of the group of fruits, berries, nuts, and grapes for Distinctness, Uniformity and Stability (UPOV document TG/PISTA (proj.4), 2020. New was used);</w:t>
      </w:r>
    </w:p>
    <w:p w:rsidR="00F54014" w:rsidRPr="00A043FE" w:rsidRDefault="00F54014" w:rsidP="00F54014">
      <w:pPr>
        <w:numPr>
          <w:ilvl w:val="0"/>
          <w:numId w:val="32"/>
        </w:numPr>
        <w:spacing w:after="120"/>
      </w:pPr>
      <w:r w:rsidRPr="00A043FE">
        <w:lastRenderedPageBreak/>
        <w:t>method of examination of rhubarb varieties (</w:t>
      </w:r>
      <w:r w:rsidRPr="00A043FE">
        <w:rPr>
          <w:i/>
        </w:rPr>
        <w:t>Rheum</w:t>
      </w:r>
      <w:r w:rsidRPr="00A043FE">
        <w:t xml:space="preserve"> L.) for Distinctness, Uniformity and Stability of the group of vegetables, potatoes and mushrooms for Distinctness, Uniformity and Stability (UPOV document TG/62/6, 1999 was used, changes and additions were made);</w:t>
      </w:r>
    </w:p>
    <w:p w:rsidR="00F54014" w:rsidRPr="00A043FE" w:rsidRDefault="00F54014" w:rsidP="00F54014">
      <w:pPr>
        <w:numPr>
          <w:ilvl w:val="0"/>
          <w:numId w:val="32"/>
        </w:numPr>
        <w:spacing w:after="120"/>
      </w:pPr>
      <w:r w:rsidRPr="00A043FE">
        <w:t>method of examination of varieties of common fennel (</w:t>
      </w:r>
      <w:r w:rsidRPr="00A043FE">
        <w:rPr>
          <w:i/>
        </w:rPr>
        <w:t xml:space="preserve">Foeniculum vulgare </w:t>
      </w:r>
      <w:r w:rsidRPr="00A043FE">
        <w:t>Miller) for Distinctness, Uniformity and Stability of the group of vegetables, potatoes and mushrooms for Distinctness, Uniformity and Stability (UPOV documents TG/183/3, 2001, TG/183/4, 2019 were used, changes and additions were made);</w:t>
      </w:r>
    </w:p>
    <w:p w:rsidR="00F54014" w:rsidRPr="00A043FE" w:rsidRDefault="00F54014" w:rsidP="00F54014">
      <w:pPr>
        <w:numPr>
          <w:ilvl w:val="0"/>
          <w:numId w:val="32"/>
        </w:numPr>
        <w:spacing w:after="120"/>
      </w:pPr>
      <w:r w:rsidRPr="00A043FE">
        <w:t>method of examination of varieties of seed rye (</w:t>
      </w:r>
      <w:r w:rsidRPr="00A043FE">
        <w:rPr>
          <w:i/>
        </w:rPr>
        <w:t>Secale cereale</w:t>
      </w:r>
      <w:r w:rsidRPr="00A043FE">
        <w:t xml:space="preserve"> L.) for Distinctness, Uniformity and Stability of the group of cereals for Distinctness, Uniformity and Stability (UPOV document TG/58/6, 1999, TG/58/7, 2020 was used, changes and additions were made);</w:t>
      </w:r>
    </w:p>
    <w:p w:rsidR="00F54014" w:rsidRPr="00A043FE" w:rsidRDefault="00F54014" w:rsidP="00F54014">
      <w:pPr>
        <w:numPr>
          <w:ilvl w:val="0"/>
          <w:numId w:val="32"/>
        </w:numPr>
        <w:spacing w:after="120"/>
      </w:pPr>
      <w:r w:rsidRPr="00A043FE">
        <w:t>method of examination of triticale varieties (</w:t>
      </w:r>
      <w:r w:rsidRPr="00A043FE">
        <w:rPr>
          <w:i/>
        </w:rPr>
        <w:t>Triticosecale</w:t>
      </w:r>
      <w:r w:rsidRPr="00A043FE">
        <w:t xml:space="preserve"> Witt.) for Distinctness, Uniformity and Stability of the cereal group for Distinctness, Uniformity and Stability (UPOV document TG/121/3, 1989, TG/121/4, 2020 was used, changes and additions were made);</w:t>
      </w:r>
    </w:p>
    <w:p w:rsidR="00F54014" w:rsidRPr="00A043FE" w:rsidRDefault="00F54014" w:rsidP="00F54014">
      <w:pPr>
        <w:numPr>
          <w:ilvl w:val="0"/>
          <w:numId w:val="32"/>
        </w:numPr>
        <w:spacing w:after="120"/>
      </w:pPr>
      <w:r w:rsidRPr="00A043FE">
        <w:t>method of examination of varieties of durum wheat subspecies (</w:t>
      </w:r>
      <w:r w:rsidRPr="00A043FE">
        <w:rPr>
          <w:i/>
        </w:rPr>
        <w:t>Triticum turgidum</w:t>
      </w:r>
      <w:r w:rsidRPr="00A043FE">
        <w:t xml:space="preserve"> L. subsp. </w:t>
      </w:r>
      <w:r w:rsidRPr="00A043FE">
        <w:rPr>
          <w:i/>
        </w:rPr>
        <w:t>durum</w:t>
      </w:r>
      <w:r w:rsidRPr="00A043FE">
        <w:t xml:space="preserve"> (Desf) Husn.), Kartli wheat (</w:t>
      </w:r>
      <w:r w:rsidRPr="00A043FE">
        <w:rPr>
          <w:i/>
        </w:rPr>
        <w:t>Triticum turgidum</w:t>
      </w:r>
      <w:r w:rsidRPr="00A043FE">
        <w:t xml:space="preserve"> L.  subs. </w:t>
      </w:r>
      <w:r w:rsidRPr="00A043FE">
        <w:rPr>
          <w:i/>
        </w:rPr>
        <w:t>carthlicum</w:t>
      </w:r>
      <w:r w:rsidRPr="00A043FE">
        <w:t xml:space="preserve"> (Nevski) À. Löve &amp; D. Löve), Polish wheat (</w:t>
      </w:r>
      <w:r w:rsidRPr="00A043FE">
        <w:rPr>
          <w:i/>
        </w:rPr>
        <w:t>Triticum turgidum</w:t>
      </w:r>
      <w:r w:rsidRPr="00A043FE">
        <w:t xml:space="preserve"> (</w:t>
      </w:r>
      <w:r w:rsidRPr="00A043FE">
        <w:rPr>
          <w:i/>
        </w:rPr>
        <w:t>Triticum dicoccum</w:t>
      </w:r>
      <w:r w:rsidRPr="00A043FE">
        <w:t xml:space="preserve"> Schrank ex Schübl)), Turanian wheat (</w:t>
      </w:r>
      <w:r w:rsidRPr="00A043FE">
        <w:rPr>
          <w:i/>
        </w:rPr>
        <w:t>Triticum turgidum</w:t>
      </w:r>
      <w:r w:rsidRPr="00A043FE">
        <w:t xml:space="preserve"> L. subsp. </w:t>
      </w:r>
      <w:r w:rsidRPr="00A043FE">
        <w:rPr>
          <w:i/>
        </w:rPr>
        <w:t>turanicum</w:t>
      </w:r>
      <w:r w:rsidRPr="00A043FE">
        <w:t xml:space="preserve"> (Jakubz.) À. Löve &amp; D. Löve) for Distinctness, Uniformity and Stability of the cereal group Distinctness, Uniformity and Stability (UPOV documents TG/120/3, 1988 and TG/120/4, 2012 were used, changes and additions were made);</w:t>
      </w:r>
    </w:p>
    <w:p w:rsidR="00F54014" w:rsidRPr="00A043FE" w:rsidRDefault="00F54014" w:rsidP="00F54014">
      <w:pPr>
        <w:numPr>
          <w:ilvl w:val="0"/>
          <w:numId w:val="32"/>
        </w:numPr>
        <w:spacing w:after="120"/>
      </w:pPr>
      <w:r w:rsidRPr="00A043FE">
        <w:t>method for determining the type of starch in the seed material of grain and cereal crops (qualitative method) (New national methodology);</w:t>
      </w:r>
    </w:p>
    <w:p w:rsidR="00F54014" w:rsidRPr="00A043FE" w:rsidRDefault="00F54014" w:rsidP="00F54014">
      <w:pPr>
        <w:numPr>
          <w:ilvl w:val="0"/>
          <w:numId w:val="32"/>
        </w:numPr>
      </w:pPr>
      <w:r w:rsidRPr="00A043FE">
        <w:t>method of conducting the examination of nightshade (</w:t>
      </w:r>
      <w:r w:rsidRPr="00A043FE">
        <w:rPr>
          <w:i/>
        </w:rPr>
        <w:t>Solanum glaucophyllum Desf.</w:t>
      </w:r>
      <w:r w:rsidRPr="00A043FE">
        <w:t>) varieties for Distinctness, Uniformity and Stability of the ornamental group for Distinctness, Uniformity and Stability (New national method, UPOV document TG/326/1, 2018 was used).</w:t>
      </w:r>
    </w:p>
    <w:p w:rsidR="00242EA4" w:rsidRPr="00AA2FEE" w:rsidRDefault="00242EA4" w:rsidP="00242EA4">
      <w:pPr>
        <w:jc w:val="left"/>
      </w:pPr>
    </w:p>
    <w:p w:rsidR="00F54014" w:rsidRDefault="00F54014" w:rsidP="000362AD">
      <w:pPr>
        <w:jc w:val="left"/>
        <w:sectPr w:rsidR="00F54014" w:rsidSect="0049108C">
          <w:headerReference w:type="default" r:id="rId45"/>
          <w:pgSz w:w="11907" w:h="16840" w:code="9"/>
          <w:pgMar w:top="510" w:right="1134" w:bottom="1134" w:left="1134" w:header="510" w:footer="680" w:gutter="0"/>
          <w:pgNumType w:start="1"/>
          <w:cols w:space="720"/>
          <w:titlePg/>
        </w:sectPr>
      </w:pPr>
    </w:p>
    <w:p w:rsidR="00F54014" w:rsidRPr="00A043FE" w:rsidRDefault="00F54014" w:rsidP="00F54014">
      <w:pPr>
        <w:rPr>
          <w:u w:val="single"/>
        </w:rPr>
      </w:pPr>
      <w:r w:rsidRPr="00A043FE">
        <w:lastRenderedPageBreak/>
        <w:t>5.</w:t>
      </w:r>
      <w:r w:rsidRPr="00A043FE">
        <w:tab/>
      </w:r>
      <w:r w:rsidRPr="00A043FE">
        <w:rPr>
          <w:u w:val="single"/>
        </w:rPr>
        <w:t>Activities to promote the protection of rights to plant varieties</w:t>
      </w:r>
    </w:p>
    <w:p w:rsidR="00F54014" w:rsidRPr="00A043FE" w:rsidRDefault="00F54014" w:rsidP="00F54014"/>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403"/>
        <w:gridCol w:w="1134"/>
        <w:gridCol w:w="992"/>
        <w:gridCol w:w="3260"/>
        <w:gridCol w:w="3119"/>
        <w:gridCol w:w="2126"/>
        <w:gridCol w:w="1276"/>
      </w:tblGrid>
      <w:tr w:rsidR="00F54014" w:rsidRPr="00A043FE" w:rsidTr="00647E67">
        <w:tc>
          <w:tcPr>
            <w:tcW w:w="3403" w:type="dxa"/>
            <w:shd w:val="clear" w:color="auto" w:fill="auto"/>
            <w:vAlign w:val="center"/>
            <w:hideMark/>
          </w:tcPr>
          <w:p w:rsidR="00F54014" w:rsidRPr="00A043FE" w:rsidRDefault="00F54014" w:rsidP="00647E67">
            <w:pPr>
              <w:keepNext/>
              <w:jc w:val="left"/>
              <w:rPr>
                <w:rFonts w:cs="Arial"/>
                <w:sz w:val="18"/>
                <w:szCs w:val="18"/>
                <w:lang w:eastAsia="uk-UA"/>
              </w:rPr>
            </w:pPr>
            <w:r w:rsidRPr="00A043FE">
              <w:rPr>
                <w:rFonts w:cs="Arial"/>
                <w:sz w:val="18"/>
                <w:szCs w:val="18"/>
                <w:lang w:eastAsia="uk-UA"/>
              </w:rPr>
              <w:t>Title of activity</w:t>
            </w:r>
          </w:p>
        </w:tc>
        <w:tc>
          <w:tcPr>
            <w:tcW w:w="1134" w:type="dxa"/>
            <w:shd w:val="clear" w:color="auto" w:fill="auto"/>
            <w:vAlign w:val="center"/>
            <w:hideMark/>
          </w:tcPr>
          <w:p w:rsidR="00F54014" w:rsidRPr="00A043FE" w:rsidRDefault="00F54014" w:rsidP="00647E67">
            <w:pPr>
              <w:keepNext/>
              <w:jc w:val="left"/>
              <w:rPr>
                <w:rFonts w:cs="Arial"/>
                <w:sz w:val="18"/>
                <w:szCs w:val="18"/>
                <w:lang w:eastAsia="uk-UA"/>
              </w:rPr>
            </w:pPr>
            <w:r w:rsidRPr="00A043FE">
              <w:rPr>
                <w:rFonts w:cs="Arial"/>
                <w:sz w:val="18"/>
                <w:szCs w:val="18"/>
                <w:lang w:eastAsia="uk-UA"/>
              </w:rPr>
              <w:t>Date</w:t>
            </w:r>
          </w:p>
        </w:tc>
        <w:tc>
          <w:tcPr>
            <w:tcW w:w="992" w:type="dxa"/>
            <w:shd w:val="clear" w:color="auto" w:fill="auto"/>
            <w:vAlign w:val="center"/>
            <w:hideMark/>
          </w:tcPr>
          <w:p w:rsidR="00F54014" w:rsidRPr="00A043FE" w:rsidRDefault="00F54014" w:rsidP="00647E67">
            <w:pPr>
              <w:keepNext/>
              <w:jc w:val="left"/>
              <w:rPr>
                <w:rFonts w:cs="Arial"/>
                <w:sz w:val="18"/>
                <w:szCs w:val="18"/>
                <w:lang w:eastAsia="uk-UA"/>
              </w:rPr>
            </w:pPr>
            <w:r w:rsidRPr="00A043FE">
              <w:rPr>
                <w:rFonts w:cs="Arial"/>
                <w:sz w:val="18"/>
                <w:szCs w:val="18"/>
                <w:lang w:eastAsia="uk-UA"/>
              </w:rPr>
              <w:t>Location</w:t>
            </w:r>
          </w:p>
        </w:tc>
        <w:tc>
          <w:tcPr>
            <w:tcW w:w="3260" w:type="dxa"/>
            <w:shd w:val="clear" w:color="auto" w:fill="auto"/>
            <w:vAlign w:val="center"/>
            <w:hideMark/>
          </w:tcPr>
          <w:p w:rsidR="00F54014" w:rsidRPr="00A043FE" w:rsidRDefault="00F54014" w:rsidP="00647E67">
            <w:pPr>
              <w:keepNext/>
              <w:jc w:val="left"/>
              <w:rPr>
                <w:rFonts w:cs="Arial"/>
                <w:sz w:val="18"/>
                <w:szCs w:val="18"/>
                <w:lang w:eastAsia="uk-UA"/>
              </w:rPr>
            </w:pPr>
            <w:r w:rsidRPr="00A043FE">
              <w:rPr>
                <w:rFonts w:cs="Arial"/>
                <w:sz w:val="18"/>
                <w:szCs w:val="18"/>
                <w:lang w:eastAsia="uk-UA"/>
              </w:rPr>
              <w:t>Organizer(s)</w:t>
            </w:r>
          </w:p>
        </w:tc>
        <w:tc>
          <w:tcPr>
            <w:tcW w:w="3119" w:type="dxa"/>
            <w:shd w:val="clear" w:color="auto" w:fill="auto"/>
            <w:vAlign w:val="center"/>
            <w:hideMark/>
          </w:tcPr>
          <w:p w:rsidR="00F54014" w:rsidRPr="00A043FE" w:rsidRDefault="00F54014" w:rsidP="00647E67">
            <w:pPr>
              <w:keepNext/>
              <w:jc w:val="left"/>
              <w:rPr>
                <w:rFonts w:cs="Arial"/>
                <w:sz w:val="18"/>
                <w:szCs w:val="18"/>
                <w:lang w:eastAsia="uk-UA"/>
              </w:rPr>
            </w:pPr>
            <w:r w:rsidRPr="00A043FE">
              <w:rPr>
                <w:rFonts w:cs="Arial"/>
                <w:sz w:val="18"/>
                <w:szCs w:val="18"/>
                <w:lang w:eastAsia="uk-UA"/>
              </w:rPr>
              <w:t>Purpose of activity</w:t>
            </w:r>
          </w:p>
        </w:tc>
        <w:tc>
          <w:tcPr>
            <w:tcW w:w="2126" w:type="dxa"/>
            <w:shd w:val="clear" w:color="auto" w:fill="auto"/>
            <w:vAlign w:val="center"/>
            <w:hideMark/>
          </w:tcPr>
          <w:p w:rsidR="00F54014" w:rsidRPr="00A043FE" w:rsidRDefault="00F54014" w:rsidP="00647E67">
            <w:pPr>
              <w:keepNext/>
              <w:jc w:val="left"/>
              <w:rPr>
                <w:rFonts w:cs="Arial"/>
                <w:sz w:val="18"/>
                <w:szCs w:val="18"/>
                <w:lang w:eastAsia="uk-UA"/>
              </w:rPr>
            </w:pPr>
            <w:r w:rsidRPr="00A043FE">
              <w:rPr>
                <w:rFonts w:cs="Arial"/>
                <w:sz w:val="18"/>
                <w:szCs w:val="18"/>
                <w:lang w:eastAsia="uk-UA"/>
              </w:rPr>
              <w:t>Participating countries/ organizations (number of participants from each)</w:t>
            </w:r>
          </w:p>
        </w:tc>
        <w:tc>
          <w:tcPr>
            <w:tcW w:w="1276" w:type="dxa"/>
            <w:shd w:val="clear" w:color="auto" w:fill="auto"/>
            <w:vAlign w:val="center"/>
            <w:hideMark/>
          </w:tcPr>
          <w:p w:rsidR="00F54014" w:rsidRPr="00A043FE" w:rsidRDefault="00F54014" w:rsidP="00647E67">
            <w:pPr>
              <w:keepNext/>
              <w:jc w:val="left"/>
              <w:rPr>
                <w:rFonts w:cs="Arial"/>
                <w:sz w:val="18"/>
                <w:szCs w:val="18"/>
                <w:lang w:eastAsia="uk-UA"/>
              </w:rPr>
            </w:pPr>
            <w:r w:rsidRPr="00A043FE">
              <w:rPr>
                <w:rFonts w:cs="Arial"/>
                <w:sz w:val="18"/>
                <w:szCs w:val="18"/>
                <w:lang w:eastAsia="uk-UA"/>
              </w:rPr>
              <w:t>Comments</w:t>
            </w:r>
          </w:p>
        </w:tc>
      </w:tr>
      <w:tr w:rsidR="00F54014" w:rsidRPr="00A043FE" w:rsidTr="00647E67">
        <w:trPr>
          <w:trHeight w:val="1587"/>
        </w:trPr>
        <w:tc>
          <w:tcPr>
            <w:tcW w:w="3403" w:type="dxa"/>
            <w:shd w:val="clear" w:color="auto" w:fill="auto"/>
            <w:hideMark/>
          </w:tcPr>
          <w:p w:rsidR="00F54014" w:rsidRPr="00A043FE" w:rsidRDefault="00F54014" w:rsidP="00647E67">
            <w:pPr>
              <w:jc w:val="left"/>
              <w:rPr>
                <w:sz w:val="18"/>
              </w:rPr>
            </w:pPr>
            <w:r w:rsidRPr="00A043FE">
              <w:rPr>
                <w:sz w:val="18"/>
              </w:rPr>
              <w:t>“Plant varieties Studying and Protection”</w:t>
            </w:r>
          </w:p>
          <w:p w:rsidR="00F54014" w:rsidRPr="00A043FE" w:rsidRDefault="00F54014" w:rsidP="00647E67">
            <w:pPr>
              <w:jc w:val="left"/>
              <w:rPr>
                <w:sz w:val="18"/>
              </w:rPr>
            </w:pPr>
            <w:r w:rsidRPr="00A043FE">
              <w:rPr>
                <w:sz w:val="18"/>
              </w:rPr>
              <w:t>Print ISSN 2518-1017</w:t>
            </w:r>
          </w:p>
          <w:p w:rsidR="00F54014" w:rsidRPr="00A043FE" w:rsidRDefault="00F54014" w:rsidP="00647E67">
            <w:pPr>
              <w:jc w:val="left"/>
              <w:rPr>
                <w:sz w:val="18"/>
              </w:rPr>
            </w:pPr>
            <w:r w:rsidRPr="00A043FE">
              <w:rPr>
                <w:sz w:val="18"/>
              </w:rPr>
              <w:t>Online ISSN 2518-7457</w:t>
            </w:r>
          </w:p>
          <w:p w:rsidR="00F54014" w:rsidRPr="00A043FE" w:rsidRDefault="00F54014" w:rsidP="00647E67">
            <w:pPr>
              <w:jc w:val="left"/>
              <w:rPr>
                <w:sz w:val="18"/>
              </w:rPr>
            </w:pPr>
            <w:r w:rsidRPr="00A043FE">
              <w:rPr>
                <w:sz w:val="18"/>
              </w:rPr>
              <w:t>№ 1, 2, 3, 4, volume 17, 2021</w:t>
            </w:r>
          </w:p>
          <w:p w:rsidR="00F54014" w:rsidRPr="00A043FE" w:rsidRDefault="009621DA" w:rsidP="00647E67">
            <w:pPr>
              <w:jc w:val="left"/>
              <w:rPr>
                <w:sz w:val="18"/>
              </w:rPr>
            </w:pPr>
            <w:hyperlink r:id="rId46" w:history="1">
              <w:r w:rsidR="00F54014" w:rsidRPr="00A043FE">
                <w:rPr>
                  <w:rStyle w:val="Hyperlink"/>
                  <w:sz w:val="18"/>
                </w:rPr>
                <w:t>http://journal.sops.gov.ua/issue/archive</w:t>
              </w:r>
            </w:hyperlink>
            <w:r w:rsidR="00F54014" w:rsidRPr="00A043FE">
              <w:rPr>
                <w:sz w:val="18"/>
              </w:rPr>
              <w:t xml:space="preserve"> </w:t>
            </w:r>
          </w:p>
        </w:tc>
        <w:tc>
          <w:tcPr>
            <w:tcW w:w="1134" w:type="dxa"/>
            <w:shd w:val="clear" w:color="auto" w:fill="auto"/>
            <w:hideMark/>
          </w:tcPr>
          <w:p w:rsidR="00F54014" w:rsidRPr="00A043FE" w:rsidRDefault="00F54014" w:rsidP="00647E67">
            <w:pPr>
              <w:keepNext/>
              <w:jc w:val="left"/>
              <w:rPr>
                <w:rFonts w:cs="Arial"/>
                <w:sz w:val="18"/>
                <w:szCs w:val="18"/>
              </w:rPr>
            </w:pPr>
            <w:r w:rsidRPr="00A043FE">
              <w:rPr>
                <w:rFonts w:cs="Arial"/>
                <w:sz w:val="18"/>
                <w:szCs w:val="18"/>
              </w:rPr>
              <w:t>quarterly</w:t>
            </w:r>
          </w:p>
        </w:tc>
        <w:tc>
          <w:tcPr>
            <w:tcW w:w="992" w:type="dxa"/>
            <w:shd w:val="clear" w:color="auto" w:fill="auto"/>
            <w:hideMark/>
          </w:tcPr>
          <w:p w:rsidR="00F54014" w:rsidRPr="00A043FE" w:rsidRDefault="00F54014" w:rsidP="00647E67">
            <w:pPr>
              <w:keepNext/>
              <w:jc w:val="left"/>
              <w:rPr>
                <w:rFonts w:cs="Arial"/>
                <w:sz w:val="18"/>
                <w:szCs w:val="18"/>
              </w:rPr>
            </w:pPr>
            <w:r w:rsidRPr="00A043FE">
              <w:rPr>
                <w:rFonts w:cs="Arial"/>
                <w:sz w:val="18"/>
                <w:szCs w:val="18"/>
              </w:rPr>
              <w:t>Kiev,</w:t>
            </w:r>
          </w:p>
          <w:p w:rsidR="00F54014" w:rsidRPr="00A043FE" w:rsidRDefault="00F54014" w:rsidP="00647E67">
            <w:pPr>
              <w:keepNext/>
              <w:jc w:val="left"/>
              <w:rPr>
                <w:rFonts w:cs="Arial"/>
                <w:sz w:val="18"/>
                <w:szCs w:val="18"/>
              </w:rPr>
            </w:pPr>
            <w:r w:rsidRPr="00A043FE">
              <w:rPr>
                <w:rFonts w:cs="Arial"/>
                <w:sz w:val="18"/>
                <w:szCs w:val="18"/>
              </w:rPr>
              <w:t>Ukraine</w:t>
            </w:r>
          </w:p>
        </w:tc>
        <w:tc>
          <w:tcPr>
            <w:tcW w:w="3260" w:type="dxa"/>
            <w:shd w:val="clear" w:color="auto" w:fill="auto"/>
            <w:hideMark/>
          </w:tcPr>
          <w:p w:rsidR="00F54014" w:rsidRPr="00A043FE" w:rsidRDefault="00F54014" w:rsidP="00647E67">
            <w:pPr>
              <w:keepNext/>
              <w:jc w:val="left"/>
              <w:rPr>
                <w:rFonts w:cs="Arial"/>
                <w:sz w:val="18"/>
                <w:szCs w:val="18"/>
              </w:rPr>
            </w:pPr>
            <w:r w:rsidRPr="00A043FE">
              <w:rPr>
                <w:rFonts w:cs="Arial"/>
                <w:sz w:val="18"/>
                <w:szCs w:val="18"/>
              </w:rPr>
              <w:t xml:space="preserve">Ukrainian Institute for Plant variety Examination, </w:t>
            </w:r>
          </w:p>
          <w:p w:rsidR="00F54014" w:rsidRPr="00A043FE" w:rsidRDefault="00F54014" w:rsidP="00647E67">
            <w:pPr>
              <w:keepNext/>
              <w:jc w:val="left"/>
              <w:rPr>
                <w:rFonts w:cs="Arial"/>
                <w:sz w:val="18"/>
                <w:szCs w:val="18"/>
              </w:rPr>
            </w:pPr>
            <w:r w:rsidRPr="00A043FE">
              <w:rPr>
                <w:rFonts w:cs="Arial"/>
                <w:sz w:val="18"/>
                <w:szCs w:val="18"/>
              </w:rPr>
              <w:t xml:space="preserve">Plant Breeding &amp; Genetics Institute – National Center of Seeds and Cultivar Investigation of NAAS, </w:t>
            </w:r>
          </w:p>
          <w:p w:rsidR="00F54014" w:rsidRPr="00A043FE" w:rsidRDefault="00F54014" w:rsidP="00647E67">
            <w:pPr>
              <w:keepNext/>
              <w:jc w:val="left"/>
              <w:rPr>
                <w:rFonts w:cs="Arial"/>
                <w:sz w:val="18"/>
                <w:szCs w:val="18"/>
              </w:rPr>
            </w:pPr>
            <w:r w:rsidRPr="00A043FE">
              <w:rPr>
                <w:rFonts w:cs="Arial"/>
                <w:sz w:val="18"/>
                <w:szCs w:val="18"/>
              </w:rPr>
              <w:t>Institute of Plant Physiology and Genetics, National Academy of Sciences of Ukraine</w:t>
            </w:r>
          </w:p>
        </w:tc>
        <w:tc>
          <w:tcPr>
            <w:tcW w:w="3119" w:type="dxa"/>
            <w:shd w:val="clear" w:color="auto" w:fill="auto"/>
            <w:hideMark/>
          </w:tcPr>
          <w:p w:rsidR="00F54014" w:rsidRPr="00A043FE" w:rsidRDefault="00F54014" w:rsidP="00647E67">
            <w:pPr>
              <w:keepNext/>
              <w:jc w:val="left"/>
              <w:rPr>
                <w:rFonts w:cs="Arial"/>
                <w:sz w:val="18"/>
                <w:szCs w:val="18"/>
              </w:rPr>
            </w:pPr>
            <w:r w:rsidRPr="00A043FE">
              <w:rPr>
                <w:rFonts w:cs="Arial"/>
                <w:sz w:val="18"/>
                <w:szCs w:val="18"/>
              </w:rPr>
              <w:t>publications on plant variety studying and science, genetics, breeding and seed production, plant physiology, biotechnology and biosafety, plant production, plant variety market, plant varieties protection, international cooperation, information systems and technologies, young scientist's view, history of science, anniversaries</w:t>
            </w:r>
          </w:p>
        </w:tc>
        <w:tc>
          <w:tcPr>
            <w:tcW w:w="2126" w:type="dxa"/>
            <w:shd w:val="clear" w:color="auto" w:fill="auto"/>
            <w:hideMark/>
          </w:tcPr>
          <w:p w:rsidR="00F54014" w:rsidRPr="00A043FE" w:rsidRDefault="00F54014" w:rsidP="00647E67">
            <w:pPr>
              <w:keepNext/>
              <w:jc w:val="left"/>
              <w:rPr>
                <w:rFonts w:cs="Arial"/>
                <w:sz w:val="18"/>
                <w:szCs w:val="18"/>
              </w:rPr>
            </w:pPr>
            <w:r w:rsidRPr="00A043FE">
              <w:rPr>
                <w:rFonts w:cs="Arial"/>
                <w:sz w:val="18"/>
                <w:szCs w:val="18"/>
              </w:rPr>
              <w:t>Ukraine, Albania, Nigeria, South Africa</w:t>
            </w:r>
          </w:p>
        </w:tc>
        <w:tc>
          <w:tcPr>
            <w:tcW w:w="1276" w:type="dxa"/>
            <w:shd w:val="clear" w:color="auto" w:fill="auto"/>
            <w:hideMark/>
          </w:tcPr>
          <w:p w:rsidR="00F54014" w:rsidRPr="00A043FE" w:rsidRDefault="00F54014" w:rsidP="00647E67">
            <w:pPr>
              <w:pStyle w:val="NoSpacing"/>
              <w:rPr>
                <w:rFonts w:ascii="Arial" w:hAnsi="Arial" w:cs="Arial"/>
                <w:sz w:val="18"/>
                <w:szCs w:val="18"/>
                <w:lang w:val="en-US" w:eastAsia="uk-UA"/>
              </w:rPr>
            </w:pPr>
          </w:p>
        </w:tc>
      </w:tr>
      <w:tr w:rsidR="00F54014" w:rsidRPr="00A043FE" w:rsidTr="00647E67">
        <w:trPr>
          <w:trHeight w:val="1313"/>
        </w:trPr>
        <w:tc>
          <w:tcPr>
            <w:tcW w:w="3403" w:type="dxa"/>
            <w:shd w:val="clear" w:color="auto" w:fill="auto"/>
            <w:hideMark/>
          </w:tcPr>
          <w:p w:rsidR="00F54014" w:rsidRPr="00A043FE" w:rsidRDefault="00F54014" w:rsidP="00647E67">
            <w:pPr>
              <w:jc w:val="left"/>
              <w:rPr>
                <w:rFonts w:cs="Arial"/>
                <w:sz w:val="18"/>
                <w:szCs w:val="18"/>
              </w:rPr>
            </w:pPr>
            <w:r w:rsidRPr="00A043FE">
              <w:rPr>
                <w:rFonts w:cs="Arial"/>
                <w:sz w:val="18"/>
                <w:szCs w:val="18"/>
              </w:rPr>
              <w:t>Bulletin “Plant varieties Protection”, № 1, № 2, № 3, № 4, № 5, № 6 2021.</w:t>
            </w:r>
          </w:p>
          <w:p w:rsidR="00F54014" w:rsidRPr="00A043FE" w:rsidRDefault="009621DA" w:rsidP="00647E67">
            <w:pPr>
              <w:jc w:val="left"/>
              <w:rPr>
                <w:rFonts w:cs="Arial"/>
                <w:sz w:val="18"/>
                <w:szCs w:val="18"/>
              </w:rPr>
            </w:pPr>
            <w:hyperlink r:id="rId47" w:history="1">
              <w:r w:rsidR="00F54014" w:rsidRPr="00A043FE">
                <w:rPr>
                  <w:rStyle w:val="Hyperlink"/>
                  <w:rFonts w:cs="Arial"/>
                  <w:sz w:val="18"/>
                  <w:szCs w:val="18"/>
                </w:rPr>
                <w:t>https://sops.gov.ua/publication/buleten-3</w:t>
              </w:r>
            </w:hyperlink>
            <w:r w:rsidR="00F54014" w:rsidRPr="00A043FE">
              <w:rPr>
                <w:rFonts w:cs="Arial"/>
                <w:sz w:val="18"/>
                <w:szCs w:val="18"/>
              </w:rPr>
              <w:t xml:space="preserve"> </w:t>
            </w:r>
          </w:p>
        </w:tc>
        <w:tc>
          <w:tcPr>
            <w:tcW w:w="1134" w:type="dxa"/>
            <w:shd w:val="clear" w:color="auto" w:fill="auto"/>
            <w:hideMark/>
          </w:tcPr>
          <w:p w:rsidR="00F54014" w:rsidRPr="00A043FE" w:rsidRDefault="00F54014" w:rsidP="00647E67">
            <w:pPr>
              <w:keepNext/>
              <w:jc w:val="left"/>
              <w:rPr>
                <w:rFonts w:cs="Arial"/>
                <w:sz w:val="18"/>
                <w:szCs w:val="18"/>
              </w:rPr>
            </w:pPr>
            <w:r w:rsidRPr="00A043FE">
              <w:rPr>
                <w:rFonts w:cs="Arial"/>
                <w:sz w:val="18"/>
                <w:szCs w:val="18"/>
              </w:rPr>
              <w:t>quarterly</w:t>
            </w:r>
          </w:p>
        </w:tc>
        <w:tc>
          <w:tcPr>
            <w:tcW w:w="992" w:type="dxa"/>
            <w:shd w:val="clear" w:color="auto" w:fill="auto"/>
            <w:hideMark/>
          </w:tcPr>
          <w:p w:rsidR="00F54014" w:rsidRPr="00A043FE" w:rsidRDefault="00F54014" w:rsidP="00647E67">
            <w:pPr>
              <w:keepNext/>
              <w:jc w:val="left"/>
              <w:rPr>
                <w:rFonts w:cs="Arial"/>
                <w:sz w:val="18"/>
                <w:szCs w:val="18"/>
              </w:rPr>
            </w:pPr>
            <w:r w:rsidRPr="00A043FE">
              <w:rPr>
                <w:rFonts w:cs="Arial"/>
                <w:sz w:val="18"/>
                <w:szCs w:val="18"/>
              </w:rPr>
              <w:t>Kiev,</w:t>
            </w:r>
          </w:p>
          <w:p w:rsidR="00F54014" w:rsidRPr="00A043FE" w:rsidRDefault="00F54014" w:rsidP="00647E67">
            <w:pPr>
              <w:keepNext/>
              <w:jc w:val="left"/>
              <w:rPr>
                <w:rFonts w:cs="Arial"/>
                <w:sz w:val="18"/>
                <w:szCs w:val="18"/>
              </w:rPr>
            </w:pPr>
            <w:r w:rsidRPr="00A043FE">
              <w:rPr>
                <w:rFonts w:cs="Arial"/>
                <w:sz w:val="18"/>
                <w:szCs w:val="18"/>
              </w:rPr>
              <w:t>Ukraine</w:t>
            </w:r>
          </w:p>
        </w:tc>
        <w:tc>
          <w:tcPr>
            <w:tcW w:w="3260" w:type="dxa"/>
            <w:shd w:val="clear" w:color="auto" w:fill="auto"/>
            <w:hideMark/>
          </w:tcPr>
          <w:p w:rsidR="00F54014" w:rsidRPr="00A043FE" w:rsidRDefault="00F54014" w:rsidP="00647E67">
            <w:pPr>
              <w:keepNext/>
              <w:jc w:val="left"/>
              <w:rPr>
                <w:rFonts w:cs="Arial"/>
                <w:sz w:val="18"/>
                <w:szCs w:val="18"/>
              </w:rPr>
            </w:pPr>
            <w:r w:rsidRPr="00A043FE">
              <w:rPr>
                <w:rFonts w:cs="Arial"/>
                <w:sz w:val="18"/>
                <w:szCs w:val="18"/>
              </w:rPr>
              <w:t>Ukrainian Institute for Plant variety Examination</w:t>
            </w:r>
          </w:p>
        </w:tc>
        <w:tc>
          <w:tcPr>
            <w:tcW w:w="3119" w:type="dxa"/>
            <w:shd w:val="clear" w:color="auto" w:fill="auto"/>
            <w:hideMark/>
          </w:tcPr>
          <w:p w:rsidR="00F54014" w:rsidRPr="00A043FE" w:rsidRDefault="00F54014" w:rsidP="00647E67">
            <w:pPr>
              <w:keepNext/>
              <w:jc w:val="left"/>
              <w:rPr>
                <w:rFonts w:cs="Arial"/>
                <w:sz w:val="18"/>
                <w:szCs w:val="18"/>
              </w:rPr>
            </w:pPr>
            <w:r w:rsidRPr="00A043FE">
              <w:rPr>
                <w:rFonts w:cs="Arial"/>
                <w:sz w:val="18"/>
                <w:szCs w:val="18"/>
              </w:rPr>
              <w:t>Bulletin issued pursuant to the Law of Ukraine “Plant varieties Protection” for the purpose of official information activity in the field of plant variety rights and implementation of Ukraine's international obligations arising from its membership in the International Union for the Protection of New varieties of Plants (UPOV)</w:t>
            </w:r>
          </w:p>
        </w:tc>
        <w:tc>
          <w:tcPr>
            <w:tcW w:w="2126" w:type="dxa"/>
            <w:shd w:val="clear" w:color="auto" w:fill="auto"/>
            <w:hideMark/>
          </w:tcPr>
          <w:p w:rsidR="00F54014" w:rsidRPr="00A043FE" w:rsidRDefault="00F54014" w:rsidP="00647E67">
            <w:pPr>
              <w:jc w:val="left"/>
              <w:rPr>
                <w:rFonts w:cs="Arial"/>
                <w:sz w:val="18"/>
                <w:szCs w:val="18"/>
              </w:rPr>
            </w:pPr>
            <w:r w:rsidRPr="00A043FE">
              <w:rPr>
                <w:rFonts w:cs="Arial"/>
                <w:sz w:val="18"/>
                <w:szCs w:val="18"/>
              </w:rPr>
              <w:t xml:space="preserve">Ukraine </w:t>
            </w:r>
          </w:p>
        </w:tc>
        <w:tc>
          <w:tcPr>
            <w:tcW w:w="1276" w:type="dxa"/>
            <w:shd w:val="clear" w:color="auto" w:fill="auto"/>
            <w:hideMark/>
          </w:tcPr>
          <w:p w:rsidR="00F54014" w:rsidRPr="00A043FE" w:rsidRDefault="00F54014" w:rsidP="00647E67">
            <w:pPr>
              <w:pStyle w:val="ListParagraph"/>
              <w:ind w:left="0"/>
              <w:rPr>
                <w:rFonts w:cs="Arial"/>
                <w:sz w:val="18"/>
                <w:szCs w:val="18"/>
                <w:highlight w:val="yellow"/>
                <w:lang w:eastAsia="uk-UA"/>
              </w:rPr>
            </w:pPr>
          </w:p>
        </w:tc>
      </w:tr>
      <w:tr w:rsidR="00F54014" w:rsidRPr="00A043FE" w:rsidTr="00647E67">
        <w:trPr>
          <w:trHeight w:val="1313"/>
        </w:trPr>
        <w:tc>
          <w:tcPr>
            <w:tcW w:w="3403" w:type="dxa"/>
            <w:shd w:val="clear" w:color="auto" w:fill="auto"/>
          </w:tcPr>
          <w:p w:rsidR="00F54014" w:rsidRPr="00A043FE" w:rsidRDefault="00F54014" w:rsidP="00647E67">
            <w:pPr>
              <w:jc w:val="left"/>
              <w:rPr>
                <w:rFonts w:cs="Arial"/>
                <w:sz w:val="18"/>
                <w:szCs w:val="18"/>
              </w:rPr>
            </w:pPr>
            <w:r w:rsidRPr="00A043FE">
              <w:rPr>
                <w:rFonts w:cs="Arial"/>
                <w:sz w:val="18"/>
                <w:szCs w:val="18"/>
              </w:rPr>
              <w:t xml:space="preserve">IX International Applied Research Conference of Young Scientists and Specialists “Breeding, Genetics and Technologies for Growing Crops” </w:t>
            </w:r>
            <w:hyperlink r:id="rId48" w:history="1">
              <w:r w:rsidRPr="00A043FE">
                <w:rPr>
                  <w:rStyle w:val="Hyperlink"/>
                  <w:rFonts w:cs="Arial"/>
                  <w:sz w:val="18"/>
                  <w:szCs w:val="18"/>
                </w:rPr>
                <w:t>http://confer.uiesr.sops.gov.ua/genetika2021/schedConf/presentations</w:t>
              </w:r>
            </w:hyperlink>
          </w:p>
        </w:tc>
        <w:tc>
          <w:tcPr>
            <w:tcW w:w="1134" w:type="dxa"/>
            <w:shd w:val="clear" w:color="auto" w:fill="auto"/>
          </w:tcPr>
          <w:p w:rsidR="00F54014" w:rsidRPr="00A043FE" w:rsidRDefault="00F54014" w:rsidP="00647E67">
            <w:pPr>
              <w:jc w:val="left"/>
              <w:rPr>
                <w:rFonts w:cs="Arial"/>
                <w:sz w:val="18"/>
                <w:szCs w:val="18"/>
              </w:rPr>
            </w:pPr>
            <w:r w:rsidRPr="00A043FE">
              <w:rPr>
                <w:rFonts w:cs="Arial"/>
                <w:sz w:val="18"/>
                <w:szCs w:val="18"/>
              </w:rPr>
              <w:t>23.04.2021</w:t>
            </w:r>
          </w:p>
        </w:tc>
        <w:tc>
          <w:tcPr>
            <w:tcW w:w="992" w:type="dxa"/>
            <w:shd w:val="clear" w:color="auto" w:fill="auto"/>
          </w:tcPr>
          <w:p w:rsidR="00F54014" w:rsidRPr="00A043FE" w:rsidRDefault="00F54014" w:rsidP="00647E67">
            <w:pPr>
              <w:jc w:val="left"/>
              <w:rPr>
                <w:rFonts w:cs="Arial"/>
                <w:sz w:val="18"/>
                <w:szCs w:val="18"/>
              </w:rPr>
            </w:pPr>
            <w:r w:rsidRPr="00A043FE">
              <w:rPr>
                <w:rFonts w:cs="Arial"/>
                <w:sz w:val="18"/>
                <w:szCs w:val="18"/>
              </w:rPr>
              <w:t>village Centralne, Kyiv region</w:t>
            </w:r>
          </w:p>
        </w:tc>
        <w:tc>
          <w:tcPr>
            <w:tcW w:w="3260" w:type="dxa"/>
            <w:shd w:val="clear" w:color="auto" w:fill="auto"/>
          </w:tcPr>
          <w:p w:rsidR="00F54014" w:rsidRPr="00A043FE" w:rsidRDefault="00F54014" w:rsidP="00647E67">
            <w:pPr>
              <w:jc w:val="left"/>
              <w:rPr>
                <w:rFonts w:cs="Arial"/>
                <w:sz w:val="18"/>
                <w:szCs w:val="18"/>
              </w:rPr>
            </w:pPr>
            <w:r w:rsidRPr="00A043FE">
              <w:rPr>
                <w:rFonts w:cs="Arial"/>
                <w:sz w:val="18"/>
                <w:szCs w:val="18"/>
              </w:rPr>
              <w:t>V.M. Remeslo Myronivka Institute of Wheat,</w:t>
            </w:r>
          </w:p>
          <w:p w:rsidR="00F54014" w:rsidRPr="00A043FE" w:rsidRDefault="00F54014" w:rsidP="00647E67">
            <w:pPr>
              <w:jc w:val="left"/>
              <w:rPr>
                <w:rFonts w:cs="Arial"/>
                <w:sz w:val="18"/>
                <w:szCs w:val="18"/>
              </w:rPr>
            </w:pPr>
            <w:r w:rsidRPr="00A043FE">
              <w:rPr>
                <w:rFonts w:cs="Arial"/>
                <w:sz w:val="18"/>
                <w:szCs w:val="18"/>
              </w:rPr>
              <w:t>National Academy of Agrarian Sciences of Ukraine;</w:t>
            </w:r>
          </w:p>
          <w:p w:rsidR="00F54014" w:rsidRPr="00A043FE" w:rsidRDefault="00F54014" w:rsidP="00647E67">
            <w:pPr>
              <w:jc w:val="left"/>
              <w:rPr>
                <w:rFonts w:cs="Arial"/>
                <w:sz w:val="18"/>
                <w:szCs w:val="18"/>
              </w:rPr>
            </w:pPr>
            <w:r w:rsidRPr="00A043FE">
              <w:rPr>
                <w:rFonts w:cs="Arial"/>
                <w:sz w:val="18"/>
                <w:szCs w:val="18"/>
              </w:rPr>
              <w:t>Ukrainian Institute for Plant variety Examination</w:t>
            </w:r>
          </w:p>
        </w:tc>
        <w:tc>
          <w:tcPr>
            <w:tcW w:w="3119" w:type="dxa"/>
            <w:shd w:val="clear" w:color="auto" w:fill="auto"/>
          </w:tcPr>
          <w:p w:rsidR="00F54014" w:rsidRPr="00A043FE" w:rsidRDefault="00F54014" w:rsidP="00647E67">
            <w:pPr>
              <w:jc w:val="left"/>
              <w:rPr>
                <w:rFonts w:cs="Arial"/>
                <w:sz w:val="18"/>
                <w:szCs w:val="18"/>
              </w:rPr>
            </w:pPr>
            <w:r w:rsidRPr="00A043FE">
              <w:rPr>
                <w:rFonts w:cs="Arial"/>
                <w:sz w:val="18"/>
                <w:szCs w:val="18"/>
              </w:rPr>
              <w:t>Definition of modern trends in agricultural research and evaluation of plant varieties</w:t>
            </w:r>
          </w:p>
        </w:tc>
        <w:tc>
          <w:tcPr>
            <w:tcW w:w="2126" w:type="dxa"/>
            <w:shd w:val="clear" w:color="auto" w:fill="auto"/>
          </w:tcPr>
          <w:p w:rsidR="00F54014" w:rsidRPr="00A043FE" w:rsidRDefault="00F54014" w:rsidP="00647E67">
            <w:pPr>
              <w:jc w:val="left"/>
              <w:rPr>
                <w:rFonts w:cs="Arial"/>
                <w:sz w:val="18"/>
                <w:szCs w:val="18"/>
              </w:rPr>
            </w:pPr>
            <w:r w:rsidRPr="00A043FE">
              <w:rPr>
                <w:rFonts w:cs="Arial"/>
                <w:sz w:val="18"/>
                <w:szCs w:val="18"/>
              </w:rPr>
              <w:t>Ukraine (171 participants)</w:t>
            </w:r>
          </w:p>
        </w:tc>
        <w:tc>
          <w:tcPr>
            <w:tcW w:w="1276" w:type="dxa"/>
            <w:shd w:val="clear" w:color="auto" w:fill="auto"/>
          </w:tcPr>
          <w:p w:rsidR="00F54014" w:rsidRPr="00A043FE" w:rsidRDefault="00F54014" w:rsidP="00647E67">
            <w:pPr>
              <w:jc w:val="left"/>
              <w:rPr>
                <w:rFonts w:cs="Arial"/>
                <w:sz w:val="18"/>
                <w:szCs w:val="18"/>
              </w:rPr>
            </w:pPr>
            <w:r w:rsidRPr="00A043FE">
              <w:rPr>
                <w:rFonts w:cs="Arial"/>
                <w:sz w:val="18"/>
                <w:szCs w:val="18"/>
              </w:rPr>
              <w:t>published a collection of conference materials</w:t>
            </w:r>
          </w:p>
        </w:tc>
      </w:tr>
      <w:tr w:rsidR="00F54014" w:rsidRPr="00A043FE" w:rsidTr="00647E67">
        <w:trPr>
          <w:trHeight w:val="1313"/>
        </w:trPr>
        <w:tc>
          <w:tcPr>
            <w:tcW w:w="3403" w:type="dxa"/>
            <w:shd w:val="clear" w:color="auto" w:fill="auto"/>
          </w:tcPr>
          <w:p w:rsidR="00F54014" w:rsidRPr="00A043FE" w:rsidRDefault="00F54014" w:rsidP="00647E67">
            <w:pPr>
              <w:jc w:val="left"/>
              <w:rPr>
                <w:rFonts w:cs="Arial"/>
                <w:sz w:val="18"/>
                <w:szCs w:val="18"/>
              </w:rPr>
            </w:pPr>
            <w:r w:rsidRPr="00A043FE">
              <w:rPr>
                <w:rFonts w:cs="Arial"/>
                <w:sz w:val="18"/>
                <w:szCs w:val="18"/>
              </w:rPr>
              <w:t>II International Applied Science conference “The Newest Agrotechnologies”</w:t>
            </w:r>
          </w:p>
          <w:p w:rsidR="00F54014" w:rsidRPr="00A043FE" w:rsidRDefault="00F54014" w:rsidP="00647E67">
            <w:pPr>
              <w:jc w:val="left"/>
              <w:rPr>
                <w:rFonts w:cs="Arial"/>
                <w:sz w:val="18"/>
                <w:szCs w:val="18"/>
              </w:rPr>
            </w:pPr>
          </w:p>
          <w:p w:rsidR="00F54014" w:rsidRPr="00A043FE" w:rsidRDefault="009621DA" w:rsidP="00647E67">
            <w:pPr>
              <w:jc w:val="left"/>
              <w:rPr>
                <w:rFonts w:cs="Arial"/>
                <w:sz w:val="18"/>
                <w:szCs w:val="18"/>
              </w:rPr>
            </w:pPr>
            <w:hyperlink r:id="rId49" w:history="1">
              <w:r w:rsidR="00F54014" w:rsidRPr="00A043FE">
                <w:rPr>
                  <w:rStyle w:val="Hyperlink"/>
                  <w:rFonts w:cs="Arial"/>
                  <w:sz w:val="18"/>
                  <w:szCs w:val="18"/>
                </w:rPr>
                <w:t>https://conference.ukragroexpert.com.ua/</w:t>
              </w:r>
            </w:hyperlink>
          </w:p>
          <w:p w:rsidR="00F54014" w:rsidRPr="00A043FE" w:rsidRDefault="00F54014" w:rsidP="00647E67">
            <w:pPr>
              <w:jc w:val="left"/>
              <w:rPr>
                <w:rFonts w:cs="Arial"/>
                <w:sz w:val="18"/>
                <w:szCs w:val="18"/>
              </w:rPr>
            </w:pPr>
          </w:p>
          <w:p w:rsidR="00F54014" w:rsidRPr="00A043FE" w:rsidRDefault="009621DA" w:rsidP="00647E67">
            <w:pPr>
              <w:jc w:val="left"/>
              <w:rPr>
                <w:rFonts w:cs="Arial"/>
                <w:sz w:val="18"/>
                <w:szCs w:val="18"/>
              </w:rPr>
            </w:pPr>
            <w:hyperlink r:id="rId50" w:history="1">
              <w:r w:rsidR="00F54014" w:rsidRPr="00A043FE">
                <w:rPr>
                  <w:rStyle w:val="Hyperlink"/>
                  <w:rFonts w:cs="Arial"/>
                  <w:sz w:val="18"/>
                  <w:szCs w:val="18"/>
                </w:rPr>
                <w:t>https://conference.ukragroexpert.com.ua/wp-content/uploads/2021/06/Book-of-proceedings-2021.pdf</w:t>
              </w:r>
            </w:hyperlink>
          </w:p>
          <w:p w:rsidR="00F54014" w:rsidRPr="00A043FE" w:rsidRDefault="00F54014" w:rsidP="00647E67">
            <w:pPr>
              <w:jc w:val="left"/>
              <w:rPr>
                <w:rFonts w:cs="Arial"/>
                <w:sz w:val="18"/>
                <w:szCs w:val="18"/>
              </w:rPr>
            </w:pPr>
          </w:p>
        </w:tc>
        <w:tc>
          <w:tcPr>
            <w:tcW w:w="1134" w:type="dxa"/>
            <w:shd w:val="clear" w:color="auto" w:fill="auto"/>
          </w:tcPr>
          <w:p w:rsidR="00F54014" w:rsidRPr="00A043FE" w:rsidRDefault="00F54014" w:rsidP="00647E67">
            <w:pPr>
              <w:jc w:val="left"/>
              <w:rPr>
                <w:rFonts w:cs="Arial"/>
                <w:sz w:val="18"/>
                <w:szCs w:val="18"/>
              </w:rPr>
            </w:pPr>
            <w:r w:rsidRPr="00A043FE">
              <w:rPr>
                <w:rFonts w:cs="Arial"/>
                <w:sz w:val="18"/>
                <w:szCs w:val="18"/>
              </w:rPr>
              <w:t>03.06.2021</w:t>
            </w:r>
          </w:p>
        </w:tc>
        <w:tc>
          <w:tcPr>
            <w:tcW w:w="992" w:type="dxa"/>
            <w:shd w:val="clear" w:color="auto" w:fill="auto"/>
          </w:tcPr>
          <w:p w:rsidR="00F54014" w:rsidRPr="00A043FE" w:rsidRDefault="00F54014" w:rsidP="00647E67">
            <w:pPr>
              <w:jc w:val="left"/>
              <w:rPr>
                <w:rFonts w:cs="Arial"/>
                <w:sz w:val="18"/>
                <w:szCs w:val="18"/>
              </w:rPr>
            </w:pPr>
            <w:r w:rsidRPr="00A043FE">
              <w:rPr>
                <w:rFonts w:cs="Arial"/>
                <w:sz w:val="18"/>
                <w:szCs w:val="18"/>
              </w:rPr>
              <w:t>Kyiv</w:t>
            </w:r>
          </w:p>
        </w:tc>
        <w:tc>
          <w:tcPr>
            <w:tcW w:w="3260" w:type="dxa"/>
            <w:shd w:val="clear" w:color="auto" w:fill="auto"/>
          </w:tcPr>
          <w:p w:rsidR="00F54014" w:rsidRPr="00A043FE" w:rsidRDefault="00F54014" w:rsidP="00647E67">
            <w:pPr>
              <w:jc w:val="left"/>
              <w:rPr>
                <w:rFonts w:cs="Arial"/>
                <w:sz w:val="18"/>
                <w:szCs w:val="18"/>
              </w:rPr>
            </w:pPr>
            <w:r w:rsidRPr="00A043FE">
              <w:rPr>
                <w:rFonts w:cs="Arial"/>
                <w:sz w:val="18"/>
                <w:szCs w:val="18"/>
              </w:rPr>
              <w:t>Ukrainian Institute for Plant variety Examination (Ukraine); National University of Life and Environmental sciences of Ukraine (Ukraine);</w:t>
            </w:r>
          </w:p>
          <w:p w:rsidR="00F54014" w:rsidRPr="00A043FE" w:rsidRDefault="00F54014" w:rsidP="00647E67">
            <w:pPr>
              <w:jc w:val="left"/>
              <w:rPr>
                <w:rFonts w:cs="Arial"/>
                <w:sz w:val="18"/>
                <w:szCs w:val="18"/>
              </w:rPr>
            </w:pPr>
            <w:r w:rsidRPr="00A043FE">
              <w:rPr>
                <w:rFonts w:cs="Arial"/>
                <w:sz w:val="18"/>
                <w:szCs w:val="18"/>
              </w:rPr>
              <w:t>The Institute of Bioenergy Crops and Sugar Beet NAAS (Ukraine); Bila Tserkva National Agrarian University (Ukraine);</w:t>
            </w:r>
          </w:p>
          <w:p w:rsidR="00F54014" w:rsidRPr="00A043FE" w:rsidRDefault="00F54014" w:rsidP="00647E67">
            <w:pPr>
              <w:jc w:val="left"/>
              <w:rPr>
                <w:rFonts w:cs="Arial"/>
                <w:sz w:val="18"/>
                <w:szCs w:val="18"/>
              </w:rPr>
            </w:pPr>
            <w:r w:rsidRPr="00A043FE">
              <w:rPr>
                <w:rFonts w:cs="Arial"/>
                <w:sz w:val="18"/>
                <w:szCs w:val="18"/>
              </w:rPr>
              <w:t>Institute of Plant Physiology and Genetics NAS (Ukraine); Ltd Research Institute of Agrarian Business (Ukraine); University of East Sarajevo (Bosnia and Herzegovina)</w:t>
            </w:r>
          </w:p>
        </w:tc>
        <w:tc>
          <w:tcPr>
            <w:tcW w:w="3119" w:type="dxa"/>
            <w:shd w:val="clear" w:color="auto" w:fill="auto"/>
          </w:tcPr>
          <w:p w:rsidR="00F54014" w:rsidRPr="00A043FE" w:rsidRDefault="00F54014" w:rsidP="00647E67">
            <w:pPr>
              <w:jc w:val="left"/>
              <w:rPr>
                <w:rFonts w:cs="Arial"/>
                <w:sz w:val="18"/>
                <w:szCs w:val="18"/>
              </w:rPr>
            </w:pPr>
            <w:r w:rsidRPr="00A043FE">
              <w:rPr>
                <w:rFonts w:cs="Arial"/>
                <w:sz w:val="18"/>
                <w:szCs w:val="18"/>
              </w:rPr>
              <w:t>The establishment and deepening of scientific connections, the exchange of experience and the dissemination of knowledge about the importance of the scientific approach in agriculture, and the search for solutions to applied and theoretical tasks in the agricultural sector and plant varieties testing</w:t>
            </w:r>
          </w:p>
        </w:tc>
        <w:tc>
          <w:tcPr>
            <w:tcW w:w="2126" w:type="dxa"/>
            <w:shd w:val="clear" w:color="auto" w:fill="auto"/>
          </w:tcPr>
          <w:p w:rsidR="00F54014" w:rsidRPr="00A043FE" w:rsidRDefault="00F54014" w:rsidP="00647E67">
            <w:pPr>
              <w:jc w:val="left"/>
              <w:rPr>
                <w:rFonts w:cs="Arial"/>
                <w:sz w:val="18"/>
                <w:szCs w:val="18"/>
              </w:rPr>
            </w:pPr>
            <w:r w:rsidRPr="00A043FE">
              <w:rPr>
                <w:rFonts w:cs="Arial"/>
                <w:sz w:val="18"/>
                <w:szCs w:val="18"/>
              </w:rPr>
              <w:t>Ukraine, Albania, Egypt, Hungary, Lithuania, North Macedonia, Turkey (44 participants)</w:t>
            </w:r>
          </w:p>
        </w:tc>
        <w:tc>
          <w:tcPr>
            <w:tcW w:w="1276" w:type="dxa"/>
            <w:shd w:val="clear" w:color="auto" w:fill="auto"/>
          </w:tcPr>
          <w:p w:rsidR="00F54014" w:rsidRPr="00A043FE" w:rsidRDefault="00F54014" w:rsidP="00647E67">
            <w:pPr>
              <w:jc w:val="left"/>
              <w:rPr>
                <w:rFonts w:cs="Arial"/>
                <w:sz w:val="18"/>
                <w:szCs w:val="18"/>
              </w:rPr>
            </w:pPr>
            <w:r w:rsidRPr="00A043FE">
              <w:rPr>
                <w:rFonts w:cs="Arial"/>
                <w:sz w:val="18"/>
                <w:szCs w:val="18"/>
              </w:rPr>
              <w:t>published a collection of conference materials</w:t>
            </w:r>
          </w:p>
        </w:tc>
      </w:tr>
    </w:tbl>
    <w:p w:rsidR="000362AD" w:rsidRDefault="000362AD" w:rsidP="000362AD">
      <w:pPr>
        <w:jc w:val="left"/>
      </w:pPr>
    </w:p>
    <w:p w:rsidR="00F54014" w:rsidRDefault="00F54014" w:rsidP="000362AD">
      <w:pPr>
        <w:jc w:val="left"/>
        <w:sectPr w:rsidR="00F54014" w:rsidSect="00F54014">
          <w:pgSz w:w="16840" w:h="11907" w:orient="landscape" w:code="9"/>
          <w:pgMar w:top="510" w:right="1134" w:bottom="993" w:left="1134" w:header="510" w:footer="680" w:gutter="0"/>
          <w:cols w:space="720"/>
        </w:sectPr>
      </w:pPr>
    </w:p>
    <w:p w:rsidR="00F54014" w:rsidRPr="00A043FE" w:rsidRDefault="00F54014" w:rsidP="00F54014">
      <w:r w:rsidRPr="00A043FE">
        <w:lastRenderedPageBreak/>
        <w:t>II.</w:t>
      </w:r>
      <w:r w:rsidRPr="00A043FE">
        <w:tab/>
        <w:t>OTHER CHANGES RELEVANT TO UPOV</w:t>
      </w:r>
    </w:p>
    <w:p w:rsidR="00F54014" w:rsidRPr="00A043FE" w:rsidRDefault="00F54014" w:rsidP="00F54014"/>
    <w:p w:rsidR="00F54014" w:rsidRPr="00A043FE" w:rsidRDefault="00F54014" w:rsidP="00F54014">
      <w:r w:rsidRPr="00A043FE">
        <w:t xml:space="preserve">Statistical information on the protection of plant varieties in Ukraine in 2021 was transmitted to e-mail </w:t>
      </w:r>
      <w:hyperlink r:id="rId51" w:history="1">
        <w:r w:rsidRPr="00A043FE">
          <w:rPr>
            <w:rStyle w:val="Hyperlink"/>
          </w:rPr>
          <w:t>upov.mail@upov.int</w:t>
        </w:r>
      </w:hyperlink>
      <w:r w:rsidRPr="00A043FE">
        <w:t xml:space="preserve"> in due time.</w:t>
      </w:r>
    </w:p>
    <w:p w:rsidR="00F54014" w:rsidRPr="00A043FE" w:rsidRDefault="00F54014" w:rsidP="00F54014">
      <w:pPr>
        <w:jc w:val="left"/>
      </w:pPr>
    </w:p>
    <w:p w:rsidR="00F54014" w:rsidRDefault="00F54014" w:rsidP="000362AD">
      <w:pPr>
        <w:jc w:val="left"/>
      </w:pPr>
    </w:p>
    <w:p w:rsidR="00F54014" w:rsidRPr="00AA2FEE" w:rsidRDefault="00F54014" w:rsidP="000362AD">
      <w:pPr>
        <w:jc w:val="left"/>
      </w:pPr>
    </w:p>
    <w:p w:rsidR="000362AD" w:rsidRPr="00AA2FEE" w:rsidRDefault="000362AD" w:rsidP="000362AD">
      <w:pPr>
        <w:jc w:val="right"/>
      </w:pPr>
      <w:r w:rsidRPr="00AA2FEE">
        <w:t>[Annex X</w:t>
      </w:r>
      <w:r w:rsidR="0061294D" w:rsidRPr="00AA2FEE">
        <w:t>IX</w:t>
      </w:r>
      <w:r w:rsidRPr="00AA2FEE">
        <w:t xml:space="preserve"> follows]</w:t>
      </w:r>
    </w:p>
    <w:p w:rsidR="000362AD" w:rsidRPr="00AA2FEE" w:rsidRDefault="000362AD" w:rsidP="000362AD"/>
    <w:p w:rsidR="000362AD" w:rsidRPr="00AA2FEE" w:rsidRDefault="000362AD" w:rsidP="000362AD">
      <w:pPr>
        <w:jc w:val="left"/>
        <w:sectPr w:rsidR="000362AD" w:rsidRPr="00AA2FEE" w:rsidSect="00F54014">
          <w:pgSz w:w="11907" w:h="16840" w:code="9"/>
          <w:pgMar w:top="510" w:right="1134" w:bottom="1134" w:left="1134" w:header="510" w:footer="680" w:gutter="0"/>
          <w:cols w:space="720"/>
        </w:sectPr>
      </w:pPr>
    </w:p>
    <w:p w:rsidR="000362AD" w:rsidRPr="00AA2FEE" w:rsidRDefault="005A5958" w:rsidP="000362AD">
      <w:pPr>
        <w:jc w:val="center"/>
      </w:pPr>
      <w:r w:rsidRPr="00AA2FEE">
        <w:lastRenderedPageBreak/>
        <w:t>C/56</w:t>
      </w:r>
      <w:r w:rsidR="000362AD" w:rsidRPr="00AA2FEE">
        <w:t>/INF/4</w:t>
      </w:r>
    </w:p>
    <w:p w:rsidR="000362AD" w:rsidRPr="00AA2FEE" w:rsidRDefault="000362AD" w:rsidP="000362AD">
      <w:pPr>
        <w:jc w:val="center"/>
      </w:pPr>
    </w:p>
    <w:p w:rsidR="000362AD" w:rsidRPr="00AA2FEE" w:rsidRDefault="0061294D" w:rsidP="000362AD">
      <w:pPr>
        <w:jc w:val="center"/>
      </w:pPr>
      <w:r w:rsidRPr="00AA2FEE">
        <w:t>ANNEX XIX</w:t>
      </w:r>
    </w:p>
    <w:p w:rsidR="000362AD" w:rsidRPr="00AA2FEE" w:rsidRDefault="000362AD" w:rsidP="000362AD">
      <w:pPr>
        <w:jc w:val="center"/>
      </w:pPr>
    </w:p>
    <w:p w:rsidR="000362AD" w:rsidRPr="00AA2FEE" w:rsidRDefault="000362AD" w:rsidP="000362AD">
      <w:pPr>
        <w:jc w:val="center"/>
      </w:pPr>
    </w:p>
    <w:p w:rsidR="000362AD" w:rsidRPr="00AA2FEE" w:rsidRDefault="000362AD" w:rsidP="000362AD">
      <w:pPr>
        <w:jc w:val="center"/>
      </w:pPr>
      <w:r w:rsidRPr="00AA2FEE">
        <w:t>EUROPEAN UNION</w:t>
      </w:r>
      <w:r w:rsidR="00D76E4F" w:rsidRPr="00860114">
        <w:rPr>
          <w:rStyle w:val="EndnoteReference"/>
          <w:highlight w:val="yellow"/>
          <w:lang w:val="en-GB"/>
        </w:rPr>
        <w:endnoteReference w:id="2"/>
      </w:r>
    </w:p>
    <w:p w:rsidR="00D76E4F" w:rsidRPr="00860114" w:rsidRDefault="00D76E4F" w:rsidP="00D76E4F">
      <w:pPr>
        <w:jc w:val="center"/>
        <w:rPr>
          <w:lang w:val="en-GB"/>
        </w:rPr>
      </w:pPr>
      <w:r w:rsidRPr="00860114">
        <w:rPr>
          <w:lang w:val="en-GB"/>
        </w:rPr>
        <w:t>Period: July 2021 - July 2022</w:t>
      </w:r>
    </w:p>
    <w:p w:rsidR="00D76E4F" w:rsidRPr="00860114" w:rsidRDefault="00D76E4F" w:rsidP="00D76E4F">
      <w:pPr>
        <w:jc w:val="center"/>
        <w:rPr>
          <w:lang w:val="en-GB"/>
        </w:rPr>
      </w:pPr>
    </w:p>
    <w:p w:rsidR="00D76E4F" w:rsidRPr="00860114" w:rsidRDefault="00D76E4F" w:rsidP="00D76E4F">
      <w:pPr>
        <w:jc w:val="center"/>
        <w:rPr>
          <w:lang w:val="en-GB"/>
        </w:rPr>
      </w:pPr>
      <w:r w:rsidRPr="00860114">
        <w:rPr>
          <w:lang w:val="en-GB"/>
        </w:rPr>
        <w:t>(Report prepared by the European Commission in close relation with the Community Plant Variety Office)</w:t>
      </w:r>
    </w:p>
    <w:p w:rsidR="00D76E4F" w:rsidRPr="00860114" w:rsidRDefault="00D76E4F" w:rsidP="00D76E4F">
      <w:pPr>
        <w:rPr>
          <w:lang w:val="en-GB"/>
        </w:rPr>
      </w:pPr>
    </w:p>
    <w:p w:rsidR="00D76E4F" w:rsidRPr="00860114" w:rsidRDefault="00D76E4F" w:rsidP="00D76E4F">
      <w:pPr>
        <w:rPr>
          <w:lang w:val="en-GB"/>
        </w:rPr>
      </w:pPr>
    </w:p>
    <w:p w:rsidR="00D76E4F" w:rsidRPr="00860114" w:rsidRDefault="00D76E4F" w:rsidP="00D76E4F">
      <w:pPr>
        <w:rPr>
          <w:lang w:val="en-GB"/>
        </w:rPr>
      </w:pPr>
      <w:r w:rsidRPr="00860114">
        <w:rPr>
          <w:lang w:val="en-GB"/>
        </w:rPr>
        <w:t>PLANT VARIETY PROTECTION</w:t>
      </w:r>
    </w:p>
    <w:p w:rsidR="00D76E4F" w:rsidRPr="00860114" w:rsidRDefault="00D76E4F" w:rsidP="00D76E4F">
      <w:pPr>
        <w:rPr>
          <w:rFonts w:cs="Calibri"/>
          <w:lang w:val="en-GB"/>
        </w:rPr>
      </w:pPr>
    </w:p>
    <w:p w:rsidR="00D76E4F" w:rsidRPr="00860114" w:rsidRDefault="00D76E4F" w:rsidP="00D76E4F">
      <w:pPr>
        <w:rPr>
          <w:rFonts w:cs="Calibri"/>
          <w:u w:val="single"/>
          <w:lang w:val="en-GB"/>
        </w:rPr>
      </w:pPr>
      <w:r w:rsidRPr="00860114">
        <w:rPr>
          <w:rFonts w:cs="Calibri"/>
          <w:u w:val="single"/>
          <w:lang w:val="en-GB"/>
        </w:rPr>
        <w:t>1)</w:t>
      </w:r>
      <w:r w:rsidRPr="00860114">
        <w:rPr>
          <w:rFonts w:cs="Calibri"/>
          <w:u w:val="single"/>
          <w:lang w:val="en-GB"/>
        </w:rPr>
        <w:tab/>
        <w:t>Legislation</w:t>
      </w:r>
    </w:p>
    <w:p w:rsidR="00D76E4F" w:rsidRPr="00860114" w:rsidRDefault="00D76E4F" w:rsidP="00D76E4F">
      <w:pPr>
        <w:pStyle w:val="ListBullet"/>
        <w:numPr>
          <w:ilvl w:val="0"/>
          <w:numId w:val="0"/>
        </w:numPr>
        <w:tabs>
          <w:tab w:val="left" w:pos="720"/>
        </w:tabs>
        <w:spacing w:after="0"/>
        <w:ind w:firstLine="1"/>
        <w:rPr>
          <w:rFonts w:cs="Calibri"/>
        </w:rPr>
      </w:pPr>
    </w:p>
    <w:p w:rsidR="00D76E4F" w:rsidRPr="00860114" w:rsidRDefault="00D76E4F" w:rsidP="00D76E4F">
      <w:pPr>
        <w:pStyle w:val="ListBullet"/>
        <w:numPr>
          <w:ilvl w:val="0"/>
          <w:numId w:val="0"/>
        </w:numPr>
        <w:tabs>
          <w:tab w:val="left" w:pos="720"/>
        </w:tabs>
        <w:spacing w:after="0"/>
        <w:ind w:firstLine="1"/>
        <w:rPr>
          <w:rFonts w:cs="Calibri"/>
          <w:u w:val="single"/>
        </w:rPr>
      </w:pPr>
      <w:r w:rsidRPr="00860114">
        <w:rPr>
          <w:rFonts w:cs="Calibri"/>
          <w:u w:val="single"/>
        </w:rPr>
        <w:t xml:space="preserve">General: </w:t>
      </w:r>
    </w:p>
    <w:p w:rsidR="00D76E4F" w:rsidRPr="00860114" w:rsidRDefault="00D76E4F" w:rsidP="00D76E4F">
      <w:pPr>
        <w:pStyle w:val="ListBullet"/>
        <w:numPr>
          <w:ilvl w:val="0"/>
          <w:numId w:val="0"/>
        </w:numPr>
        <w:tabs>
          <w:tab w:val="left" w:pos="720"/>
        </w:tabs>
        <w:spacing w:after="0"/>
        <w:ind w:firstLine="1"/>
        <w:rPr>
          <w:rFonts w:cs="Calibri"/>
        </w:rPr>
      </w:pPr>
    </w:p>
    <w:p w:rsidR="00D76E4F" w:rsidRPr="00860114" w:rsidRDefault="00D76E4F" w:rsidP="00D76E4F">
      <w:pPr>
        <w:pStyle w:val="ListBullet"/>
        <w:numPr>
          <w:ilvl w:val="0"/>
          <w:numId w:val="0"/>
        </w:numPr>
        <w:tabs>
          <w:tab w:val="left" w:pos="720"/>
        </w:tabs>
        <w:spacing w:after="0"/>
        <w:ind w:firstLine="1"/>
        <w:rPr>
          <w:rFonts w:cs="Calibri"/>
        </w:rPr>
      </w:pPr>
      <w:r w:rsidRPr="00860114">
        <w:rPr>
          <w:rFonts w:cs="Calibri"/>
        </w:rPr>
        <w:t xml:space="preserve">A European study, co-authored by the European Union Intellectual Property Office (EUIPO) through the European Observatory on Infringements on Intellectual Property Rights and the Community Plant Variety Office (CPVO), investigated the impacts of the Community Plant Variety Rights system (CPVR) on the EU economy and the environment. The study was published in April 2022. </w:t>
      </w:r>
    </w:p>
    <w:p w:rsidR="00D76E4F" w:rsidRPr="00860114" w:rsidRDefault="00D76E4F" w:rsidP="00D76E4F">
      <w:pPr>
        <w:pStyle w:val="ListBullet"/>
        <w:numPr>
          <w:ilvl w:val="0"/>
          <w:numId w:val="0"/>
        </w:numPr>
        <w:tabs>
          <w:tab w:val="left" w:pos="720"/>
        </w:tabs>
        <w:spacing w:after="0"/>
        <w:ind w:firstLine="1"/>
        <w:rPr>
          <w:rFonts w:cs="Calibri"/>
        </w:rPr>
      </w:pPr>
    </w:p>
    <w:p w:rsidR="00D76E4F" w:rsidRPr="00860114" w:rsidRDefault="00D76E4F" w:rsidP="00D76E4F">
      <w:pPr>
        <w:pStyle w:val="ListBullet"/>
        <w:numPr>
          <w:ilvl w:val="0"/>
          <w:numId w:val="0"/>
        </w:numPr>
        <w:tabs>
          <w:tab w:val="left" w:pos="720"/>
        </w:tabs>
        <w:spacing w:after="0"/>
        <w:ind w:firstLine="1"/>
        <w:rPr>
          <w:rFonts w:cs="Calibri"/>
        </w:rPr>
      </w:pPr>
      <w:r w:rsidRPr="00860114">
        <w:rPr>
          <w:rFonts w:cs="Calibri"/>
        </w:rPr>
        <w:t>Key findings of the study are:</w:t>
      </w:r>
    </w:p>
    <w:p w:rsidR="00D76E4F" w:rsidRPr="00860114" w:rsidRDefault="00D76E4F" w:rsidP="00D76E4F">
      <w:pPr>
        <w:pStyle w:val="ListBullet"/>
        <w:numPr>
          <w:ilvl w:val="0"/>
          <w:numId w:val="0"/>
        </w:numPr>
        <w:tabs>
          <w:tab w:val="left" w:pos="720"/>
        </w:tabs>
        <w:spacing w:after="0"/>
        <w:ind w:firstLine="1"/>
        <w:rPr>
          <w:rFonts w:cs="Calibri"/>
        </w:rPr>
      </w:pPr>
    </w:p>
    <w:p w:rsidR="00D76E4F" w:rsidRPr="00860114" w:rsidRDefault="00D76E4F" w:rsidP="00D76E4F">
      <w:pPr>
        <w:pStyle w:val="ListBullet"/>
        <w:numPr>
          <w:ilvl w:val="0"/>
          <w:numId w:val="35"/>
        </w:numPr>
        <w:tabs>
          <w:tab w:val="left" w:pos="284"/>
        </w:tabs>
        <w:spacing w:after="120"/>
        <w:ind w:left="284" w:hanging="296"/>
        <w:rPr>
          <w:rFonts w:cs="Calibri"/>
        </w:rPr>
      </w:pPr>
      <w:r w:rsidRPr="00860114">
        <w:rPr>
          <w:rFonts w:cs="Calibri"/>
        </w:rPr>
        <w:t>The CPVR system contributes to lower annual greenhouse gas (GHG) emissions from agriculture and horticulture by 62 million tons per year. Furthermore, water use in agriculture and horticulture is reduced by more than 14 billion m</w:t>
      </w:r>
      <w:r w:rsidRPr="00860114">
        <w:rPr>
          <w:rFonts w:cs="Calibri"/>
          <w:vertAlign w:val="superscript"/>
        </w:rPr>
        <w:t>3</w:t>
      </w:r>
      <w:r w:rsidRPr="00860114">
        <w:rPr>
          <w:rFonts w:cs="Calibri"/>
        </w:rPr>
        <w:t>.</w:t>
      </w:r>
    </w:p>
    <w:p w:rsidR="00D76E4F" w:rsidRPr="00860114" w:rsidRDefault="00D76E4F" w:rsidP="00D76E4F">
      <w:pPr>
        <w:pStyle w:val="ListBullet"/>
        <w:tabs>
          <w:tab w:val="left" w:pos="720"/>
        </w:tabs>
        <w:spacing w:after="120"/>
        <w:rPr>
          <w:rFonts w:cs="Calibri"/>
        </w:rPr>
      </w:pPr>
      <w:r w:rsidRPr="00860114">
        <w:rPr>
          <w:rFonts w:cs="Calibri"/>
        </w:rPr>
        <w:t>In absence of the CPVR system, the production of arable crops in the EU would be 6.4% lower, production of fruit would be 2.6% lower, production of vegetables 4.7% lower, and finally, the output of ornamentals would be 15.1% lower.</w:t>
      </w:r>
    </w:p>
    <w:p w:rsidR="00D76E4F" w:rsidRPr="00860114" w:rsidRDefault="00D76E4F" w:rsidP="00D76E4F">
      <w:pPr>
        <w:pStyle w:val="ListBullet"/>
        <w:tabs>
          <w:tab w:val="left" w:pos="720"/>
        </w:tabs>
        <w:spacing w:after="120"/>
        <w:rPr>
          <w:rFonts w:cs="Calibri"/>
        </w:rPr>
      </w:pPr>
      <w:r w:rsidRPr="00860114">
        <w:rPr>
          <w:rFonts w:cs="Calibri"/>
        </w:rPr>
        <w:t>Without the added production attributable to CPVR-protected crops, the EU’s trade position with the rest of the world would worsen and EU consumers would face higher food prices. The additional contribution to GDP generated by CPVR-protected crops amounts to 13 billion EUR.</w:t>
      </w:r>
    </w:p>
    <w:p w:rsidR="00D76E4F" w:rsidRPr="00860114" w:rsidRDefault="00D76E4F" w:rsidP="00D76E4F">
      <w:pPr>
        <w:pStyle w:val="ListBullet"/>
        <w:tabs>
          <w:tab w:val="left" w:pos="720"/>
        </w:tabs>
        <w:spacing w:after="120"/>
        <w:rPr>
          <w:rFonts w:cs="Calibri"/>
        </w:rPr>
      </w:pPr>
      <w:r w:rsidRPr="00860114">
        <w:rPr>
          <w:rFonts w:cs="Calibri"/>
        </w:rPr>
        <w:t>CPVR-protected crops generate higher employment in the EU agriculture. The arable crops sector employs 25 000 additional workers as a result, the horticulture sector 19 500, and the ornamentals sector 45 000 additional workers, for a total direct employment gain of almost 90 000 jobs.</w:t>
      </w:r>
    </w:p>
    <w:p w:rsidR="00D76E4F" w:rsidRPr="00860114" w:rsidRDefault="00D76E4F" w:rsidP="00D76E4F">
      <w:pPr>
        <w:pStyle w:val="ListBullet"/>
        <w:tabs>
          <w:tab w:val="left" w:pos="720"/>
        </w:tabs>
        <w:spacing w:after="0"/>
        <w:rPr>
          <w:rFonts w:cs="Calibri"/>
        </w:rPr>
      </w:pPr>
      <w:r w:rsidRPr="00860114">
        <w:rPr>
          <w:rFonts w:cs="Calibri"/>
        </w:rPr>
        <w:t>Many of the companies protecting their innovations with CPVRs are small and medium-sized enterprises (SMEs). These small companies (including physical persons who hold CPVRs) account for more than 90% of the registrants of CPVRs and hold 60% of all CPVRs currently in force.</w:t>
      </w:r>
    </w:p>
    <w:p w:rsidR="00D76E4F" w:rsidRPr="00860114" w:rsidRDefault="00D76E4F" w:rsidP="00D76E4F">
      <w:pPr>
        <w:pStyle w:val="ListBullet"/>
        <w:numPr>
          <w:ilvl w:val="0"/>
          <w:numId w:val="0"/>
        </w:numPr>
        <w:tabs>
          <w:tab w:val="left" w:pos="720"/>
        </w:tabs>
        <w:spacing w:after="0"/>
        <w:rPr>
          <w:rFonts w:cs="Calibri"/>
        </w:rPr>
      </w:pPr>
    </w:p>
    <w:p w:rsidR="00D76E4F" w:rsidRPr="00860114" w:rsidRDefault="00D76E4F" w:rsidP="00D76E4F">
      <w:pPr>
        <w:pStyle w:val="ListBullet"/>
        <w:numPr>
          <w:ilvl w:val="0"/>
          <w:numId w:val="0"/>
        </w:numPr>
        <w:tabs>
          <w:tab w:val="left" w:pos="720"/>
        </w:tabs>
        <w:spacing w:after="0"/>
        <w:rPr>
          <w:rFonts w:cs="Calibri"/>
        </w:rPr>
      </w:pPr>
      <w:r w:rsidRPr="00860114">
        <w:rPr>
          <w:rFonts w:cs="Calibri"/>
        </w:rPr>
        <w:t>The study was released during a policy conference organised by the CPVO in Angers in April 2022 and attended by about 150 participants. The conference recordings are accessible online on the CPVO website.</w:t>
      </w:r>
    </w:p>
    <w:p w:rsidR="00D76E4F" w:rsidRPr="00860114" w:rsidRDefault="00D76E4F" w:rsidP="00D76E4F">
      <w:pPr>
        <w:pStyle w:val="ListBullet"/>
        <w:numPr>
          <w:ilvl w:val="0"/>
          <w:numId w:val="0"/>
        </w:numPr>
        <w:tabs>
          <w:tab w:val="left" w:pos="720"/>
        </w:tabs>
        <w:spacing w:after="0"/>
        <w:rPr>
          <w:rFonts w:cs="Calibri"/>
        </w:rPr>
      </w:pPr>
    </w:p>
    <w:p w:rsidR="00D76E4F" w:rsidRPr="00860114" w:rsidRDefault="00D76E4F" w:rsidP="00D76E4F">
      <w:pPr>
        <w:pStyle w:val="ListBullet"/>
        <w:numPr>
          <w:ilvl w:val="0"/>
          <w:numId w:val="0"/>
        </w:numPr>
        <w:tabs>
          <w:tab w:val="left" w:pos="720"/>
        </w:tabs>
        <w:spacing w:after="0"/>
        <w:rPr>
          <w:rFonts w:cs="Calibri"/>
        </w:rPr>
      </w:pPr>
      <w:r w:rsidRPr="00860114">
        <w:rPr>
          <w:rFonts w:cs="Calibri"/>
        </w:rPr>
        <w:t>The full study is available in English on the CPVO website and the executive summary is available in all 24 official EU languages.</w:t>
      </w:r>
    </w:p>
    <w:p w:rsidR="00D76E4F" w:rsidRPr="00860114" w:rsidRDefault="00D76E4F" w:rsidP="00D76E4F">
      <w:pPr>
        <w:pStyle w:val="ListBullet"/>
        <w:numPr>
          <w:ilvl w:val="0"/>
          <w:numId w:val="0"/>
        </w:numPr>
        <w:tabs>
          <w:tab w:val="left" w:pos="720"/>
        </w:tabs>
        <w:spacing w:after="0"/>
        <w:rPr>
          <w:rFonts w:cs="Calibri"/>
        </w:rPr>
      </w:pPr>
    </w:p>
    <w:p w:rsidR="00D76E4F" w:rsidRPr="00860114" w:rsidRDefault="00D76E4F" w:rsidP="00D76E4F">
      <w:pPr>
        <w:rPr>
          <w:rFonts w:cs="Calibri"/>
          <w:u w:val="single"/>
          <w:lang w:val="en-GB"/>
        </w:rPr>
      </w:pPr>
      <w:r w:rsidRPr="00860114">
        <w:rPr>
          <w:rFonts w:cs="Calibri"/>
          <w:u w:val="single"/>
          <w:lang w:val="en-GB"/>
        </w:rPr>
        <w:t xml:space="preserve">1.1 Amendment of the law and the implementing Regulations: </w:t>
      </w:r>
    </w:p>
    <w:p w:rsidR="00D76E4F" w:rsidRPr="00860114" w:rsidRDefault="00D76E4F" w:rsidP="00D76E4F">
      <w:pPr>
        <w:rPr>
          <w:rFonts w:cs="Calibri"/>
          <w:lang w:val="en-GB"/>
        </w:rPr>
      </w:pPr>
    </w:p>
    <w:p w:rsidR="00D76E4F" w:rsidRPr="00860114" w:rsidRDefault="00D76E4F" w:rsidP="00D76E4F">
      <w:pPr>
        <w:rPr>
          <w:rFonts w:cs="Calibri"/>
          <w:u w:val="single"/>
          <w:lang w:val="en-GB"/>
        </w:rPr>
      </w:pPr>
      <w:r w:rsidRPr="00860114">
        <w:rPr>
          <w:rFonts w:cs="Calibri"/>
          <w:lang w:val="en-GB"/>
        </w:rPr>
        <w:t>The Regulation (EU) 2021/1873 of the European Parliament and of the Council on the extension of the term of the Community plant variety rights for varieties of the species Asparagus officinalis L. and of the species groups flower bulbs, woody small fruits and woody ornamentals was published.</w:t>
      </w:r>
    </w:p>
    <w:p w:rsidR="00D76E4F" w:rsidRPr="00860114" w:rsidRDefault="00D76E4F" w:rsidP="00D76E4F">
      <w:pPr>
        <w:rPr>
          <w:rFonts w:cs="Calibri"/>
          <w:u w:val="single"/>
          <w:lang w:val="en-GB"/>
        </w:rPr>
      </w:pPr>
    </w:p>
    <w:p w:rsidR="00D76E4F" w:rsidRPr="00860114" w:rsidRDefault="00D76E4F" w:rsidP="00D76E4F">
      <w:pPr>
        <w:rPr>
          <w:rFonts w:cs="Calibri"/>
          <w:u w:val="single"/>
          <w:lang w:val="en-GB"/>
        </w:rPr>
      </w:pPr>
      <w:r w:rsidRPr="00860114">
        <w:rPr>
          <w:rFonts w:cs="Calibri"/>
          <w:u w:val="single"/>
          <w:lang w:val="en-GB"/>
        </w:rPr>
        <w:t xml:space="preserve">1.2 Case law: </w:t>
      </w:r>
    </w:p>
    <w:p w:rsidR="00D76E4F" w:rsidRPr="00860114" w:rsidRDefault="00D76E4F" w:rsidP="00D76E4F">
      <w:pPr>
        <w:rPr>
          <w:rFonts w:eastAsia="Cambria" w:cs="Calibri"/>
          <w:spacing w:val="-3"/>
          <w:sz w:val="18"/>
          <w:szCs w:val="18"/>
          <w:lang w:val="en-GB"/>
        </w:rPr>
      </w:pPr>
    </w:p>
    <w:p w:rsidR="00D76E4F" w:rsidRPr="00860114" w:rsidRDefault="00D76E4F" w:rsidP="00D76E4F">
      <w:pPr>
        <w:rPr>
          <w:rFonts w:eastAsia="Cambria" w:cs="Calibri"/>
          <w:i/>
          <w:spacing w:val="-3"/>
          <w:szCs w:val="18"/>
          <w:lang w:val="en-GB"/>
        </w:rPr>
      </w:pPr>
      <w:r w:rsidRPr="00860114">
        <w:rPr>
          <w:rFonts w:eastAsia="Cambria" w:cs="Calibri"/>
          <w:i/>
          <w:spacing w:val="-3"/>
          <w:szCs w:val="18"/>
          <w:lang w:val="en-GB"/>
        </w:rPr>
        <w:t xml:space="preserve">Decision of the CPVO Board of Appeal of 3 November 2021 in </w:t>
      </w:r>
      <w:bookmarkStart w:id="2" w:name="_Hlk112678503"/>
      <w:r w:rsidRPr="00860114">
        <w:rPr>
          <w:rFonts w:eastAsia="Cambria" w:cs="Calibri"/>
          <w:i/>
          <w:spacing w:val="-3"/>
          <w:szCs w:val="18"/>
          <w:lang w:val="en-GB"/>
        </w:rPr>
        <w:t>Case No A013/2020 ‘Red Queen’</w:t>
      </w:r>
    </w:p>
    <w:bookmarkEnd w:id="2"/>
    <w:p w:rsidR="00D76E4F" w:rsidRPr="00860114" w:rsidRDefault="00D76E4F" w:rsidP="00D76E4F">
      <w:pPr>
        <w:rPr>
          <w:rFonts w:eastAsia="Calibri" w:cs="Calibri"/>
          <w:lang w:val="en-GB"/>
        </w:rPr>
      </w:pPr>
    </w:p>
    <w:p w:rsidR="00D76E4F" w:rsidRPr="00860114" w:rsidRDefault="00D76E4F" w:rsidP="00D76E4F">
      <w:pPr>
        <w:rPr>
          <w:rFonts w:eastAsia="Calibri" w:cs="Calibri"/>
          <w:lang w:val="en-GB"/>
        </w:rPr>
      </w:pPr>
      <w:r w:rsidRPr="00860114">
        <w:rPr>
          <w:rFonts w:eastAsia="Calibri" w:cs="Calibri"/>
          <w:lang w:val="en-GB"/>
        </w:rPr>
        <w:t>By decision of 3 November 2021, the Board of Appeal</w:t>
      </w:r>
      <w:r w:rsidRPr="00860114">
        <w:rPr>
          <w:rFonts w:cs="Calibri"/>
          <w:lang w:val="en-GB"/>
        </w:rPr>
        <w:t xml:space="preserve"> upheld the appeal in question and ordered the CPVO to amend the application date of the CPVR applied for in relation to the </w:t>
      </w:r>
      <w:r w:rsidRPr="00860114">
        <w:rPr>
          <w:rFonts w:cs="Calibri"/>
          <w:i/>
          <w:iCs/>
          <w:lang w:val="en-GB"/>
        </w:rPr>
        <w:t>Actinidia chinensis</w:t>
      </w:r>
      <w:r w:rsidRPr="00860114">
        <w:rPr>
          <w:rFonts w:cs="Calibri"/>
          <w:lang w:val="en-GB"/>
        </w:rPr>
        <w:t xml:space="preserve"> Planch. variety ‘Red Queen’. </w:t>
      </w:r>
    </w:p>
    <w:p w:rsidR="00D76E4F" w:rsidRPr="00860114" w:rsidRDefault="00D76E4F" w:rsidP="00D76E4F">
      <w:pPr>
        <w:rPr>
          <w:rFonts w:eastAsia="Calibri" w:cs="Calibri"/>
          <w:lang w:val="en-GB"/>
        </w:rPr>
      </w:pPr>
    </w:p>
    <w:p w:rsidR="00D76E4F" w:rsidRPr="00860114" w:rsidRDefault="00D76E4F" w:rsidP="00D76E4F">
      <w:pPr>
        <w:rPr>
          <w:rFonts w:eastAsia="Calibri" w:cs="Calibri"/>
          <w:lang w:val="en-GB"/>
        </w:rPr>
      </w:pPr>
      <w:r w:rsidRPr="00860114">
        <w:rPr>
          <w:rFonts w:eastAsia="Calibri" w:cs="Calibri"/>
          <w:lang w:val="en-GB"/>
        </w:rPr>
        <w:t xml:space="preserve">The appellant put forward an application of a CPVR on 23 February 2019. Nonetheless, the CPVO initially did not grant an application date, due to the lack of technical information (i.e. grouping characteristics) linked to the use of the incorrect technical questionnaire and invoking Article 50(1)(f) of Regulation (EC) 2100/1994 </w:t>
      </w:r>
      <w:r w:rsidRPr="00860114">
        <w:rPr>
          <w:rFonts w:eastAsia="Calibri" w:cs="Calibri"/>
          <w:lang w:val="en-GB"/>
        </w:rPr>
        <w:lastRenderedPageBreak/>
        <w:t>(“BR”). An application date was granted only once the said technical information was provided to the Office, on 11 March 2019.</w:t>
      </w:r>
    </w:p>
    <w:p w:rsidR="00D76E4F" w:rsidRPr="00860114" w:rsidRDefault="00D76E4F" w:rsidP="00D76E4F">
      <w:pPr>
        <w:rPr>
          <w:rFonts w:eastAsia="Calibri" w:cs="Calibri"/>
          <w:lang w:val="en-GB"/>
        </w:rPr>
      </w:pPr>
    </w:p>
    <w:p w:rsidR="00D76E4F" w:rsidRPr="00860114" w:rsidRDefault="00D76E4F" w:rsidP="00D76E4F">
      <w:pPr>
        <w:rPr>
          <w:rFonts w:eastAsia="Calibri" w:cs="Calibri"/>
          <w:lang w:val="en-GB"/>
        </w:rPr>
      </w:pPr>
      <w:r w:rsidRPr="00860114">
        <w:rPr>
          <w:rFonts w:eastAsia="Calibri" w:cs="Calibri"/>
          <w:lang w:val="en-GB"/>
        </w:rPr>
        <w:t>The Board of Appeal highlighted that, according to Article 51 BR, the date of application for a CPVR shall be the date on which a valid application was received by the Office, provided it complies with Article 50(1) BR and subject to payment of the application fee.</w:t>
      </w:r>
    </w:p>
    <w:p w:rsidR="00D76E4F" w:rsidRPr="00860114" w:rsidRDefault="00D76E4F" w:rsidP="00D76E4F">
      <w:pPr>
        <w:rPr>
          <w:rFonts w:eastAsia="Calibri" w:cs="Calibri"/>
          <w:lang w:val="en-GB"/>
        </w:rPr>
      </w:pPr>
    </w:p>
    <w:p w:rsidR="00D76E4F" w:rsidRPr="00860114" w:rsidRDefault="00D76E4F" w:rsidP="00D76E4F">
      <w:pPr>
        <w:rPr>
          <w:rFonts w:cs="Calibri"/>
          <w:lang w:val="en-GB"/>
        </w:rPr>
      </w:pPr>
      <w:r w:rsidRPr="00860114">
        <w:rPr>
          <w:rFonts w:eastAsia="Calibri" w:cs="Calibri"/>
          <w:lang w:val="en-GB"/>
        </w:rPr>
        <w:t xml:space="preserve">Pursuant to Article 50(2) BR, details of the conditions referred to Article 50(1) BR, including the provision of further information, are provided by Article 19 </w:t>
      </w:r>
      <w:r w:rsidRPr="00860114">
        <w:rPr>
          <w:rFonts w:cs="Calibri"/>
          <w:lang w:val="en-GB"/>
        </w:rPr>
        <w:t>Regulation (EC) No 874/2009 (“PR”)</w:t>
      </w:r>
      <w:r w:rsidRPr="00860114">
        <w:rPr>
          <w:rFonts w:eastAsia="Calibri" w:cs="Calibri"/>
          <w:lang w:val="en-GB"/>
        </w:rPr>
        <w:t xml:space="preserve">, which refers, in particular, to </w:t>
      </w:r>
      <w:r w:rsidRPr="00860114">
        <w:rPr>
          <w:rFonts w:cs="Calibri"/>
          <w:lang w:val="en-GB"/>
        </w:rPr>
        <w:t>“</w:t>
      </w:r>
      <w:r w:rsidRPr="00860114">
        <w:rPr>
          <w:rFonts w:eastAsia="Calibri" w:cs="Calibri"/>
          <w:lang w:val="en-GB"/>
        </w:rPr>
        <w:t>the characteristics of the variety, including the state of expression for certain characteristics based on the technical questionnaire</w:t>
      </w:r>
      <w:r w:rsidRPr="00860114">
        <w:rPr>
          <w:rFonts w:cs="Calibri"/>
          <w:lang w:val="en-GB"/>
        </w:rPr>
        <w:t>”</w:t>
      </w:r>
      <w:r w:rsidRPr="00860114">
        <w:rPr>
          <w:rFonts w:eastAsia="Calibri" w:cs="Calibri"/>
          <w:lang w:val="en-GB"/>
        </w:rPr>
        <w:t xml:space="preserve"> (Article 19(2)(f) PR).</w:t>
      </w:r>
    </w:p>
    <w:p w:rsidR="00D76E4F" w:rsidRPr="00860114" w:rsidRDefault="00D76E4F" w:rsidP="00D76E4F">
      <w:pPr>
        <w:rPr>
          <w:rFonts w:cs="Calibri"/>
          <w:lang w:val="en-GB"/>
        </w:rPr>
      </w:pPr>
    </w:p>
    <w:p w:rsidR="00D76E4F" w:rsidRPr="00860114" w:rsidRDefault="00D76E4F" w:rsidP="00D76E4F">
      <w:pPr>
        <w:rPr>
          <w:rFonts w:cs="Calibri"/>
          <w:lang w:val="en-GB"/>
        </w:rPr>
      </w:pPr>
      <w:r w:rsidRPr="00860114">
        <w:rPr>
          <w:rFonts w:cs="Calibri"/>
          <w:lang w:val="en-GB"/>
        </w:rPr>
        <w:t xml:space="preserve">The Board of Appeal explained that non-compliance with paragraph 1 of Article 50 BR prevented the grant of an application date. This is the case of an absent or incomplete technical description, lacking fundamental or mandatory information, pursuant to the already cited </w:t>
      </w:r>
      <w:r w:rsidRPr="00860114">
        <w:rPr>
          <w:rFonts w:eastAsia="Calibri" w:cs="Calibri"/>
          <w:lang w:val="en-GB"/>
        </w:rPr>
        <w:t>50(1)(f)</w:t>
      </w:r>
      <w:r w:rsidRPr="00860114">
        <w:rPr>
          <w:rFonts w:cs="Calibri"/>
          <w:lang w:val="en-GB"/>
        </w:rPr>
        <w:t xml:space="preserve"> BR. On the other hand, not providing the information mentioned in paragraph 2 of Article 50 BR, even of technical nature, does not hinder such application date. </w:t>
      </w:r>
    </w:p>
    <w:p w:rsidR="00D76E4F" w:rsidRPr="00860114" w:rsidRDefault="00D76E4F" w:rsidP="00D76E4F">
      <w:pPr>
        <w:rPr>
          <w:rFonts w:cs="Calibri"/>
          <w:lang w:val="en-GB"/>
        </w:rPr>
      </w:pPr>
    </w:p>
    <w:p w:rsidR="00D76E4F" w:rsidRPr="00860114" w:rsidRDefault="00D76E4F" w:rsidP="00D76E4F">
      <w:pPr>
        <w:rPr>
          <w:rFonts w:cs="Calibri"/>
          <w:lang w:val="en-GB"/>
        </w:rPr>
      </w:pPr>
      <w:r w:rsidRPr="00860114">
        <w:rPr>
          <w:rFonts w:cs="Calibri"/>
          <w:lang w:val="en-GB"/>
        </w:rPr>
        <w:t xml:space="preserve">As the information provided in the case at hand were considered sufficient since they allowed the identification of the variety, the Board of Appeal established that paragraph 2 of Article 50 BR should have been applied. Therefore, the appellant should have been allowed to maintain an earlier application date. </w:t>
      </w:r>
    </w:p>
    <w:p w:rsidR="00D76E4F" w:rsidRPr="00860114" w:rsidRDefault="00D76E4F" w:rsidP="00D76E4F">
      <w:pPr>
        <w:rPr>
          <w:rFonts w:eastAsia="Calibri" w:cs="Calibri"/>
          <w:i/>
          <w:sz w:val="22"/>
          <w:lang w:val="en-GB"/>
        </w:rPr>
      </w:pPr>
    </w:p>
    <w:p w:rsidR="00D76E4F" w:rsidRPr="00860114" w:rsidRDefault="00D76E4F" w:rsidP="00D76E4F">
      <w:pPr>
        <w:rPr>
          <w:rFonts w:eastAsia="Cambria" w:cs="Calibri"/>
          <w:i/>
          <w:spacing w:val="-3"/>
          <w:szCs w:val="18"/>
          <w:lang w:val="en-GB"/>
        </w:rPr>
      </w:pPr>
      <w:r w:rsidRPr="00860114">
        <w:rPr>
          <w:rFonts w:eastAsia="Cambria" w:cs="Calibri"/>
          <w:i/>
          <w:spacing w:val="-3"/>
          <w:szCs w:val="18"/>
          <w:lang w:val="en-GB"/>
        </w:rPr>
        <w:t>Decision of the CPVO Board of Appeal of 11 January 2022 in Case A002/2021 ‘Cripps Pink’.</w:t>
      </w:r>
    </w:p>
    <w:p w:rsidR="00D76E4F" w:rsidRPr="00860114" w:rsidRDefault="00D76E4F" w:rsidP="00D76E4F">
      <w:pPr>
        <w:rPr>
          <w:rFonts w:eastAsia="Calibri" w:cs="Calibri"/>
          <w:i/>
          <w:sz w:val="22"/>
          <w:lang w:val="en-GB"/>
        </w:rPr>
      </w:pPr>
    </w:p>
    <w:p w:rsidR="00D76E4F" w:rsidRPr="00860114" w:rsidRDefault="00D76E4F" w:rsidP="00D76E4F">
      <w:pPr>
        <w:rPr>
          <w:rFonts w:eastAsia="Calibri" w:cs="Calibri"/>
          <w:lang w:val="en-GB"/>
        </w:rPr>
      </w:pPr>
      <w:r w:rsidRPr="00860114">
        <w:rPr>
          <w:rFonts w:eastAsia="Calibri" w:cs="Calibri"/>
          <w:lang w:val="en-GB"/>
        </w:rPr>
        <w:t xml:space="preserve">By decision of 11 January 2022, the Board of Appeal rejected the appeal as inadmissible and allocated the costs to the appellant. On 14 September 2020, the appellant put forward two requests in relation to its CPVR for the </w:t>
      </w:r>
      <w:r w:rsidRPr="00860114">
        <w:rPr>
          <w:rFonts w:eastAsia="Calibri" w:cs="Calibri"/>
          <w:i/>
          <w:iCs/>
          <w:lang w:val="en-GB"/>
        </w:rPr>
        <w:t>Malus domestica</w:t>
      </w:r>
      <w:r w:rsidRPr="00860114">
        <w:rPr>
          <w:rFonts w:eastAsia="Calibri" w:cs="Calibri"/>
          <w:lang w:val="en-GB"/>
        </w:rPr>
        <w:t xml:space="preserve"> Borkh. variety ‘Cripps Pink’, namely : 1) to change the date of first commercialisation from 1 January 1994 to 1 July 1992 and 2) to change the expiry date from 1 August 2022 to 16 June 2023. These requests were based on the view that both dates constituted patent mistakes as referred to in Article 53(4) of Regulation (EC) 874/2009 on the proceedings before CPVO (“PR”). The CPVO amended the date of first commercialisation that was mistakenly transcripted but kept the expiry date of the right unchanged. </w:t>
      </w:r>
    </w:p>
    <w:p w:rsidR="00D76E4F" w:rsidRPr="00860114" w:rsidRDefault="00D76E4F" w:rsidP="00D76E4F">
      <w:pPr>
        <w:rPr>
          <w:rFonts w:eastAsia="Calibri" w:cs="Calibri"/>
          <w:lang w:val="en-GB"/>
        </w:rPr>
      </w:pPr>
    </w:p>
    <w:p w:rsidR="00D76E4F" w:rsidRPr="00860114" w:rsidRDefault="00D76E4F" w:rsidP="00D76E4F">
      <w:pPr>
        <w:rPr>
          <w:rFonts w:eastAsia="Calibri" w:cs="Calibri"/>
          <w:lang w:val="en-GB"/>
        </w:rPr>
      </w:pPr>
      <w:r w:rsidRPr="00860114">
        <w:rPr>
          <w:rFonts w:eastAsia="Calibri" w:cs="Calibri"/>
          <w:lang w:val="en-GB"/>
        </w:rPr>
        <w:t>The appellant claimed that he brought new elements concerning the date of first commercialisation only in November 2020, justifying the re-examination of the decision of the CPVO not to amend the date of expiry of the CPVR, under Article 53(4) PR. Moreover, it argued that Article 67(1) Regulation (EC) 2100/1994 (“BR”) should have been interpreted as encompassing among appealable decisions not only the original entry into the Register, but also the decision of the CPVO refusing an amendment to an entry in the Register.</w:t>
      </w:r>
    </w:p>
    <w:p w:rsidR="00D76E4F" w:rsidRPr="00860114" w:rsidRDefault="00D76E4F" w:rsidP="00D76E4F">
      <w:pPr>
        <w:rPr>
          <w:rFonts w:eastAsia="Calibri" w:cs="Calibri"/>
          <w:lang w:val="en-GB"/>
        </w:rPr>
      </w:pPr>
    </w:p>
    <w:p w:rsidR="00D76E4F" w:rsidRPr="00860114" w:rsidRDefault="00D76E4F" w:rsidP="00D76E4F">
      <w:pPr>
        <w:rPr>
          <w:rFonts w:eastAsia="Calibri" w:cs="Calibri"/>
          <w:lang w:val="en-GB"/>
        </w:rPr>
      </w:pPr>
      <w:r w:rsidRPr="00860114">
        <w:rPr>
          <w:rFonts w:eastAsia="Calibri" w:cs="Calibri"/>
          <w:lang w:val="en-GB"/>
        </w:rPr>
        <w:t>The Board of Appeal established that no new material facts were put forward by the appellant, as the date of first commercialization was known since 1996. Moreover, the amendment of such date did not affect the expiry date of the CPVR. Such claim did not concern an obvious formal mistake which can be corrected under Article 53(4) PR, and it could be taken as an argument to circumvent the time limit to appeal decisions of the CPVO (in the present case, the grant decision). The Board of Appeal also recalled that the rejection of a request to amend the entry in the Register is not a decision subject to appeal as referred to in Article 67(1) BR.</w:t>
      </w:r>
    </w:p>
    <w:p w:rsidR="00D76E4F" w:rsidRPr="00860114" w:rsidRDefault="00D76E4F" w:rsidP="00D76E4F">
      <w:pPr>
        <w:rPr>
          <w:rFonts w:eastAsia="Calibri" w:cs="Calibri"/>
          <w:lang w:val="en-GB"/>
        </w:rPr>
      </w:pPr>
    </w:p>
    <w:p w:rsidR="00D76E4F" w:rsidRPr="00860114" w:rsidRDefault="00D76E4F" w:rsidP="00D76E4F">
      <w:pPr>
        <w:rPr>
          <w:rFonts w:eastAsia="Cambria" w:cs="Calibri"/>
          <w:i/>
          <w:spacing w:val="-3"/>
          <w:szCs w:val="18"/>
          <w:lang w:val="en-GB"/>
        </w:rPr>
      </w:pPr>
      <w:r w:rsidRPr="00860114">
        <w:rPr>
          <w:rFonts w:eastAsia="Cambria" w:cs="Calibri"/>
          <w:i/>
          <w:spacing w:val="-3"/>
          <w:szCs w:val="18"/>
          <w:lang w:val="en-GB"/>
        </w:rPr>
        <w:t>Decision of the CPVO Board of Appeal of 1 July 2022 in Case No A018/2021 ‘SK20’.</w:t>
      </w:r>
    </w:p>
    <w:p w:rsidR="00D76E4F" w:rsidRPr="00860114" w:rsidRDefault="00D76E4F" w:rsidP="00D76E4F">
      <w:pPr>
        <w:rPr>
          <w:rFonts w:eastAsia="Calibri" w:cs="Calibri"/>
          <w:lang w:val="en-GB"/>
        </w:rPr>
      </w:pPr>
    </w:p>
    <w:p w:rsidR="00D76E4F" w:rsidRPr="00860114" w:rsidRDefault="00D76E4F" w:rsidP="00D76E4F">
      <w:pPr>
        <w:rPr>
          <w:rFonts w:cs="Calibri"/>
          <w:lang w:val="en-GB"/>
        </w:rPr>
      </w:pPr>
      <w:r w:rsidRPr="00860114">
        <w:rPr>
          <w:rFonts w:eastAsia="Calibri" w:cs="Calibri"/>
          <w:lang w:val="en-GB"/>
        </w:rPr>
        <w:t xml:space="preserve">By decision of 1 July 2022, the Board of Appeal rejected the appeal as inadmissible and allocated the costs to the appellant. The appellant was granted a right </w:t>
      </w:r>
      <w:r w:rsidRPr="00860114">
        <w:rPr>
          <w:rFonts w:cs="Calibri"/>
          <w:lang w:val="en-GB"/>
        </w:rPr>
        <w:t xml:space="preserve">concerning the </w:t>
      </w:r>
      <w:r w:rsidRPr="00860114">
        <w:rPr>
          <w:rFonts w:cs="Calibri"/>
          <w:i/>
          <w:iCs/>
          <w:lang w:val="en-GB"/>
        </w:rPr>
        <w:t>Allium Cepa</w:t>
      </w:r>
      <w:r w:rsidRPr="00860114">
        <w:rPr>
          <w:rFonts w:cs="Calibri"/>
          <w:lang w:val="en-GB"/>
        </w:rPr>
        <w:t xml:space="preserve"> variety ‘SK20’ on the basis of several morphological characteristics. The appellant requested to include an additional characteristic to the description of the variety. The Office rejected such request since the variety was already found distinct from the common knowledge. </w:t>
      </w:r>
    </w:p>
    <w:p w:rsidR="00D76E4F" w:rsidRPr="00860114" w:rsidRDefault="00D76E4F" w:rsidP="00D76E4F">
      <w:pPr>
        <w:rPr>
          <w:rFonts w:cs="Calibri"/>
          <w:lang w:val="en-GB"/>
        </w:rPr>
      </w:pPr>
    </w:p>
    <w:p w:rsidR="00D76E4F" w:rsidRPr="00860114" w:rsidRDefault="00D76E4F" w:rsidP="00D76E4F">
      <w:pPr>
        <w:rPr>
          <w:rFonts w:cs="Calibri"/>
          <w:lang w:val="en-GB"/>
        </w:rPr>
      </w:pPr>
      <w:r w:rsidRPr="00860114">
        <w:rPr>
          <w:rFonts w:cs="Calibri"/>
          <w:lang w:val="en-GB"/>
        </w:rPr>
        <w:t xml:space="preserve">The Board of Appeal established that, since the right in question was granted, the appellant could not qualify as a losing party, whose interest was damaged by the decision of the CPVO not to include the additional characteristic as requested. Therefore, the appeal was considered inadmissible pursuant to Article 49(1) of Regulation (EC) No 874/2009 in conjunction with Article 81 Regulation (EC) 2100/1994. </w:t>
      </w:r>
    </w:p>
    <w:p w:rsidR="00D76E4F" w:rsidRPr="00860114" w:rsidRDefault="00D76E4F" w:rsidP="00D76E4F">
      <w:pPr>
        <w:rPr>
          <w:rFonts w:cs="Calibri"/>
          <w:lang w:val="en-GB"/>
        </w:rPr>
      </w:pPr>
    </w:p>
    <w:p w:rsidR="00D76E4F" w:rsidRPr="00860114" w:rsidRDefault="00D76E4F" w:rsidP="00D76E4F">
      <w:pPr>
        <w:rPr>
          <w:rFonts w:cs="Calibri"/>
          <w:lang w:val="en-GB"/>
        </w:rPr>
      </w:pPr>
      <w:r w:rsidRPr="00860114">
        <w:rPr>
          <w:rFonts w:cs="Calibri"/>
          <w:lang w:val="en-GB"/>
        </w:rPr>
        <w:t xml:space="preserve">On the merits, the Board of Appeal confirmed that additional characteristics may be added, to the discretion of the CPVO President, in cases where it is not possible to establish distinctness on the basis of the characteristics included in the applicable technical protocol, as argued by the CPVO. In this case, an additional characteristic was not needed to assess the variety’s distinctness. </w:t>
      </w:r>
    </w:p>
    <w:p w:rsidR="00D76E4F" w:rsidRPr="00860114" w:rsidRDefault="00D76E4F" w:rsidP="00D76E4F">
      <w:pPr>
        <w:rPr>
          <w:rFonts w:cs="Calibri"/>
          <w:lang w:val="en-GB"/>
        </w:rPr>
      </w:pPr>
    </w:p>
    <w:p w:rsidR="00D76E4F" w:rsidRPr="00860114" w:rsidRDefault="00D76E4F" w:rsidP="00D76E4F">
      <w:pPr>
        <w:rPr>
          <w:rFonts w:cs="Calibri"/>
          <w:u w:val="single"/>
          <w:lang w:val="en-GB"/>
        </w:rPr>
      </w:pPr>
      <w:r w:rsidRPr="00860114">
        <w:rPr>
          <w:rFonts w:cs="Calibri"/>
          <w:u w:val="single"/>
          <w:lang w:val="en-GB"/>
        </w:rPr>
        <w:lastRenderedPageBreak/>
        <w:t>2)</w:t>
      </w:r>
      <w:r w:rsidRPr="00860114">
        <w:rPr>
          <w:rFonts w:cs="Calibri"/>
          <w:u w:val="single"/>
          <w:lang w:val="en-GB"/>
        </w:rPr>
        <w:tab/>
        <w:t xml:space="preserve">Cooperation in examination </w:t>
      </w:r>
    </w:p>
    <w:p w:rsidR="00D76E4F" w:rsidRPr="00860114" w:rsidRDefault="00D76E4F" w:rsidP="00D76E4F">
      <w:pPr>
        <w:rPr>
          <w:lang w:val="en-GB"/>
        </w:rPr>
      </w:pPr>
    </w:p>
    <w:p w:rsidR="00D76E4F" w:rsidRPr="00860114" w:rsidRDefault="00D76E4F" w:rsidP="00D76E4F">
      <w:pPr>
        <w:rPr>
          <w:rFonts w:cs="Calibri"/>
          <w:lang w:val="en-GB"/>
        </w:rPr>
      </w:pPr>
      <w:r w:rsidRPr="00860114">
        <w:rPr>
          <w:rFonts w:cs="Calibri"/>
          <w:lang w:val="en-GB"/>
        </w:rPr>
        <w:t>Nothing to report.</w:t>
      </w:r>
    </w:p>
    <w:p w:rsidR="00D76E4F" w:rsidRPr="00860114" w:rsidRDefault="00D76E4F" w:rsidP="00D76E4F">
      <w:pPr>
        <w:rPr>
          <w:rFonts w:cs="Calibri"/>
          <w:lang w:val="en-GB"/>
        </w:rPr>
      </w:pPr>
    </w:p>
    <w:p w:rsidR="00D76E4F" w:rsidRPr="00860114" w:rsidRDefault="00D76E4F" w:rsidP="00D76E4F">
      <w:pPr>
        <w:rPr>
          <w:rFonts w:cs="Calibri"/>
          <w:u w:val="single"/>
          <w:lang w:val="en-GB"/>
        </w:rPr>
      </w:pPr>
    </w:p>
    <w:p w:rsidR="00D76E4F" w:rsidRPr="00860114" w:rsidRDefault="00D76E4F" w:rsidP="00D76E4F">
      <w:pPr>
        <w:rPr>
          <w:rFonts w:cs="Calibri"/>
          <w:u w:val="single"/>
          <w:lang w:val="en-GB"/>
        </w:rPr>
      </w:pPr>
      <w:r w:rsidRPr="00860114">
        <w:rPr>
          <w:rFonts w:cs="Calibri"/>
          <w:u w:val="single"/>
          <w:lang w:val="en-GB"/>
        </w:rPr>
        <w:t>3)</w:t>
      </w:r>
      <w:r w:rsidRPr="00860114">
        <w:rPr>
          <w:rFonts w:cs="Calibri"/>
          <w:u w:val="single"/>
          <w:lang w:val="en-GB"/>
        </w:rPr>
        <w:tab/>
        <w:t>Situation in the administrative field</w:t>
      </w:r>
    </w:p>
    <w:p w:rsidR="00D76E4F" w:rsidRPr="00860114" w:rsidRDefault="00D76E4F" w:rsidP="00D76E4F">
      <w:pPr>
        <w:autoSpaceDE w:val="0"/>
        <w:autoSpaceDN w:val="0"/>
        <w:adjustRightInd w:val="0"/>
        <w:rPr>
          <w:rFonts w:cs="Calibri"/>
          <w:lang w:val="en-GB"/>
        </w:rPr>
      </w:pPr>
    </w:p>
    <w:p w:rsidR="00D76E4F" w:rsidRPr="00860114" w:rsidRDefault="00D76E4F" w:rsidP="00D76E4F">
      <w:pPr>
        <w:rPr>
          <w:rFonts w:cs="Calibri"/>
          <w:lang w:val="en-GB"/>
        </w:rPr>
      </w:pPr>
      <w:r w:rsidRPr="00860114">
        <w:rPr>
          <w:rFonts w:cs="Calibri"/>
          <w:lang w:val="en-GB"/>
        </w:rPr>
        <w:t>Nothing to report.</w:t>
      </w:r>
    </w:p>
    <w:p w:rsidR="00D76E4F" w:rsidRPr="00860114" w:rsidRDefault="00D76E4F" w:rsidP="00D76E4F">
      <w:pPr>
        <w:rPr>
          <w:rFonts w:cs="Calibri"/>
          <w:lang w:val="en-GB"/>
        </w:rPr>
      </w:pPr>
    </w:p>
    <w:p w:rsidR="00D76E4F" w:rsidRPr="00860114" w:rsidRDefault="00D76E4F" w:rsidP="00D76E4F">
      <w:pPr>
        <w:rPr>
          <w:rFonts w:cs="Calibri"/>
          <w:lang w:val="en-GB"/>
        </w:rPr>
      </w:pPr>
    </w:p>
    <w:p w:rsidR="00D76E4F" w:rsidRPr="00860114" w:rsidRDefault="00D76E4F" w:rsidP="00D76E4F">
      <w:pPr>
        <w:rPr>
          <w:rFonts w:cs="Calibri"/>
          <w:lang w:val="en-GB"/>
        </w:rPr>
      </w:pPr>
      <w:r w:rsidRPr="00860114">
        <w:rPr>
          <w:rFonts w:cs="Calibri"/>
          <w:u w:val="single"/>
          <w:lang w:val="en-GB"/>
        </w:rPr>
        <w:t>4)</w:t>
      </w:r>
      <w:r w:rsidRPr="00860114">
        <w:rPr>
          <w:rFonts w:cs="Calibri"/>
          <w:u w:val="single"/>
          <w:lang w:val="en-GB"/>
        </w:rPr>
        <w:tab/>
        <w:t>Situation in the technical field</w:t>
      </w:r>
    </w:p>
    <w:p w:rsidR="00D76E4F" w:rsidRPr="00860114" w:rsidRDefault="00D76E4F" w:rsidP="00D76E4F">
      <w:pPr>
        <w:rPr>
          <w:rFonts w:cs="Calibri"/>
          <w:lang w:val="en-GB"/>
        </w:rPr>
      </w:pPr>
    </w:p>
    <w:p w:rsidR="00D76E4F" w:rsidRPr="00860114" w:rsidRDefault="00D76E4F" w:rsidP="00D76E4F">
      <w:pPr>
        <w:rPr>
          <w:rFonts w:cs="Calibri"/>
          <w:u w:val="single"/>
          <w:lang w:val="en-GB"/>
        </w:rPr>
      </w:pPr>
      <w:r w:rsidRPr="00860114">
        <w:rPr>
          <w:rFonts w:cs="Calibri"/>
          <w:u w:val="single"/>
          <w:lang w:val="en-GB"/>
        </w:rPr>
        <w:t xml:space="preserve">4.1 Information concerning the functioning of the EU Plant Variety Protection </w:t>
      </w:r>
    </w:p>
    <w:p w:rsidR="00D76E4F" w:rsidRPr="00860114" w:rsidRDefault="00D76E4F" w:rsidP="00D76E4F">
      <w:pPr>
        <w:rPr>
          <w:rFonts w:cs="Calibri"/>
          <w:u w:val="single"/>
          <w:lang w:val="en-GB"/>
        </w:rPr>
      </w:pPr>
    </w:p>
    <w:p w:rsidR="00D76E4F" w:rsidRPr="00860114" w:rsidRDefault="00D76E4F" w:rsidP="00D76E4F">
      <w:pPr>
        <w:rPr>
          <w:rFonts w:cs="Calibri"/>
          <w:bCs/>
          <w:u w:val="single"/>
          <w:lang w:val="en-GB"/>
        </w:rPr>
      </w:pPr>
      <w:r w:rsidRPr="00860114">
        <w:rPr>
          <w:rFonts w:cs="Calibri"/>
          <w:bCs/>
          <w:u w:val="single"/>
          <w:lang w:val="en-GB"/>
        </w:rPr>
        <w:t>a. Relations with Examination Offices</w:t>
      </w:r>
    </w:p>
    <w:p w:rsidR="00D76E4F" w:rsidRPr="00860114" w:rsidRDefault="00D76E4F" w:rsidP="00D76E4F">
      <w:pPr>
        <w:rPr>
          <w:lang w:val="en-GB"/>
        </w:rPr>
      </w:pPr>
    </w:p>
    <w:p w:rsidR="00D76E4F" w:rsidRPr="00860114" w:rsidRDefault="00D76E4F" w:rsidP="00D76E4F">
      <w:pPr>
        <w:rPr>
          <w:lang w:val="en-GB"/>
        </w:rPr>
      </w:pPr>
      <w:r w:rsidRPr="00860114">
        <w:rPr>
          <w:lang w:val="en-GB"/>
        </w:rPr>
        <w:t xml:space="preserve">In December 2021 the CPVO held its 25th annual meeting with its </w:t>
      </w:r>
      <w:r w:rsidRPr="00860114">
        <w:rPr>
          <w:rFonts w:cs="Calibri"/>
          <w:lang w:val="en-GB"/>
        </w:rPr>
        <w:t>examination offices</w:t>
      </w:r>
      <w:r w:rsidRPr="00860114">
        <w:rPr>
          <w:lang w:val="en-GB"/>
        </w:rPr>
        <w:t xml:space="preserve"> (Eos), which was also attended by representatives from the European Commission, the UPOV office and the breeders’ organisations (CIOPORA, Euroseeds, Plantum and ECO-PB), as well as by representatives from Switzerland and Norway as non</w:t>
      </w:r>
      <w:r w:rsidRPr="00860114">
        <w:rPr>
          <w:lang w:val="en-GB"/>
        </w:rPr>
        <w:noBreakHyphen/>
        <w:t>EU PVR Offices. The meeting was held as a video conference. The main subjects of discussion were the following:</w:t>
      </w:r>
    </w:p>
    <w:p w:rsidR="00D76E4F" w:rsidRPr="00860114" w:rsidRDefault="00D76E4F" w:rsidP="00D76E4F">
      <w:pPr>
        <w:rPr>
          <w:lang w:val="en-GB"/>
        </w:rPr>
      </w:pPr>
    </w:p>
    <w:p w:rsidR="00D76E4F" w:rsidRPr="00860114" w:rsidRDefault="00D76E4F" w:rsidP="00D76E4F">
      <w:pPr>
        <w:numPr>
          <w:ilvl w:val="0"/>
          <w:numId w:val="34"/>
        </w:numPr>
        <w:ind w:right="4"/>
        <w:rPr>
          <w:rFonts w:cs="Calibri"/>
          <w:lang w:val="en-GB"/>
        </w:rPr>
      </w:pPr>
      <w:r w:rsidRPr="00860114">
        <w:rPr>
          <w:rFonts w:cs="Calibri"/>
          <w:lang w:val="en-GB"/>
        </w:rPr>
        <w:t>Submission of plant material for DUS trials;</w:t>
      </w:r>
    </w:p>
    <w:p w:rsidR="00D76E4F" w:rsidRPr="00860114" w:rsidRDefault="00D76E4F" w:rsidP="00D76E4F">
      <w:pPr>
        <w:numPr>
          <w:ilvl w:val="0"/>
          <w:numId w:val="34"/>
        </w:numPr>
        <w:ind w:right="4"/>
        <w:rPr>
          <w:rFonts w:cs="Calibri"/>
          <w:lang w:val="en-GB"/>
        </w:rPr>
      </w:pPr>
      <w:r w:rsidRPr="00860114">
        <w:rPr>
          <w:rFonts w:cs="Calibri"/>
          <w:lang w:val="en-GB"/>
        </w:rPr>
        <w:t>Additional characteristics and related decision process;</w:t>
      </w:r>
    </w:p>
    <w:p w:rsidR="00D76E4F" w:rsidRPr="00860114" w:rsidRDefault="00D76E4F" w:rsidP="00D76E4F">
      <w:pPr>
        <w:numPr>
          <w:ilvl w:val="0"/>
          <w:numId w:val="34"/>
        </w:numPr>
        <w:ind w:right="4"/>
        <w:rPr>
          <w:rFonts w:cs="Calibri"/>
          <w:lang w:val="en-GB"/>
        </w:rPr>
      </w:pPr>
      <w:r w:rsidRPr="00860114">
        <w:rPr>
          <w:rFonts w:cs="Calibri"/>
          <w:lang w:val="en-GB"/>
        </w:rPr>
        <w:t>Content and layout of examination reports;</w:t>
      </w:r>
    </w:p>
    <w:p w:rsidR="00D76E4F" w:rsidRPr="00860114" w:rsidRDefault="00D76E4F" w:rsidP="00D76E4F">
      <w:pPr>
        <w:numPr>
          <w:ilvl w:val="0"/>
          <w:numId w:val="34"/>
        </w:numPr>
        <w:ind w:right="4"/>
        <w:rPr>
          <w:rFonts w:cs="Calibri"/>
          <w:lang w:val="en-GB"/>
        </w:rPr>
      </w:pPr>
      <w:r w:rsidRPr="00860114">
        <w:rPr>
          <w:rFonts w:cs="Calibri"/>
          <w:lang w:val="en-GB"/>
        </w:rPr>
        <w:t>Notifying grouping characteristics not included in technical protocols</w:t>
      </w:r>
    </w:p>
    <w:p w:rsidR="00D76E4F" w:rsidRPr="00860114" w:rsidRDefault="00D76E4F" w:rsidP="00D76E4F">
      <w:pPr>
        <w:numPr>
          <w:ilvl w:val="0"/>
          <w:numId w:val="34"/>
        </w:numPr>
        <w:ind w:right="4"/>
        <w:rPr>
          <w:rFonts w:cs="Calibri"/>
          <w:lang w:val="en-GB"/>
        </w:rPr>
      </w:pPr>
      <w:r w:rsidRPr="00860114">
        <w:rPr>
          <w:rFonts w:cs="Calibri"/>
          <w:lang w:val="en-GB"/>
        </w:rPr>
        <w:t>Taking over reports from national DUS procedures;</w:t>
      </w:r>
    </w:p>
    <w:p w:rsidR="00D76E4F" w:rsidRPr="00860114" w:rsidRDefault="00D76E4F" w:rsidP="00D76E4F">
      <w:pPr>
        <w:numPr>
          <w:ilvl w:val="0"/>
          <w:numId w:val="34"/>
        </w:numPr>
        <w:ind w:right="4"/>
        <w:rPr>
          <w:rFonts w:cs="Calibri"/>
          <w:lang w:val="en-GB"/>
        </w:rPr>
      </w:pPr>
      <w:r w:rsidRPr="00860114">
        <w:rPr>
          <w:rFonts w:cs="Calibri"/>
          <w:lang w:val="en-GB"/>
        </w:rPr>
        <w:t>Prolongation of the period of protection for certain species;</w:t>
      </w:r>
    </w:p>
    <w:p w:rsidR="00D76E4F" w:rsidRPr="00860114" w:rsidRDefault="00D76E4F" w:rsidP="00D76E4F">
      <w:pPr>
        <w:numPr>
          <w:ilvl w:val="0"/>
          <w:numId w:val="34"/>
        </w:numPr>
        <w:ind w:right="4"/>
        <w:rPr>
          <w:rFonts w:cs="Calibri"/>
          <w:lang w:val="en-GB"/>
        </w:rPr>
      </w:pPr>
      <w:r w:rsidRPr="00860114">
        <w:rPr>
          <w:rFonts w:cs="Calibri"/>
          <w:lang w:val="en-GB"/>
        </w:rPr>
        <w:t>Revised Entrustment requirements.</w:t>
      </w:r>
    </w:p>
    <w:p w:rsidR="00D76E4F" w:rsidRPr="00860114" w:rsidRDefault="00D76E4F" w:rsidP="00D76E4F">
      <w:pPr>
        <w:shd w:val="clear" w:color="auto" w:fill="FFFFFF"/>
        <w:tabs>
          <w:tab w:val="left" w:pos="567"/>
          <w:tab w:val="left" w:pos="9072"/>
          <w:tab w:val="left" w:pos="9214"/>
        </w:tabs>
        <w:rPr>
          <w:rFonts w:cs="Calibri"/>
          <w:lang w:val="en-GB"/>
        </w:rPr>
      </w:pPr>
    </w:p>
    <w:p w:rsidR="00D76E4F" w:rsidRPr="00860114" w:rsidRDefault="00D76E4F" w:rsidP="00D76E4F">
      <w:pPr>
        <w:shd w:val="clear" w:color="auto" w:fill="FFFFFF"/>
        <w:tabs>
          <w:tab w:val="left" w:pos="567"/>
          <w:tab w:val="left" w:pos="9072"/>
          <w:tab w:val="left" w:pos="9214"/>
        </w:tabs>
        <w:rPr>
          <w:rFonts w:cs="Calibri"/>
          <w:lang w:val="en-GB"/>
        </w:rPr>
      </w:pPr>
      <w:r w:rsidRPr="00860114">
        <w:rPr>
          <w:rFonts w:cs="Calibri"/>
          <w:lang w:val="en-GB"/>
        </w:rPr>
        <w:t>Furthermore, the participants were informed of the state of play of R &amp; D projects, IT projects and the calculation of costs by the EOs.</w:t>
      </w:r>
    </w:p>
    <w:p w:rsidR="00D76E4F" w:rsidRPr="00860114" w:rsidRDefault="00D76E4F" w:rsidP="00D76E4F">
      <w:pPr>
        <w:shd w:val="clear" w:color="auto" w:fill="FFFFFF"/>
        <w:tabs>
          <w:tab w:val="left" w:pos="567"/>
          <w:tab w:val="left" w:pos="9072"/>
          <w:tab w:val="left" w:pos="9214"/>
        </w:tabs>
        <w:rPr>
          <w:rFonts w:cs="Calibri"/>
          <w:lang w:val="en-GB"/>
        </w:rPr>
      </w:pPr>
    </w:p>
    <w:p w:rsidR="00D76E4F" w:rsidRPr="00860114" w:rsidRDefault="00D76E4F" w:rsidP="00D76E4F">
      <w:pPr>
        <w:rPr>
          <w:rFonts w:cs="Calibri"/>
          <w:u w:val="single"/>
          <w:lang w:val="en-GB"/>
        </w:rPr>
      </w:pPr>
      <w:r w:rsidRPr="00860114">
        <w:rPr>
          <w:rFonts w:cs="Calibri"/>
          <w:u w:val="single"/>
          <w:lang w:val="en-GB"/>
        </w:rPr>
        <w:t>b. Preparation of CPVO protocols</w:t>
      </w:r>
    </w:p>
    <w:p w:rsidR="00D76E4F" w:rsidRPr="00860114" w:rsidRDefault="00D76E4F" w:rsidP="00D76E4F">
      <w:pPr>
        <w:ind w:right="43"/>
        <w:rPr>
          <w:rFonts w:cs="Calibri"/>
          <w:lang w:val="en-GB"/>
        </w:rPr>
      </w:pPr>
    </w:p>
    <w:p w:rsidR="00D76E4F" w:rsidRPr="00860114" w:rsidRDefault="00D76E4F" w:rsidP="00D76E4F">
      <w:pPr>
        <w:ind w:right="43"/>
        <w:rPr>
          <w:rFonts w:cs="Calibri"/>
          <w:lang w:val="en-GB"/>
        </w:rPr>
      </w:pPr>
      <w:r w:rsidRPr="00860114">
        <w:rPr>
          <w:rFonts w:cs="Calibri"/>
          <w:lang w:val="en-GB"/>
        </w:rPr>
        <w:t>In 2021, experts from the EU Member States’ examination offices were invited to participate in elaborating or revising technical protocols for DUS testing which either were subsequently approved by the Administrative Council or can be expected to be approved in 2022. Experts' meetings were held to discuss the technical protocols of:</w:t>
      </w:r>
    </w:p>
    <w:p w:rsidR="00D76E4F" w:rsidRPr="00860114" w:rsidRDefault="00D76E4F" w:rsidP="00D76E4F">
      <w:pPr>
        <w:ind w:right="43"/>
        <w:rPr>
          <w:rFonts w:cs="Calibri"/>
          <w:lang w:val="en-GB"/>
        </w:rPr>
      </w:pPr>
    </w:p>
    <w:p w:rsidR="00D76E4F" w:rsidRPr="00860114" w:rsidRDefault="00D76E4F" w:rsidP="00D76E4F">
      <w:pPr>
        <w:numPr>
          <w:ilvl w:val="0"/>
          <w:numId w:val="34"/>
        </w:numPr>
        <w:ind w:right="4"/>
        <w:rPr>
          <w:rFonts w:cs="Calibri"/>
          <w:lang w:val="en-GB"/>
        </w:rPr>
      </w:pPr>
      <w:r w:rsidRPr="00860114">
        <w:rPr>
          <w:rFonts w:cs="Calibri"/>
          <w:lang w:val="en-GB"/>
        </w:rPr>
        <w:t xml:space="preserve">Agricultural crops: </w:t>
      </w:r>
      <w:r w:rsidRPr="00860114">
        <w:rPr>
          <w:rFonts w:cs="Calibri"/>
          <w:color w:val="000000"/>
          <w:lang w:val="en-GB"/>
        </w:rPr>
        <w:t>lucerne, hemp, triticale, red clover, rice, timothy and rye.</w:t>
      </w:r>
    </w:p>
    <w:p w:rsidR="00D76E4F" w:rsidRPr="00860114" w:rsidRDefault="00D76E4F" w:rsidP="00D76E4F">
      <w:pPr>
        <w:numPr>
          <w:ilvl w:val="0"/>
          <w:numId w:val="34"/>
        </w:numPr>
        <w:ind w:right="4"/>
        <w:rPr>
          <w:rFonts w:cs="Calibri"/>
          <w:lang w:val="en-GB"/>
        </w:rPr>
      </w:pPr>
      <w:r w:rsidRPr="00860114">
        <w:rPr>
          <w:rFonts w:cs="Calibri"/>
          <w:lang w:val="en-GB"/>
        </w:rPr>
        <w:t xml:space="preserve">Vegetable crops: lettuce, wild rocket, garden rocket, </w:t>
      </w:r>
      <w:r w:rsidRPr="00860114">
        <w:rPr>
          <w:rFonts w:cs="Calibri"/>
          <w:color w:val="000000"/>
          <w:lang w:val="en-GB"/>
        </w:rPr>
        <w:t>tomato rootstock and spinach</w:t>
      </w:r>
      <w:r w:rsidRPr="00860114">
        <w:rPr>
          <w:rFonts w:cs="Calibri"/>
          <w:lang w:val="en-GB"/>
        </w:rPr>
        <w:t>.</w:t>
      </w:r>
    </w:p>
    <w:p w:rsidR="00D76E4F" w:rsidRPr="00860114" w:rsidRDefault="00D76E4F" w:rsidP="00D76E4F">
      <w:pPr>
        <w:numPr>
          <w:ilvl w:val="0"/>
          <w:numId w:val="34"/>
        </w:numPr>
        <w:ind w:right="4"/>
        <w:rPr>
          <w:rFonts w:cs="Calibri"/>
          <w:i/>
          <w:iCs/>
          <w:u w:val="single"/>
          <w:lang w:val="en-GB"/>
        </w:rPr>
      </w:pPr>
      <w:r w:rsidRPr="00860114">
        <w:rPr>
          <w:rFonts w:cs="Calibri"/>
          <w:lang w:val="en-GB"/>
        </w:rPr>
        <w:t xml:space="preserve">Ornamental crops: </w:t>
      </w:r>
      <w:bookmarkStart w:id="3" w:name="_Toc25329854"/>
      <w:r w:rsidRPr="00860114">
        <w:rPr>
          <w:rFonts w:cs="Calibri"/>
          <w:i/>
          <w:color w:val="000000"/>
          <w:lang w:val="en-GB"/>
        </w:rPr>
        <w:t>Alstroemeria</w:t>
      </w:r>
      <w:r w:rsidRPr="00860114">
        <w:rPr>
          <w:rFonts w:cs="Calibri"/>
          <w:color w:val="000000"/>
          <w:lang w:val="en-GB"/>
        </w:rPr>
        <w:t xml:space="preserve"> L., </w:t>
      </w:r>
      <w:r w:rsidRPr="00860114">
        <w:rPr>
          <w:rFonts w:cs="Calibri"/>
          <w:i/>
          <w:color w:val="000000"/>
          <w:lang w:val="en-GB"/>
        </w:rPr>
        <w:t>Phalaenpsis</w:t>
      </w:r>
      <w:r w:rsidRPr="00860114">
        <w:rPr>
          <w:rFonts w:cs="Calibri"/>
          <w:color w:val="000000"/>
          <w:lang w:val="en-GB"/>
        </w:rPr>
        <w:t xml:space="preserve"> Blume and </w:t>
      </w:r>
      <w:r w:rsidRPr="00860114">
        <w:rPr>
          <w:rFonts w:cs="Calibri"/>
          <w:bCs/>
          <w:i/>
          <w:lang w:val="en-GB"/>
        </w:rPr>
        <w:t>Anigozanthos</w:t>
      </w:r>
      <w:r w:rsidRPr="00860114">
        <w:rPr>
          <w:rFonts w:cs="Calibri"/>
          <w:bCs/>
          <w:lang w:val="en-GB"/>
        </w:rPr>
        <w:t xml:space="preserve"> Labill. and </w:t>
      </w:r>
      <w:r w:rsidRPr="00860114">
        <w:rPr>
          <w:rFonts w:cs="Calibri"/>
          <w:bCs/>
          <w:i/>
          <w:lang w:val="en-GB"/>
        </w:rPr>
        <w:t>Macropidia fuliginosa</w:t>
      </w:r>
      <w:r w:rsidRPr="00860114">
        <w:rPr>
          <w:rFonts w:cs="Calibri"/>
          <w:bCs/>
          <w:lang w:val="en-GB"/>
        </w:rPr>
        <w:t xml:space="preserve"> (Hook.) Druce</w:t>
      </w:r>
      <w:bookmarkEnd w:id="3"/>
      <w:r w:rsidRPr="00860114">
        <w:rPr>
          <w:rFonts w:cs="Calibri"/>
          <w:bCs/>
          <w:lang w:val="en-GB"/>
        </w:rPr>
        <w:t xml:space="preserve"> </w:t>
      </w:r>
      <w:r w:rsidRPr="00860114">
        <w:rPr>
          <w:rFonts w:cs="Calibri"/>
          <w:bCs/>
          <w:i/>
          <w:iCs/>
          <w:lang w:val="en-GB"/>
        </w:rPr>
        <w:t>Chrysanthemum</w:t>
      </w:r>
    </w:p>
    <w:p w:rsidR="00D76E4F" w:rsidRPr="002C0C6C" w:rsidRDefault="00D76E4F" w:rsidP="00D76E4F">
      <w:pPr>
        <w:numPr>
          <w:ilvl w:val="0"/>
          <w:numId w:val="34"/>
        </w:numPr>
        <w:rPr>
          <w:rFonts w:cs="Calibri"/>
          <w:lang w:val="fr-CH"/>
        </w:rPr>
      </w:pPr>
      <w:r w:rsidRPr="002C0C6C">
        <w:rPr>
          <w:rFonts w:cs="Calibri"/>
          <w:lang w:val="fr-CH"/>
        </w:rPr>
        <w:t xml:space="preserve">Fruit crops: </w:t>
      </w:r>
      <w:r w:rsidRPr="002C0C6C">
        <w:rPr>
          <w:rFonts w:cs="Calibri"/>
          <w:i/>
          <w:iCs/>
          <w:color w:val="000000"/>
          <w:lang w:val="fr-CH"/>
        </w:rPr>
        <w:t>Hippophae rhamnoides</w:t>
      </w:r>
      <w:r w:rsidRPr="002C0C6C">
        <w:rPr>
          <w:rFonts w:cs="Calibri"/>
          <w:color w:val="000000"/>
          <w:lang w:val="fr-CH"/>
        </w:rPr>
        <w:t xml:space="preserve"> L.</w:t>
      </w:r>
      <w:r w:rsidRPr="002C0C6C">
        <w:rPr>
          <w:rFonts w:cs="Calibri"/>
          <w:lang w:val="fr-CH"/>
        </w:rPr>
        <w:t>.</w:t>
      </w:r>
    </w:p>
    <w:p w:rsidR="00D76E4F" w:rsidRPr="002C0C6C" w:rsidRDefault="00D76E4F" w:rsidP="00D76E4F">
      <w:pPr>
        <w:rPr>
          <w:lang w:val="fr-CH"/>
        </w:rPr>
      </w:pPr>
    </w:p>
    <w:p w:rsidR="00D76E4F" w:rsidRPr="00860114" w:rsidRDefault="00D76E4F" w:rsidP="00D76E4F">
      <w:pPr>
        <w:rPr>
          <w:rFonts w:cs="Calibri"/>
          <w:u w:val="single"/>
          <w:lang w:val="en-GB"/>
        </w:rPr>
      </w:pPr>
      <w:r w:rsidRPr="00860114">
        <w:rPr>
          <w:rFonts w:cs="Calibri"/>
          <w:u w:val="single"/>
          <w:lang w:val="en-GB"/>
        </w:rPr>
        <w:t xml:space="preserve">c. Further development of the CPVO Variety Finder </w:t>
      </w:r>
    </w:p>
    <w:p w:rsidR="00D76E4F" w:rsidRPr="00860114" w:rsidRDefault="00D76E4F" w:rsidP="00D76E4F">
      <w:pPr>
        <w:rPr>
          <w:rFonts w:cs="Calibri"/>
          <w:color w:val="222222"/>
          <w:lang w:val="en-GB"/>
        </w:rPr>
      </w:pPr>
    </w:p>
    <w:p w:rsidR="00D76E4F" w:rsidRPr="00860114" w:rsidRDefault="00D76E4F" w:rsidP="00D76E4F">
      <w:pPr>
        <w:rPr>
          <w:rFonts w:cs="Calibri"/>
          <w:color w:val="222222"/>
          <w:lang w:val="en-GB"/>
        </w:rPr>
      </w:pPr>
      <w:r w:rsidRPr="00860114">
        <w:rPr>
          <w:rFonts w:cs="Calibri"/>
          <w:color w:val="222222"/>
          <w:lang w:val="en-GB"/>
        </w:rPr>
        <w:t xml:space="preserve">The CPVO Variety Finder is a web application which contains information on registers of more than 70 countries with a general search tool. </w:t>
      </w:r>
      <w:r w:rsidRPr="00860114">
        <w:rPr>
          <w:rFonts w:eastAsia="Tahoma" w:cs="Calibri"/>
          <w:lang w:val="en-GB"/>
        </w:rPr>
        <w:t xml:space="preserve">In 2021, CPVO released a new redesigned version of the CPVO Variety Finder application and improved significantly the user friendliness of the tool.  </w:t>
      </w:r>
    </w:p>
    <w:p w:rsidR="00D76E4F" w:rsidRPr="00860114" w:rsidRDefault="00D76E4F" w:rsidP="00D76E4F">
      <w:pPr>
        <w:rPr>
          <w:rFonts w:cs="Calibri"/>
          <w:color w:val="222222"/>
          <w:lang w:val="en-GB"/>
        </w:rPr>
      </w:pPr>
    </w:p>
    <w:p w:rsidR="00D76E4F" w:rsidRPr="00860114" w:rsidRDefault="00D76E4F" w:rsidP="00D76E4F">
      <w:pPr>
        <w:rPr>
          <w:rFonts w:cs="Calibri"/>
          <w:color w:val="222222"/>
          <w:lang w:val="en-GB"/>
        </w:rPr>
      </w:pPr>
      <w:r w:rsidRPr="00860114">
        <w:rPr>
          <w:rFonts w:cs="Calibri"/>
          <w:color w:val="222222"/>
          <w:lang w:val="en-GB"/>
        </w:rPr>
        <w:t xml:space="preserve">The CPVO centralizes data from various registers such as Plant Breeder’s Rights offices (including the CPVO register), National plant variety listings, Plant patent registers, the EUIPO trademark register (trademarks registered in class 31) and commercial registers. The objective is to offer a centralized search service to breeders, National Authorities and the public in general. </w:t>
      </w:r>
    </w:p>
    <w:p w:rsidR="00D76E4F" w:rsidRPr="00860114" w:rsidRDefault="00D76E4F" w:rsidP="00D76E4F">
      <w:pPr>
        <w:rPr>
          <w:rFonts w:cs="Calibri"/>
          <w:color w:val="222222"/>
          <w:lang w:val="en-GB"/>
        </w:rPr>
      </w:pPr>
    </w:p>
    <w:p w:rsidR="00D76E4F" w:rsidRPr="00860114" w:rsidRDefault="00D76E4F" w:rsidP="00D76E4F">
      <w:pPr>
        <w:rPr>
          <w:rFonts w:cs="Calibri"/>
          <w:color w:val="222222"/>
          <w:lang w:val="en-GB"/>
        </w:rPr>
      </w:pPr>
      <w:r w:rsidRPr="00860114">
        <w:rPr>
          <w:rFonts w:cs="Calibri"/>
          <w:color w:val="222222"/>
          <w:lang w:val="en-GB"/>
        </w:rPr>
        <w:t xml:space="preserve">An efficient similarity search tool is made available to test the suitability of variety denominations. </w:t>
      </w:r>
    </w:p>
    <w:p w:rsidR="00D76E4F" w:rsidRPr="00860114" w:rsidRDefault="00D76E4F" w:rsidP="00D76E4F">
      <w:pPr>
        <w:autoSpaceDE w:val="0"/>
        <w:autoSpaceDN w:val="0"/>
        <w:adjustRightInd w:val="0"/>
        <w:textAlignment w:val="center"/>
        <w:rPr>
          <w:rFonts w:cs="Calibri"/>
          <w:lang w:val="en-GB"/>
        </w:rPr>
      </w:pPr>
    </w:p>
    <w:p w:rsidR="00D76E4F" w:rsidRPr="00860114" w:rsidRDefault="00D76E4F" w:rsidP="00D76E4F">
      <w:pPr>
        <w:autoSpaceDE w:val="0"/>
        <w:autoSpaceDN w:val="0"/>
        <w:adjustRightInd w:val="0"/>
        <w:textAlignment w:val="center"/>
        <w:rPr>
          <w:rFonts w:cs="Calibri"/>
          <w:lang w:val="en-GB" w:eastAsia="zh-CN"/>
        </w:rPr>
      </w:pPr>
      <w:r w:rsidRPr="00860114">
        <w:rPr>
          <w:rFonts w:cs="Calibri"/>
          <w:lang w:val="en-GB"/>
        </w:rPr>
        <w:t xml:space="preserve">The various contributors update the database as soon as data are officially published, and </w:t>
      </w:r>
      <w:r w:rsidRPr="00860114">
        <w:rPr>
          <w:rFonts w:cs="Calibri"/>
          <w:lang w:val="en-GB" w:eastAsia="zh-CN"/>
        </w:rPr>
        <w:t>a memorandum of understanding has been signed with the UPOV Office to share the task of collecting data from EU Member States and non-EU countries and ensure a regular data exchange.</w:t>
      </w:r>
    </w:p>
    <w:p w:rsidR="00D76E4F" w:rsidRPr="00860114" w:rsidRDefault="00D76E4F" w:rsidP="00D76E4F">
      <w:pPr>
        <w:autoSpaceDE w:val="0"/>
        <w:autoSpaceDN w:val="0"/>
        <w:adjustRightInd w:val="0"/>
        <w:textAlignment w:val="center"/>
        <w:rPr>
          <w:rFonts w:cs="Calibri"/>
          <w:color w:val="000000"/>
          <w:lang w:val="en-GB"/>
        </w:rPr>
      </w:pPr>
    </w:p>
    <w:p w:rsidR="00D76E4F" w:rsidRPr="00860114" w:rsidRDefault="00D76E4F" w:rsidP="00D76E4F">
      <w:pPr>
        <w:autoSpaceDE w:val="0"/>
        <w:autoSpaceDN w:val="0"/>
        <w:adjustRightInd w:val="0"/>
        <w:textAlignment w:val="center"/>
        <w:rPr>
          <w:rFonts w:cs="Calibri"/>
          <w:lang w:val="en-GB"/>
        </w:rPr>
      </w:pPr>
      <w:r w:rsidRPr="00860114">
        <w:rPr>
          <w:rFonts w:cs="Calibri"/>
          <w:color w:val="000000"/>
          <w:lang w:val="en-GB"/>
        </w:rPr>
        <w:lastRenderedPageBreak/>
        <w:t xml:space="preserve">In total, more than 1.2 million </w:t>
      </w:r>
      <w:r w:rsidRPr="00860114">
        <w:rPr>
          <w:rFonts w:eastAsia="Tahoma" w:cs="Calibri"/>
          <w:lang w:val="en-GB"/>
        </w:rPr>
        <w:t>records originating from EU and non-EU countries have been included in the Variety Finder</w:t>
      </w:r>
      <w:r w:rsidRPr="00860114">
        <w:rPr>
          <w:rFonts w:cs="Calibri"/>
          <w:lang w:val="en-GB"/>
        </w:rPr>
        <w:t xml:space="preserve"> so far. </w:t>
      </w:r>
      <w:r w:rsidRPr="00860114">
        <w:rPr>
          <w:rFonts w:cs="Calibri"/>
          <w:lang w:val="en-GB" w:eastAsia="zh-CN"/>
        </w:rPr>
        <w:t xml:space="preserve">The use of the Variety Finder has constantly increased over recent years. CPVO applicants and titleholders represent the biggest group of users with more than 50 % of the tests of similarity launched. </w:t>
      </w:r>
    </w:p>
    <w:p w:rsidR="00D76E4F" w:rsidRPr="00860114" w:rsidRDefault="00D76E4F" w:rsidP="00D76E4F">
      <w:pPr>
        <w:autoSpaceDE w:val="0"/>
        <w:autoSpaceDN w:val="0"/>
        <w:adjustRightInd w:val="0"/>
        <w:textAlignment w:val="center"/>
        <w:rPr>
          <w:rFonts w:cs="Calibri"/>
          <w:lang w:val="en-GB"/>
        </w:rPr>
      </w:pPr>
    </w:p>
    <w:p w:rsidR="00D76E4F" w:rsidRPr="00860114" w:rsidRDefault="00D76E4F" w:rsidP="00D76E4F">
      <w:pPr>
        <w:autoSpaceDE w:val="0"/>
        <w:autoSpaceDN w:val="0"/>
        <w:adjustRightInd w:val="0"/>
        <w:textAlignment w:val="center"/>
        <w:rPr>
          <w:rFonts w:cs="Calibri"/>
          <w:lang w:val="en-GB"/>
        </w:rPr>
      </w:pPr>
      <w:r w:rsidRPr="00860114">
        <w:rPr>
          <w:rFonts w:cs="Calibri"/>
          <w:lang w:val="en-GB"/>
        </w:rPr>
        <w:t xml:space="preserve">The CPVO and the Directorate General for Health and Food Safety (DG SANTE) have worked intensively in 2021 on the joint project named “EU Plant Variety Portal (EUPVP)”. It aims at one unique submission for Member States that will cover information to contribute to the various databases (CPVO Variety Finder and Commission’s Databases). </w:t>
      </w:r>
    </w:p>
    <w:p w:rsidR="00D76E4F" w:rsidRPr="00860114" w:rsidRDefault="00D76E4F" w:rsidP="00D76E4F">
      <w:pPr>
        <w:rPr>
          <w:rFonts w:cs="Calibri"/>
          <w:sz w:val="18"/>
          <w:lang w:val="en-GB"/>
        </w:rPr>
      </w:pPr>
    </w:p>
    <w:p w:rsidR="00D76E4F" w:rsidRPr="00860114" w:rsidRDefault="00D76E4F" w:rsidP="00D76E4F">
      <w:pPr>
        <w:tabs>
          <w:tab w:val="left" w:pos="142"/>
        </w:tabs>
        <w:autoSpaceDE w:val="0"/>
        <w:autoSpaceDN w:val="0"/>
        <w:adjustRightInd w:val="0"/>
        <w:rPr>
          <w:rFonts w:cs="Calibri"/>
          <w:u w:val="single"/>
          <w:lang w:val="en-GB"/>
        </w:rPr>
      </w:pPr>
      <w:r w:rsidRPr="00860114">
        <w:rPr>
          <w:rFonts w:cs="Calibri"/>
          <w:u w:val="single"/>
          <w:lang w:val="en-GB"/>
        </w:rPr>
        <w:t xml:space="preserve">d. Cooperation in denomination testing with EU Member States </w:t>
      </w:r>
    </w:p>
    <w:p w:rsidR="00D76E4F" w:rsidRPr="00860114" w:rsidRDefault="00D76E4F" w:rsidP="00D76E4F">
      <w:pPr>
        <w:tabs>
          <w:tab w:val="left" w:pos="142"/>
        </w:tabs>
        <w:autoSpaceDE w:val="0"/>
        <w:autoSpaceDN w:val="0"/>
        <w:adjustRightInd w:val="0"/>
        <w:rPr>
          <w:rFonts w:eastAsia="MyriadPro-Light" w:cs="Calibri"/>
          <w:lang w:val="en-GB"/>
        </w:rPr>
      </w:pPr>
      <w:bookmarkStart w:id="4" w:name="_Hlk109657995"/>
    </w:p>
    <w:p w:rsidR="00D76E4F" w:rsidRPr="00860114" w:rsidRDefault="00D76E4F" w:rsidP="00D76E4F">
      <w:pPr>
        <w:tabs>
          <w:tab w:val="left" w:pos="142"/>
        </w:tabs>
        <w:autoSpaceDE w:val="0"/>
        <w:autoSpaceDN w:val="0"/>
        <w:adjustRightInd w:val="0"/>
        <w:rPr>
          <w:rFonts w:eastAsia="MyriadPro-Light" w:cs="Calibri"/>
          <w:lang w:val="en-GB"/>
        </w:rPr>
      </w:pPr>
      <w:r w:rsidRPr="00860114">
        <w:rPr>
          <w:rFonts w:eastAsia="MyriadPro-Light" w:cs="Calibri"/>
          <w:lang w:val="en-GB"/>
        </w:rPr>
        <w:t>With around 7000 opinions delivered to EU Member states each year, the cooperation service in denomination testing continues to demonstrate great vitality and is an essential tool for ensuring compliance with the rules on variety denominations and for contributing to the consistency of decisions. However, the centralisation of the analysis could also have the disadvantage of limiting the diversity of opinions. It must be said that in the framework of the cooperation service, the exchanges between the Office and national authorities remain ad hoc exchanges, that mostly concern specific cases. The Office rarely receives remarks or objections from breeders concerning denominations that they consider to be in conflict with their own denominations.</w:t>
      </w:r>
    </w:p>
    <w:p w:rsidR="00D76E4F" w:rsidRPr="00860114" w:rsidRDefault="00D76E4F" w:rsidP="00D76E4F">
      <w:pPr>
        <w:tabs>
          <w:tab w:val="left" w:pos="142"/>
        </w:tabs>
        <w:autoSpaceDE w:val="0"/>
        <w:autoSpaceDN w:val="0"/>
        <w:adjustRightInd w:val="0"/>
        <w:rPr>
          <w:rFonts w:eastAsia="MyriadPro-Light" w:cs="Calibri"/>
          <w:lang w:val="en-GB"/>
        </w:rPr>
      </w:pPr>
    </w:p>
    <w:p w:rsidR="00D76E4F" w:rsidRPr="00860114" w:rsidRDefault="00D76E4F" w:rsidP="00D76E4F">
      <w:pPr>
        <w:tabs>
          <w:tab w:val="left" w:pos="142"/>
        </w:tabs>
        <w:autoSpaceDE w:val="0"/>
        <w:autoSpaceDN w:val="0"/>
        <w:adjustRightInd w:val="0"/>
        <w:rPr>
          <w:rFonts w:cs="Calibri"/>
          <w:lang w:val="en-GB"/>
        </w:rPr>
      </w:pPr>
      <w:r w:rsidRPr="00860114">
        <w:rPr>
          <w:rFonts w:eastAsia="MyriadPro-Light" w:cs="Calibri"/>
          <w:lang w:val="en-GB"/>
        </w:rPr>
        <w:t>The close monitoring of the observations on denominations  made by the Office, the identification of their nature and their evolution over time allows to identify the points which raise questions and may require further discussion on the practical implementation of the rules.</w:t>
      </w:r>
    </w:p>
    <w:p w:rsidR="00D76E4F" w:rsidRPr="00860114" w:rsidRDefault="00D76E4F" w:rsidP="00D76E4F">
      <w:pPr>
        <w:tabs>
          <w:tab w:val="left" w:pos="142"/>
        </w:tabs>
        <w:autoSpaceDE w:val="0"/>
        <w:autoSpaceDN w:val="0"/>
        <w:adjustRightInd w:val="0"/>
        <w:rPr>
          <w:rFonts w:eastAsia="MyriadPro-Light" w:cs="Calibri"/>
          <w:lang w:val="en-GB"/>
        </w:rPr>
      </w:pPr>
    </w:p>
    <w:p w:rsidR="00D76E4F" w:rsidRPr="00860114" w:rsidRDefault="00D76E4F" w:rsidP="00D76E4F">
      <w:pPr>
        <w:tabs>
          <w:tab w:val="left" w:pos="142"/>
        </w:tabs>
        <w:autoSpaceDE w:val="0"/>
        <w:autoSpaceDN w:val="0"/>
        <w:adjustRightInd w:val="0"/>
        <w:rPr>
          <w:rFonts w:eastAsia="MyriadPro-Light" w:cs="Calibri"/>
          <w:lang w:val="en-GB"/>
        </w:rPr>
      </w:pPr>
      <w:r w:rsidRPr="00860114">
        <w:rPr>
          <w:rFonts w:eastAsia="MyriadPro-Light" w:cs="Calibri"/>
          <w:lang w:val="en-GB"/>
        </w:rPr>
        <w:t xml:space="preserve">In 2021, a working group on variety denominations was hold to discuss the explanatory notes on the guidelines on variety denominations, which had been put on hold after their approval by the Administrative Council in 2018 and during the revision of the Commission Regulation 637/2009 on the suitability of denominations of agricultural plant species and vegetable species. </w:t>
      </w:r>
    </w:p>
    <w:p w:rsidR="00D76E4F" w:rsidRPr="00860114" w:rsidRDefault="00D76E4F" w:rsidP="00D76E4F">
      <w:pPr>
        <w:tabs>
          <w:tab w:val="left" w:pos="142"/>
        </w:tabs>
        <w:autoSpaceDE w:val="0"/>
        <w:autoSpaceDN w:val="0"/>
        <w:adjustRightInd w:val="0"/>
        <w:rPr>
          <w:rFonts w:eastAsia="MyriadPro-Light" w:cs="Calibri"/>
          <w:lang w:val="en-GB"/>
        </w:rPr>
      </w:pPr>
    </w:p>
    <w:p w:rsidR="00D76E4F" w:rsidRPr="00860114" w:rsidRDefault="00D76E4F" w:rsidP="00D76E4F">
      <w:pPr>
        <w:tabs>
          <w:tab w:val="left" w:pos="142"/>
        </w:tabs>
        <w:autoSpaceDE w:val="0"/>
        <w:autoSpaceDN w:val="0"/>
        <w:adjustRightInd w:val="0"/>
        <w:rPr>
          <w:rFonts w:eastAsia="MyriadPro-Light" w:cs="Calibri"/>
          <w:sz w:val="18"/>
          <w:szCs w:val="18"/>
          <w:lang w:val="en-GB"/>
        </w:rPr>
      </w:pPr>
      <w:r w:rsidRPr="00860114">
        <w:rPr>
          <w:rFonts w:eastAsia="MyriadPro-Light" w:cs="Calibri"/>
          <w:lang w:val="en-GB"/>
        </w:rPr>
        <w:t xml:space="preserve">This working group was an opportunity to reassess some of the changes that had been made to the explanatory notes in 2018 in order to make them more precise and even more pragmatic, taking into account, as far as possible, the specificities of the markets and the growing sectors, before their entry into force on 1 January 2022 together with the new Commission Implementing regulation 2021/384 on the suitability of the denominations of varieties of agricultural plant species and vegetable species. </w:t>
      </w:r>
    </w:p>
    <w:bookmarkEnd w:id="4"/>
    <w:p w:rsidR="00D76E4F" w:rsidRPr="00860114" w:rsidRDefault="00D76E4F" w:rsidP="00D76E4F">
      <w:pPr>
        <w:tabs>
          <w:tab w:val="left" w:pos="142"/>
        </w:tabs>
        <w:autoSpaceDE w:val="0"/>
        <w:autoSpaceDN w:val="0"/>
        <w:adjustRightInd w:val="0"/>
        <w:rPr>
          <w:rFonts w:cs="Calibri"/>
          <w:lang w:val="en-GB"/>
        </w:rPr>
      </w:pPr>
    </w:p>
    <w:p w:rsidR="00D76E4F" w:rsidRPr="00860114" w:rsidRDefault="00D76E4F" w:rsidP="00D76E4F">
      <w:pPr>
        <w:rPr>
          <w:rFonts w:cs="Calibri"/>
          <w:u w:val="single"/>
          <w:lang w:val="en-GB"/>
        </w:rPr>
      </w:pPr>
      <w:r w:rsidRPr="00860114">
        <w:rPr>
          <w:rFonts w:cs="Calibri"/>
          <w:u w:val="single"/>
          <w:lang w:val="en-GB"/>
        </w:rPr>
        <w:t>4.2 Crop experts meeting</w:t>
      </w:r>
    </w:p>
    <w:p w:rsidR="00D76E4F" w:rsidRPr="00860114" w:rsidRDefault="00D76E4F" w:rsidP="00D76E4F">
      <w:pPr>
        <w:autoSpaceDE w:val="0"/>
        <w:autoSpaceDN w:val="0"/>
        <w:adjustRightInd w:val="0"/>
        <w:rPr>
          <w:rFonts w:cs="Calibri"/>
          <w:color w:val="000000"/>
          <w:lang w:val="en-GB" w:eastAsia="en-GB"/>
        </w:rPr>
      </w:pPr>
    </w:p>
    <w:p w:rsidR="00D76E4F" w:rsidRPr="00860114" w:rsidRDefault="00D76E4F" w:rsidP="00D76E4F">
      <w:pPr>
        <w:autoSpaceDE w:val="0"/>
        <w:autoSpaceDN w:val="0"/>
        <w:adjustRightInd w:val="0"/>
        <w:rPr>
          <w:rFonts w:cs="Calibri"/>
          <w:color w:val="000000"/>
          <w:lang w:val="en-GB" w:eastAsia="en-GB"/>
        </w:rPr>
      </w:pPr>
      <w:r w:rsidRPr="00860114">
        <w:rPr>
          <w:rFonts w:cs="Calibri"/>
          <w:color w:val="000000"/>
          <w:lang w:val="en-GB" w:eastAsia="en-GB"/>
        </w:rPr>
        <w:t>A meeting of agricultural experts was held in October 2021 to discuss:</w:t>
      </w:r>
    </w:p>
    <w:p w:rsidR="00D76E4F" w:rsidRPr="00860114" w:rsidRDefault="00D76E4F" w:rsidP="00D76E4F">
      <w:pPr>
        <w:autoSpaceDE w:val="0"/>
        <w:autoSpaceDN w:val="0"/>
        <w:adjustRightInd w:val="0"/>
        <w:rPr>
          <w:rFonts w:cs="Calibri"/>
          <w:color w:val="000000"/>
          <w:lang w:val="en-GB" w:eastAsia="en-GB"/>
        </w:rPr>
      </w:pPr>
    </w:p>
    <w:p w:rsidR="00D76E4F" w:rsidRPr="00860114" w:rsidRDefault="00D76E4F" w:rsidP="00D76E4F">
      <w:pPr>
        <w:numPr>
          <w:ilvl w:val="0"/>
          <w:numId w:val="34"/>
        </w:numPr>
        <w:ind w:right="4"/>
        <w:rPr>
          <w:rFonts w:cs="Calibri"/>
          <w:lang w:val="en-GB"/>
        </w:rPr>
      </w:pPr>
      <w:r w:rsidRPr="00860114">
        <w:rPr>
          <w:rFonts w:cs="Calibri"/>
          <w:lang w:val="en-GB"/>
        </w:rPr>
        <w:t>hybrid wheat testing and observation of the characteristics: Coleoptile: anthocyanin coloration and Ear: length of scurs</w:t>
      </w:r>
    </w:p>
    <w:p w:rsidR="00D76E4F" w:rsidRPr="00860114" w:rsidRDefault="00D76E4F" w:rsidP="00D76E4F">
      <w:pPr>
        <w:numPr>
          <w:ilvl w:val="0"/>
          <w:numId w:val="34"/>
        </w:numPr>
        <w:ind w:right="4"/>
        <w:rPr>
          <w:rFonts w:cs="Calibri"/>
          <w:lang w:val="en-GB"/>
        </w:rPr>
      </w:pPr>
      <w:r w:rsidRPr="00860114">
        <w:rPr>
          <w:rFonts w:cs="Calibri"/>
          <w:lang w:val="en-GB"/>
        </w:rPr>
        <w:t>observing in multi-annual tests certain characteristics only once</w:t>
      </w:r>
    </w:p>
    <w:p w:rsidR="00D76E4F" w:rsidRPr="00860114" w:rsidRDefault="00D76E4F" w:rsidP="00D76E4F">
      <w:pPr>
        <w:numPr>
          <w:ilvl w:val="0"/>
          <w:numId w:val="34"/>
        </w:numPr>
        <w:ind w:right="4"/>
        <w:rPr>
          <w:rFonts w:cs="Calibri"/>
          <w:lang w:val="en-GB"/>
        </w:rPr>
      </w:pPr>
      <w:r w:rsidRPr="00860114">
        <w:rPr>
          <w:rFonts w:cs="Calibri"/>
          <w:lang w:val="en-GB"/>
        </w:rPr>
        <w:t xml:space="preserve">characteristic ‘Ploidy’ – revision of the number of plants </w:t>
      </w:r>
    </w:p>
    <w:p w:rsidR="00D76E4F" w:rsidRPr="00860114" w:rsidRDefault="00D76E4F" w:rsidP="00D76E4F">
      <w:pPr>
        <w:numPr>
          <w:ilvl w:val="0"/>
          <w:numId w:val="34"/>
        </w:numPr>
        <w:ind w:right="4"/>
        <w:rPr>
          <w:rFonts w:cs="Calibri"/>
          <w:lang w:val="en-GB"/>
        </w:rPr>
      </w:pPr>
      <w:r w:rsidRPr="00860114">
        <w:rPr>
          <w:rFonts w:cs="Calibri"/>
          <w:lang w:val="en-GB"/>
        </w:rPr>
        <w:t xml:space="preserve">replacing the FAO numbers by flowering time in maize </w:t>
      </w:r>
    </w:p>
    <w:p w:rsidR="00D76E4F" w:rsidRPr="00860114" w:rsidRDefault="00D76E4F" w:rsidP="00D76E4F">
      <w:pPr>
        <w:numPr>
          <w:ilvl w:val="0"/>
          <w:numId w:val="34"/>
        </w:numPr>
        <w:ind w:right="4"/>
        <w:rPr>
          <w:rFonts w:cs="Calibri"/>
          <w:lang w:val="en-GB"/>
        </w:rPr>
      </w:pPr>
      <w:r w:rsidRPr="00860114">
        <w:rPr>
          <w:rFonts w:cs="Calibri"/>
          <w:lang w:val="en-GB"/>
        </w:rPr>
        <w:t>true potato seed varieties</w:t>
      </w:r>
    </w:p>
    <w:p w:rsidR="00D76E4F" w:rsidRPr="00860114" w:rsidRDefault="00D76E4F" w:rsidP="00D76E4F">
      <w:pPr>
        <w:numPr>
          <w:ilvl w:val="0"/>
          <w:numId w:val="34"/>
        </w:numPr>
        <w:ind w:right="4"/>
        <w:rPr>
          <w:rFonts w:cs="Calibri"/>
          <w:lang w:val="en-GB"/>
        </w:rPr>
      </w:pPr>
      <w:r w:rsidRPr="00860114">
        <w:rPr>
          <w:rFonts w:cs="Calibri"/>
          <w:lang w:val="en-GB"/>
        </w:rPr>
        <w:t>methods for cyclic planting in grass testing</w:t>
      </w:r>
    </w:p>
    <w:p w:rsidR="00D76E4F" w:rsidRPr="00860114" w:rsidRDefault="00D76E4F" w:rsidP="00D76E4F">
      <w:pPr>
        <w:numPr>
          <w:ilvl w:val="0"/>
          <w:numId w:val="34"/>
        </w:numPr>
        <w:ind w:right="4"/>
        <w:rPr>
          <w:rFonts w:cs="Calibri"/>
          <w:lang w:val="en-GB"/>
        </w:rPr>
      </w:pPr>
      <w:r w:rsidRPr="00860114">
        <w:rPr>
          <w:rFonts w:cs="Calibri"/>
          <w:lang w:val="en-GB"/>
        </w:rPr>
        <w:t xml:space="preserve">DUS assessment of oilseed rape hybrid varieties   </w:t>
      </w:r>
    </w:p>
    <w:p w:rsidR="00D76E4F" w:rsidRPr="00860114" w:rsidRDefault="00D76E4F" w:rsidP="00D76E4F">
      <w:pPr>
        <w:numPr>
          <w:ilvl w:val="0"/>
          <w:numId w:val="34"/>
        </w:numPr>
        <w:ind w:right="4"/>
        <w:rPr>
          <w:rFonts w:cs="Calibri"/>
          <w:lang w:val="en-GB"/>
        </w:rPr>
      </w:pPr>
      <w:r w:rsidRPr="00860114">
        <w:rPr>
          <w:rFonts w:cs="Calibri"/>
          <w:lang w:val="en-GB"/>
        </w:rPr>
        <w:t>additional information linked to the UPOV code to group varieties</w:t>
      </w:r>
    </w:p>
    <w:p w:rsidR="00D76E4F" w:rsidRPr="00860114" w:rsidRDefault="00D76E4F" w:rsidP="00D76E4F">
      <w:pPr>
        <w:numPr>
          <w:ilvl w:val="0"/>
          <w:numId w:val="34"/>
        </w:numPr>
        <w:ind w:right="4"/>
        <w:rPr>
          <w:rFonts w:cs="Calibri"/>
          <w:lang w:val="en-GB"/>
        </w:rPr>
      </w:pPr>
      <w:r w:rsidRPr="00860114">
        <w:rPr>
          <w:rFonts w:cs="Calibri"/>
          <w:lang w:val="en-GB"/>
        </w:rPr>
        <w:t xml:space="preserve">Revisions to several technical protocols and new technical protocols </w:t>
      </w:r>
    </w:p>
    <w:p w:rsidR="00D76E4F" w:rsidRPr="00860114" w:rsidRDefault="00D76E4F" w:rsidP="00D76E4F">
      <w:pPr>
        <w:autoSpaceDE w:val="0"/>
        <w:autoSpaceDN w:val="0"/>
        <w:adjustRightInd w:val="0"/>
        <w:ind w:left="782"/>
        <w:rPr>
          <w:rFonts w:cs="Calibri"/>
          <w:color w:val="000000"/>
          <w:lang w:val="en-GB" w:eastAsia="en-GB"/>
        </w:rPr>
      </w:pPr>
    </w:p>
    <w:p w:rsidR="00D76E4F" w:rsidRPr="00860114" w:rsidRDefault="00D76E4F" w:rsidP="00D76E4F">
      <w:pPr>
        <w:keepNext/>
        <w:autoSpaceDE w:val="0"/>
        <w:autoSpaceDN w:val="0"/>
        <w:adjustRightInd w:val="0"/>
        <w:rPr>
          <w:rFonts w:cs="Calibri"/>
          <w:color w:val="000000"/>
          <w:lang w:val="en-GB" w:eastAsia="en-GB"/>
        </w:rPr>
      </w:pPr>
      <w:r w:rsidRPr="00860114">
        <w:rPr>
          <w:rFonts w:cs="Calibri"/>
          <w:color w:val="000000"/>
          <w:lang w:val="en-GB" w:eastAsia="en-GB"/>
        </w:rPr>
        <w:t>A meeting of vegetable experts was held on 9-10 December 2021 to discuss:</w:t>
      </w:r>
    </w:p>
    <w:p w:rsidR="00D76E4F" w:rsidRPr="00860114" w:rsidRDefault="00D76E4F" w:rsidP="00D76E4F">
      <w:pPr>
        <w:keepNext/>
        <w:autoSpaceDE w:val="0"/>
        <w:autoSpaceDN w:val="0"/>
        <w:adjustRightInd w:val="0"/>
        <w:rPr>
          <w:rFonts w:cs="Calibri"/>
          <w:color w:val="000000"/>
          <w:lang w:val="en-GB" w:eastAsia="en-GB"/>
        </w:rPr>
      </w:pPr>
    </w:p>
    <w:p w:rsidR="00D76E4F" w:rsidRPr="00860114" w:rsidRDefault="00D76E4F" w:rsidP="00D76E4F">
      <w:pPr>
        <w:numPr>
          <w:ilvl w:val="0"/>
          <w:numId w:val="34"/>
        </w:numPr>
        <w:ind w:right="4"/>
        <w:rPr>
          <w:rFonts w:cs="Calibri"/>
          <w:lang w:val="en-GB"/>
        </w:rPr>
      </w:pPr>
      <w:r w:rsidRPr="00860114">
        <w:rPr>
          <w:rFonts w:cs="Calibri"/>
          <w:lang w:val="en-GB"/>
        </w:rPr>
        <w:t xml:space="preserve">final reports with distinctness based on identical notes </w:t>
      </w:r>
    </w:p>
    <w:p w:rsidR="00D76E4F" w:rsidRPr="00860114" w:rsidRDefault="00D76E4F" w:rsidP="00D76E4F">
      <w:pPr>
        <w:numPr>
          <w:ilvl w:val="0"/>
          <w:numId w:val="34"/>
        </w:numPr>
        <w:ind w:right="4"/>
        <w:rPr>
          <w:rFonts w:cs="Calibri"/>
          <w:lang w:val="en-GB"/>
        </w:rPr>
      </w:pPr>
      <w:r w:rsidRPr="00860114">
        <w:rPr>
          <w:rFonts w:cs="Calibri"/>
          <w:lang w:val="en-GB"/>
        </w:rPr>
        <w:t>characteristics with a single year of observation</w:t>
      </w:r>
    </w:p>
    <w:p w:rsidR="00D76E4F" w:rsidRPr="00860114" w:rsidRDefault="00D76E4F" w:rsidP="00D76E4F">
      <w:pPr>
        <w:numPr>
          <w:ilvl w:val="0"/>
          <w:numId w:val="34"/>
        </w:numPr>
        <w:ind w:right="4"/>
        <w:rPr>
          <w:rFonts w:cs="Calibri"/>
          <w:lang w:val="en-GB"/>
        </w:rPr>
      </w:pPr>
      <w:r w:rsidRPr="00860114">
        <w:rPr>
          <w:rFonts w:cs="Calibri"/>
          <w:lang w:val="en-GB"/>
        </w:rPr>
        <w:t xml:space="preserve">characteristic ploidy in vegetable and agricultural species </w:t>
      </w:r>
    </w:p>
    <w:p w:rsidR="00D76E4F" w:rsidRPr="00860114" w:rsidRDefault="00D76E4F" w:rsidP="00D76E4F">
      <w:pPr>
        <w:numPr>
          <w:ilvl w:val="0"/>
          <w:numId w:val="34"/>
        </w:numPr>
        <w:ind w:right="4"/>
        <w:rPr>
          <w:rFonts w:cs="Calibri"/>
          <w:lang w:val="en-GB"/>
        </w:rPr>
      </w:pPr>
      <w:r w:rsidRPr="00860114">
        <w:rPr>
          <w:rFonts w:cs="Calibri"/>
          <w:lang w:val="en-GB"/>
        </w:rPr>
        <w:t xml:space="preserve">protected parental lines and variety collections </w:t>
      </w:r>
    </w:p>
    <w:p w:rsidR="00D76E4F" w:rsidRPr="00860114" w:rsidRDefault="00D76E4F" w:rsidP="00D76E4F">
      <w:pPr>
        <w:numPr>
          <w:ilvl w:val="0"/>
          <w:numId w:val="34"/>
        </w:numPr>
        <w:ind w:right="4"/>
        <w:rPr>
          <w:rFonts w:cs="Calibri"/>
          <w:lang w:val="en-GB"/>
        </w:rPr>
      </w:pPr>
      <w:r w:rsidRPr="00860114">
        <w:rPr>
          <w:rFonts w:cs="Calibri"/>
          <w:lang w:val="en-GB"/>
        </w:rPr>
        <w:t>reporting the absence of reference varieties</w:t>
      </w:r>
    </w:p>
    <w:p w:rsidR="00D76E4F" w:rsidRPr="00860114" w:rsidRDefault="00D76E4F" w:rsidP="00D76E4F">
      <w:pPr>
        <w:numPr>
          <w:ilvl w:val="0"/>
          <w:numId w:val="34"/>
        </w:numPr>
        <w:ind w:right="4"/>
        <w:rPr>
          <w:rFonts w:cs="Calibri"/>
          <w:lang w:val="en-GB"/>
        </w:rPr>
      </w:pPr>
      <w:r w:rsidRPr="00860114">
        <w:rPr>
          <w:rFonts w:cs="Calibri"/>
          <w:lang w:val="en-GB"/>
        </w:rPr>
        <w:t>Revisions of several vegetable technical protocols</w:t>
      </w:r>
    </w:p>
    <w:p w:rsidR="00D76E4F" w:rsidRPr="00860114" w:rsidRDefault="00D76E4F" w:rsidP="00D76E4F">
      <w:pPr>
        <w:autoSpaceDE w:val="0"/>
        <w:autoSpaceDN w:val="0"/>
        <w:adjustRightInd w:val="0"/>
        <w:ind w:left="720"/>
        <w:rPr>
          <w:rFonts w:cs="Calibri"/>
          <w:color w:val="000000"/>
          <w:lang w:val="en-GB" w:eastAsia="en-GB"/>
        </w:rPr>
      </w:pPr>
    </w:p>
    <w:p w:rsidR="00D76E4F" w:rsidRPr="00860114" w:rsidRDefault="00D76E4F" w:rsidP="00D76E4F">
      <w:pPr>
        <w:keepNext/>
        <w:autoSpaceDE w:val="0"/>
        <w:autoSpaceDN w:val="0"/>
        <w:adjustRightInd w:val="0"/>
        <w:rPr>
          <w:rFonts w:cs="Calibri"/>
          <w:color w:val="000000"/>
          <w:lang w:val="en-GB" w:eastAsia="en-GB"/>
        </w:rPr>
      </w:pPr>
      <w:r w:rsidRPr="00860114">
        <w:rPr>
          <w:rFonts w:cs="Calibri"/>
          <w:color w:val="000000"/>
          <w:lang w:val="en-GB" w:eastAsia="en-GB"/>
        </w:rPr>
        <w:lastRenderedPageBreak/>
        <w:t>A meeting of fruit experts was held in October 2021 to discuss among others:</w:t>
      </w:r>
    </w:p>
    <w:p w:rsidR="00D76E4F" w:rsidRPr="00860114" w:rsidRDefault="00D76E4F" w:rsidP="00D76E4F">
      <w:pPr>
        <w:keepNext/>
        <w:autoSpaceDE w:val="0"/>
        <w:autoSpaceDN w:val="0"/>
        <w:adjustRightInd w:val="0"/>
        <w:rPr>
          <w:rFonts w:cs="Calibri"/>
          <w:color w:val="000000"/>
          <w:lang w:val="en-GB" w:eastAsia="en-GB"/>
        </w:rPr>
      </w:pPr>
    </w:p>
    <w:p w:rsidR="00D76E4F" w:rsidRPr="00860114" w:rsidRDefault="00D76E4F" w:rsidP="00D76E4F">
      <w:pPr>
        <w:keepNext/>
        <w:numPr>
          <w:ilvl w:val="0"/>
          <w:numId w:val="34"/>
        </w:numPr>
        <w:ind w:right="4"/>
        <w:rPr>
          <w:rFonts w:cs="Calibri"/>
          <w:lang w:val="en-GB"/>
        </w:rPr>
      </w:pPr>
      <w:r w:rsidRPr="00860114">
        <w:rPr>
          <w:rFonts w:cs="Calibri"/>
          <w:lang w:val="en-GB"/>
        </w:rPr>
        <w:t>testing of apple mutation group</w:t>
      </w:r>
    </w:p>
    <w:p w:rsidR="00D76E4F" w:rsidRPr="00860114" w:rsidRDefault="00D76E4F" w:rsidP="00D76E4F">
      <w:pPr>
        <w:keepNext/>
        <w:numPr>
          <w:ilvl w:val="0"/>
          <w:numId w:val="34"/>
        </w:numPr>
        <w:ind w:right="4"/>
        <w:rPr>
          <w:rFonts w:cs="Calibri"/>
          <w:lang w:val="en-GB"/>
        </w:rPr>
      </w:pPr>
      <w:r w:rsidRPr="00860114">
        <w:rPr>
          <w:rFonts w:cs="Calibri"/>
          <w:lang w:val="en-GB"/>
        </w:rPr>
        <w:t>submission of samples</w:t>
      </w:r>
    </w:p>
    <w:p w:rsidR="00D76E4F" w:rsidRPr="00860114" w:rsidRDefault="00D76E4F" w:rsidP="00D76E4F">
      <w:pPr>
        <w:numPr>
          <w:ilvl w:val="0"/>
          <w:numId w:val="34"/>
        </w:numPr>
        <w:ind w:right="4"/>
        <w:rPr>
          <w:rFonts w:cs="Calibri"/>
          <w:lang w:val="en-GB"/>
        </w:rPr>
      </w:pPr>
      <w:r w:rsidRPr="00860114">
        <w:rPr>
          <w:rFonts w:cs="Calibri"/>
          <w:lang w:val="en-GB"/>
        </w:rPr>
        <w:t xml:space="preserve">confirming applicants the receipt of plant material </w:t>
      </w:r>
    </w:p>
    <w:p w:rsidR="00D76E4F" w:rsidRPr="00860114" w:rsidRDefault="00D76E4F" w:rsidP="00D76E4F">
      <w:pPr>
        <w:numPr>
          <w:ilvl w:val="0"/>
          <w:numId w:val="34"/>
        </w:numPr>
        <w:ind w:right="4"/>
        <w:rPr>
          <w:rFonts w:cs="Calibri"/>
          <w:lang w:val="en-GB"/>
        </w:rPr>
      </w:pPr>
      <w:r w:rsidRPr="00860114">
        <w:rPr>
          <w:rFonts w:cs="Calibri"/>
          <w:lang w:val="en-GB"/>
        </w:rPr>
        <w:t xml:space="preserve">blueberry testing </w:t>
      </w:r>
    </w:p>
    <w:p w:rsidR="00D76E4F" w:rsidRPr="00860114" w:rsidRDefault="00D76E4F" w:rsidP="00D76E4F">
      <w:pPr>
        <w:numPr>
          <w:ilvl w:val="0"/>
          <w:numId w:val="34"/>
        </w:numPr>
        <w:ind w:right="4"/>
        <w:rPr>
          <w:rFonts w:cs="Calibri"/>
          <w:lang w:val="en-GB"/>
        </w:rPr>
      </w:pPr>
      <w:r w:rsidRPr="00860114">
        <w:rPr>
          <w:rFonts w:cs="Calibri"/>
          <w:lang w:val="en-GB"/>
        </w:rPr>
        <w:t>botanical taxon for disease resistant grapevine varieties</w:t>
      </w:r>
    </w:p>
    <w:p w:rsidR="00D76E4F" w:rsidRPr="00860114" w:rsidRDefault="00D76E4F" w:rsidP="00D76E4F">
      <w:pPr>
        <w:numPr>
          <w:ilvl w:val="0"/>
          <w:numId w:val="34"/>
        </w:numPr>
        <w:ind w:right="4"/>
        <w:rPr>
          <w:rFonts w:cs="Calibri"/>
          <w:lang w:val="en-GB"/>
        </w:rPr>
      </w:pPr>
      <w:r w:rsidRPr="00860114">
        <w:rPr>
          <w:rFonts w:cs="Calibri"/>
          <w:lang w:val="en-GB"/>
        </w:rPr>
        <w:t>measures to protect trials from adverse conditions</w:t>
      </w:r>
    </w:p>
    <w:p w:rsidR="00D76E4F" w:rsidRPr="00860114" w:rsidRDefault="00D76E4F" w:rsidP="00D76E4F">
      <w:pPr>
        <w:numPr>
          <w:ilvl w:val="0"/>
          <w:numId w:val="34"/>
        </w:numPr>
        <w:ind w:right="4"/>
        <w:rPr>
          <w:rFonts w:cs="Calibri"/>
          <w:lang w:val="en-GB"/>
        </w:rPr>
      </w:pPr>
      <w:r w:rsidRPr="00860114">
        <w:rPr>
          <w:rFonts w:cs="Calibri"/>
          <w:lang w:val="en-GB"/>
        </w:rPr>
        <w:t>terms: growing period, growing cycle, duration of test, establishment period</w:t>
      </w:r>
    </w:p>
    <w:p w:rsidR="00D76E4F" w:rsidRPr="00860114" w:rsidRDefault="00D76E4F" w:rsidP="00D76E4F">
      <w:pPr>
        <w:numPr>
          <w:ilvl w:val="0"/>
          <w:numId w:val="34"/>
        </w:numPr>
        <w:ind w:right="4"/>
        <w:rPr>
          <w:rFonts w:cs="Calibri"/>
          <w:lang w:val="en-GB"/>
        </w:rPr>
      </w:pPr>
      <w:r w:rsidRPr="00860114">
        <w:rPr>
          <w:rFonts w:cs="Calibri"/>
          <w:lang w:val="en-GB"/>
        </w:rPr>
        <w:t>plant material requirements for pear,</w:t>
      </w:r>
    </w:p>
    <w:p w:rsidR="00D76E4F" w:rsidRPr="00860114" w:rsidRDefault="00D76E4F" w:rsidP="00D76E4F">
      <w:pPr>
        <w:numPr>
          <w:ilvl w:val="0"/>
          <w:numId w:val="34"/>
        </w:numPr>
        <w:ind w:right="4"/>
        <w:rPr>
          <w:rFonts w:cs="Calibri"/>
          <w:lang w:val="en-GB"/>
        </w:rPr>
      </w:pPr>
      <w:r w:rsidRPr="00860114">
        <w:rPr>
          <w:rFonts w:cs="Calibri"/>
          <w:lang w:val="en-GB"/>
        </w:rPr>
        <w:t>strawberry – current situation and developments in breeding and cultivation</w:t>
      </w:r>
    </w:p>
    <w:p w:rsidR="00D76E4F" w:rsidRPr="00860114" w:rsidRDefault="00D76E4F" w:rsidP="00D76E4F">
      <w:pPr>
        <w:numPr>
          <w:ilvl w:val="0"/>
          <w:numId w:val="34"/>
        </w:numPr>
        <w:ind w:right="4"/>
        <w:rPr>
          <w:rFonts w:cs="Calibri"/>
          <w:lang w:val="en-GB"/>
        </w:rPr>
      </w:pPr>
      <w:r w:rsidRPr="00860114">
        <w:rPr>
          <w:rFonts w:cs="Calibri"/>
          <w:lang w:val="en-GB"/>
        </w:rPr>
        <w:t>plant health issues and R &amp; D project.</w:t>
      </w:r>
    </w:p>
    <w:p w:rsidR="00D76E4F" w:rsidRPr="00860114" w:rsidRDefault="00D76E4F" w:rsidP="00D76E4F">
      <w:pPr>
        <w:autoSpaceDE w:val="0"/>
        <w:autoSpaceDN w:val="0"/>
        <w:adjustRightInd w:val="0"/>
        <w:ind w:left="783"/>
        <w:rPr>
          <w:rFonts w:cs="Calibri"/>
          <w:color w:val="000000"/>
          <w:lang w:val="en-GB" w:eastAsia="en-GB"/>
        </w:rPr>
      </w:pPr>
    </w:p>
    <w:p w:rsidR="00D76E4F" w:rsidRPr="00860114" w:rsidRDefault="00D76E4F" w:rsidP="00D76E4F">
      <w:pPr>
        <w:autoSpaceDE w:val="0"/>
        <w:autoSpaceDN w:val="0"/>
        <w:adjustRightInd w:val="0"/>
        <w:rPr>
          <w:rFonts w:cs="Calibri"/>
          <w:color w:val="000000"/>
          <w:lang w:val="en-GB" w:eastAsia="en-GB"/>
        </w:rPr>
      </w:pPr>
      <w:r w:rsidRPr="00860114">
        <w:rPr>
          <w:rFonts w:cs="Calibri"/>
          <w:color w:val="000000"/>
          <w:lang w:val="en-GB" w:eastAsia="en-GB"/>
        </w:rPr>
        <w:t>A meeting of ornamental experts was held on 14-15 October 2021  to discuss or to provide information on a number of topics, among others:</w:t>
      </w:r>
    </w:p>
    <w:p w:rsidR="00D76E4F" w:rsidRPr="00860114" w:rsidRDefault="00D76E4F" w:rsidP="00D76E4F">
      <w:pPr>
        <w:autoSpaceDE w:val="0"/>
        <w:autoSpaceDN w:val="0"/>
        <w:adjustRightInd w:val="0"/>
        <w:rPr>
          <w:rFonts w:cs="Calibri"/>
          <w:color w:val="000000"/>
          <w:lang w:val="en-GB" w:eastAsia="en-GB"/>
        </w:rPr>
      </w:pPr>
    </w:p>
    <w:p w:rsidR="00D76E4F" w:rsidRPr="00860114" w:rsidRDefault="00D76E4F" w:rsidP="00D76E4F">
      <w:pPr>
        <w:numPr>
          <w:ilvl w:val="0"/>
          <w:numId w:val="34"/>
        </w:numPr>
        <w:ind w:right="4"/>
        <w:rPr>
          <w:rFonts w:cs="Calibri"/>
          <w:lang w:val="en-GB"/>
        </w:rPr>
      </w:pPr>
      <w:r w:rsidRPr="00860114">
        <w:rPr>
          <w:rFonts w:cs="Calibri"/>
          <w:lang w:val="en-GB"/>
        </w:rPr>
        <w:t>the change in duration of DUS examinations following the transfer of examinations from the National Institute of Agricultural Botany (NIAB) (UK) to other examination office in the EU</w:t>
      </w:r>
      <w:r w:rsidRPr="00860114" w:rsidDel="00220F52">
        <w:rPr>
          <w:rFonts w:cs="Calibri"/>
          <w:lang w:val="en-GB"/>
        </w:rPr>
        <w:t xml:space="preserve"> </w:t>
      </w:r>
      <w:r w:rsidRPr="00860114">
        <w:rPr>
          <w:rFonts w:cs="Calibri"/>
          <w:lang w:val="en-GB"/>
        </w:rPr>
        <w:t>the modification of the technical questionnaire for trees and shrubs</w:t>
      </w:r>
      <w:r w:rsidRPr="00860114" w:rsidDel="00220F52">
        <w:rPr>
          <w:rFonts w:cs="Calibri"/>
          <w:lang w:val="en-GB"/>
        </w:rPr>
        <w:t xml:space="preserve"> </w:t>
      </w:r>
    </w:p>
    <w:p w:rsidR="00D76E4F" w:rsidRPr="00860114" w:rsidRDefault="00D76E4F" w:rsidP="00D76E4F">
      <w:pPr>
        <w:numPr>
          <w:ilvl w:val="0"/>
          <w:numId w:val="34"/>
        </w:numPr>
        <w:ind w:right="4"/>
        <w:rPr>
          <w:rFonts w:cs="Calibri"/>
          <w:lang w:val="en-GB"/>
        </w:rPr>
      </w:pPr>
      <w:r w:rsidRPr="00860114">
        <w:rPr>
          <w:rFonts w:cs="Calibri"/>
          <w:lang w:val="en-GB"/>
        </w:rPr>
        <w:t>Adoption and publication of national protocols – procedure under discussion</w:t>
      </w:r>
    </w:p>
    <w:p w:rsidR="00D76E4F" w:rsidRPr="00860114" w:rsidRDefault="00D76E4F" w:rsidP="00D76E4F">
      <w:pPr>
        <w:numPr>
          <w:ilvl w:val="0"/>
          <w:numId w:val="34"/>
        </w:numPr>
        <w:ind w:right="4"/>
        <w:rPr>
          <w:rFonts w:cs="Calibri"/>
          <w:lang w:val="en-GB"/>
        </w:rPr>
      </w:pPr>
      <w:r w:rsidRPr="00860114">
        <w:rPr>
          <w:rFonts w:cs="Calibri"/>
          <w:lang w:val="en-GB"/>
        </w:rPr>
        <w:t>the prolongation of the period of protections for varieties of woody ornamentals and bulb species</w:t>
      </w:r>
      <w:r w:rsidRPr="00860114" w:rsidDel="00220F52">
        <w:rPr>
          <w:rFonts w:cs="Calibri"/>
          <w:lang w:val="en-GB"/>
        </w:rPr>
        <w:t xml:space="preserve"> </w:t>
      </w:r>
    </w:p>
    <w:p w:rsidR="00D76E4F" w:rsidRPr="00860114" w:rsidRDefault="00D76E4F" w:rsidP="00D76E4F">
      <w:pPr>
        <w:numPr>
          <w:ilvl w:val="0"/>
          <w:numId w:val="34"/>
        </w:numPr>
        <w:ind w:right="4"/>
        <w:rPr>
          <w:rFonts w:cs="Calibri"/>
          <w:lang w:val="en-GB"/>
        </w:rPr>
      </w:pPr>
      <w:r w:rsidRPr="00860114">
        <w:rPr>
          <w:rFonts w:cs="Calibri"/>
          <w:lang w:val="en-GB"/>
        </w:rPr>
        <w:t>additional information linked to the UPOV code to group varieties</w:t>
      </w:r>
      <w:r w:rsidRPr="00860114" w:rsidDel="00637CEF">
        <w:rPr>
          <w:rFonts w:cs="Calibri"/>
          <w:lang w:val="en-GB"/>
        </w:rPr>
        <w:t xml:space="preserve"> </w:t>
      </w:r>
    </w:p>
    <w:p w:rsidR="00D76E4F" w:rsidRPr="00860114" w:rsidRDefault="00D76E4F" w:rsidP="00D76E4F">
      <w:pPr>
        <w:rPr>
          <w:rFonts w:cs="Calibri"/>
          <w:u w:val="single"/>
          <w:lang w:val="en-GB"/>
        </w:rPr>
      </w:pPr>
    </w:p>
    <w:p w:rsidR="00D76E4F" w:rsidRPr="00860114" w:rsidRDefault="00D76E4F" w:rsidP="00D76E4F">
      <w:pPr>
        <w:rPr>
          <w:rFonts w:cs="Calibri"/>
          <w:u w:val="single"/>
          <w:lang w:val="en-GB"/>
        </w:rPr>
      </w:pPr>
      <w:r w:rsidRPr="00860114">
        <w:rPr>
          <w:rFonts w:cs="Calibri"/>
          <w:u w:val="single"/>
          <w:lang w:val="en-GB"/>
        </w:rPr>
        <w:t>4.3 Quality Audit Service (QAS)</w:t>
      </w:r>
    </w:p>
    <w:p w:rsidR="00D76E4F" w:rsidRPr="00860114" w:rsidRDefault="00D76E4F" w:rsidP="00D76E4F">
      <w:pPr>
        <w:autoSpaceDE w:val="0"/>
        <w:autoSpaceDN w:val="0"/>
        <w:adjustRightInd w:val="0"/>
        <w:rPr>
          <w:rFonts w:cs="Calibri"/>
          <w:lang w:val="en-GB"/>
        </w:rPr>
      </w:pPr>
    </w:p>
    <w:p w:rsidR="00D76E4F" w:rsidRPr="00860114" w:rsidRDefault="00D76E4F" w:rsidP="00D76E4F">
      <w:pPr>
        <w:autoSpaceDE w:val="0"/>
        <w:autoSpaceDN w:val="0"/>
        <w:adjustRightInd w:val="0"/>
        <w:rPr>
          <w:rFonts w:cs="Calibri"/>
          <w:lang w:val="en-GB"/>
        </w:rPr>
      </w:pPr>
      <w:r w:rsidRPr="00860114">
        <w:rPr>
          <w:rFonts w:cs="Calibri"/>
          <w:lang w:val="en-GB"/>
        </w:rPr>
        <w:t xml:space="preserve">The activities of the Quality Audit Service (QAS) returned to normal in the period covered by this report after having had to undertake all of its assessment exercises in a virtual manner in the first half of 2021. A total of eight on-site assessment exercises were carried out by QAS to entrusted examination offices in the EU in the twelve months to July 2022 to ensure that the CPVO’s Entrustment requirements were being correctly applied. </w:t>
      </w:r>
    </w:p>
    <w:p w:rsidR="00D76E4F" w:rsidRPr="00860114" w:rsidRDefault="00D76E4F" w:rsidP="00D76E4F">
      <w:pPr>
        <w:autoSpaceDE w:val="0"/>
        <w:autoSpaceDN w:val="0"/>
        <w:adjustRightInd w:val="0"/>
        <w:rPr>
          <w:rFonts w:cs="Calibri"/>
          <w:lang w:val="en-GB"/>
        </w:rPr>
      </w:pPr>
    </w:p>
    <w:p w:rsidR="00D76E4F" w:rsidRPr="00860114" w:rsidRDefault="00D76E4F" w:rsidP="00D76E4F">
      <w:pPr>
        <w:autoSpaceDE w:val="0"/>
        <w:autoSpaceDN w:val="0"/>
        <w:adjustRightInd w:val="0"/>
        <w:rPr>
          <w:rFonts w:cs="Calibri"/>
          <w:lang w:val="en-GB"/>
        </w:rPr>
      </w:pPr>
      <w:r w:rsidRPr="00860114">
        <w:rPr>
          <w:rFonts w:cs="Calibri"/>
          <w:lang w:val="en-GB"/>
        </w:rPr>
        <w:t>During the second half of 2021 and the beginning of 2022, the revision process of the CPVO’s Entrustment requirements for examination offices continued. These regulate the way which examination offices are organised and the procedure under which DUS tests are carried out. This revision process was undertaken in consultation with CPVO stakeholders: entrusted examination offices, breeders’ organisations and QAS technical experts, to take into account developments and improvements in DUS testing. The greatest number of proposals for improvements were made during the CPVO’s annual examination office’s meeting in December 2021, when most of the aforementioned stakeholders could contribute to the discussions. The main improvements to the Entrustment requirements were in relation to training, maintaining of records, advancements in DUS testing processes, updating of variety collections and measures to take in DUS trials to mitigate the impact of climate change. The new (revised) Entrustment requirements were approved by the CPVO’s Administrative Council in April 2022 and will enter into force on 1 January 2023, coinciding with the new QAS assessment cycle for 2023-2025.</w:t>
      </w:r>
    </w:p>
    <w:p w:rsidR="00D76E4F" w:rsidRPr="00860114" w:rsidRDefault="00D76E4F" w:rsidP="00D76E4F">
      <w:pPr>
        <w:autoSpaceDE w:val="0"/>
        <w:autoSpaceDN w:val="0"/>
        <w:adjustRightInd w:val="0"/>
        <w:rPr>
          <w:rFonts w:cs="Calibri"/>
          <w:lang w:val="en-GB"/>
        </w:rPr>
      </w:pPr>
    </w:p>
    <w:p w:rsidR="00D76E4F" w:rsidRPr="00860114" w:rsidRDefault="00D76E4F" w:rsidP="00D76E4F">
      <w:pPr>
        <w:autoSpaceDE w:val="0"/>
        <w:autoSpaceDN w:val="0"/>
        <w:adjustRightInd w:val="0"/>
        <w:rPr>
          <w:rFonts w:cs="Calibri"/>
          <w:lang w:val="en-GB"/>
        </w:rPr>
      </w:pPr>
      <w:r w:rsidRPr="00860114">
        <w:rPr>
          <w:rFonts w:cs="Calibri"/>
          <w:lang w:val="en-GB"/>
        </w:rPr>
        <w:t>Ongoing evaluation activities were undertaken by QAS in the first half of 2022 in relation to the OAPI project via teleconferencing means to its designated examination offices in Cameroon, and Burkina Faso, as well as on-site visits to the examination offices in Senegal and Côte d’Ivoire. During this period QAS also provided training through a webinar in February 2022, as well as on-site visits via the EU’s TAIEX programme to the PVR authorities of the Dominican Republic, to provide training on the organisation of DUS testing in optimal conditions and to ensure the independence and impartiality of the technical examinations.</w:t>
      </w:r>
    </w:p>
    <w:p w:rsidR="00D76E4F" w:rsidRPr="00860114" w:rsidRDefault="00D76E4F" w:rsidP="00D76E4F">
      <w:pPr>
        <w:autoSpaceDE w:val="0"/>
        <w:autoSpaceDN w:val="0"/>
        <w:adjustRightInd w:val="0"/>
        <w:rPr>
          <w:rFonts w:cs="Calibri"/>
          <w:lang w:val="en-GB"/>
        </w:rPr>
      </w:pPr>
    </w:p>
    <w:p w:rsidR="00D76E4F" w:rsidRPr="00860114" w:rsidRDefault="00D76E4F" w:rsidP="00D76E4F">
      <w:pPr>
        <w:autoSpaceDE w:val="0"/>
        <w:autoSpaceDN w:val="0"/>
        <w:adjustRightInd w:val="0"/>
        <w:rPr>
          <w:rFonts w:cs="Calibri"/>
          <w:lang w:val="en-GB"/>
        </w:rPr>
      </w:pPr>
    </w:p>
    <w:p w:rsidR="00D76E4F" w:rsidRPr="00860114" w:rsidRDefault="00D76E4F" w:rsidP="00D76E4F">
      <w:pPr>
        <w:keepNext/>
        <w:rPr>
          <w:u w:val="single"/>
          <w:lang w:val="en-GB"/>
        </w:rPr>
      </w:pPr>
      <w:r w:rsidRPr="00860114">
        <w:rPr>
          <w:u w:val="single"/>
          <w:lang w:val="en-GB"/>
        </w:rPr>
        <w:t>5)</w:t>
      </w:r>
      <w:r w:rsidRPr="00860114">
        <w:rPr>
          <w:u w:val="single"/>
          <w:lang w:val="en-GB"/>
        </w:rPr>
        <w:tab/>
        <w:t xml:space="preserve">Activities for the Promotion of Plant Variety Protection </w:t>
      </w:r>
    </w:p>
    <w:p w:rsidR="00D76E4F" w:rsidRPr="00860114" w:rsidRDefault="00D76E4F" w:rsidP="00D76E4F">
      <w:pPr>
        <w:keepNext/>
        <w:rPr>
          <w:lang w:val="en-GB"/>
        </w:rPr>
      </w:pPr>
    </w:p>
    <w:p w:rsidR="00D76E4F" w:rsidRPr="00860114" w:rsidRDefault="00D76E4F" w:rsidP="00D76E4F">
      <w:pPr>
        <w:keepNext/>
        <w:rPr>
          <w:u w:val="single"/>
          <w:lang w:val="en-GB"/>
        </w:rPr>
      </w:pPr>
      <w:r w:rsidRPr="00860114">
        <w:rPr>
          <w:u w:val="single"/>
          <w:lang w:val="en-GB"/>
        </w:rPr>
        <w:t>5.1 International cooperation</w:t>
      </w:r>
    </w:p>
    <w:p w:rsidR="00D76E4F" w:rsidRPr="00860114" w:rsidRDefault="00D76E4F" w:rsidP="00D76E4F">
      <w:pPr>
        <w:keepNext/>
        <w:rPr>
          <w:lang w:val="en-GB"/>
        </w:rPr>
      </w:pPr>
    </w:p>
    <w:p w:rsidR="00D76E4F" w:rsidRPr="00860114" w:rsidRDefault="00D76E4F" w:rsidP="00D76E4F">
      <w:pPr>
        <w:rPr>
          <w:lang w:val="en-GB"/>
        </w:rPr>
      </w:pPr>
      <w:r w:rsidRPr="00860114">
        <w:rPr>
          <w:lang w:val="en-GB"/>
        </w:rPr>
        <w:t xml:space="preserve">In 2021 the CPVO revised its international relations strategy. The span of the cooperation of the Office considerably extended in the past few years, to keep the pace with the continuingly evolving policies that embrace the breeding sector. </w:t>
      </w:r>
    </w:p>
    <w:p w:rsidR="00D76E4F" w:rsidRPr="00860114" w:rsidRDefault="00D76E4F" w:rsidP="00D76E4F">
      <w:pPr>
        <w:rPr>
          <w:lang w:val="en-GB"/>
        </w:rPr>
      </w:pPr>
    </w:p>
    <w:p w:rsidR="00D76E4F" w:rsidRPr="00860114" w:rsidRDefault="00D76E4F" w:rsidP="00D76E4F">
      <w:pPr>
        <w:rPr>
          <w:lang w:val="en-GB"/>
        </w:rPr>
      </w:pPr>
      <w:r w:rsidRPr="00860114">
        <w:rPr>
          <w:lang w:val="en-GB"/>
        </w:rPr>
        <w:t xml:space="preserve">The CPVO continues providing its expertise through bilateral and multilateral cooperation with strategic partners, such as the EUIPO, the EPO and UPOV, PVP and Examination Offices, sectorial organisations, </w:t>
      </w:r>
      <w:r w:rsidRPr="00860114">
        <w:rPr>
          <w:lang w:val="en-GB"/>
        </w:rPr>
        <w:lastRenderedPageBreak/>
        <w:t>notwithstanding ongoing bilateral relations with key target countries and regional organizations, such as the long-standing dialogues with China, Japan, OAPI and ARIPO.</w:t>
      </w:r>
    </w:p>
    <w:p w:rsidR="00D76E4F" w:rsidRPr="00860114" w:rsidRDefault="00D76E4F" w:rsidP="00D76E4F">
      <w:pPr>
        <w:rPr>
          <w:lang w:val="en-GB"/>
        </w:rPr>
      </w:pPr>
    </w:p>
    <w:p w:rsidR="00D76E4F" w:rsidRPr="00860114" w:rsidRDefault="00D76E4F" w:rsidP="00D76E4F">
      <w:pPr>
        <w:rPr>
          <w:lang w:val="en-GB"/>
        </w:rPr>
      </w:pPr>
      <w:r w:rsidRPr="00860114">
        <w:rPr>
          <w:lang w:val="en-GB"/>
        </w:rPr>
        <w:t xml:space="preserve">The IP Key international cooperation projects are directed by the European Commission and implemented in collaboration with the European Union Intellectual Property Office (EUIPO) to strengthen IP protection in  China, Latin America and ASEAN countries. In addition to IP Key projects, the EUIPO implements on behalf of the European Commission one project in the Caribbean (CarIPI), one in Africa (AfrIPI) and one in Mercosur countries (AL-INVEST PI). The activities carried out in the framework of these projects include the organisation of seminars and mutual trainings as well as the provision of studies and legal support to the beneficiary countries.  </w:t>
      </w:r>
    </w:p>
    <w:p w:rsidR="00D76E4F" w:rsidRPr="00860114" w:rsidRDefault="00D76E4F" w:rsidP="00D76E4F">
      <w:pPr>
        <w:rPr>
          <w:lang w:val="en-GB"/>
        </w:rPr>
      </w:pPr>
    </w:p>
    <w:p w:rsidR="00D76E4F" w:rsidRPr="00860114" w:rsidRDefault="00D76E4F" w:rsidP="00D76E4F">
      <w:pPr>
        <w:rPr>
          <w:lang w:val="en-GB"/>
        </w:rPr>
      </w:pPr>
      <w:r w:rsidRPr="00860114">
        <w:rPr>
          <w:lang w:val="en-GB"/>
        </w:rPr>
        <w:t xml:space="preserve">Learning from the most difficult moments of the Covid-19 pandemic, many projects were implemented online or as hybrid activities, but some presential ones were also organized. </w:t>
      </w:r>
    </w:p>
    <w:p w:rsidR="00D76E4F" w:rsidRPr="00860114" w:rsidRDefault="00D76E4F" w:rsidP="00D76E4F">
      <w:pPr>
        <w:rPr>
          <w:sz w:val="18"/>
          <w:szCs w:val="18"/>
          <w:lang w:val="en-GB"/>
        </w:rPr>
      </w:pPr>
    </w:p>
    <w:p w:rsidR="00D76E4F" w:rsidRPr="00860114" w:rsidRDefault="00D76E4F" w:rsidP="00D76E4F">
      <w:pPr>
        <w:keepNext/>
        <w:rPr>
          <w:i/>
          <w:szCs w:val="18"/>
          <w:lang w:val="en-GB"/>
        </w:rPr>
      </w:pPr>
      <w:r w:rsidRPr="00860114">
        <w:rPr>
          <w:i/>
          <w:szCs w:val="18"/>
          <w:lang w:val="en-GB"/>
        </w:rPr>
        <w:t>IPKey China:</w:t>
      </w:r>
    </w:p>
    <w:p w:rsidR="00D76E4F" w:rsidRPr="00860114" w:rsidRDefault="00D76E4F" w:rsidP="00D76E4F">
      <w:pPr>
        <w:keepNext/>
        <w:rPr>
          <w:lang w:val="en-GB"/>
        </w:rPr>
      </w:pPr>
    </w:p>
    <w:p w:rsidR="00D76E4F" w:rsidRPr="00860114" w:rsidRDefault="00D76E4F" w:rsidP="00D76E4F">
      <w:pPr>
        <w:rPr>
          <w:lang w:val="en-GB"/>
        </w:rPr>
      </w:pPr>
      <w:r w:rsidRPr="00860114">
        <w:rPr>
          <w:lang w:val="en-GB"/>
        </w:rPr>
        <w:t xml:space="preserve">Awareness raising seminar 8 november 2021: Representatives of the International Union for the Protection of New Varieties of Plants (UPOV) shared with the 130+ participants from the European Union and China the latest developments in Plant Variety Protection. After that, stakeholders of the plant and breeding industry, such as enforcement agents, producers and academics, exchanged their experience and views on the importance of plant variety protection and on the mechanisms available to enforce their plant variety rights. Plant Variety Protection is key for the promotion of innovation and has a direct impact on the economy, society and the environment (source and more information: </w:t>
      </w:r>
      <w:hyperlink r:id="rId52" w:history="1">
        <w:r w:rsidRPr="00860114">
          <w:rPr>
            <w:rStyle w:val="Hyperlink"/>
            <w:rFonts w:cs="Calibri"/>
            <w:lang w:val="en-GB"/>
          </w:rPr>
          <w:t>https://ipkey.eu/en/china/activities/plant-variety-protection-awareness-raising-seminar</w:t>
        </w:r>
      </w:hyperlink>
      <w:r w:rsidRPr="00860114">
        <w:rPr>
          <w:lang w:val="en-GB"/>
        </w:rPr>
        <w:t xml:space="preserve">). </w:t>
      </w:r>
    </w:p>
    <w:p w:rsidR="00D76E4F" w:rsidRPr="00860114" w:rsidRDefault="00D76E4F" w:rsidP="00D76E4F">
      <w:pPr>
        <w:rPr>
          <w:lang w:val="en-GB"/>
        </w:rPr>
      </w:pPr>
    </w:p>
    <w:p w:rsidR="00D76E4F" w:rsidRPr="00860114" w:rsidRDefault="00D76E4F" w:rsidP="00D76E4F">
      <w:pPr>
        <w:rPr>
          <w:lang w:val="en-GB"/>
        </w:rPr>
      </w:pPr>
      <w:r w:rsidRPr="00860114">
        <w:rPr>
          <w:lang w:val="en-GB"/>
        </w:rPr>
        <w:t xml:space="preserve">Technical training 3-5 November 2021: The CPVO and the entrusted examination offices from France, Germany, the Netherlands and Spain conducted sessions on topics related to the distinctness, uniformity and stability (DUS) testing process, focusing either on the introduction of a more horizontal approach or on the EU’s experience with testing specific crops, such as melon, tomato, rhododendron and chrysanthemum (source and more information: </w:t>
      </w:r>
      <w:hyperlink r:id="rId53" w:history="1">
        <w:r w:rsidRPr="00860114">
          <w:rPr>
            <w:rStyle w:val="Hyperlink"/>
            <w:rFonts w:cs="Calibri"/>
            <w:lang w:val="en-GB"/>
          </w:rPr>
          <w:t>https://ipkey.eu/en/china/activities/2021-plant-variety-rights-online-technical-training</w:t>
        </w:r>
      </w:hyperlink>
      <w:r w:rsidRPr="00860114">
        <w:rPr>
          <w:lang w:val="en-GB"/>
        </w:rPr>
        <w:t>).</w:t>
      </w:r>
    </w:p>
    <w:p w:rsidR="00D76E4F" w:rsidRPr="00860114" w:rsidRDefault="00D76E4F" w:rsidP="00D76E4F">
      <w:pPr>
        <w:rPr>
          <w:lang w:val="en-GB"/>
        </w:rPr>
      </w:pPr>
    </w:p>
    <w:p w:rsidR="00D76E4F" w:rsidRPr="00860114" w:rsidRDefault="00D76E4F" w:rsidP="00D76E4F">
      <w:pPr>
        <w:rPr>
          <w:lang w:val="en-GB"/>
        </w:rPr>
      </w:pPr>
      <w:r w:rsidRPr="00860114">
        <w:rPr>
          <w:lang w:val="en-GB"/>
        </w:rPr>
        <w:t xml:space="preserve">Legislation Seminar: Plant Variety Rights Amendments 6 may 2022: focused on recent amendment to the Chinese Seed Law. (more information: </w:t>
      </w:r>
      <w:hyperlink r:id="rId54" w:history="1">
        <w:r w:rsidRPr="00860114">
          <w:rPr>
            <w:rStyle w:val="Hyperlink"/>
            <w:rFonts w:cs="Calibri"/>
            <w:lang w:val="en-GB"/>
          </w:rPr>
          <w:t>https://ipkey.eu/en/china/activities/legislation-seminar-plant-variety-rights-amendments</w:t>
        </w:r>
      </w:hyperlink>
      <w:r w:rsidRPr="00860114">
        <w:rPr>
          <w:lang w:val="en-GB"/>
        </w:rPr>
        <w:t xml:space="preserve">). </w:t>
      </w:r>
    </w:p>
    <w:p w:rsidR="00D76E4F" w:rsidRPr="00860114" w:rsidRDefault="00D76E4F" w:rsidP="00D76E4F">
      <w:pPr>
        <w:rPr>
          <w:lang w:val="en-GB"/>
        </w:rPr>
      </w:pPr>
    </w:p>
    <w:p w:rsidR="00D76E4F" w:rsidRPr="00860114" w:rsidRDefault="00D76E4F" w:rsidP="00D76E4F">
      <w:pPr>
        <w:keepNext/>
        <w:rPr>
          <w:i/>
          <w:szCs w:val="18"/>
          <w:lang w:val="en-GB"/>
        </w:rPr>
      </w:pPr>
      <w:r w:rsidRPr="00860114">
        <w:rPr>
          <w:i/>
          <w:szCs w:val="18"/>
          <w:lang w:val="en-GB"/>
        </w:rPr>
        <w:t xml:space="preserve">IPKey South-East Asia: </w:t>
      </w:r>
    </w:p>
    <w:p w:rsidR="00D76E4F" w:rsidRPr="00860114" w:rsidRDefault="00D76E4F" w:rsidP="00D76E4F">
      <w:pPr>
        <w:keepNext/>
        <w:rPr>
          <w:lang w:val="en-GB"/>
        </w:rPr>
      </w:pPr>
    </w:p>
    <w:p w:rsidR="00D76E4F" w:rsidRPr="00860114" w:rsidRDefault="00D76E4F" w:rsidP="00D76E4F">
      <w:pPr>
        <w:rPr>
          <w:lang w:val="en-GB"/>
        </w:rPr>
      </w:pPr>
      <w:r w:rsidRPr="00860114">
        <w:rPr>
          <w:lang w:val="en-GB"/>
        </w:rPr>
        <w:t xml:space="preserve">Awareness raising webinar on UPOV 1991 17 January 2022: follow-up to prior activities on plant variety protection aimed at promoting effective plant variety protection systems in SEA in order to support the UPOV 1991 Act accession of countries in the region. The activity highlighted the benefits that PVP brings to socio-economic development and its contribution to agricultural sustainability. The webinar also addressed the issues raised concerning PVP and UPOV 1991 accession. (source and more information: </w:t>
      </w:r>
      <w:hyperlink r:id="rId55" w:history="1">
        <w:r w:rsidRPr="00860114">
          <w:rPr>
            <w:rStyle w:val="Hyperlink"/>
            <w:rFonts w:cs="Calibri"/>
            <w:lang w:val="en-GB"/>
          </w:rPr>
          <w:t>https://ipkey.eu/en/south-east-asia/activities/webinar-plant-variety-protection-and-upov-1991</w:t>
        </w:r>
      </w:hyperlink>
      <w:r w:rsidRPr="00860114">
        <w:rPr>
          <w:lang w:val="en-GB"/>
        </w:rPr>
        <w:t xml:space="preserve">). </w:t>
      </w:r>
    </w:p>
    <w:p w:rsidR="00D76E4F" w:rsidRPr="00860114" w:rsidRDefault="00D76E4F" w:rsidP="00D76E4F">
      <w:pPr>
        <w:rPr>
          <w:lang w:val="en-GB"/>
        </w:rPr>
      </w:pPr>
    </w:p>
    <w:p w:rsidR="00D76E4F" w:rsidRPr="00860114" w:rsidRDefault="00D76E4F" w:rsidP="00D76E4F">
      <w:pPr>
        <w:rPr>
          <w:lang w:val="en-GB"/>
        </w:rPr>
      </w:pPr>
      <w:r w:rsidRPr="00860114">
        <w:rPr>
          <w:lang w:val="en-GB"/>
        </w:rPr>
        <w:t xml:space="preserve">Support to the Accession of SEA Countries to the UPOV 1991 Convention 18 January 2022: closed session and participation was limited to PVP Officials from the SEA countries. (more information here: </w:t>
      </w:r>
      <w:hyperlink r:id="rId56" w:history="1">
        <w:r w:rsidRPr="00860114">
          <w:rPr>
            <w:rStyle w:val="Hyperlink"/>
            <w:lang w:val="en-GB"/>
          </w:rPr>
          <w:t>https://ipkey.eu/en/south-east-asia/activities/support-accession-sea-countries-upov-1991-convention</w:t>
        </w:r>
      </w:hyperlink>
      <w:r w:rsidRPr="00860114">
        <w:rPr>
          <w:lang w:val="en-GB"/>
        </w:rPr>
        <w:t xml:space="preserve">) </w:t>
      </w:r>
    </w:p>
    <w:p w:rsidR="00D76E4F" w:rsidRPr="00860114" w:rsidRDefault="00D76E4F" w:rsidP="00D76E4F">
      <w:pPr>
        <w:rPr>
          <w:lang w:val="en-GB"/>
        </w:rPr>
      </w:pPr>
    </w:p>
    <w:p w:rsidR="00D76E4F" w:rsidRPr="00860114" w:rsidRDefault="00D76E4F" w:rsidP="00D76E4F">
      <w:pPr>
        <w:keepNext/>
        <w:rPr>
          <w:bCs/>
          <w:i/>
          <w:szCs w:val="18"/>
          <w:lang w:val="en-GB"/>
        </w:rPr>
      </w:pPr>
      <w:r w:rsidRPr="00860114">
        <w:rPr>
          <w:i/>
          <w:szCs w:val="18"/>
          <w:lang w:val="en-GB"/>
        </w:rPr>
        <w:t>IPKey Latin America</w:t>
      </w:r>
      <w:r w:rsidRPr="00860114">
        <w:rPr>
          <w:bCs/>
          <w:i/>
          <w:szCs w:val="18"/>
          <w:lang w:val="en-GB"/>
        </w:rPr>
        <w:t xml:space="preserve">: </w:t>
      </w:r>
    </w:p>
    <w:p w:rsidR="00D76E4F" w:rsidRPr="00860114" w:rsidRDefault="00D76E4F" w:rsidP="00D76E4F">
      <w:pPr>
        <w:keepNext/>
        <w:rPr>
          <w:bCs/>
          <w:lang w:val="en-GB"/>
        </w:rPr>
      </w:pPr>
    </w:p>
    <w:p w:rsidR="00D76E4F" w:rsidRPr="00860114" w:rsidRDefault="00D76E4F" w:rsidP="00D76E4F">
      <w:pPr>
        <w:rPr>
          <w:bCs/>
          <w:lang w:val="en-GB"/>
        </w:rPr>
      </w:pPr>
      <w:r w:rsidRPr="00860114">
        <w:rPr>
          <w:bCs/>
          <w:lang w:val="en-GB"/>
        </w:rPr>
        <w:t xml:space="preserve">In 2021 the project conducted a study on PVP protection in Ecuador. The study was presented in April 2022 during a closed event among Ecuadorian authorities, EUIPO and the European Commission (Delegation). </w:t>
      </w:r>
    </w:p>
    <w:p w:rsidR="00D76E4F" w:rsidRPr="00860114" w:rsidRDefault="00D76E4F" w:rsidP="00D76E4F">
      <w:pPr>
        <w:rPr>
          <w:bCs/>
          <w:lang w:val="en-GB"/>
        </w:rPr>
      </w:pPr>
    </w:p>
    <w:p w:rsidR="00D76E4F" w:rsidRPr="00860114" w:rsidRDefault="00D76E4F" w:rsidP="00D76E4F">
      <w:pPr>
        <w:keepNext/>
        <w:rPr>
          <w:i/>
          <w:szCs w:val="18"/>
          <w:lang w:val="en-GB"/>
        </w:rPr>
      </w:pPr>
      <w:r w:rsidRPr="00860114">
        <w:rPr>
          <w:i/>
          <w:szCs w:val="18"/>
          <w:lang w:val="en-GB"/>
        </w:rPr>
        <w:t xml:space="preserve">CarIPI: </w:t>
      </w:r>
    </w:p>
    <w:p w:rsidR="00D76E4F" w:rsidRPr="00860114" w:rsidRDefault="00D76E4F" w:rsidP="00D76E4F">
      <w:pPr>
        <w:keepNext/>
        <w:rPr>
          <w:rFonts w:eastAsia="Calibri"/>
          <w:lang w:val="en-GB"/>
        </w:rPr>
      </w:pPr>
    </w:p>
    <w:p w:rsidR="00D76E4F" w:rsidRPr="00860114" w:rsidRDefault="00D76E4F" w:rsidP="00D76E4F">
      <w:pPr>
        <w:rPr>
          <w:rFonts w:eastAsia="Calibri"/>
          <w:lang w:val="en-GB"/>
        </w:rPr>
      </w:pPr>
      <w:r w:rsidRPr="00860114">
        <w:rPr>
          <w:rFonts w:eastAsia="Calibri"/>
          <w:lang w:val="en-GB"/>
        </w:rPr>
        <w:t>Participation to the Caribbean Week of Agriculture October 2021</w:t>
      </w:r>
    </w:p>
    <w:p w:rsidR="00D76E4F" w:rsidRPr="00860114" w:rsidRDefault="00D76E4F" w:rsidP="00D76E4F">
      <w:pPr>
        <w:rPr>
          <w:lang w:val="en-GB"/>
        </w:rPr>
      </w:pPr>
    </w:p>
    <w:p w:rsidR="00D76E4F" w:rsidRPr="00860114" w:rsidRDefault="00D76E4F" w:rsidP="00D76E4F">
      <w:pPr>
        <w:rPr>
          <w:lang w:val="en-GB"/>
        </w:rPr>
      </w:pPr>
      <w:r w:rsidRPr="00860114">
        <w:rPr>
          <w:lang w:val="en-GB"/>
        </w:rPr>
        <w:t xml:space="preserve">Regional cooperation on Plant variety rights and study visit 19-20 May 2022. One of the few presential activities, it was organized an in-person seminar on Regional Cooperation in PVR in the Dominican Republic, combined with visits to some breeders’ companies that benefit from the PVR system. The event targeted decision makers from agricultural ministries, IP offices and/or EPA coordinators. (source and more information: </w:t>
      </w:r>
      <w:hyperlink r:id="rId57" w:history="1">
        <w:r w:rsidRPr="00860114">
          <w:rPr>
            <w:rStyle w:val="Hyperlink"/>
            <w:rFonts w:cs="Calibri"/>
            <w:lang w:val="en-GB"/>
          </w:rPr>
          <w:t>https://internationalipcooperation.eu/en/caripi/activities/regional-cooperation-plant-variety-rights-study-visit</w:t>
        </w:r>
      </w:hyperlink>
      <w:r w:rsidRPr="00860114">
        <w:rPr>
          <w:lang w:val="en-GB"/>
        </w:rPr>
        <w:t xml:space="preserve">). </w:t>
      </w:r>
    </w:p>
    <w:p w:rsidR="00D76E4F" w:rsidRPr="00860114" w:rsidRDefault="00D76E4F" w:rsidP="00D76E4F">
      <w:pPr>
        <w:keepNext/>
        <w:rPr>
          <w:i/>
          <w:szCs w:val="18"/>
          <w:lang w:val="en-GB"/>
        </w:rPr>
      </w:pPr>
      <w:r w:rsidRPr="00860114">
        <w:rPr>
          <w:i/>
          <w:szCs w:val="18"/>
          <w:lang w:val="en-GB"/>
        </w:rPr>
        <w:lastRenderedPageBreak/>
        <w:t>AfrIPI:</w:t>
      </w:r>
    </w:p>
    <w:p w:rsidR="00D76E4F" w:rsidRPr="00860114" w:rsidRDefault="00D76E4F" w:rsidP="00D76E4F">
      <w:pPr>
        <w:keepNext/>
        <w:rPr>
          <w:bCs/>
          <w:lang w:val="en-GB"/>
        </w:rPr>
      </w:pPr>
    </w:p>
    <w:p w:rsidR="00D76E4F" w:rsidRPr="00860114" w:rsidRDefault="00D76E4F" w:rsidP="00D76E4F">
      <w:pPr>
        <w:rPr>
          <w:lang w:val="en-GB"/>
        </w:rPr>
      </w:pPr>
      <w:r w:rsidRPr="00860114">
        <w:rPr>
          <w:bCs/>
          <w:lang w:val="en-GB"/>
        </w:rPr>
        <w:t xml:space="preserve">Under the </w:t>
      </w:r>
      <w:r w:rsidRPr="00860114">
        <w:rPr>
          <w:lang w:val="en-GB"/>
        </w:rPr>
        <w:t xml:space="preserve">AfrIPI project the CPVO together with UPOV and the project’s team organized an event on 9 November 2021 focused on the potentials and benefits of the Arusha Protocol. </w:t>
      </w:r>
    </w:p>
    <w:p w:rsidR="00D76E4F" w:rsidRPr="00860114" w:rsidRDefault="00D76E4F" w:rsidP="00D76E4F">
      <w:pPr>
        <w:rPr>
          <w:lang w:val="en-GB"/>
        </w:rPr>
      </w:pPr>
    </w:p>
    <w:p w:rsidR="00D76E4F" w:rsidRPr="00860114" w:rsidRDefault="00D76E4F" w:rsidP="00D76E4F">
      <w:pPr>
        <w:rPr>
          <w:lang w:val="en-GB"/>
        </w:rPr>
      </w:pPr>
      <w:r w:rsidRPr="00860114">
        <w:rPr>
          <w:lang w:val="en-GB"/>
        </w:rPr>
        <w:t>The CPVO continued as well to provide technical assistance in the PPOV Project to OAPI, and further implemented activities in the Caribbean under the TAIEX instrument to support the implementation of the Dominican Republic Plant Variety Protection system. Here the activities organized:</w:t>
      </w:r>
    </w:p>
    <w:p w:rsidR="00D76E4F" w:rsidRPr="00860114" w:rsidRDefault="00D76E4F" w:rsidP="00D76E4F">
      <w:pPr>
        <w:rPr>
          <w:lang w:val="en-GB"/>
        </w:rPr>
      </w:pPr>
    </w:p>
    <w:p w:rsidR="00D76E4F" w:rsidRPr="00860114" w:rsidRDefault="00D76E4F" w:rsidP="00D76E4F">
      <w:pPr>
        <w:numPr>
          <w:ilvl w:val="0"/>
          <w:numId w:val="36"/>
        </w:numPr>
        <w:rPr>
          <w:lang w:val="en-GB"/>
        </w:rPr>
      </w:pPr>
      <w:r w:rsidRPr="00860114">
        <w:rPr>
          <w:lang w:val="en-GB"/>
        </w:rPr>
        <w:t>Study visit in Santo Domingo in March 2022.</w:t>
      </w:r>
    </w:p>
    <w:p w:rsidR="00D76E4F" w:rsidRPr="00860114" w:rsidRDefault="00D76E4F" w:rsidP="00D76E4F">
      <w:pPr>
        <w:rPr>
          <w:lang w:val="en-GB"/>
        </w:rPr>
      </w:pPr>
    </w:p>
    <w:p w:rsidR="00D76E4F" w:rsidRPr="00860114" w:rsidRDefault="00D76E4F" w:rsidP="00D76E4F">
      <w:pPr>
        <w:numPr>
          <w:ilvl w:val="0"/>
          <w:numId w:val="36"/>
        </w:numPr>
        <w:rPr>
          <w:lang w:val="en-GB"/>
        </w:rPr>
      </w:pPr>
      <w:r w:rsidRPr="00860114">
        <w:rPr>
          <w:lang w:val="en-GB"/>
        </w:rPr>
        <w:t>Study visit of a delegation from the Dominican Republic to Spain for capacity building activities of technical experts, specifically on DUS Test for rice (in cooperation with the OEVV) in July 2022.</w:t>
      </w:r>
    </w:p>
    <w:p w:rsidR="00D76E4F" w:rsidRPr="00860114" w:rsidRDefault="00D76E4F" w:rsidP="00D76E4F">
      <w:pPr>
        <w:rPr>
          <w:lang w:val="en-GB"/>
        </w:rPr>
      </w:pPr>
    </w:p>
    <w:p w:rsidR="00D76E4F" w:rsidRPr="00860114" w:rsidRDefault="00D76E4F" w:rsidP="00D76E4F">
      <w:pPr>
        <w:numPr>
          <w:ilvl w:val="0"/>
          <w:numId w:val="36"/>
        </w:numPr>
        <w:rPr>
          <w:lang w:val="en-GB"/>
        </w:rPr>
      </w:pPr>
      <w:r w:rsidRPr="00860114">
        <w:rPr>
          <w:lang w:val="en-GB"/>
        </w:rPr>
        <w:t>Study visit of Director of OREVADO to CPVO July 2022.</w:t>
      </w:r>
    </w:p>
    <w:p w:rsidR="00D76E4F" w:rsidRPr="00860114" w:rsidRDefault="00D76E4F" w:rsidP="00D76E4F">
      <w:pPr>
        <w:rPr>
          <w:lang w:val="en-GB"/>
        </w:rPr>
      </w:pPr>
    </w:p>
    <w:p w:rsidR="00D76E4F" w:rsidRPr="00860114" w:rsidRDefault="00D76E4F" w:rsidP="00D76E4F">
      <w:pPr>
        <w:numPr>
          <w:ilvl w:val="0"/>
          <w:numId w:val="36"/>
        </w:numPr>
        <w:rPr>
          <w:lang w:val="en-GB"/>
        </w:rPr>
      </w:pPr>
      <w:r w:rsidRPr="00860114">
        <w:rPr>
          <w:lang w:val="en-GB"/>
        </w:rPr>
        <w:t xml:space="preserve">As a follow up and partially supported activity, a short term internship was granted to the Responsible of Legal Affairs of OREVADO at the CPVO in July/August 2022, to exchange best practices in managing the reception process and legal proceedings. </w:t>
      </w:r>
    </w:p>
    <w:p w:rsidR="00D76E4F" w:rsidRPr="00860114" w:rsidRDefault="00D76E4F" w:rsidP="00D76E4F">
      <w:pPr>
        <w:rPr>
          <w:sz w:val="18"/>
          <w:szCs w:val="18"/>
          <w:lang w:val="en-GB"/>
        </w:rPr>
      </w:pPr>
    </w:p>
    <w:p w:rsidR="00D76E4F" w:rsidRPr="00860114" w:rsidRDefault="00D76E4F" w:rsidP="00D76E4F">
      <w:pPr>
        <w:keepNext/>
        <w:rPr>
          <w:bCs/>
          <w:i/>
          <w:szCs w:val="18"/>
          <w:lang w:val="en-GB"/>
        </w:rPr>
      </w:pPr>
      <w:r w:rsidRPr="00860114">
        <w:rPr>
          <w:bCs/>
          <w:i/>
          <w:szCs w:val="18"/>
          <w:lang w:val="en-GB"/>
        </w:rPr>
        <w:t>UPOV meetings</w:t>
      </w:r>
    </w:p>
    <w:p w:rsidR="00D76E4F" w:rsidRPr="00860114" w:rsidRDefault="00D76E4F" w:rsidP="00D76E4F">
      <w:pPr>
        <w:keepNext/>
        <w:rPr>
          <w:lang w:val="en-GB"/>
        </w:rPr>
      </w:pPr>
    </w:p>
    <w:p w:rsidR="00D76E4F" w:rsidRPr="00860114" w:rsidRDefault="00D76E4F" w:rsidP="00D76E4F">
      <w:pPr>
        <w:rPr>
          <w:lang w:val="en-GB"/>
        </w:rPr>
      </w:pPr>
      <w:r w:rsidRPr="00860114">
        <w:rPr>
          <w:lang w:val="en-GB"/>
        </w:rPr>
        <w:t>The Commission and CPVO representatives being part of the EU delegation attended the meetings of the UPOV Council, the Consultative Committee, the Legal and Administrative Committee, the Technical Committee. CPVO attended all TWPs. Working groups on the electronic application form, on harvested material and unauthorized use of propagating material (WG-HRV), on guidance concerning smallholder farmers in relation to private and non-commercial use (WG-SHF), as well as on Essentially Derived Varieties (WG-EDV) were attended.</w:t>
      </w:r>
    </w:p>
    <w:p w:rsidR="00D76E4F" w:rsidRPr="00860114" w:rsidRDefault="00D76E4F" w:rsidP="00D76E4F">
      <w:pPr>
        <w:rPr>
          <w:lang w:val="en-GB"/>
        </w:rPr>
      </w:pPr>
    </w:p>
    <w:p w:rsidR="00D76E4F" w:rsidRPr="00860114" w:rsidRDefault="00D76E4F" w:rsidP="00D76E4F">
      <w:pPr>
        <w:keepNext/>
        <w:rPr>
          <w:bCs/>
          <w:i/>
          <w:szCs w:val="18"/>
          <w:lang w:val="en-GB"/>
        </w:rPr>
      </w:pPr>
      <w:r w:rsidRPr="00860114">
        <w:rPr>
          <w:bCs/>
          <w:i/>
          <w:szCs w:val="18"/>
          <w:lang w:val="en-GB"/>
        </w:rPr>
        <w:t>EAPVP</w:t>
      </w:r>
    </w:p>
    <w:p w:rsidR="00D76E4F" w:rsidRPr="00860114" w:rsidRDefault="00D76E4F" w:rsidP="00D76E4F">
      <w:pPr>
        <w:keepNext/>
        <w:rPr>
          <w:lang w:val="en-GB"/>
        </w:rPr>
      </w:pPr>
    </w:p>
    <w:p w:rsidR="00D76E4F" w:rsidRPr="00860114" w:rsidRDefault="00D76E4F" w:rsidP="00D76E4F">
      <w:pPr>
        <w:rPr>
          <w:lang w:val="en-GB"/>
        </w:rPr>
      </w:pPr>
      <w:r w:rsidRPr="00860114">
        <w:rPr>
          <w:lang w:val="en-GB"/>
        </w:rPr>
        <w:t>Participation to the 14</w:t>
      </w:r>
      <w:r w:rsidRPr="00860114">
        <w:rPr>
          <w:vertAlign w:val="superscript"/>
          <w:lang w:val="en-GB"/>
        </w:rPr>
        <w:t>th</w:t>
      </w:r>
      <w:r w:rsidRPr="00860114">
        <w:rPr>
          <w:lang w:val="en-GB"/>
        </w:rPr>
        <w:t xml:space="preserve"> and 15</w:t>
      </w:r>
      <w:r w:rsidRPr="00860114">
        <w:rPr>
          <w:vertAlign w:val="superscript"/>
          <w:lang w:val="en-GB"/>
        </w:rPr>
        <w:t>th</w:t>
      </w:r>
      <w:r w:rsidRPr="00860114">
        <w:rPr>
          <w:lang w:val="en-GB"/>
        </w:rPr>
        <w:t xml:space="preserve"> annual forum (August – September 2021 and July 2022). The EAPVP forum annual meeting serves the purpose of reporting on the previous year’s activities and to plan future cooperation initiatives, including updates on the EAPVP Pilot project on establishing an e-PVP platform.  </w:t>
      </w:r>
    </w:p>
    <w:p w:rsidR="00D76E4F" w:rsidRPr="00860114" w:rsidRDefault="00D76E4F" w:rsidP="00D76E4F">
      <w:pPr>
        <w:rPr>
          <w:sz w:val="18"/>
          <w:szCs w:val="18"/>
          <w:lang w:val="en-GB"/>
        </w:rPr>
      </w:pPr>
    </w:p>
    <w:p w:rsidR="00D76E4F" w:rsidRPr="00860114" w:rsidRDefault="00D76E4F" w:rsidP="00D76E4F">
      <w:pPr>
        <w:keepNext/>
        <w:rPr>
          <w:bCs/>
          <w:i/>
          <w:szCs w:val="18"/>
          <w:lang w:val="en-GB"/>
        </w:rPr>
      </w:pPr>
      <w:r w:rsidRPr="00860114">
        <w:rPr>
          <w:bCs/>
          <w:i/>
          <w:szCs w:val="18"/>
          <w:lang w:val="en-GB"/>
        </w:rPr>
        <w:t xml:space="preserve">CPVO – European Patent Organisation </w:t>
      </w:r>
    </w:p>
    <w:p w:rsidR="00D76E4F" w:rsidRPr="00860114" w:rsidRDefault="00D76E4F" w:rsidP="00D76E4F">
      <w:pPr>
        <w:keepNext/>
        <w:rPr>
          <w:sz w:val="18"/>
          <w:szCs w:val="18"/>
          <w:lang w:val="en-GB"/>
        </w:rPr>
      </w:pPr>
    </w:p>
    <w:p w:rsidR="00D76E4F" w:rsidRPr="00860114" w:rsidRDefault="00D76E4F" w:rsidP="00D76E4F">
      <w:pPr>
        <w:rPr>
          <w:lang w:val="en-GB"/>
        </w:rPr>
      </w:pPr>
      <w:r w:rsidRPr="00860114">
        <w:rPr>
          <w:lang w:val="en-GB"/>
        </w:rPr>
        <w:t>On 31 March 2022, the CPVO renewed its cooperation agreement for a duration of five years with the European Patent Office (EPO) by means of the “Administrative Arrangement No 2022/01373 on bilateral cooperation between the EPO and the CPVO”, which includes two implementation plants. The renewed cooperation agreement thus follows up on the previous (and first) Administrative Arrangement, which was signed in February 2016 and enabled greater transparency and exchange of knowledge between the two organisations in the area of plant-related patents and plant variety rights, respectively. The cooperation plans reflected in the new cooperation agreement are focused on data exchange and sharing work practices regarding the use of databases and other work tools. The exchange of data allows the examiners to search plant varieties protected by certificate, thus further increasing the validity of the European patents. The relevant databases have also been made available to the member states of the European Patent Organisation. In essence, the EPO and the CPVO are in constant dialogue. So far, this dialogue has proven essential in the protection of plant-related innovations and will play a key role in facing the challenges of the 21st century.</w:t>
      </w:r>
    </w:p>
    <w:p w:rsidR="00D76E4F" w:rsidRPr="00860114" w:rsidRDefault="00D76E4F" w:rsidP="00D76E4F">
      <w:pPr>
        <w:rPr>
          <w:sz w:val="18"/>
          <w:szCs w:val="18"/>
          <w:lang w:val="en-GB"/>
        </w:rPr>
      </w:pPr>
    </w:p>
    <w:p w:rsidR="00D76E4F" w:rsidRPr="00860114" w:rsidRDefault="00D76E4F" w:rsidP="00D76E4F">
      <w:pPr>
        <w:keepNext/>
        <w:rPr>
          <w:bCs/>
          <w:i/>
          <w:szCs w:val="18"/>
          <w:lang w:val="en-GB"/>
        </w:rPr>
      </w:pPr>
      <w:r w:rsidRPr="00860114">
        <w:rPr>
          <w:bCs/>
          <w:i/>
          <w:szCs w:val="18"/>
          <w:lang w:val="en-GB"/>
        </w:rPr>
        <w:t>OAPI</w:t>
      </w:r>
    </w:p>
    <w:p w:rsidR="00D76E4F" w:rsidRPr="00860114" w:rsidRDefault="00D76E4F" w:rsidP="00D76E4F">
      <w:pPr>
        <w:keepNext/>
        <w:rPr>
          <w:lang w:val="en-GB"/>
        </w:rPr>
      </w:pPr>
    </w:p>
    <w:p w:rsidR="00D76E4F" w:rsidRPr="00860114" w:rsidRDefault="00D76E4F" w:rsidP="00D76E4F">
      <w:pPr>
        <w:rPr>
          <w:lang w:val="en-GB"/>
        </w:rPr>
      </w:pPr>
      <w:r w:rsidRPr="00860114">
        <w:rPr>
          <w:lang w:val="en-GB"/>
        </w:rPr>
        <w:t xml:space="preserve">In the beginning of July 2019, the EU Commission signed a contract with the African Intellectual Property Office (OAPI) in Geneva providing funds for a so-called Road Map aiming at the promotion of intellectual property to foster the creation of new varieties adapted to the African market and to provide an incentive to make superior varieties existing elsewhere available to OAPI area. The project is managed by OAPI, the CPVO is – together with UPOV, GEVES, GNIS, and Naktuinbouw – a partner. </w:t>
      </w:r>
    </w:p>
    <w:p w:rsidR="00D76E4F" w:rsidRPr="00860114" w:rsidRDefault="00D76E4F" w:rsidP="00D76E4F">
      <w:pPr>
        <w:rPr>
          <w:lang w:val="en-GB"/>
        </w:rPr>
      </w:pPr>
    </w:p>
    <w:p w:rsidR="00D76E4F" w:rsidRPr="00860114" w:rsidRDefault="00D76E4F" w:rsidP="00D76E4F">
      <w:pPr>
        <w:rPr>
          <w:lang w:val="en-GB"/>
        </w:rPr>
      </w:pPr>
      <w:r w:rsidRPr="00860114">
        <w:rPr>
          <w:lang w:val="en-GB"/>
        </w:rPr>
        <w:t xml:space="preserve">Due to sanitary restrictions linked to the Covid-19 pandemic, the activities with an involvement of CPVO experts requiring a physical presence (assessing testing facilities) planned for January and February 2021 had to be postponed. The implementation of the project will continue at least until the second quarter of 2022. A further prolongation until the end of 2022 has been requested to the EU Commission. OAPI nevertheless conducted seminars dedicated to breeders and seed producers in Brazzaville, in Libreville, in Niamey, in Ndjamena, in Bissau and in Conakry to which the CPVO contributed by electronic means. In June 2022, some 20 national </w:t>
      </w:r>
      <w:r w:rsidRPr="00872781">
        <w:rPr>
          <w:lang w:val="en-GB"/>
        </w:rPr>
        <w:lastRenderedPageBreak/>
        <w:t>crop experts received practical training in DUS testing for one week at GEVES (France) and for another week Naktuinbouw (The Netherlands). In the second quarter of 2022, QAS made virtual follow-up evaluations to</w:t>
      </w:r>
      <w:r w:rsidRPr="00860114">
        <w:rPr>
          <w:lang w:val="en-GB"/>
        </w:rPr>
        <w:t xml:space="preserve"> OAPI’s DUS examination authorities in Burkina Faso and Cameroon, as well as on-site follow-up evaluations to its DUS examination authorities in Senegal and Côte d’Ivoire. </w:t>
      </w:r>
    </w:p>
    <w:p w:rsidR="00D76E4F" w:rsidRPr="00860114" w:rsidRDefault="00D76E4F" w:rsidP="00D76E4F">
      <w:pPr>
        <w:rPr>
          <w:sz w:val="18"/>
          <w:szCs w:val="18"/>
          <w:lang w:val="en-GB"/>
        </w:rPr>
      </w:pPr>
    </w:p>
    <w:p w:rsidR="00D76E4F" w:rsidRPr="00860114" w:rsidRDefault="00D76E4F" w:rsidP="00D76E4F">
      <w:pPr>
        <w:keepNext/>
        <w:rPr>
          <w:u w:val="single"/>
          <w:lang w:val="en-GB"/>
        </w:rPr>
      </w:pPr>
      <w:r w:rsidRPr="00860114">
        <w:rPr>
          <w:u w:val="single"/>
          <w:lang w:val="en-GB"/>
        </w:rPr>
        <w:t>5.2 Training</w:t>
      </w:r>
    </w:p>
    <w:p w:rsidR="00D76E4F" w:rsidRPr="00860114" w:rsidRDefault="00D76E4F" w:rsidP="00D76E4F">
      <w:pPr>
        <w:keepNext/>
        <w:rPr>
          <w:lang w:val="en-GB"/>
        </w:rPr>
      </w:pPr>
    </w:p>
    <w:p w:rsidR="00D76E4F" w:rsidRPr="00860114" w:rsidRDefault="00D76E4F" w:rsidP="00D76E4F">
      <w:pPr>
        <w:rPr>
          <w:lang w:val="en-GB"/>
        </w:rPr>
      </w:pPr>
      <w:r w:rsidRPr="00860114">
        <w:rPr>
          <w:lang w:val="en-GB"/>
        </w:rPr>
        <w:t xml:space="preserve">During the year 2021-2022, the CPVO was involved in the preparation of several trainings, mainly carried out online, due to the outbreak of the Covid-19 pandemic including: </w:t>
      </w:r>
    </w:p>
    <w:p w:rsidR="00D76E4F" w:rsidRPr="00860114" w:rsidRDefault="00D76E4F" w:rsidP="00D76E4F">
      <w:pPr>
        <w:rPr>
          <w:lang w:val="en-GB"/>
        </w:rPr>
      </w:pPr>
    </w:p>
    <w:p w:rsidR="00D76E4F" w:rsidRPr="00860114" w:rsidRDefault="00D76E4F" w:rsidP="00D76E4F">
      <w:pPr>
        <w:numPr>
          <w:ilvl w:val="0"/>
          <w:numId w:val="37"/>
        </w:numPr>
        <w:spacing w:after="120"/>
        <w:ind w:left="714" w:hanging="357"/>
        <w:rPr>
          <w:lang w:val="en-GB"/>
        </w:rPr>
      </w:pPr>
      <w:r w:rsidRPr="00860114">
        <w:rPr>
          <w:lang w:val="en-GB"/>
        </w:rPr>
        <w:t>Roundtable organized by ESSCA – 22 September 2021</w:t>
      </w:r>
    </w:p>
    <w:p w:rsidR="00D76E4F" w:rsidRPr="00860114" w:rsidRDefault="00D76E4F" w:rsidP="00D76E4F">
      <w:pPr>
        <w:numPr>
          <w:ilvl w:val="0"/>
          <w:numId w:val="37"/>
        </w:numPr>
        <w:spacing w:after="120"/>
        <w:ind w:left="714" w:hanging="357"/>
        <w:rPr>
          <w:lang w:val="en-GB"/>
        </w:rPr>
      </w:pPr>
      <w:r w:rsidRPr="00860114">
        <w:rPr>
          <w:lang w:val="en-GB"/>
        </w:rPr>
        <w:t>International seminar on PVR, Garrigues (Latin America) – 28 September 2022</w:t>
      </w:r>
    </w:p>
    <w:p w:rsidR="00D76E4F" w:rsidRPr="00860114" w:rsidRDefault="00D76E4F" w:rsidP="00D76E4F">
      <w:pPr>
        <w:numPr>
          <w:ilvl w:val="0"/>
          <w:numId w:val="37"/>
        </w:numPr>
        <w:spacing w:after="120"/>
        <w:ind w:left="714" w:hanging="357"/>
        <w:rPr>
          <w:lang w:val="en-GB"/>
        </w:rPr>
      </w:pPr>
      <w:r w:rsidRPr="00860114">
        <w:rPr>
          <w:lang w:val="en-GB"/>
        </w:rPr>
        <w:t>Webinars organized together with the IP Helpdesks (European and international/regional ones)</w:t>
      </w:r>
    </w:p>
    <w:p w:rsidR="00D76E4F" w:rsidRPr="00860114" w:rsidRDefault="00D76E4F" w:rsidP="00D76E4F">
      <w:pPr>
        <w:numPr>
          <w:ilvl w:val="0"/>
          <w:numId w:val="38"/>
        </w:numPr>
        <w:spacing w:after="120"/>
        <w:rPr>
          <w:lang w:val="en-GB"/>
        </w:rPr>
      </w:pPr>
      <w:r w:rsidRPr="00860114">
        <w:rPr>
          <w:lang w:val="en-GB"/>
        </w:rPr>
        <w:t>IP in the Agrifood Sector II - interface among trademark, PVD and GIs – 28 September 2021</w:t>
      </w:r>
    </w:p>
    <w:p w:rsidR="00D76E4F" w:rsidRPr="00860114" w:rsidRDefault="00D76E4F" w:rsidP="00D76E4F">
      <w:pPr>
        <w:numPr>
          <w:ilvl w:val="0"/>
          <w:numId w:val="38"/>
        </w:numPr>
        <w:spacing w:after="120"/>
        <w:rPr>
          <w:lang w:val="en-GB"/>
        </w:rPr>
      </w:pPr>
      <w:r w:rsidRPr="00860114">
        <w:rPr>
          <w:lang w:val="en-GB"/>
        </w:rPr>
        <w:t>The essential role of Quality Auditing examination offices for EU Plant Variety Rights – 17 February 2022</w:t>
      </w:r>
    </w:p>
    <w:p w:rsidR="00D76E4F" w:rsidRPr="00860114" w:rsidRDefault="00D76E4F" w:rsidP="00D76E4F">
      <w:pPr>
        <w:numPr>
          <w:ilvl w:val="0"/>
          <w:numId w:val="38"/>
        </w:numPr>
        <w:spacing w:after="120"/>
        <w:rPr>
          <w:lang w:val="en-GB"/>
        </w:rPr>
      </w:pPr>
      <w:r w:rsidRPr="00860114">
        <w:rPr>
          <w:lang w:val="en-GB"/>
        </w:rPr>
        <w:t>International IP Helpdesks webinar - IP in the agrifood (China, SEA, Africa and LA SMEs helpdesks) – 16 March 2022</w:t>
      </w:r>
    </w:p>
    <w:p w:rsidR="00D76E4F" w:rsidRPr="00860114" w:rsidRDefault="00D76E4F" w:rsidP="00D76E4F">
      <w:pPr>
        <w:numPr>
          <w:ilvl w:val="0"/>
          <w:numId w:val="38"/>
        </w:numPr>
        <w:spacing w:after="120"/>
        <w:rPr>
          <w:lang w:val="en-GB"/>
        </w:rPr>
      </w:pPr>
      <w:r w:rsidRPr="00860114">
        <w:rPr>
          <w:lang w:val="en-GB"/>
        </w:rPr>
        <w:t>Constraints and opportunities for edited varieties – 12 April 2022</w:t>
      </w:r>
    </w:p>
    <w:p w:rsidR="00D76E4F" w:rsidRPr="00860114" w:rsidRDefault="00D76E4F" w:rsidP="00D76E4F">
      <w:pPr>
        <w:numPr>
          <w:ilvl w:val="0"/>
          <w:numId w:val="38"/>
        </w:numPr>
        <w:spacing w:after="120"/>
        <w:rPr>
          <w:lang w:val="en-GB"/>
        </w:rPr>
      </w:pPr>
      <w:r w:rsidRPr="00860114">
        <w:rPr>
          <w:lang w:val="en-GB"/>
        </w:rPr>
        <w:t>Introduction to Plant Variety Protection in the European Union – 21 June 2022</w:t>
      </w:r>
    </w:p>
    <w:p w:rsidR="00D76E4F" w:rsidRPr="00860114" w:rsidRDefault="00D76E4F" w:rsidP="00D76E4F">
      <w:pPr>
        <w:numPr>
          <w:ilvl w:val="0"/>
          <w:numId w:val="37"/>
        </w:numPr>
        <w:spacing w:after="120"/>
        <w:ind w:left="714" w:hanging="357"/>
        <w:rPr>
          <w:lang w:val="en-GB"/>
        </w:rPr>
      </w:pPr>
      <w:r w:rsidRPr="00860114">
        <w:rPr>
          <w:lang w:val="en-GB"/>
        </w:rPr>
        <w:t>Intellectual Property Protection for Plant Innovation 2021 – ISF / Forum – 2 December 2021</w:t>
      </w:r>
    </w:p>
    <w:p w:rsidR="00D76E4F" w:rsidRPr="00860114" w:rsidRDefault="00D76E4F" w:rsidP="00D76E4F">
      <w:pPr>
        <w:numPr>
          <w:ilvl w:val="0"/>
          <w:numId w:val="37"/>
        </w:numPr>
        <w:spacing w:after="120"/>
        <w:ind w:left="714" w:hanging="357"/>
        <w:rPr>
          <w:lang w:val="en-GB"/>
        </w:rPr>
      </w:pPr>
      <w:r w:rsidRPr="00860114">
        <w:rPr>
          <w:lang w:val="en-GB"/>
        </w:rPr>
        <w:t>Presentation of the CPVR system within the LLM in Intellectual Property of the University of Maastricht on 11 January 2022</w:t>
      </w:r>
    </w:p>
    <w:p w:rsidR="00D76E4F" w:rsidRPr="00860114" w:rsidRDefault="00D76E4F" w:rsidP="00D76E4F">
      <w:pPr>
        <w:numPr>
          <w:ilvl w:val="0"/>
          <w:numId w:val="37"/>
        </w:numPr>
        <w:spacing w:after="120"/>
        <w:ind w:left="714" w:hanging="357"/>
        <w:rPr>
          <w:lang w:val="en-GB"/>
        </w:rPr>
      </w:pPr>
      <w:r w:rsidRPr="00860114">
        <w:rPr>
          <w:lang w:val="en-GB"/>
        </w:rPr>
        <w:t>Presentation of the CPVR system to the Master in Food Law, LUISS University, Rome – 18 March 2022</w:t>
      </w:r>
    </w:p>
    <w:p w:rsidR="00D76E4F" w:rsidRPr="00860114" w:rsidRDefault="00D76E4F" w:rsidP="00D76E4F">
      <w:pPr>
        <w:numPr>
          <w:ilvl w:val="0"/>
          <w:numId w:val="37"/>
        </w:numPr>
        <w:spacing w:after="120"/>
        <w:ind w:left="714" w:hanging="357"/>
        <w:rPr>
          <w:lang w:val="en-GB"/>
        </w:rPr>
      </w:pPr>
      <w:r w:rsidRPr="00860114">
        <w:rPr>
          <w:lang w:val="en-GB"/>
        </w:rPr>
        <w:t>Presentation on the CPVR system and the CPVO to ICEA (Institut Catalan d’Estudis Agraris – Catalan Institute of Agrarian Studies)</w:t>
      </w:r>
    </w:p>
    <w:p w:rsidR="00D76E4F" w:rsidRPr="00860114" w:rsidRDefault="00D76E4F" w:rsidP="00D76E4F">
      <w:pPr>
        <w:numPr>
          <w:ilvl w:val="0"/>
          <w:numId w:val="37"/>
        </w:numPr>
        <w:spacing w:after="120"/>
        <w:ind w:left="714" w:hanging="357"/>
        <w:rPr>
          <w:lang w:val="en-GB"/>
        </w:rPr>
      </w:pPr>
      <w:r w:rsidRPr="00860114">
        <w:rPr>
          <w:lang w:val="en-GB"/>
        </w:rPr>
        <w:t>Seminar on the study on the socio-economic impact of CPVR, jointly with the EUIPO -28 April 2022</w:t>
      </w:r>
    </w:p>
    <w:p w:rsidR="00D76E4F" w:rsidRPr="00860114" w:rsidRDefault="00D76E4F" w:rsidP="00D76E4F">
      <w:pPr>
        <w:numPr>
          <w:ilvl w:val="0"/>
          <w:numId w:val="37"/>
        </w:numPr>
        <w:spacing w:after="120"/>
        <w:ind w:left="714" w:hanging="357"/>
        <w:rPr>
          <w:lang w:val="en-GB"/>
        </w:rPr>
      </w:pPr>
      <w:r w:rsidRPr="00860114">
        <w:rPr>
          <w:lang w:val="en-GB"/>
        </w:rPr>
        <w:t>Presentation of the CPVR system within the Magister Lvcentinvs (IP LLM) of the University of Alicante - 6 May 2022</w:t>
      </w:r>
    </w:p>
    <w:p w:rsidR="00D76E4F" w:rsidRPr="00860114" w:rsidRDefault="00D76E4F" w:rsidP="00D76E4F">
      <w:pPr>
        <w:numPr>
          <w:ilvl w:val="0"/>
          <w:numId w:val="37"/>
        </w:numPr>
        <w:spacing w:after="120"/>
        <w:ind w:left="714" w:hanging="357"/>
        <w:rPr>
          <w:lang w:val="en-GB"/>
        </w:rPr>
      </w:pPr>
      <w:r w:rsidRPr="00860114">
        <w:rPr>
          <w:lang w:val="en-GB"/>
        </w:rPr>
        <w:t>Internal training for DG TRADE and DG GROW on CPVR matters and trade-sensitive topics (misconceptions on UPOV) – 24 June 2022</w:t>
      </w:r>
    </w:p>
    <w:p w:rsidR="00D76E4F" w:rsidRPr="00860114" w:rsidRDefault="00D76E4F" w:rsidP="00D76E4F">
      <w:pPr>
        <w:numPr>
          <w:ilvl w:val="0"/>
          <w:numId w:val="37"/>
        </w:numPr>
        <w:spacing w:after="120"/>
        <w:ind w:left="714" w:hanging="357"/>
        <w:rPr>
          <w:lang w:val="en-GB"/>
        </w:rPr>
      </w:pPr>
      <w:r w:rsidRPr="00860114">
        <w:rPr>
          <w:lang w:val="en-GB"/>
        </w:rPr>
        <w:t>IP Caselaw Conference at the EUIPO on 7-8 July 2022</w:t>
      </w:r>
    </w:p>
    <w:p w:rsidR="00D76E4F" w:rsidRPr="00860114" w:rsidRDefault="00D76E4F" w:rsidP="00D76E4F">
      <w:pPr>
        <w:numPr>
          <w:ilvl w:val="0"/>
          <w:numId w:val="37"/>
        </w:numPr>
        <w:spacing w:after="120"/>
        <w:ind w:left="714" w:hanging="357"/>
        <w:rPr>
          <w:lang w:val="en-GB"/>
        </w:rPr>
      </w:pPr>
      <w:r w:rsidRPr="00860114">
        <w:rPr>
          <w:lang w:val="en-GB"/>
        </w:rPr>
        <w:t>Training for the chamber of commerce of Milan on NGTs – 19 July 2022.</w:t>
      </w:r>
    </w:p>
    <w:p w:rsidR="00D76E4F" w:rsidRPr="00860114" w:rsidRDefault="00D76E4F" w:rsidP="00D76E4F">
      <w:pPr>
        <w:rPr>
          <w:sz w:val="18"/>
          <w:szCs w:val="18"/>
          <w:lang w:val="en-GB"/>
        </w:rPr>
      </w:pPr>
    </w:p>
    <w:p w:rsidR="00D76E4F" w:rsidRPr="00860114" w:rsidRDefault="00D76E4F" w:rsidP="00D76E4F">
      <w:pPr>
        <w:keepNext/>
        <w:rPr>
          <w:u w:val="single"/>
          <w:lang w:val="en-GB"/>
        </w:rPr>
      </w:pPr>
      <w:r w:rsidRPr="00860114">
        <w:rPr>
          <w:u w:val="single"/>
          <w:lang w:val="en-GB"/>
        </w:rPr>
        <w:t>5.3 Meetings with Stakeholder organisations</w:t>
      </w:r>
    </w:p>
    <w:p w:rsidR="00D76E4F" w:rsidRPr="00860114" w:rsidRDefault="00D76E4F" w:rsidP="00D76E4F">
      <w:pPr>
        <w:keepNext/>
        <w:rPr>
          <w:lang w:val="en-GB"/>
        </w:rPr>
      </w:pPr>
    </w:p>
    <w:p w:rsidR="00D76E4F" w:rsidRPr="00860114" w:rsidRDefault="00D76E4F" w:rsidP="00D76E4F">
      <w:pPr>
        <w:rPr>
          <w:lang w:val="en-GB"/>
        </w:rPr>
      </w:pPr>
      <w:r w:rsidRPr="00860114">
        <w:rPr>
          <w:lang w:val="en-GB"/>
        </w:rPr>
        <w:t>The Commission and the CPVO attended the Euroseeds Annual meeting on 18-20 October 2021. CPVO attended the annual meeting of CIOPORA International on 25-26 April 2022  as well as the ISF Congress on 16-17-18 May 2022. The CPVO also met the breeders organisations on a bilateral basis: Euroseeds &amp; Plantum 07/04/2022, Assosementi 23/03/2022 and CIOPORA 31/05/2022.</w:t>
      </w:r>
    </w:p>
    <w:p w:rsidR="00D76E4F" w:rsidRPr="00860114" w:rsidRDefault="00D76E4F" w:rsidP="00D76E4F">
      <w:pPr>
        <w:rPr>
          <w:lang w:val="en-GB"/>
        </w:rPr>
      </w:pPr>
    </w:p>
    <w:p w:rsidR="00D76E4F" w:rsidRPr="00860114" w:rsidRDefault="00D76E4F" w:rsidP="00D76E4F">
      <w:pPr>
        <w:rPr>
          <w:lang w:val="en-GB"/>
        </w:rPr>
      </w:pPr>
      <w:r w:rsidRPr="00860114">
        <w:rPr>
          <w:lang w:val="en-GB"/>
        </w:rPr>
        <w:t>The CPVO also organized a formal annual bilateral (virtual) meeting with AIPH on the 2. February 2022.</w:t>
      </w:r>
    </w:p>
    <w:p w:rsidR="00D76E4F" w:rsidRPr="00860114" w:rsidRDefault="00D76E4F" w:rsidP="00D76E4F">
      <w:pPr>
        <w:rPr>
          <w:lang w:val="en-GB"/>
        </w:rPr>
      </w:pPr>
    </w:p>
    <w:p w:rsidR="00D76E4F" w:rsidRPr="00860114" w:rsidRDefault="00D76E4F" w:rsidP="00D76E4F">
      <w:pPr>
        <w:rPr>
          <w:lang w:val="en-GB"/>
        </w:rPr>
      </w:pPr>
      <w:r w:rsidRPr="00860114">
        <w:rPr>
          <w:lang w:val="en-GB"/>
        </w:rPr>
        <w:t>In addition, study visits in EU Member States by the CPVO President were initiated in 2021, with visits to Italy (March 2022), The Netherlands (May 2022), Germany (May-June 2022) and Spain (June 2022). These study visits are an opportunity to meet plant breeding stakeholders from both the private and public sectors. Finally, the CPVO met with the EU co-legislators such as the European Parliament Agriculture and Rural Development Committee (30/11/2022 &amp; 28/04/2022), as well as with representatives of the Council of the European Union – i.e. meeting with French minister for EU affairs (03/02/2022) and with Czech EU permanent representation (24/06/2022).</w:t>
      </w:r>
    </w:p>
    <w:p w:rsidR="00D76E4F" w:rsidRPr="00860114" w:rsidRDefault="00D76E4F" w:rsidP="00D76E4F">
      <w:pPr>
        <w:rPr>
          <w:sz w:val="18"/>
          <w:szCs w:val="18"/>
          <w:lang w:val="en-GB"/>
        </w:rPr>
      </w:pPr>
    </w:p>
    <w:p w:rsidR="00D76E4F" w:rsidRPr="00860114" w:rsidRDefault="00D76E4F" w:rsidP="00D76E4F">
      <w:pPr>
        <w:keepNext/>
        <w:rPr>
          <w:u w:val="single"/>
          <w:lang w:val="en-GB"/>
        </w:rPr>
      </w:pPr>
      <w:r w:rsidRPr="00860114">
        <w:rPr>
          <w:u w:val="single"/>
          <w:lang w:val="en-GB"/>
        </w:rPr>
        <w:lastRenderedPageBreak/>
        <w:t>5.4 Participation in international fairs and open days</w:t>
      </w:r>
    </w:p>
    <w:p w:rsidR="00D76E4F" w:rsidRPr="00860114" w:rsidRDefault="00D76E4F" w:rsidP="00D76E4F">
      <w:pPr>
        <w:keepNext/>
        <w:rPr>
          <w:lang w:val="en-GB"/>
        </w:rPr>
      </w:pPr>
    </w:p>
    <w:p w:rsidR="00D76E4F" w:rsidRPr="00860114" w:rsidRDefault="00D76E4F" w:rsidP="00D76E4F">
      <w:pPr>
        <w:rPr>
          <w:lang w:val="en-GB"/>
        </w:rPr>
      </w:pPr>
      <w:r w:rsidRPr="00860114">
        <w:rPr>
          <w:lang w:val="en-GB"/>
        </w:rPr>
        <w:t>The CPVO considers its participation in international fairs and open days at examination offices as a useful tool to promote the CPVR system, to have direct contact with applicants and to provide information to growers. However, due to sanitary restrictions linked to the Covid-19 pandemic the IPM Essen (DE) was cancelled. The “Salon Sival” in Angers (FR) was maintained an the CPVO presented the CPVR system in the forum area.  The CPVO also visited the Fruitlogistica in April in Berlin-Germany as well as the Floriade Expo in The Netherlands in May 2022.</w:t>
      </w:r>
    </w:p>
    <w:p w:rsidR="00D76E4F" w:rsidRPr="00860114" w:rsidRDefault="00D76E4F" w:rsidP="00D76E4F">
      <w:pPr>
        <w:rPr>
          <w:lang w:val="en-GB"/>
        </w:rPr>
      </w:pPr>
    </w:p>
    <w:p w:rsidR="00D76E4F" w:rsidRPr="00860114" w:rsidRDefault="00D76E4F" w:rsidP="00D76E4F">
      <w:pPr>
        <w:rPr>
          <w:u w:val="single"/>
          <w:lang w:val="en-GB"/>
        </w:rPr>
      </w:pPr>
      <w:r w:rsidRPr="00860114">
        <w:rPr>
          <w:u w:val="single"/>
          <w:lang w:val="en-GB"/>
        </w:rPr>
        <w:t xml:space="preserve">5.5 IT developments </w:t>
      </w:r>
    </w:p>
    <w:p w:rsidR="00D76E4F" w:rsidRPr="00860114" w:rsidRDefault="00D76E4F" w:rsidP="00D76E4F">
      <w:pPr>
        <w:rPr>
          <w:lang w:val="en-GB"/>
        </w:rPr>
      </w:pPr>
    </w:p>
    <w:p w:rsidR="00D76E4F" w:rsidRPr="00860114" w:rsidRDefault="00D76E4F" w:rsidP="00D76E4F">
      <w:pPr>
        <w:rPr>
          <w:lang w:val="en-GB"/>
        </w:rPr>
      </w:pPr>
      <w:r w:rsidRPr="00860114">
        <w:rPr>
          <w:lang w:val="en-GB"/>
        </w:rPr>
        <w:t>CPVO’s application management platforms (in particular Online Application) have undergone a major overhaul to improve maintainability, ease the development of new features, make it better suited for cloud environments and more resilient to cyber threats. Further integration of additional EU Member States remains possible as technical questionnaires for the harmonisation within the EU continuously progresses. The CPVO has strengthened its cooperation with UPOV PRISMA, and has already delivered two of the four original projects that addressed several limitations from the initial cooperation. Data exchange improvements with CPVO’s Denomination management platform have been identified and recently approved. The goal is transition from manual uploads to UPOV of PBR catalogue and National contributions updates to a machine-to-machine integration insuring near real time updates and more efficient processing.</w:t>
      </w:r>
    </w:p>
    <w:p w:rsidR="00D76E4F" w:rsidRPr="00860114" w:rsidRDefault="00D76E4F" w:rsidP="00D76E4F">
      <w:pPr>
        <w:rPr>
          <w:lang w:val="en-GB"/>
        </w:rPr>
      </w:pPr>
    </w:p>
    <w:p w:rsidR="00D76E4F" w:rsidRPr="00860114" w:rsidRDefault="00D76E4F" w:rsidP="00D76E4F">
      <w:pPr>
        <w:rPr>
          <w:u w:val="single"/>
          <w:lang w:val="en-GB"/>
        </w:rPr>
      </w:pPr>
      <w:r w:rsidRPr="00860114">
        <w:rPr>
          <w:u w:val="single"/>
          <w:lang w:val="en-GB"/>
        </w:rPr>
        <w:t>6.</w:t>
      </w:r>
      <w:r w:rsidRPr="00860114">
        <w:rPr>
          <w:u w:val="single"/>
          <w:lang w:val="en-GB"/>
        </w:rPr>
        <w:tab/>
        <w:t xml:space="preserve">R &amp; D </w:t>
      </w:r>
    </w:p>
    <w:p w:rsidR="00D76E4F" w:rsidRPr="00860114" w:rsidRDefault="00D76E4F" w:rsidP="00D76E4F">
      <w:pPr>
        <w:rPr>
          <w:lang w:val="en-GB"/>
        </w:rPr>
      </w:pPr>
    </w:p>
    <w:p w:rsidR="00D76E4F" w:rsidRPr="00860114" w:rsidRDefault="00D76E4F" w:rsidP="00D76E4F">
      <w:pPr>
        <w:rPr>
          <w:u w:val="single"/>
          <w:lang w:val="en-GB"/>
        </w:rPr>
      </w:pPr>
      <w:r w:rsidRPr="00860114">
        <w:rPr>
          <w:u w:val="single"/>
          <w:lang w:val="en-GB"/>
        </w:rPr>
        <w:t>6.1 IMODDUS ad hoc working group</w:t>
      </w:r>
    </w:p>
    <w:p w:rsidR="00D76E4F" w:rsidRPr="00860114" w:rsidRDefault="00D76E4F" w:rsidP="00D76E4F">
      <w:pPr>
        <w:rPr>
          <w:lang w:val="en-GB"/>
        </w:rPr>
      </w:pPr>
    </w:p>
    <w:p w:rsidR="00D76E4F" w:rsidRPr="00860114" w:rsidRDefault="00D76E4F" w:rsidP="00D76E4F">
      <w:pPr>
        <w:rPr>
          <w:lang w:val="en-GB"/>
        </w:rPr>
      </w:pPr>
      <w:r w:rsidRPr="00860114">
        <w:rPr>
          <w:lang w:val="en-GB"/>
        </w:rPr>
        <w:t>As part of the R&amp;D strategy of the CPVO, the AC has set up in 2016, and confirmed in 2021, the CPVO ad hoc working group on biomolecular techniques. This working group is named IMODDUS which stands for “Integration of Molecular Data into DUS testing”. The aim of the group is to follow and discuss the development of biomolecular techniques and to assess R&amp;D projects for the application of these techniques in DUS tests of all the crop sectors where they could contribute to improve efficiency and quality.</w:t>
      </w:r>
    </w:p>
    <w:p w:rsidR="00D76E4F" w:rsidRPr="00860114" w:rsidRDefault="00D76E4F" w:rsidP="00D76E4F">
      <w:pPr>
        <w:rPr>
          <w:lang w:val="en-GB"/>
        </w:rPr>
      </w:pPr>
    </w:p>
    <w:p w:rsidR="00D76E4F" w:rsidRPr="00860114" w:rsidRDefault="00D76E4F" w:rsidP="00D76E4F">
      <w:pPr>
        <w:rPr>
          <w:lang w:val="en-GB"/>
        </w:rPr>
      </w:pPr>
      <w:r w:rsidRPr="00860114">
        <w:rPr>
          <w:lang w:val="en-GB"/>
        </w:rPr>
        <w:t>The group is composed of BMT experts from interested examination offices and breeders organisations. The participation is limited to experts that can actively contribute in terms of preparing documents and presentations. Experts from laboratories, universities, the industry, etc. can also be invited by the Chairman of the group.</w:t>
      </w:r>
    </w:p>
    <w:p w:rsidR="00D76E4F" w:rsidRPr="00860114" w:rsidRDefault="00D76E4F" w:rsidP="00D76E4F">
      <w:pPr>
        <w:rPr>
          <w:lang w:val="en-GB"/>
        </w:rPr>
      </w:pPr>
    </w:p>
    <w:p w:rsidR="00D76E4F" w:rsidRPr="00860114" w:rsidRDefault="00D76E4F" w:rsidP="00D76E4F">
      <w:pPr>
        <w:rPr>
          <w:lang w:val="en-GB"/>
        </w:rPr>
      </w:pPr>
      <w:r w:rsidRPr="00860114">
        <w:rPr>
          <w:lang w:val="en-GB"/>
        </w:rPr>
        <w:t>In May 2022, a physical meeting was organized in Brussels with the support of DG SANTE. The agenda covered presentations and discussions on the following items:</w:t>
      </w:r>
    </w:p>
    <w:p w:rsidR="00D76E4F" w:rsidRPr="00860114" w:rsidRDefault="00D76E4F" w:rsidP="00D76E4F">
      <w:pPr>
        <w:rPr>
          <w:lang w:val="en-GB"/>
        </w:rPr>
      </w:pPr>
    </w:p>
    <w:p w:rsidR="00D76E4F" w:rsidRPr="00860114" w:rsidRDefault="00D76E4F" w:rsidP="00D76E4F">
      <w:pPr>
        <w:numPr>
          <w:ilvl w:val="0"/>
          <w:numId w:val="39"/>
        </w:numPr>
        <w:rPr>
          <w:lang w:val="en-GB"/>
        </w:rPr>
      </w:pPr>
      <w:r w:rsidRPr="00860114">
        <w:rPr>
          <w:lang w:val="en-GB"/>
        </w:rPr>
        <w:t>Role of the biomolecular techniques in the EU seed regulation, potential role of IMODDUS</w:t>
      </w:r>
    </w:p>
    <w:p w:rsidR="00D76E4F" w:rsidRPr="00860114" w:rsidRDefault="00D76E4F" w:rsidP="00D76E4F">
      <w:pPr>
        <w:numPr>
          <w:ilvl w:val="0"/>
          <w:numId w:val="39"/>
        </w:numPr>
        <w:rPr>
          <w:lang w:val="en-GB"/>
        </w:rPr>
      </w:pPr>
      <w:r w:rsidRPr="00860114">
        <w:rPr>
          <w:lang w:val="en-GB"/>
        </w:rPr>
        <w:t>Update on the new OECD BMT Work Group, potential interactions with IMODDUS</w:t>
      </w:r>
    </w:p>
    <w:p w:rsidR="00D76E4F" w:rsidRPr="00860114" w:rsidRDefault="00D76E4F" w:rsidP="00D76E4F">
      <w:pPr>
        <w:numPr>
          <w:ilvl w:val="0"/>
          <w:numId w:val="39"/>
        </w:numPr>
        <w:rPr>
          <w:lang w:val="en-GB"/>
        </w:rPr>
      </w:pPr>
      <w:r w:rsidRPr="00860114">
        <w:rPr>
          <w:lang w:val="en-GB"/>
        </w:rPr>
        <w:t>Update on the US PVP system and use of molecular techniques in decision making procedures</w:t>
      </w:r>
    </w:p>
    <w:p w:rsidR="00D76E4F" w:rsidRPr="00860114" w:rsidRDefault="00D76E4F" w:rsidP="00D76E4F">
      <w:pPr>
        <w:numPr>
          <w:ilvl w:val="0"/>
          <w:numId w:val="39"/>
        </w:numPr>
        <w:rPr>
          <w:lang w:val="en-GB"/>
        </w:rPr>
      </w:pPr>
      <w:r w:rsidRPr="00860114">
        <w:rPr>
          <w:lang w:val="en-GB"/>
        </w:rPr>
        <w:t>Ongoing IMODDUS R&amp;D projects</w:t>
      </w:r>
    </w:p>
    <w:p w:rsidR="00D76E4F" w:rsidRPr="00860114" w:rsidRDefault="00D76E4F" w:rsidP="00D76E4F">
      <w:pPr>
        <w:numPr>
          <w:ilvl w:val="0"/>
          <w:numId w:val="39"/>
        </w:numPr>
        <w:rPr>
          <w:lang w:val="en-GB"/>
        </w:rPr>
      </w:pPr>
      <w:r w:rsidRPr="00860114">
        <w:rPr>
          <w:lang w:val="en-GB"/>
        </w:rPr>
        <w:t>Molecular tasks of INVITE (focus on perennial ryegrass) and INNOVAR</w:t>
      </w:r>
    </w:p>
    <w:p w:rsidR="00D76E4F" w:rsidRPr="00860114" w:rsidRDefault="00D76E4F" w:rsidP="00D76E4F">
      <w:pPr>
        <w:numPr>
          <w:ilvl w:val="0"/>
          <w:numId w:val="39"/>
        </w:numPr>
        <w:rPr>
          <w:lang w:val="en-GB"/>
        </w:rPr>
      </w:pPr>
      <w:r w:rsidRPr="00860114">
        <w:rPr>
          <w:lang w:val="en-GB"/>
        </w:rPr>
        <w:t>Molecular markers to support the assessment of Distinctness: feedback from breeders on the concept of value molecular Distinctness</w:t>
      </w:r>
    </w:p>
    <w:p w:rsidR="00D76E4F" w:rsidRPr="00860114" w:rsidRDefault="00D76E4F" w:rsidP="00D76E4F">
      <w:pPr>
        <w:rPr>
          <w:lang w:val="en-GB"/>
        </w:rPr>
      </w:pPr>
    </w:p>
    <w:p w:rsidR="00D76E4F" w:rsidRPr="00860114" w:rsidRDefault="00D76E4F" w:rsidP="00D76E4F">
      <w:pPr>
        <w:rPr>
          <w:lang w:val="en-GB"/>
        </w:rPr>
      </w:pPr>
      <w:r w:rsidRPr="00860114">
        <w:rPr>
          <w:lang w:val="en-GB"/>
        </w:rPr>
        <w:t>In 2022, IMODDUS did not have to evaluate any new R&amp;D project proposal.</w:t>
      </w:r>
    </w:p>
    <w:p w:rsidR="00D76E4F" w:rsidRPr="00860114" w:rsidRDefault="00D76E4F" w:rsidP="00D76E4F">
      <w:pPr>
        <w:rPr>
          <w:lang w:val="en-GB"/>
        </w:rPr>
      </w:pPr>
    </w:p>
    <w:p w:rsidR="00D76E4F" w:rsidRPr="00860114" w:rsidRDefault="00D76E4F" w:rsidP="00D76E4F">
      <w:pPr>
        <w:rPr>
          <w:lang w:val="en-GB"/>
        </w:rPr>
      </w:pPr>
      <w:r w:rsidRPr="00860114">
        <w:rPr>
          <w:lang w:val="en-GB"/>
        </w:rPr>
        <w:t>Three R&amp;D projects previously evaluated positively by IMODDUS and granted co-financing were finalized:</w:t>
      </w:r>
    </w:p>
    <w:p w:rsidR="00D76E4F" w:rsidRPr="00860114" w:rsidRDefault="00D76E4F" w:rsidP="00D76E4F">
      <w:pPr>
        <w:rPr>
          <w:lang w:val="en-GB"/>
        </w:rPr>
      </w:pPr>
    </w:p>
    <w:p w:rsidR="00D76E4F" w:rsidRPr="00860114" w:rsidRDefault="00D76E4F" w:rsidP="00D76E4F">
      <w:pPr>
        <w:spacing w:after="120"/>
        <w:ind w:left="567"/>
        <w:rPr>
          <w:i/>
          <w:lang w:val="en-GB"/>
        </w:rPr>
      </w:pPr>
      <w:r w:rsidRPr="00860114">
        <w:rPr>
          <w:i/>
          <w:lang w:val="en-GB"/>
        </w:rPr>
        <w:t>Apple</w:t>
      </w:r>
    </w:p>
    <w:p w:rsidR="00D76E4F" w:rsidRPr="00860114" w:rsidRDefault="00D76E4F" w:rsidP="00D76E4F">
      <w:pPr>
        <w:spacing w:after="120"/>
        <w:ind w:left="567"/>
        <w:rPr>
          <w:lang w:val="en-GB"/>
        </w:rPr>
      </w:pPr>
      <w:r w:rsidRPr="00860114">
        <w:rPr>
          <w:lang w:val="en-GB"/>
        </w:rPr>
        <w:t>“Developing molecular markers allowing the distinction of apple mutants (sports)” (by associating sequencing, transcriptomics and epigenetics data)</w:t>
      </w:r>
    </w:p>
    <w:p w:rsidR="00D76E4F" w:rsidRPr="00860114" w:rsidRDefault="00D76E4F" w:rsidP="00D76E4F">
      <w:pPr>
        <w:spacing w:after="120"/>
        <w:ind w:left="567"/>
        <w:rPr>
          <w:i/>
          <w:lang w:val="en-GB"/>
        </w:rPr>
      </w:pPr>
      <w:r w:rsidRPr="00860114">
        <w:rPr>
          <w:bCs/>
          <w:i/>
          <w:lang w:val="en-GB"/>
        </w:rPr>
        <w:t>Oilseed rape (second part)</w:t>
      </w:r>
    </w:p>
    <w:p w:rsidR="00D76E4F" w:rsidRPr="00860114" w:rsidRDefault="00D76E4F" w:rsidP="00D76E4F">
      <w:pPr>
        <w:spacing w:after="120"/>
        <w:ind w:left="567"/>
        <w:rPr>
          <w:lang w:val="en-GB"/>
        </w:rPr>
      </w:pPr>
      <w:r w:rsidRPr="00860114">
        <w:rPr>
          <w:lang w:val="en-GB"/>
        </w:rPr>
        <w:t>“</w:t>
      </w:r>
      <w:r w:rsidRPr="00860114">
        <w:rPr>
          <w:iCs/>
          <w:lang w:val="en-GB"/>
        </w:rPr>
        <w:t>Developing a strategy to apply SNP molecular markers in the framework of winter oilseed rape DUS testing</w:t>
      </w:r>
      <w:r w:rsidRPr="00860114">
        <w:rPr>
          <w:lang w:val="en-GB"/>
        </w:rPr>
        <w:t xml:space="preserve">.” </w:t>
      </w:r>
    </w:p>
    <w:p w:rsidR="00D76E4F" w:rsidRPr="00860114" w:rsidRDefault="00D76E4F" w:rsidP="00D76E4F">
      <w:pPr>
        <w:spacing w:after="120"/>
        <w:ind w:left="567"/>
        <w:rPr>
          <w:i/>
          <w:lang w:val="en-GB"/>
        </w:rPr>
      </w:pPr>
      <w:r w:rsidRPr="00860114">
        <w:rPr>
          <w:i/>
          <w:lang w:val="en-GB"/>
        </w:rPr>
        <w:t>Hemp</w:t>
      </w:r>
    </w:p>
    <w:p w:rsidR="00D76E4F" w:rsidRPr="00860114" w:rsidRDefault="00D76E4F" w:rsidP="00D76E4F">
      <w:pPr>
        <w:ind w:left="567"/>
        <w:rPr>
          <w:lang w:val="en-GB"/>
        </w:rPr>
      </w:pPr>
      <w:r w:rsidRPr="00860114">
        <w:rPr>
          <w:lang w:val="en-GB"/>
        </w:rPr>
        <w:t>“Development of a SNP marker set in Cannabis to support DUS testing”</w:t>
      </w:r>
    </w:p>
    <w:p w:rsidR="00D76E4F" w:rsidRPr="00860114" w:rsidRDefault="00D76E4F" w:rsidP="00D76E4F">
      <w:pPr>
        <w:rPr>
          <w:lang w:val="en-GB"/>
        </w:rPr>
      </w:pPr>
    </w:p>
    <w:p w:rsidR="00D76E4F" w:rsidRPr="00860114" w:rsidRDefault="00D76E4F" w:rsidP="00D76E4F">
      <w:pPr>
        <w:keepNext/>
        <w:rPr>
          <w:lang w:val="en-GB"/>
        </w:rPr>
      </w:pPr>
      <w:r w:rsidRPr="00860114">
        <w:rPr>
          <w:lang w:val="en-GB"/>
        </w:rPr>
        <w:lastRenderedPageBreak/>
        <w:t>Two other R&amp;D projects validated by IMODDUS made steady progress during the period:</w:t>
      </w:r>
    </w:p>
    <w:p w:rsidR="00D76E4F" w:rsidRPr="00860114" w:rsidRDefault="00D76E4F" w:rsidP="00D76E4F">
      <w:pPr>
        <w:keepNext/>
        <w:rPr>
          <w:lang w:val="en-GB"/>
        </w:rPr>
      </w:pPr>
    </w:p>
    <w:p w:rsidR="00D76E4F" w:rsidRPr="00860114" w:rsidRDefault="00D76E4F" w:rsidP="00D76E4F">
      <w:pPr>
        <w:spacing w:after="120"/>
        <w:ind w:left="567"/>
        <w:rPr>
          <w:i/>
          <w:lang w:val="en-GB"/>
        </w:rPr>
      </w:pPr>
      <w:r w:rsidRPr="00860114">
        <w:rPr>
          <w:i/>
          <w:lang w:val="en-GB"/>
        </w:rPr>
        <w:t>Tomato</w:t>
      </w:r>
    </w:p>
    <w:p w:rsidR="00D76E4F" w:rsidRPr="00860114" w:rsidRDefault="00D76E4F" w:rsidP="00D76E4F">
      <w:pPr>
        <w:spacing w:after="120"/>
        <w:ind w:left="567"/>
        <w:rPr>
          <w:lang w:val="en-GB"/>
        </w:rPr>
      </w:pPr>
      <w:r w:rsidRPr="00860114">
        <w:rPr>
          <w:lang w:val="en-GB"/>
        </w:rPr>
        <w:t>“International validation of a SNP set to determine genetic distances for the management of tomato reference collection”</w:t>
      </w:r>
    </w:p>
    <w:p w:rsidR="00D76E4F" w:rsidRPr="00860114" w:rsidRDefault="00D76E4F" w:rsidP="00D76E4F">
      <w:pPr>
        <w:spacing w:after="120"/>
        <w:ind w:left="567"/>
        <w:rPr>
          <w:bCs/>
          <w:i/>
          <w:iCs/>
          <w:lang w:val="en-GB"/>
        </w:rPr>
      </w:pPr>
      <w:r w:rsidRPr="00860114">
        <w:rPr>
          <w:bCs/>
          <w:i/>
          <w:iCs/>
          <w:lang w:val="en-GB"/>
        </w:rPr>
        <w:t>DurdusTools</w:t>
      </w:r>
    </w:p>
    <w:p w:rsidR="00D76E4F" w:rsidRPr="00860114" w:rsidRDefault="00D76E4F" w:rsidP="00D76E4F">
      <w:pPr>
        <w:ind w:left="567"/>
        <w:rPr>
          <w:lang w:val="en-GB"/>
        </w:rPr>
      </w:pPr>
      <w:r w:rsidRPr="00860114">
        <w:rPr>
          <w:lang w:val="en-GB"/>
        </w:rPr>
        <w:t>“Integration of molecular data into DUS testing in Durum wheat - development of a common online molecular database and a genetic distance calculation tool”.</w:t>
      </w:r>
    </w:p>
    <w:p w:rsidR="00D76E4F" w:rsidRPr="00860114" w:rsidRDefault="00D76E4F" w:rsidP="00D76E4F">
      <w:pPr>
        <w:rPr>
          <w:lang w:val="en-GB"/>
        </w:rPr>
      </w:pPr>
    </w:p>
    <w:p w:rsidR="00D76E4F" w:rsidRPr="00860114" w:rsidRDefault="00D76E4F" w:rsidP="00D76E4F">
      <w:pPr>
        <w:keepNext/>
        <w:rPr>
          <w:lang w:val="en-GB"/>
        </w:rPr>
      </w:pPr>
      <w:r w:rsidRPr="00860114">
        <w:rPr>
          <w:lang w:val="en-GB"/>
        </w:rPr>
        <w:t>Two new R&amp;D projects validated by IMODDUS in 2021 have been launched at the start of 2022:</w:t>
      </w:r>
    </w:p>
    <w:p w:rsidR="00D76E4F" w:rsidRPr="00860114" w:rsidRDefault="00D76E4F" w:rsidP="00D76E4F">
      <w:pPr>
        <w:keepNext/>
        <w:rPr>
          <w:lang w:val="en-GB"/>
        </w:rPr>
      </w:pPr>
    </w:p>
    <w:p w:rsidR="00D76E4F" w:rsidRPr="00860114" w:rsidRDefault="00D76E4F" w:rsidP="00D76E4F">
      <w:pPr>
        <w:spacing w:after="120"/>
        <w:ind w:left="567"/>
        <w:rPr>
          <w:i/>
          <w:lang w:val="en-GB"/>
        </w:rPr>
      </w:pPr>
      <w:r w:rsidRPr="00860114">
        <w:rPr>
          <w:i/>
          <w:lang w:val="en-GB"/>
        </w:rPr>
        <w:t>Hydrangea</w:t>
      </w:r>
    </w:p>
    <w:p w:rsidR="00D76E4F" w:rsidRPr="00860114" w:rsidRDefault="00D76E4F" w:rsidP="00D76E4F">
      <w:pPr>
        <w:spacing w:after="120"/>
        <w:ind w:left="567"/>
        <w:rPr>
          <w:lang w:val="en-GB"/>
        </w:rPr>
      </w:pPr>
      <w:r w:rsidRPr="00860114">
        <w:rPr>
          <w:lang w:val="en-GB"/>
        </w:rPr>
        <w:t xml:space="preserve">Harnessing molecular data to support DUS testing in ornamentals: a case study on Hydrangea. </w:t>
      </w:r>
    </w:p>
    <w:p w:rsidR="00D76E4F" w:rsidRPr="00860114" w:rsidRDefault="00D76E4F" w:rsidP="00D76E4F">
      <w:pPr>
        <w:spacing w:after="120"/>
        <w:ind w:left="567"/>
        <w:rPr>
          <w:i/>
          <w:lang w:val="en-GB"/>
        </w:rPr>
      </w:pPr>
      <w:r w:rsidRPr="00860114">
        <w:rPr>
          <w:i/>
          <w:lang w:val="en-GB"/>
        </w:rPr>
        <w:t>Tomato – Pepper –Melon</w:t>
      </w:r>
    </w:p>
    <w:p w:rsidR="00D76E4F" w:rsidRPr="00860114" w:rsidRDefault="00D76E4F" w:rsidP="00D76E4F">
      <w:pPr>
        <w:spacing w:after="120"/>
        <w:ind w:left="567"/>
        <w:rPr>
          <w:i/>
          <w:lang w:val="en-GB"/>
        </w:rPr>
      </w:pPr>
      <w:r w:rsidRPr="00860114">
        <w:rPr>
          <w:lang w:val="en-GB"/>
        </w:rPr>
        <w:t>Updating DUS resistance tests according to pests’ evolution:</w:t>
      </w:r>
    </w:p>
    <w:p w:rsidR="00D76E4F" w:rsidRPr="00860114" w:rsidRDefault="00D76E4F" w:rsidP="00D76E4F">
      <w:pPr>
        <w:ind w:left="567"/>
        <w:rPr>
          <w:lang w:val="en-GB"/>
        </w:rPr>
      </w:pPr>
      <w:r w:rsidRPr="00860114">
        <w:rPr>
          <w:lang w:val="en-GB"/>
        </w:rPr>
        <w:t>- Setting up resistance tests to ToBRFV for tomato and pepper</w:t>
      </w:r>
    </w:p>
    <w:p w:rsidR="00D76E4F" w:rsidRPr="00860114" w:rsidRDefault="00D76E4F" w:rsidP="00D76E4F">
      <w:pPr>
        <w:ind w:left="567"/>
        <w:rPr>
          <w:lang w:val="en-GB"/>
        </w:rPr>
      </w:pPr>
      <w:r w:rsidRPr="00860114">
        <w:rPr>
          <w:lang w:val="en-GB"/>
        </w:rPr>
        <w:t>- Improvement of resistance test ‘melon/Aphis gossypii’</w:t>
      </w:r>
    </w:p>
    <w:p w:rsidR="00D76E4F" w:rsidRPr="00860114" w:rsidRDefault="00D76E4F" w:rsidP="00D76E4F">
      <w:pPr>
        <w:rPr>
          <w:lang w:val="en-GB"/>
        </w:rPr>
      </w:pPr>
    </w:p>
    <w:p w:rsidR="00D76E4F" w:rsidRPr="00860114" w:rsidRDefault="00D76E4F" w:rsidP="00D76E4F">
      <w:pPr>
        <w:rPr>
          <w:u w:val="single"/>
          <w:lang w:val="en-GB"/>
        </w:rPr>
      </w:pPr>
      <w:r w:rsidRPr="00860114">
        <w:rPr>
          <w:u w:val="single"/>
          <w:lang w:val="en-GB"/>
        </w:rPr>
        <w:t>6.2 INVITE</w:t>
      </w:r>
    </w:p>
    <w:p w:rsidR="00D76E4F" w:rsidRPr="00860114" w:rsidRDefault="00D76E4F" w:rsidP="00D76E4F">
      <w:pPr>
        <w:rPr>
          <w:lang w:val="en-GB"/>
        </w:rPr>
      </w:pPr>
    </w:p>
    <w:p w:rsidR="00D76E4F" w:rsidRPr="00860114" w:rsidRDefault="00D76E4F" w:rsidP="00D76E4F">
      <w:pPr>
        <w:rPr>
          <w:lang w:val="en-GB"/>
        </w:rPr>
      </w:pPr>
      <w:r w:rsidRPr="00860114">
        <w:rPr>
          <w:lang w:val="en-GB"/>
        </w:rPr>
        <w:t>INVITE stands for “INnovations in plant VarIety Testing in Europe to foster the introduction of new varieties better adapted to varying biotic and abiotic conditions and to more sustainable crop management practices”. INVITE is one of the two laureate projects of the call SFS-29-2018 “Innovations in plant variety testing” of the Horizon 2020 program. It aims at improving efficiency of variety testing and availability of information to stakeholders on variety performances under diversified production conditions and on biotic and abiotic stresses for 10 crops (7 “model” crops: maize, wheat, rye grass, sunflower, potato, tomato, apple and 3 “application crops”: lucerne, soybean, rapeseed). It addresses Value for Cultivation and Use (VCU) and DUS testing in a balanced way and intends to maximize synergies between them through related activities based on phenotyping, genotyping, modelling and database management.</w:t>
      </w:r>
    </w:p>
    <w:p w:rsidR="00D76E4F" w:rsidRPr="00860114" w:rsidRDefault="00D76E4F" w:rsidP="00D76E4F">
      <w:pPr>
        <w:rPr>
          <w:lang w:val="en-GB"/>
        </w:rPr>
      </w:pPr>
    </w:p>
    <w:p w:rsidR="00D76E4F" w:rsidRPr="00860114" w:rsidRDefault="00D76E4F" w:rsidP="00D76E4F">
      <w:pPr>
        <w:rPr>
          <w:lang w:val="en-GB"/>
        </w:rPr>
      </w:pPr>
      <w:r w:rsidRPr="00860114">
        <w:rPr>
          <w:lang w:val="en-GB"/>
        </w:rPr>
        <w:t>The total amount awarded to the 29 partners is about 8 million euros to be spent in a period of 5 years starting from July 2019. CPVO will not receive any funding.</w:t>
      </w:r>
    </w:p>
    <w:p w:rsidR="00D76E4F" w:rsidRPr="00860114" w:rsidRDefault="00D76E4F" w:rsidP="00D76E4F">
      <w:pPr>
        <w:rPr>
          <w:lang w:val="en-GB"/>
        </w:rPr>
      </w:pPr>
    </w:p>
    <w:p w:rsidR="00D76E4F" w:rsidRPr="00860114" w:rsidRDefault="00D76E4F" w:rsidP="00D76E4F">
      <w:pPr>
        <w:rPr>
          <w:lang w:val="en-GB"/>
        </w:rPr>
      </w:pPr>
      <w:r w:rsidRPr="00860114">
        <w:rPr>
          <w:lang w:val="en-GB"/>
        </w:rPr>
        <w:t>CPVO is in charge of managing all issues related to the access to historical data and reference materials held by the examination offices (EOs). It participates to technical meetings, co-leads the workpackage 5 dedicated to the testing and the validation of the new tools developed by all workpackages and is a member of the executive committee of the project. In 2022, the technical work continued steadily for all crops. The 3</w:t>
      </w:r>
      <w:r w:rsidRPr="00860114">
        <w:rPr>
          <w:vertAlign w:val="superscript"/>
          <w:lang w:val="en-GB"/>
        </w:rPr>
        <w:t>rd</w:t>
      </w:r>
      <w:r w:rsidRPr="00860114">
        <w:rPr>
          <w:lang w:val="en-GB"/>
        </w:rPr>
        <w:t xml:space="preserve"> annual meeting, hosted by AGES, was organized in Vienna in April 2022. At this occasion, a technoshow was organized to present the first phenotyping tools developed by INVITE workpackage 2, as well as other tools and services proposed by a selected panel of private companies.</w:t>
      </w:r>
    </w:p>
    <w:p w:rsidR="00D76E4F" w:rsidRPr="00860114" w:rsidRDefault="00D76E4F" w:rsidP="00D76E4F">
      <w:pPr>
        <w:rPr>
          <w:lang w:val="en-GB"/>
        </w:rPr>
      </w:pPr>
    </w:p>
    <w:p w:rsidR="00D76E4F" w:rsidRPr="00860114" w:rsidRDefault="00D76E4F" w:rsidP="00D76E4F">
      <w:pPr>
        <w:rPr>
          <w:lang w:val="en-GB"/>
        </w:rPr>
      </w:pPr>
      <w:r w:rsidRPr="00860114">
        <w:rPr>
          <w:lang w:val="en-GB"/>
        </w:rPr>
        <w:t>The collaboration with INNOVAR (second laureate consortium of the SFS-29-2018 call, focused on optimizing variety testing in wheat) continued. Data were collected in the common wheat trials. Representatives were invited to participate to the IMODDUS meeting in 2022.</w:t>
      </w:r>
    </w:p>
    <w:p w:rsidR="00D76E4F" w:rsidRPr="00860114" w:rsidRDefault="00D76E4F" w:rsidP="00D76E4F">
      <w:pPr>
        <w:rPr>
          <w:lang w:val="en-GB"/>
        </w:rPr>
      </w:pPr>
    </w:p>
    <w:p w:rsidR="00D76E4F" w:rsidRPr="00860114" w:rsidRDefault="00D76E4F" w:rsidP="00D76E4F">
      <w:pPr>
        <w:keepNext/>
        <w:rPr>
          <w:u w:val="single"/>
          <w:lang w:val="en-GB"/>
        </w:rPr>
      </w:pPr>
      <w:r w:rsidRPr="00860114">
        <w:rPr>
          <w:u w:val="single"/>
          <w:lang w:val="en-GB"/>
        </w:rPr>
        <w:t>6.3 Other R&amp;D projects</w:t>
      </w:r>
    </w:p>
    <w:p w:rsidR="00D76E4F" w:rsidRPr="00860114" w:rsidRDefault="00D76E4F" w:rsidP="00D76E4F">
      <w:pPr>
        <w:keepNext/>
        <w:rPr>
          <w:lang w:val="en-GB"/>
        </w:rPr>
      </w:pPr>
    </w:p>
    <w:p w:rsidR="00D76E4F" w:rsidRPr="00860114" w:rsidRDefault="00D76E4F" w:rsidP="00D76E4F">
      <w:pPr>
        <w:keepNext/>
        <w:rPr>
          <w:i/>
          <w:lang w:val="en-GB"/>
        </w:rPr>
      </w:pPr>
      <w:r w:rsidRPr="00860114">
        <w:rPr>
          <w:i/>
          <w:lang w:val="en-GB"/>
        </w:rPr>
        <w:t>Harmorescoll</w:t>
      </w:r>
    </w:p>
    <w:p w:rsidR="00D76E4F" w:rsidRPr="00860114" w:rsidRDefault="00D76E4F" w:rsidP="00D76E4F">
      <w:pPr>
        <w:keepNext/>
        <w:rPr>
          <w:lang w:val="en-GB"/>
        </w:rPr>
      </w:pPr>
    </w:p>
    <w:p w:rsidR="00D76E4F" w:rsidRPr="00860114" w:rsidRDefault="00D76E4F" w:rsidP="00D76E4F">
      <w:pPr>
        <w:rPr>
          <w:lang w:val="en-GB"/>
        </w:rPr>
      </w:pPr>
      <w:r w:rsidRPr="00860114">
        <w:rPr>
          <w:lang w:val="en-GB"/>
        </w:rPr>
        <w:t>HARMORESCOLL is aimed at setting up, at the European level, a coordinated system to give access to reference material for performing disease tests for DUS according to CPVO protocols and UPOV guidelines. It involves examination offices and seed companies with Euroseeds membership. The project is coordinated by GEVES and Naktuinbouw. It started in 2020 and is scheduled for 3 years.</w:t>
      </w:r>
    </w:p>
    <w:p w:rsidR="000362AD" w:rsidRPr="00AA2FEE" w:rsidRDefault="000362AD" w:rsidP="000362AD"/>
    <w:p w:rsidR="00050E16" w:rsidRPr="00AA2FEE" w:rsidRDefault="00050E16" w:rsidP="00384530"/>
    <w:sectPr w:rsidR="00050E16" w:rsidRPr="00AA2FEE" w:rsidSect="00D76E4F">
      <w:headerReference w:type="default" r:id="rId58"/>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ADF" w:rsidRDefault="00351ADF" w:rsidP="006655D3">
      <w:r>
        <w:separator/>
      </w:r>
    </w:p>
  </w:endnote>
  <w:endnote w:type="continuationSeparator" w:id="0">
    <w:p w:rsidR="00351ADF" w:rsidRDefault="00351ADF" w:rsidP="006655D3">
      <w:r>
        <w:separator/>
      </w:r>
    </w:p>
    <w:p w:rsidR="00351ADF" w:rsidRPr="00294751" w:rsidRDefault="00351ADF">
      <w:pPr>
        <w:pStyle w:val="Footer"/>
        <w:spacing w:after="60"/>
        <w:rPr>
          <w:sz w:val="18"/>
          <w:lang w:val="fr-FR"/>
        </w:rPr>
      </w:pPr>
      <w:r w:rsidRPr="00294751">
        <w:rPr>
          <w:sz w:val="18"/>
          <w:lang w:val="fr-FR"/>
        </w:rPr>
        <w:t>[Suite de la note de la page précédente]</w:t>
      </w:r>
    </w:p>
    <w:p w:rsidR="00351ADF" w:rsidRPr="00294751" w:rsidRDefault="00351ADF" w:rsidP="006655D3">
      <w:pPr>
        <w:rPr>
          <w:lang w:val="fr-FR"/>
        </w:rPr>
      </w:pPr>
    </w:p>
    <w:p w:rsidR="00351ADF" w:rsidRPr="00294751" w:rsidRDefault="00351ADF" w:rsidP="006655D3">
      <w:pPr>
        <w:rPr>
          <w:lang w:val="fr-FR"/>
        </w:rPr>
      </w:pPr>
    </w:p>
  </w:endnote>
  <w:endnote w:type="continuationNotice" w:id="1">
    <w:p w:rsidR="00351ADF" w:rsidRPr="00294751" w:rsidRDefault="00351ADF" w:rsidP="006655D3">
      <w:pPr>
        <w:rPr>
          <w:lang w:val="fr-FR"/>
        </w:rPr>
      </w:pPr>
      <w:r w:rsidRPr="00294751">
        <w:rPr>
          <w:lang w:val="fr-FR"/>
        </w:rPr>
        <w:t>[Suite de la note page suivante]</w:t>
      </w:r>
    </w:p>
    <w:p w:rsidR="00351ADF" w:rsidRPr="00294751" w:rsidRDefault="00351ADF" w:rsidP="006655D3">
      <w:pPr>
        <w:rPr>
          <w:lang w:val="fr-FR"/>
        </w:rPr>
      </w:pPr>
    </w:p>
    <w:p w:rsidR="00351ADF" w:rsidRPr="00294751" w:rsidRDefault="00351ADF" w:rsidP="006655D3">
      <w:pPr>
        <w:rPr>
          <w:lang w:val="fr-FR"/>
        </w:rPr>
      </w:pPr>
    </w:p>
  </w:endnote>
  <w:endnote w:id="2">
    <w:p w:rsidR="00D76E4F" w:rsidRDefault="00D76E4F" w:rsidP="00D76E4F">
      <w:pPr>
        <w:pStyle w:val="EndnoteText"/>
        <w:tabs>
          <w:tab w:val="left" w:pos="284"/>
        </w:tabs>
        <w:spacing w:before="60"/>
      </w:pPr>
      <w:r>
        <w:rPr>
          <w:rStyle w:val="EndnoteReference"/>
        </w:rPr>
        <w:endnoteRef/>
      </w:r>
      <w:r>
        <w:tab/>
      </w:r>
      <w:r w:rsidRPr="0064631F">
        <w:t>This report uses the terminology of the United Nations.</w:t>
      </w:r>
    </w:p>
    <w:p w:rsidR="00D76E4F" w:rsidRDefault="00D76E4F" w:rsidP="00D76E4F">
      <w:pPr>
        <w:pStyle w:val="EndnoteText"/>
        <w:tabs>
          <w:tab w:val="left" w:pos="284"/>
        </w:tabs>
        <w:spacing w:before="60"/>
      </w:pPr>
    </w:p>
    <w:p w:rsidR="00D76E4F" w:rsidRPr="002111C6" w:rsidRDefault="00D76E4F" w:rsidP="00D76E4F">
      <w:pPr>
        <w:jc w:val="right"/>
        <w:rPr>
          <w:lang w:val="en-GB"/>
        </w:rPr>
      </w:pPr>
      <w:r w:rsidRPr="00860114">
        <w:rPr>
          <w:lang w:val="en-GB"/>
        </w:rPr>
        <w:t>[End</w:t>
      </w:r>
      <w:r>
        <w:rPr>
          <w:lang w:val="en-GB"/>
        </w:rPr>
        <w:t xml:space="preserve"> of Annex XIX and</w:t>
      </w:r>
      <w:r w:rsidRPr="00860114">
        <w:rPr>
          <w:lang w:val="en-GB"/>
        </w:rPr>
        <w:t xml:space="preserve"> of report]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Pro-Light">
    <w:altName w:val="MS Gothic"/>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ADF" w:rsidRDefault="00351ADF" w:rsidP="006655D3">
      <w:r>
        <w:separator/>
      </w:r>
    </w:p>
  </w:footnote>
  <w:footnote w:type="continuationSeparator" w:id="0">
    <w:p w:rsidR="00351ADF" w:rsidRDefault="00351ADF" w:rsidP="006655D3">
      <w:r>
        <w:separator/>
      </w:r>
    </w:p>
  </w:footnote>
  <w:footnote w:type="continuationNotice" w:id="1">
    <w:p w:rsidR="00351ADF" w:rsidRPr="00AB530F" w:rsidRDefault="00351AD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C5280D" w:rsidRDefault="005A5958" w:rsidP="00EB048E">
    <w:pPr>
      <w:pStyle w:val="Header"/>
      <w:rPr>
        <w:rStyle w:val="PageNumber"/>
        <w:lang w:val="en-US"/>
      </w:rPr>
    </w:pPr>
    <w:r>
      <w:rPr>
        <w:rStyle w:val="PageNumber"/>
        <w:lang w:val="en-US"/>
      </w:rPr>
      <w:t>C/56</w:t>
    </w:r>
    <w:r w:rsidR="000362AD">
      <w:rPr>
        <w:rStyle w:val="PageNumber"/>
        <w:lang w:val="en-US"/>
      </w:rPr>
      <w:t>/INF/4</w:t>
    </w:r>
  </w:p>
  <w:p w:rsidR="000362AD" w:rsidRPr="00C5280D" w:rsidRDefault="000362AD"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rsidR="000362AD" w:rsidRPr="00C5280D" w:rsidRDefault="000362AD"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F0D" w:rsidRPr="002C0C6C" w:rsidRDefault="00C84F0D" w:rsidP="00EB048E">
    <w:pPr>
      <w:pStyle w:val="Header"/>
      <w:rPr>
        <w:rStyle w:val="PageNumber"/>
        <w:lang w:val="fr-CH"/>
      </w:rPr>
    </w:pPr>
    <w:r w:rsidRPr="002C0C6C">
      <w:rPr>
        <w:rStyle w:val="PageNumber"/>
        <w:lang w:val="fr-CH"/>
      </w:rPr>
      <w:t>C/56/INF/4</w:t>
    </w:r>
  </w:p>
  <w:p w:rsidR="00C84F0D" w:rsidRPr="002C0C6C" w:rsidRDefault="00C84F0D" w:rsidP="00EB048E">
    <w:pPr>
      <w:pStyle w:val="Header"/>
      <w:rPr>
        <w:lang w:val="fr-CH"/>
      </w:rPr>
    </w:pPr>
    <w:r w:rsidRPr="002C0C6C">
      <w:rPr>
        <w:lang w:val="fr-CH"/>
      </w:rPr>
      <w:t xml:space="preserve">Annex IX, page </w:t>
    </w:r>
    <w:r w:rsidRPr="003C641A">
      <w:rPr>
        <w:rStyle w:val="PageNumber"/>
        <w:lang w:val="en-US"/>
      </w:rPr>
      <w:fldChar w:fldCharType="begin"/>
    </w:r>
    <w:r w:rsidRPr="002C0C6C">
      <w:rPr>
        <w:rStyle w:val="PageNumber"/>
        <w:lang w:val="fr-CH"/>
      </w:rPr>
      <w:instrText xml:space="preserve"> PAGE </w:instrText>
    </w:r>
    <w:r w:rsidRPr="003C641A">
      <w:rPr>
        <w:rStyle w:val="PageNumber"/>
        <w:lang w:val="en-US"/>
      </w:rPr>
      <w:fldChar w:fldCharType="separate"/>
    </w:r>
    <w:r w:rsidR="009621DA">
      <w:rPr>
        <w:rStyle w:val="PageNumber"/>
        <w:noProof/>
        <w:lang w:val="fr-CH"/>
      </w:rPr>
      <w:t>3</w:t>
    </w:r>
    <w:r w:rsidRPr="003C641A">
      <w:rPr>
        <w:rStyle w:val="PageNumber"/>
        <w:lang w:val="en-US"/>
      </w:rPr>
      <w:fldChar w:fldCharType="end"/>
    </w:r>
  </w:p>
  <w:p w:rsidR="00C84F0D" w:rsidRPr="002C0C6C" w:rsidRDefault="00C84F0D" w:rsidP="006655D3">
    <w:pPr>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5CB" w:rsidRPr="002C0C6C" w:rsidRDefault="009555CB" w:rsidP="00EB048E">
    <w:pPr>
      <w:pStyle w:val="Header"/>
      <w:rPr>
        <w:rStyle w:val="PageNumber"/>
        <w:lang w:val="fr-CH"/>
      </w:rPr>
    </w:pPr>
    <w:r w:rsidRPr="002C0C6C">
      <w:rPr>
        <w:rStyle w:val="PageNumber"/>
        <w:lang w:val="fr-CH"/>
      </w:rPr>
      <w:t>C/56/INF/4</w:t>
    </w:r>
  </w:p>
  <w:p w:rsidR="009555CB" w:rsidRPr="002C0C6C" w:rsidRDefault="009555CB" w:rsidP="00EB048E">
    <w:pPr>
      <w:pStyle w:val="Header"/>
      <w:rPr>
        <w:lang w:val="fr-CH"/>
      </w:rPr>
    </w:pPr>
    <w:r w:rsidRPr="002C0C6C">
      <w:rPr>
        <w:lang w:val="fr-CH"/>
      </w:rPr>
      <w:t xml:space="preserve">Annex X, page </w:t>
    </w:r>
    <w:r w:rsidRPr="003C641A">
      <w:rPr>
        <w:rStyle w:val="PageNumber"/>
        <w:lang w:val="en-US"/>
      </w:rPr>
      <w:fldChar w:fldCharType="begin"/>
    </w:r>
    <w:r w:rsidRPr="002C0C6C">
      <w:rPr>
        <w:rStyle w:val="PageNumber"/>
        <w:lang w:val="fr-CH"/>
      </w:rPr>
      <w:instrText xml:space="preserve"> PAGE </w:instrText>
    </w:r>
    <w:r w:rsidRPr="003C641A">
      <w:rPr>
        <w:rStyle w:val="PageNumber"/>
        <w:lang w:val="en-US"/>
      </w:rPr>
      <w:fldChar w:fldCharType="separate"/>
    </w:r>
    <w:r w:rsidR="009621DA">
      <w:rPr>
        <w:rStyle w:val="PageNumber"/>
        <w:noProof/>
        <w:lang w:val="fr-CH"/>
      </w:rPr>
      <w:t>2</w:t>
    </w:r>
    <w:r w:rsidRPr="003C641A">
      <w:rPr>
        <w:rStyle w:val="PageNumber"/>
        <w:lang w:val="en-US"/>
      </w:rPr>
      <w:fldChar w:fldCharType="end"/>
    </w:r>
  </w:p>
  <w:p w:rsidR="009555CB" w:rsidRPr="002C0C6C" w:rsidRDefault="009555CB" w:rsidP="006655D3">
    <w:pPr>
      <w:rPr>
        <w:lang w:val="fr-CH"/>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2C0C6C" w:rsidRDefault="005A5958" w:rsidP="00EB048E">
    <w:pPr>
      <w:pStyle w:val="Header"/>
      <w:rPr>
        <w:rStyle w:val="PageNumber"/>
        <w:lang w:val="fr-CH"/>
      </w:rPr>
    </w:pPr>
    <w:r w:rsidRPr="002C0C6C">
      <w:rPr>
        <w:rStyle w:val="PageNumber"/>
        <w:lang w:val="fr-CH"/>
      </w:rPr>
      <w:t>C/56</w:t>
    </w:r>
    <w:r w:rsidR="000362AD" w:rsidRPr="002C0C6C">
      <w:rPr>
        <w:rStyle w:val="PageNumber"/>
        <w:lang w:val="fr-CH"/>
      </w:rPr>
      <w:t>/INF/4</w:t>
    </w:r>
  </w:p>
  <w:p w:rsidR="000362AD" w:rsidRPr="002C0C6C" w:rsidRDefault="000362AD" w:rsidP="00EB048E">
    <w:pPr>
      <w:pStyle w:val="Header"/>
      <w:rPr>
        <w:lang w:val="fr-CH"/>
      </w:rPr>
    </w:pPr>
    <w:r w:rsidRPr="002C0C6C">
      <w:rPr>
        <w:lang w:val="fr-CH"/>
      </w:rPr>
      <w:t xml:space="preserve">Annex </w:t>
    </w:r>
    <w:r w:rsidR="009555CB" w:rsidRPr="002C0C6C">
      <w:rPr>
        <w:lang w:val="fr-CH"/>
      </w:rPr>
      <w:t>X</w:t>
    </w:r>
    <w:r w:rsidRPr="002C0C6C">
      <w:rPr>
        <w:lang w:val="fr-CH"/>
      </w:rPr>
      <w:t xml:space="preserve">I, page </w:t>
    </w:r>
    <w:r w:rsidRPr="003C641A">
      <w:rPr>
        <w:rStyle w:val="PageNumber"/>
        <w:lang w:val="en-US"/>
      </w:rPr>
      <w:fldChar w:fldCharType="begin"/>
    </w:r>
    <w:r w:rsidRPr="002C0C6C">
      <w:rPr>
        <w:rStyle w:val="PageNumber"/>
        <w:lang w:val="fr-CH"/>
      </w:rPr>
      <w:instrText xml:space="preserve"> PAGE </w:instrText>
    </w:r>
    <w:r w:rsidRPr="003C641A">
      <w:rPr>
        <w:rStyle w:val="PageNumber"/>
        <w:lang w:val="en-US"/>
      </w:rPr>
      <w:fldChar w:fldCharType="separate"/>
    </w:r>
    <w:r w:rsidR="009621DA">
      <w:rPr>
        <w:rStyle w:val="PageNumber"/>
        <w:noProof/>
        <w:lang w:val="fr-CH"/>
      </w:rPr>
      <w:t>2</w:t>
    </w:r>
    <w:r w:rsidRPr="003C641A">
      <w:rPr>
        <w:rStyle w:val="PageNumber"/>
        <w:lang w:val="en-US"/>
      </w:rPr>
      <w:fldChar w:fldCharType="end"/>
    </w:r>
  </w:p>
  <w:p w:rsidR="000362AD" w:rsidRPr="002C0C6C" w:rsidRDefault="000362AD" w:rsidP="006655D3">
    <w:pPr>
      <w:rPr>
        <w:lang w:val="fr-CH"/>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2C0C6C" w:rsidRDefault="005A5958" w:rsidP="00EB048E">
    <w:pPr>
      <w:pStyle w:val="Header"/>
      <w:rPr>
        <w:rStyle w:val="PageNumber"/>
        <w:lang w:val="fr-CH"/>
      </w:rPr>
    </w:pPr>
    <w:r w:rsidRPr="002C0C6C">
      <w:rPr>
        <w:rStyle w:val="PageNumber"/>
        <w:lang w:val="fr-CH"/>
      </w:rPr>
      <w:t>C/56</w:t>
    </w:r>
    <w:r w:rsidR="000362AD" w:rsidRPr="002C0C6C">
      <w:rPr>
        <w:rStyle w:val="PageNumber"/>
        <w:lang w:val="fr-CH"/>
      </w:rPr>
      <w:t>/INF/4</w:t>
    </w:r>
  </w:p>
  <w:p w:rsidR="000362AD" w:rsidRPr="002C0C6C" w:rsidRDefault="000362AD" w:rsidP="00EB048E">
    <w:pPr>
      <w:pStyle w:val="Header"/>
      <w:rPr>
        <w:lang w:val="fr-CH"/>
      </w:rPr>
    </w:pPr>
    <w:r w:rsidRPr="002C0C6C">
      <w:rPr>
        <w:lang w:val="fr-CH"/>
      </w:rPr>
      <w:t xml:space="preserve">Annex </w:t>
    </w:r>
    <w:r w:rsidR="00523888" w:rsidRPr="002C0C6C">
      <w:rPr>
        <w:lang w:val="fr-CH"/>
      </w:rPr>
      <w:t>X</w:t>
    </w:r>
    <w:r w:rsidRPr="002C0C6C">
      <w:rPr>
        <w:lang w:val="fr-CH"/>
      </w:rPr>
      <w:t xml:space="preserve">II, page </w:t>
    </w:r>
    <w:r w:rsidRPr="003C641A">
      <w:rPr>
        <w:rStyle w:val="PageNumber"/>
        <w:lang w:val="en-US"/>
      </w:rPr>
      <w:fldChar w:fldCharType="begin"/>
    </w:r>
    <w:r w:rsidRPr="002C0C6C">
      <w:rPr>
        <w:rStyle w:val="PageNumber"/>
        <w:lang w:val="fr-CH"/>
      </w:rPr>
      <w:instrText xml:space="preserve"> PAGE </w:instrText>
    </w:r>
    <w:r w:rsidRPr="003C641A">
      <w:rPr>
        <w:rStyle w:val="PageNumber"/>
        <w:lang w:val="en-US"/>
      </w:rPr>
      <w:fldChar w:fldCharType="separate"/>
    </w:r>
    <w:r w:rsidR="009621DA">
      <w:rPr>
        <w:rStyle w:val="PageNumber"/>
        <w:noProof/>
        <w:lang w:val="fr-CH"/>
      </w:rPr>
      <w:t>3</w:t>
    </w:r>
    <w:r w:rsidRPr="003C641A">
      <w:rPr>
        <w:rStyle w:val="PageNumber"/>
        <w:lang w:val="en-US"/>
      </w:rPr>
      <w:fldChar w:fldCharType="end"/>
    </w:r>
  </w:p>
  <w:p w:rsidR="000362AD" w:rsidRPr="002C0C6C" w:rsidRDefault="000362AD" w:rsidP="006655D3">
    <w:pPr>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B0628B" w:rsidRDefault="005A5958" w:rsidP="00EB048E">
    <w:pPr>
      <w:pStyle w:val="Header"/>
      <w:rPr>
        <w:rStyle w:val="PageNumber"/>
        <w:lang w:val="fr-CH"/>
      </w:rPr>
    </w:pPr>
    <w:r>
      <w:rPr>
        <w:rStyle w:val="PageNumber"/>
        <w:lang w:val="fr-CH"/>
      </w:rPr>
      <w:t>C/56</w:t>
    </w:r>
    <w:r w:rsidR="000362AD" w:rsidRPr="00B0628B">
      <w:rPr>
        <w:rStyle w:val="PageNumber"/>
        <w:lang w:val="fr-CH"/>
      </w:rPr>
      <w:t>/INF/4</w:t>
    </w:r>
  </w:p>
  <w:p w:rsidR="000362AD" w:rsidRPr="00B0628B" w:rsidRDefault="000362AD" w:rsidP="00EB048E">
    <w:pPr>
      <w:pStyle w:val="Header"/>
      <w:rPr>
        <w:lang w:val="fr-CH"/>
      </w:rPr>
    </w:pPr>
    <w:r w:rsidRPr="00B0628B">
      <w:rPr>
        <w:lang w:val="fr-CH"/>
      </w:rPr>
      <w:t xml:space="preserve">Annex IX,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003D00FA">
      <w:rPr>
        <w:rStyle w:val="PageNumber"/>
        <w:noProof/>
        <w:lang w:val="fr-CH"/>
      </w:rPr>
      <w:t>2</w:t>
    </w:r>
    <w:r w:rsidRPr="00C5280D">
      <w:rPr>
        <w:rStyle w:val="PageNumber"/>
        <w:lang w:val="en-US"/>
      </w:rPr>
      <w:fldChar w:fldCharType="end"/>
    </w:r>
  </w:p>
  <w:p w:rsidR="000362AD" w:rsidRPr="00B0628B" w:rsidRDefault="000362AD" w:rsidP="006655D3">
    <w:pPr>
      <w:rPr>
        <w:lang w:val="fr-CH"/>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2C0C6C" w:rsidRDefault="005A5958" w:rsidP="00EB048E">
    <w:pPr>
      <w:pStyle w:val="Header"/>
      <w:rPr>
        <w:rStyle w:val="PageNumber"/>
        <w:lang w:val="fr-CH"/>
      </w:rPr>
    </w:pPr>
    <w:r w:rsidRPr="002C0C6C">
      <w:rPr>
        <w:rStyle w:val="PageNumber"/>
        <w:lang w:val="fr-CH"/>
      </w:rPr>
      <w:t>C/56</w:t>
    </w:r>
    <w:r w:rsidR="000362AD" w:rsidRPr="002C0C6C">
      <w:rPr>
        <w:rStyle w:val="PageNumber"/>
        <w:lang w:val="fr-CH"/>
      </w:rPr>
      <w:t>/INF/4</w:t>
    </w:r>
  </w:p>
  <w:p w:rsidR="000362AD" w:rsidRPr="002C0C6C" w:rsidRDefault="000362AD" w:rsidP="00EB048E">
    <w:pPr>
      <w:pStyle w:val="Header"/>
      <w:rPr>
        <w:lang w:val="fr-CH"/>
      </w:rPr>
    </w:pPr>
    <w:r w:rsidRPr="002C0C6C">
      <w:rPr>
        <w:lang w:val="fr-CH"/>
      </w:rPr>
      <w:t>Annex X</w:t>
    </w:r>
    <w:r w:rsidR="00523888" w:rsidRPr="002C0C6C">
      <w:rPr>
        <w:lang w:val="fr-CH"/>
      </w:rPr>
      <w:t>IV</w:t>
    </w:r>
    <w:r w:rsidRPr="002C0C6C">
      <w:rPr>
        <w:lang w:val="fr-CH"/>
      </w:rPr>
      <w:t xml:space="preserve">, page </w:t>
    </w:r>
    <w:r w:rsidRPr="003C641A">
      <w:rPr>
        <w:rStyle w:val="PageNumber"/>
        <w:lang w:val="en-US"/>
      </w:rPr>
      <w:fldChar w:fldCharType="begin"/>
    </w:r>
    <w:r w:rsidRPr="002C0C6C">
      <w:rPr>
        <w:rStyle w:val="PageNumber"/>
        <w:lang w:val="fr-CH"/>
      </w:rPr>
      <w:instrText xml:space="preserve"> PAGE </w:instrText>
    </w:r>
    <w:r w:rsidRPr="003C641A">
      <w:rPr>
        <w:rStyle w:val="PageNumber"/>
        <w:lang w:val="en-US"/>
      </w:rPr>
      <w:fldChar w:fldCharType="separate"/>
    </w:r>
    <w:r w:rsidR="009621DA">
      <w:rPr>
        <w:rStyle w:val="PageNumber"/>
        <w:noProof/>
        <w:lang w:val="fr-CH"/>
      </w:rPr>
      <w:t>2</w:t>
    </w:r>
    <w:r w:rsidRPr="003C641A">
      <w:rPr>
        <w:rStyle w:val="PageNumber"/>
        <w:lang w:val="en-US"/>
      </w:rPr>
      <w:fldChar w:fldCharType="end"/>
    </w:r>
  </w:p>
  <w:p w:rsidR="000362AD" w:rsidRPr="002C0C6C" w:rsidRDefault="000362AD" w:rsidP="006655D3">
    <w:pPr>
      <w:rPr>
        <w:lang w:val="fr-CH"/>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B0628B" w:rsidRDefault="005A5958" w:rsidP="00EB048E">
    <w:pPr>
      <w:pStyle w:val="Header"/>
      <w:rPr>
        <w:rStyle w:val="PageNumber"/>
        <w:lang w:val="fr-CH"/>
      </w:rPr>
    </w:pPr>
    <w:r>
      <w:rPr>
        <w:rStyle w:val="PageNumber"/>
        <w:lang w:val="fr-CH"/>
      </w:rPr>
      <w:t>C/56</w:t>
    </w:r>
    <w:r w:rsidR="000362AD" w:rsidRPr="00B0628B">
      <w:rPr>
        <w:rStyle w:val="PageNumber"/>
        <w:lang w:val="fr-CH"/>
      </w:rPr>
      <w:t>/INF/4</w:t>
    </w:r>
  </w:p>
  <w:p w:rsidR="000362AD" w:rsidRPr="00B0628B" w:rsidRDefault="000362AD" w:rsidP="00EB048E">
    <w:pPr>
      <w:pStyle w:val="Header"/>
      <w:rPr>
        <w:lang w:val="fr-CH"/>
      </w:rPr>
    </w:pPr>
    <w:r w:rsidRPr="00B0628B">
      <w:rPr>
        <w:lang w:val="fr-CH"/>
      </w:rPr>
      <w:t xml:space="preserve">Annex XI,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003D00FA">
      <w:rPr>
        <w:rStyle w:val="PageNumber"/>
        <w:noProof/>
        <w:lang w:val="fr-CH"/>
      </w:rPr>
      <w:t>4</w:t>
    </w:r>
    <w:r w:rsidRPr="00C5280D">
      <w:rPr>
        <w:rStyle w:val="PageNumber"/>
        <w:lang w:val="en-US"/>
      </w:rPr>
      <w:fldChar w:fldCharType="end"/>
    </w:r>
  </w:p>
  <w:p w:rsidR="000362AD" w:rsidRPr="00B0628B" w:rsidRDefault="000362AD" w:rsidP="006655D3">
    <w:pPr>
      <w:rPr>
        <w:lang w:val="fr-CH"/>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B0628B" w:rsidRDefault="005A5958" w:rsidP="00EB048E">
    <w:pPr>
      <w:pStyle w:val="Header"/>
      <w:rPr>
        <w:rStyle w:val="PageNumber"/>
        <w:lang w:val="fr-CH"/>
      </w:rPr>
    </w:pPr>
    <w:r>
      <w:rPr>
        <w:rStyle w:val="PageNumber"/>
        <w:lang w:val="fr-CH"/>
      </w:rPr>
      <w:t>C/56</w:t>
    </w:r>
    <w:r w:rsidR="000362AD" w:rsidRPr="00B0628B">
      <w:rPr>
        <w:rStyle w:val="PageNumber"/>
        <w:lang w:val="fr-CH"/>
      </w:rPr>
      <w:t>/INF/4</w:t>
    </w:r>
  </w:p>
  <w:p w:rsidR="000362AD" w:rsidRPr="002C0C6C" w:rsidRDefault="000362AD" w:rsidP="00EB048E">
    <w:pPr>
      <w:pStyle w:val="Header"/>
      <w:rPr>
        <w:lang w:val="fr-CH"/>
      </w:rPr>
    </w:pPr>
    <w:r w:rsidRPr="002C0C6C">
      <w:rPr>
        <w:lang w:val="fr-CH"/>
      </w:rPr>
      <w:t>Annex X</w:t>
    </w:r>
    <w:r w:rsidR="00C42508" w:rsidRPr="002C0C6C">
      <w:rPr>
        <w:lang w:val="fr-CH"/>
      </w:rPr>
      <w:t>V</w:t>
    </w:r>
    <w:r w:rsidRPr="002C0C6C">
      <w:rPr>
        <w:lang w:val="fr-CH"/>
      </w:rPr>
      <w:t xml:space="preserve">I, page </w:t>
    </w:r>
    <w:r w:rsidRPr="00C42508">
      <w:rPr>
        <w:rStyle w:val="PageNumber"/>
        <w:lang w:val="en-US"/>
      </w:rPr>
      <w:fldChar w:fldCharType="begin"/>
    </w:r>
    <w:r w:rsidRPr="002C0C6C">
      <w:rPr>
        <w:rStyle w:val="PageNumber"/>
        <w:lang w:val="fr-CH"/>
      </w:rPr>
      <w:instrText xml:space="preserve"> PAGE </w:instrText>
    </w:r>
    <w:r w:rsidRPr="00C42508">
      <w:rPr>
        <w:rStyle w:val="PageNumber"/>
        <w:lang w:val="en-US"/>
      </w:rPr>
      <w:fldChar w:fldCharType="separate"/>
    </w:r>
    <w:r w:rsidR="009621DA">
      <w:rPr>
        <w:rStyle w:val="PageNumber"/>
        <w:noProof/>
        <w:lang w:val="fr-CH"/>
      </w:rPr>
      <w:t>2</w:t>
    </w:r>
    <w:r w:rsidRPr="00C42508">
      <w:rPr>
        <w:rStyle w:val="PageNumber"/>
        <w:lang w:val="en-US"/>
      </w:rPr>
      <w:fldChar w:fldCharType="end"/>
    </w:r>
  </w:p>
  <w:p w:rsidR="000362AD" w:rsidRPr="00B0628B" w:rsidRDefault="000362AD" w:rsidP="006655D3">
    <w:pPr>
      <w:rPr>
        <w:lang w:val="fr-CH"/>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508" w:rsidRPr="00C42508" w:rsidRDefault="00C42508" w:rsidP="00C4250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B0628B" w:rsidRDefault="005A5958" w:rsidP="00EB048E">
    <w:pPr>
      <w:pStyle w:val="Header"/>
      <w:rPr>
        <w:rStyle w:val="PageNumber"/>
        <w:lang w:val="fr-CH"/>
      </w:rPr>
    </w:pPr>
    <w:r>
      <w:rPr>
        <w:rStyle w:val="PageNumber"/>
        <w:lang w:val="fr-CH"/>
      </w:rPr>
      <w:t>C/56</w:t>
    </w:r>
    <w:r w:rsidR="000362AD" w:rsidRPr="00B0628B">
      <w:rPr>
        <w:rStyle w:val="PageNumber"/>
        <w:lang w:val="fr-CH"/>
      </w:rPr>
      <w:t>/INF/4</w:t>
    </w:r>
  </w:p>
  <w:p w:rsidR="000362AD" w:rsidRPr="00B0628B" w:rsidRDefault="000362AD" w:rsidP="00EB048E">
    <w:pPr>
      <w:pStyle w:val="Header"/>
      <w:rPr>
        <w:lang w:val="fr-CH"/>
      </w:rPr>
    </w:pPr>
    <w:r w:rsidRPr="00B0628B">
      <w:rPr>
        <w:lang w:val="fr-CH"/>
      </w:rPr>
      <w:t xml:space="preserve">Annex XIII,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00094940">
      <w:rPr>
        <w:rStyle w:val="PageNumber"/>
        <w:noProof/>
        <w:lang w:val="fr-CH"/>
      </w:rPr>
      <w:t>2</w:t>
    </w:r>
    <w:r w:rsidRPr="00C5280D">
      <w:rPr>
        <w:rStyle w:val="PageNumber"/>
        <w:lang w:val="en-US"/>
      </w:rPr>
      <w:fldChar w:fldCharType="end"/>
    </w:r>
  </w:p>
  <w:p w:rsidR="000362AD" w:rsidRPr="00B0628B" w:rsidRDefault="000362AD" w:rsidP="006655D3">
    <w:pP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C5280D" w:rsidRDefault="005A5958" w:rsidP="00EB048E">
    <w:pPr>
      <w:pStyle w:val="Header"/>
      <w:rPr>
        <w:rStyle w:val="PageNumber"/>
        <w:lang w:val="en-US"/>
      </w:rPr>
    </w:pPr>
    <w:r>
      <w:rPr>
        <w:rStyle w:val="PageNumber"/>
        <w:lang w:val="en-US"/>
      </w:rPr>
      <w:t>C/56</w:t>
    </w:r>
    <w:r w:rsidR="000362AD">
      <w:rPr>
        <w:rStyle w:val="PageNumber"/>
        <w:lang w:val="en-US"/>
      </w:rPr>
      <w:t>/INF/4</w:t>
    </w:r>
  </w:p>
  <w:p w:rsidR="000362AD" w:rsidRPr="00C5280D" w:rsidRDefault="000362AD"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621DA">
      <w:rPr>
        <w:rStyle w:val="PageNumber"/>
        <w:noProof/>
        <w:lang w:val="en-US"/>
      </w:rPr>
      <w:t>2</w:t>
    </w:r>
    <w:r w:rsidRPr="00C5280D">
      <w:rPr>
        <w:rStyle w:val="PageNumber"/>
        <w:lang w:val="en-US"/>
      </w:rPr>
      <w:fldChar w:fldCharType="end"/>
    </w:r>
  </w:p>
  <w:p w:rsidR="000362AD" w:rsidRPr="00C5280D" w:rsidRDefault="000362AD" w:rsidP="006655D3"/>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2C0C6C" w:rsidRDefault="005A5958" w:rsidP="00EB048E">
    <w:pPr>
      <w:pStyle w:val="Header"/>
      <w:rPr>
        <w:rStyle w:val="PageNumber"/>
        <w:lang w:val="fr-CH"/>
      </w:rPr>
    </w:pPr>
    <w:r w:rsidRPr="002C0C6C">
      <w:rPr>
        <w:rStyle w:val="PageNumber"/>
        <w:lang w:val="fr-CH"/>
      </w:rPr>
      <w:t>C/56</w:t>
    </w:r>
    <w:r w:rsidR="000362AD" w:rsidRPr="002C0C6C">
      <w:rPr>
        <w:rStyle w:val="PageNumber"/>
        <w:lang w:val="fr-CH"/>
      </w:rPr>
      <w:t>/INF/4</w:t>
    </w:r>
  </w:p>
  <w:p w:rsidR="000362AD" w:rsidRPr="002C0C6C" w:rsidRDefault="000362AD" w:rsidP="00EB048E">
    <w:pPr>
      <w:pStyle w:val="Header"/>
      <w:rPr>
        <w:lang w:val="fr-CH"/>
      </w:rPr>
    </w:pPr>
    <w:r w:rsidRPr="002C0C6C">
      <w:rPr>
        <w:lang w:val="fr-CH"/>
      </w:rPr>
      <w:t>Annex XV</w:t>
    </w:r>
    <w:r w:rsidR="00F54014" w:rsidRPr="002C0C6C">
      <w:rPr>
        <w:lang w:val="fr-CH"/>
      </w:rPr>
      <w:t>III</w:t>
    </w:r>
    <w:r w:rsidRPr="002C0C6C">
      <w:rPr>
        <w:lang w:val="fr-CH"/>
      </w:rPr>
      <w:t xml:space="preserve">, page </w:t>
    </w:r>
    <w:r w:rsidRPr="00F54014">
      <w:rPr>
        <w:rStyle w:val="PageNumber"/>
        <w:lang w:val="en-US"/>
      </w:rPr>
      <w:fldChar w:fldCharType="begin"/>
    </w:r>
    <w:r w:rsidRPr="002C0C6C">
      <w:rPr>
        <w:rStyle w:val="PageNumber"/>
        <w:lang w:val="fr-CH"/>
      </w:rPr>
      <w:instrText xml:space="preserve"> PAGE </w:instrText>
    </w:r>
    <w:r w:rsidRPr="00F54014">
      <w:rPr>
        <w:rStyle w:val="PageNumber"/>
        <w:lang w:val="en-US"/>
      </w:rPr>
      <w:fldChar w:fldCharType="separate"/>
    </w:r>
    <w:r w:rsidR="009621DA">
      <w:rPr>
        <w:rStyle w:val="PageNumber"/>
        <w:noProof/>
        <w:lang w:val="fr-CH"/>
      </w:rPr>
      <w:t>4</w:t>
    </w:r>
    <w:r w:rsidRPr="00F54014">
      <w:rPr>
        <w:rStyle w:val="PageNumber"/>
        <w:lang w:val="en-US"/>
      </w:rPr>
      <w:fldChar w:fldCharType="end"/>
    </w:r>
  </w:p>
  <w:p w:rsidR="000362AD" w:rsidRPr="002C0C6C" w:rsidRDefault="000362AD" w:rsidP="006655D3">
    <w:pPr>
      <w:rPr>
        <w:lang w:val="fr-CH"/>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2C0C6C" w:rsidRDefault="005A5958" w:rsidP="00EB048E">
    <w:pPr>
      <w:pStyle w:val="Header"/>
      <w:rPr>
        <w:rStyle w:val="PageNumber"/>
        <w:lang w:val="fr-CH"/>
      </w:rPr>
    </w:pPr>
    <w:r w:rsidRPr="002C0C6C">
      <w:rPr>
        <w:rStyle w:val="PageNumber"/>
        <w:lang w:val="fr-CH"/>
      </w:rPr>
      <w:t>C/56</w:t>
    </w:r>
    <w:r w:rsidR="00544B5B" w:rsidRPr="002C0C6C">
      <w:rPr>
        <w:rStyle w:val="PageNumber"/>
        <w:lang w:val="fr-CH"/>
      </w:rPr>
      <w:t>/INF/4</w:t>
    </w:r>
  </w:p>
  <w:p w:rsidR="0004198B" w:rsidRPr="002C0C6C" w:rsidRDefault="005F3EE3" w:rsidP="00EB048E">
    <w:pPr>
      <w:pStyle w:val="Header"/>
      <w:rPr>
        <w:lang w:val="fr-CH"/>
      </w:rPr>
    </w:pPr>
    <w:r w:rsidRPr="002C0C6C">
      <w:rPr>
        <w:lang w:val="fr-CH"/>
      </w:rPr>
      <w:t>Annex XI</w:t>
    </w:r>
    <w:r w:rsidR="00D76E4F" w:rsidRPr="002C0C6C">
      <w:rPr>
        <w:lang w:val="fr-CH"/>
      </w:rPr>
      <w:t>X</w:t>
    </w:r>
    <w:r w:rsidRPr="002C0C6C">
      <w:rPr>
        <w:lang w:val="fr-CH"/>
      </w:rPr>
      <w:t xml:space="preserve">, </w:t>
    </w:r>
    <w:r w:rsidR="0004198B" w:rsidRPr="002C0C6C">
      <w:rPr>
        <w:lang w:val="fr-CH"/>
      </w:rPr>
      <w:t xml:space="preserve">page </w:t>
    </w:r>
    <w:r w:rsidR="0004198B" w:rsidRPr="00C5280D">
      <w:rPr>
        <w:rStyle w:val="PageNumber"/>
        <w:lang w:val="en-US"/>
      </w:rPr>
      <w:fldChar w:fldCharType="begin"/>
    </w:r>
    <w:r w:rsidR="0004198B" w:rsidRPr="002C0C6C">
      <w:rPr>
        <w:rStyle w:val="PageNumber"/>
        <w:lang w:val="fr-CH"/>
      </w:rPr>
      <w:instrText xml:space="preserve"> PAGE </w:instrText>
    </w:r>
    <w:r w:rsidR="0004198B" w:rsidRPr="00C5280D">
      <w:rPr>
        <w:rStyle w:val="PageNumber"/>
        <w:lang w:val="en-US"/>
      </w:rPr>
      <w:fldChar w:fldCharType="separate"/>
    </w:r>
    <w:r w:rsidR="009621DA">
      <w:rPr>
        <w:rStyle w:val="PageNumber"/>
        <w:noProof/>
        <w:lang w:val="fr-CH"/>
      </w:rPr>
      <w:t>10</w:t>
    </w:r>
    <w:r w:rsidR="0004198B" w:rsidRPr="00C5280D">
      <w:rPr>
        <w:rStyle w:val="PageNumber"/>
        <w:lang w:val="en-US"/>
      </w:rPr>
      <w:fldChar w:fldCharType="end"/>
    </w:r>
  </w:p>
  <w:p w:rsidR="0004198B" w:rsidRPr="002C0C6C" w:rsidRDefault="0004198B" w:rsidP="006655D3">
    <w:pP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F2E" w:rsidRPr="002C0C6C" w:rsidRDefault="008A4F2E" w:rsidP="008A4F2E">
    <w:pPr>
      <w:pStyle w:val="Header"/>
      <w:rPr>
        <w:rStyle w:val="PageNumber"/>
        <w:lang w:val="fr-CH"/>
      </w:rPr>
    </w:pPr>
    <w:r w:rsidRPr="002C0C6C">
      <w:rPr>
        <w:rStyle w:val="PageNumber"/>
        <w:lang w:val="fr-CH"/>
      </w:rPr>
      <w:t>C/56/INF/4</w:t>
    </w:r>
  </w:p>
  <w:p w:rsidR="008A4F2E" w:rsidRPr="002C0C6C" w:rsidRDefault="008A4F2E" w:rsidP="008A4F2E">
    <w:pPr>
      <w:pStyle w:val="Header"/>
      <w:rPr>
        <w:lang w:val="fr-CH"/>
      </w:rPr>
    </w:pPr>
    <w:r w:rsidRPr="002C0C6C">
      <w:rPr>
        <w:lang w:val="fr-CH"/>
      </w:rPr>
      <w:t xml:space="preserve">Annex II, page </w:t>
    </w:r>
    <w:r w:rsidRPr="00C5280D">
      <w:rPr>
        <w:rStyle w:val="PageNumber"/>
        <w:lang w:val="en-US"/>
      </w:rPr>
      <w:fldChar w:fldCharType="begin"/>
    </w:r>
    <w:r w:rsidRPr="002C0C6C">
      <w:rPr>
        <w:rStyle w:val="PageNumber"/>
        <w:lang w:val="fr-CH"/>
      </w:rPr>
      <w:instrText xml:space="preserve"> PAGE </w:instrText>
    </w:r>
    <w:r w:rsidRPr="00C5280D">
      <w:rPr>
        <w:rStyle w:val="PageNumber"/>
        <w:lang w:val="en-US"/>
      </w:rPr>
      <w:fldChar w:fldCharType="separate"/>
    </w:r>
    <w:r w:rsidR="009621DA">
      <w:rPr>
        <w:rStyle w:val="PageNumber"/>
        <w:noProof/>
        <w:lang w:val="fr-CH"/>
      </w:rPr>
      <w:t>2</w:t>
    </w:r>
    <w:r w:rsidRPr="00C5280D">
      <w:rPr>
        <w:rStyle w:val="PageNumber"/>
        <w:lang w:val="en-US"/>
      </w:rPr>
      <w:fldChar w:fldCharType="end"/>
    </w:r>
  </w:p>
  <w:p w:rsidR="008A4F2E" w:rsidRDefault="008A4F2E" w:rsidP="008A4F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EC6" w:rsidRPr="008A4F2E" w:rsidRDefault="00F55EC6" w:rsidP="008A4F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2C0C6C" w:rsidRDefault="005A5958" w:rsidP="00EB048E">
    <w:pPr>
      <w:pStyle w:val="Header"/>
      <w:rPr>
        <w:rStyle w:val="PageNumber"/>
        <w:lang w:val="fr-CH"/>
      </w:rPr>
    </w:pPr>
    <w:r w:rsidRPr="002C0C6C">
      <w:rPr>
        <w:rStyle w:val="PageNumber"/>
        <w:lang w:val="fr-CH"/>
      </w:rPr>
      <w:t>C/56</w:t>
    </w:r>
    <w:r w:rsidR="000362AD" w:rsidRPr="002C0C6C">
      <w:rPr>
        <w:rStyle w:val="PageNumber"/>
        <w:lang w:val="fr-CH"/>
      </w:rPr>
      <w:t>/INF/4</w:t>
    </w:r>
  </w:p>
  <w:p w:rsidR="000362AD" w:rsidRPr="002C0C6C" w:rsidRDefault="000362AD" w:rsidP="00EB048E">
    <w:pPr>
      <w:pStyle w:val="Header"/>
      <w:rPr>
        <w:lang w:val="fr-CH"/>
      </w:rPr>
    </w:pPr>
    <w:r w:rsidRPr="002C0C6C">
      <w:rPr>
        <w:lang w:val="fr-CH"/>
      </w:rPr>
      <w:t>Annex I</w:t>
    </w:r>
    <w:r w:rsidR="008A4F2E" w:rsidRPr="002C0C6C">
      <w:rPr>
        <w:lang w:val="fr-CH"/>
      </w:rPr>
      <w:t>I</w:t>
    </w:r>
    <w:r w:rsidRPr="002C0C6C">
      <w:rPr>
        <w:lang w:val="fr-CH"/>
      </w:rPr>
      <w:t xml:space="preserve">I, page </w:t>
    </w:r>
    <w:r w:rsidRPr="00D46C5A">
      <w:rPr>
        <w:rStyle w:val="PageNumber"/>
        <w:lang w:val="en-US"/>
      </w:rPr>
      <w:fldChar w:fldCharType="begin"/>
    </w:r>
    <w:r w:rsidRPr="002C0C6C">
      <w:rPr>
        <w:rStyle w:val="PageNumber"/>
        <w:lang w:val="fr-CH"/>
      </w:rPr>
      <w:instrText xml:space="preserve"> PAGE </w:instrText>
    </w:r>
    <w:r w:rsidRPr="00D46C5A">
      <w:rPr>
        <w:rStyle w:val="PageNumber"/>
        <w:lang w:val="en-US"/>
      </w:rPr>
      <w:fldChar w:fldCharType="separate"/>
    </w:r>
    <w:r w:rsidR="009621DA">
      <w:rPr>
        <w:rStyle w:val="PageNumber"/>
        <w:noProof/>
        <w:lang w:val="fr-CH"/>
      </w:rPr>
      <w:t>2</w:t>
    </w:r>
    <w:r w:rsidRPr="00D46C5A">
      <w:rPr>
        <w:rStyle w:val="PageNumber"/>
        <w:lang w:val="en-US"/>
      </w:rPr>
      <w:fldChar w:fldCharType="end"/>
    </w:r>
  </w:p>
  <w:p w:rsidR="000362AD" w:rsidRPr="002C0C6C" w:rsidRDefault="000362AD"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B0628B" w:rsidRDefault="005A5958" w:rsidP="00EB048E">
    <w:pPr>
      <w:pStyle w:val="Header"/>
      <w:rPr>
        <w:rStyle w:val="PageNumber"/>
        <w:lang w:val="fr-CH"/>
      </w:rPr>
    </w:pPr>
    <w:r>
      <w:rPr>
        <w:rStyle w:val="PageNumber"/>
        <w:lang w:val="fr-CH"/>
      </w:rPr>
      <w:t>C/56</w:t>
    </w:r>
    <w:r w:rsidR="000362AD" w:rsidRPr="00B0628B">
      <w:rPr>
        <w:rStyle w:val="PageNumber"/>
        <w:lang w:val="fr-CH"/>
      </w:rPr>
      <w:t>/INF/4</w:t>
    </w:r>
  </w:p>
  <w:p w:rsidR="000362AD" w:rsidRPr="00B0628B" w:rsidRDefault="000362AD" w:rsidP="00EB048E">
    <w:pPr>
      <w:pStyle w:val="Header"/>
      <w:rPr>
        <w:lang w:val="fr-CH"/>
      </w:rPr>
    </w:pPr>
    <w:r w:rsidRPr="00B0628B">
      <w:rPr>
        <w:lang w:val="fr-CH"/>
      </w:rPr>
      <w:t xml:space="preserve">Annex III,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003D00FA">
      <w:rPr>
        <w:rStyle w:val="PageNumber"/>
        <w:noProof/>
        <w:lang w:val="fr-CH"/>
      </w:rPr>
      <w:t>2</w:t>
    </w:r>
    <w:r w:rsidRPr="00C5280D">
      <w:rPr>
        <w:rStyle w:val="PageNumber"/>
        <w:lang w:val="en-US"/>
      </w:rPr>
      <w:fldChar w:fldCharType="end"/>
    </w:r>
  </w:p>
  <w:p w:rsidR="000362AD" w:rsidRPr="00B0628B" w:rsidRDefault="000362AD" w:rsidP="006655D3">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B0628B" w:rsidRDefault="005A5958" w:rsidP="00EB048E">
    <w:pPr>
      <w:pStyle w:val="Header"/>
      <w:rPr>
        <w:rStyle w:val="PageNumber"/>
        <w:lang w:val="fr-CH"/>
      </w:rPr>
    </w:pPr>
    <w:r>
      <w:rPr>
        <w:rStyle w:val="PageNumber"/>
        <w:lang w:val="fr-CH"/>
      </w:rPr>
      <w:t>C/56</w:t>
    </w:r>
    <w:r w:rsidR="000362AD" w:rsidRPr="00B0628B">
      <w:rPr>
        <w:rStyle w:val="PageNumber"/>
        <w:lang w:val="fr-CH"/>
      </w:rPr>
      <w:t>/INF/4</w:t>
    </w:r>
  </w:p>
  <w:p w:rsidR="000362AD" w:rsidRPr="00B0628B" w:rsidRDefault="000362AD" w:rsidP="00EB048E">
    <w:pPr>
      <w:pStyle w:val="Header"/>
      <w:rPr>
        <w:lang w:val="fr-CH"/>
      </w:rPr>
    </w:pPr>
    <w:r w:rsidRPr="00B0628B">
      <w:rPr>
        <w:lang w:val="fr-CH"/>
      </w:rPr>
      <w:t xml:space="preserve">Annex IV,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Pr="00B0628B">
      <w:rPr>
        <w:rStyle w:val="PageNumber"/>
        <w:noProof/>
        <w:lang w:val="fr-CH"/>
      </w:rPr>
      <w:t>2</w:t>
    </w:r>
    <w:r w:rsidRPr="00C5280D">
      <w:rPr>
        <w:rStyle w:val="PageNumber"/>
        <w:lang w:val="en-US"/>
      </w:rPr>
      <w:fldChar w:fldCharType="end"/>
    </w:r>
  </w:p>
  <w:p w:rsidR="000362AD" w:rsidRPr="00B0628B" w:rsidRDefault="000362AD"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2C0C6C" w:rsidRDefault="005A5958" w:rsidP="00EB048E">
    <w:pPr>
      <w:pStyle w:val="Header"/>
      <w:rPr>
        <w:rStyle w:val="PageNumber"/>
        <w:lang w:val="fr-CH"/>
      </w:rPr>
    </w:pPr>
    <w:r w:rsidRPr="002C0C6C">
      <w:rPr>
        <w:rStyle w:val="PageNumber"/>
        <w:lang w:val="fr-CH"/>
      </w:rPr>
      <w:t>C/56</w:t>
    </w:r>
    <w:r w:rsidR="000362AD" w:rsidRPr="002C0C6C">
      <w:rPr>
        <w:rStyle w:val="PageNumber"/>
        <w:lang w:val="fr-CH"/>
      </w:rPr>
      <w:t>/INF/4</w:t>
    </w:r>
  </w:p>
  <w:p w:rsidR="000362AD" w:rsidRPr="002C0C6C" w:rsidRDefault="000362AD" w:rsidP="00EB048E">
    <w:pPr>
      <w:pStyle w:val="Header"/>
      <w:rPr>
        <w:lang w:val="fr-CH"/>
      </w:rPr>
    </w:pPr>
    <w:r w:rsidRPr="002C0C6C">
      <w:rPr>
        <w:lang w:val="fr-CH"/>
      </w:rPr>
      <w:t>Annex V</w:t>
    </w:r>
    <w:r w:rsidR="00F410EA" w:rsidRPr="002C0C6C">
      <w:rPr>
        <w:lang w:val="fr-CH"/>
      </w:rPr>
      <w:t>II</w:t>
    </w:r>
    <w:r w:rsidRPr="002C0C6C">
      <w:rPr>
        <w:lang w:val="fr-CH"/>
      </w:rPr>
      <w:t xml:space="preserve">, page </w:t>
    </w:r>
    <w:r w:rsidRPr="00D46C5A">
      <w:rPr>
        <w:rStyle w:val="PageNumber"/>
        <w:lang w:val="en-US"/>
      </w:rPr>
      <w:fldChar w:fldCharType="begin"/>
    </w:r>
    <w:r w:rsidRPr="002C0C6C">
      <w:rPr>
        <w:rStyle w:val="PageNumber"/>
        <w:lang w:val="fr-CH"/>
      </w:rPr>
      <w:instrText xml:space="preserve"> PAGE </w:instrText>
    </w:r>
    <w:r w:rsidRPr="00D46C5A">
      <w:rPr>
        <w:rStyle w:val="PageNumber"/>
        <w:lang w:val="en-US"/>
      </w:rPr>
      <w:fldChar w:fldCharType="separate"/>
    </w:r>
    <w:r w:rsidR="009621DA">
      <w:rPr>
        <w:rStyle w:val="PageNumber"/>
        <w:noProof/>
        <w:lang w:val="fr-CH"/>
      </w:rPr>
      <w:t>2</w:t>
    </w:r>
    <w:r w:rsidRPr="00D46C5A">
      <w:rPr>
        <w:rStyle w:val="PageNumber"/>
        <w:lang w:val="en-US"/>
      </w:rPr>
      <w:fldChar w:fldCharType="end"/>
    </w:r>
  </w:p>
  <w:p w:rsidR="000362AD" w:rsidRPr="002C0C6C" w:rsidRDefault="000362AD" w:rsidP="006655D3">
    <w:pPr>
      <w:rPr>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2C0C6C" w:rsidRDefault="005A5958" w:rsidP="00EB048E">
    <w:pPr>
      <w:pStyle w:val="Header"/>
      <w:rPr>
        <w:rStyle w:val="PageNumber"/>
        <w:lang w:val="fr-CH"/>
      </w:rPr>
    </w:pPr>
    <w:r w:rsidRPr="002C0C6C">
      <w:rPr>
        <w:rStyle w:val="PageNumber"/>
        <w:lang w:val="fr-CH"/>
      </w:rPr>
      <w:t>C/56</w:t>
    </w:r>
    <w:r w:rsidR="000362AD" w:rsidRPr="002C0C6C">
      <w:rPr>
        <w:rStyle w:val="PageNumber"/>
        <w:lang w:val="fr-CH"/>
      </w:rPr>
      <w:t>/INF/4</w:t>
    </w:r>
  </w:p>
  <w:p w:rsidR="000362AD" w:rsidRPr="002C0C6C" w:rsidRDefault="000362AD" w:rsidP="00EB048E">
    <w:pPr>
      <w:pStyle w:val="Header"/>
      <w:rPr>
        <w:lang w:val="fr-CH"/>
      </w:rPr>
    </w:pPr>
    <w:r w:rsidRPr="002C0C6C">
      <w:rPr>
        <w:lang w:val="fr-CH"/>
      </w:rPr>
      <w:t>Annex VI</w:t>
    </w:r>
    <w:r w:rsidR="00F410EA" w:rsidRPr="002C0C6C">
      <w:rPr>
        <w:lang w:val="fr-CH"/>
      </w:rPr>
      <w:t>II</w:t>
    </w:r>
    <w:r w:rsidRPr="002C0C6C">
      <w:rPr>
        <w:lang w:val="fr-CH"/>
      </w:rPr>
      <w:t xml:space="preserve">, page </w:t>
    </w:r>
    <w:r w:rsidRPr="003C641A">
      <w:rPr>
        <w:rStyle w:val="PageNumber"/>
        <w:lang w:val="en-US"/>
      </w:rPr>
      <w:fldChar w:fldCharType="begin"/>
    </w:r>
    <w:r w:rsidRPr="002C0C6C">
      <w:rPr>
        <w:rStyle w:val="PageNumber"/>
        <w:lang w:val="fr-CH"/>
      </w:rPr>
      <w:instrText xml:space="preserve"> PAGE </w:instrText>
    </w:r>
    <w:r w:rsidRPr="003C641A">
      <w:rPr>
        <w:rStyle w:val="PageNumber"/>
        <w:lang w:val="en-US"/>
      </w:rPr>
      <w:fldChar w:fldCharType="separate"/>
    </w:r>
    <w:r w:rsidR="009621DA">
      <w:rPr>
        <w:rStyle w:val="PageNumber"/>
        <w:noProof/>
        <w:lang w:val="fr-CH"/>
      </w:rPr>
      <w:t>3</w:t>
    </w:r>
    <w:r w:rsidRPr="003C641A">
      <w:rPr>
        <w:rStyle w:val="PageNumber"/>
        <w:lang w:val="en-US"/>
      </w:rPr>
      <w:fldChar w:fldCharType="end"/>
    </w:r>
  </w:p>
  <w:p w:rsidR="000362AD" w:rsidRPr="002C0C6C" w:rsidRDefault="000362AD" w:rsidP="006655D3">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0FA4"/>
    <w:multiLevelType w:val="hybridMultilevel"/>
    <w:tmpl w:val="87E4C98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10D6F"/>
    <w:multiLevelType w:val="hybridMultilevel"/>
    <w:tmpl w:val="0B287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509F0"/>
    <w:multiLevelType w:val="hybridMultilevel"/>
    <w:tmpl w:val="BD8C28DC"/>
    <w:lvl w:ilvl="0" w:tplc="080C0001">
      <w:start w:val="1"/>
      <w:numFmt w:val="bullet"/>
      <w:lvlText w:val=""/>
      <w:lvlJc w:val="left"/>
      <w:pPr>
        <w:ind w:left="720" w:hanging="360"/>
      </w:pPr>
      <w:rPr>
        <w:rFonts w:ascii="Symbol" w:hAnsi="Symbol" w:hint="default"/>
        <w:color w:val="auto"/>
        <w:u w:color="00B050"/>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 w15:restartNumberingAfterBreak="0">
    <w:nsid w:val="062D2D8F"/>
    <w:multiLevelType w:val="hybridMultilevel"/>
    <w:tmpl w:val="5E880B30"/>
    <w:lvl w:ilvl="0" w:tplc="0DC23DEE">
      <w:start w:val="2"/>
      <w:numFmt w:val="bullet"/>
      <w:lvlText w:val="-"/>
      <w:lvlJc w:val="left"/>
      <w:pPr>
        <w:ind w:left="915" w:hanging="360"/>
      </w:pPr>
      <w:rPr>
        <w:rFonts w:ascii="Arial" w:eastAsiaTheme="minorEastAsia" w:hAnsi="Arial" w:cs="Arial" w:hint="default"/>
      </w:rPr>
    </w:lvl>
    <w:lvl w:ilvl="1" w:tplc="04090003" w:tentative="1">
      <w:start w:val="1"/>
      <w:numFmt w:val="bullet"/>
      <w:lvlText w:val=""/>
      <w:lvlJc w:val="left"/>
      <w:pPr>
        <w:ind w:left="1355" w:hanging="400"/>
      </w:pPr>
      <w:rPr>
        <w:rFonts w:ascii="Wingdings" w:hAnsi="Wingdings" w:hint="default"/>
      </w:rPr>
    </w:lvl>
    <w:lvl w:ilvl="2" w:tplc="04090005" w:tentative="1">
      <w:start w:val="1"/>
      <w:numFmt w:val="bullet"/>
      <w:lvlText w:val=""/>
      <w:lvlJc w:val="left"/>
      <w:pPr>
        <w:ind w:left="1755" w:hanging="400"/>
      </w:pPr>
      <w:rPr>
        <w:rFonts w:ascii="Wingdings" w:hAnsi="Wingdings" w:hint="default"/>
      </w:rPr>
    </w:lvl>
    <w:lvl w:ilvl="3" w:tplc="04090001" w:tentative="1">
      <w:start w:val="1"/>
      <w:numFmt w:val="bullet"/>
      <w:lvlText w:val=""/>
      <w:lvlJc w:val="left"/>
      <w:pPr>
        <w:ind w:left="2155" w:hanging="400"/>
      </w:pPr>
      <w:rPr>
        <w:rFonts w:ascii="Wingdings" w:hAnsi="Wingdings" w:hint="default"/>
      </w:rPr>
    </w:lvl>
    <w:lvl w:ilvl="4" w:tplc="04090003" w:tentative="1">
      <w:start w:val="1"/>
      <w:numFmt w:val="bullet"/>
      <w:lvlText w:val=""/>
      <w:lvlJc w:val="left"/>
      <w:pPr>
        <w:ind w:left="2555" w:hanging="400"/>
      </w:pPr>
      <w:rPr>
        <w:rFonts w:ascii="Wingdings" w:hAnsi="Wingdings" w:hint="default"/>
      </w:rPr>
    </w:lvl>
    <w:lvl w:ilvl="5" w:tplc="04090005" w:tentative="1">
      <w:start w:val="1"/>
      <w:numFmt w:val="bullet"/>
      <w:lvlText w:val=""/>
      <w:lvlJc w:val="left"/>
      <w:pPr>
        <w:ind w:left="2955" w:hanging="400"/>
      </w:pPr>
      <w:rPr>
        <w:rFonts w:ascii="Wingdings" w:hAnsi="Wingdings" w:hint="default"/>
      </w:rPr>
    </w:lvl>
    <w:lvl w:ilvl="6" w:tplc="04090001" w:tentative="1">
      <w:start w:val="1"/>
      <w:numFmt w:val="bullet"/>
      <w:lvlText w:val=""/>
      <w:lvlJc w:val="left"/>
      <w:pPr>
        <w:ind w:left="3355" w:hanging="400"/>
      </w:pPr>
      <w:rPr>
        <w:rFonts w:ascii="Wingdings" w:hAnsi="Wingdings" w:hint="default"/>
      </w:rPr>
    </w:lvl>
    <w:lvl w:ilvl="7" w:tplc="04090003" w:tentative="1">
      <w:start w:val="1"/>
      <w:numFmt w:val="bullet"/>
      <w:lvlText w:val=""/>
      <w:lvlJc w:val="left"/>
      <w:pPr>
        <w:ind w:left="3755" w:hanging="400"/>
      </w:pPr>
      <w:rPr>
        <w:rFonts w:ascii="Wingdings" w:hAnsi="Wingdings" w:hint="default"/>
      </w:rPr>
    </w:lvl>
    <w:lvl w:ilvl="8" w:tplc="04090005" w:tentative="1">
      <w:start w:val="1"/>
      <w:numFmt w:val="bullet"/>
      <w:lvlText w:val=""/>
      <w:lvlJc w:val="left"/>
      <w:pPr>
        <w:ind w:left="4155" w:hanging="400"/>
      </w:pPr>
      <w:rPr>
        <w:rFonts w:ascii="Wingdings" w:hAnsi="Wingdings" w:hint="default"/>
      </w:rPr>
    </w:lvl>
  </w:abstractNum>
  <w:abstractNum w:abstractNumId="4" w15:restartNumberingAfterBreak="0">
    <w:nsid w:val="07002A28"/>
    <w:multiLevelType w:val="hybridMultilevel"/>
    <w:tmpl w:val="D868A16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E5A16"/>
    <w:multiLevelType w:val="hybridMultilevel"/>
    <w:tmpl w:val="0C86E46A"/>
    <w:lvl w:ilvl="0" w:tplc="51823D76">
      <w:numFmt w:val="bullet"/>
      <w:lvlText w:val=""/>
      <w:lvlJc w:val="left"/>
      <w:pPr>
        <w:ind w:left="783" w:hanging="360"/>
      </w:pPr>
      <w:rPr>
        <w:rFonts w:ascii="Symbol" w:hAnsi="Symbol" w:cs="Times New Roman"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15:restartNumberingAfterBreak="0">
    <w:nsid w:val="111F7611"/>
    <w:multiLevelType w:val="hybridMultilevel"/>
    <w:tmpl w:val="57863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83DE3"/>
    <w:multiLevelType w:val="hybridMultilevel"/>
    <w:tmpl w:val="CB061A6E"/>
    <w:lvl w:ilvl="0" w:tplc="4CEEB070">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95B7CE1"/>
    <w:multiLevelType w:val="hybridMultilevel"/>
    <w:tmpl w:val="26D046E0"/>
    <w:lvl w:ilvl="0" w:tplc="040C0001">
      <w:start w:val="1"/>
      <w:numFmt w:val="bullet"/>
      <w:lvlText w:val=""/>
      <w:lvlJc w:val="left"/>
      <w:pPr>
        <w:ind w:left="1502" w:hanging="360"/>
      </w:pPr>
      <w:rPr>
        <w:rFonts w:ascii="Symbol" w:hAnsi="Symbol" w:hint="default"/>
      </w:rPr>
    </w:lvl>
    <w:lvl w:ilvl="1" w:tplc="040C0003" w:tentative="1">
      <w:start w:val="1"/>
      <w:numFmt w:val="bullet"/>
      <w:lvlText w:val="o"/>
      <w:lvlJc w:val="left"/>
      <w:pPr>
        <w:ind w:left="2222" w:hanging="360"/>
      </w:pPr>
      <w:rPr>
        <w:rFonts w:ascii="Courier New" w:hAnsi="Courier New" w:cs="Courier New" w:hint="default"/>
      </w:rPr>
    </w:lvl>
    <w:lvl w:ilvl="2" w:tplc="040C0005" w:tentative="1">
      <w:start w:val="1"/>
      <w:numFmt w:val="bullet"/>
      <w:lvlText w:val=""/>
      <w:lvlJc w:val="left"/>
      <w:pPr>
        <w:ind w:left="2942" w:hanging="360"/>
      </w:pPr>
      <w:rPr>
        <w:rFonts w:ascii="Wingdings" w:hAnsi="Wingdings" w:hint="default"/>
      </w:rPr>
    </w:lvl>
    <w:lvl w:ilvl="3" w:tplc="040C0001" w:tentative="1">
      <w:start w:val="1"/>
      <w:numFmt w:val="bullet"/>
      <w:lvlText w:val=""/>
      <w:lvlJc w:val="left"/>
      <w:pPr>
        <w:ind w:left="3662" w:hanging="360"/>
      </w:pPr>
      <w:rPr>
        <w:rFonts w:ascii="Symbol" w:hAnsi="Symbol" w:hint="default"/>
      </w:rPr>
    </w:lvl>
    <w:lvl w:ilvl="4" w:tplc="040C0003" w:tentative="1">
      <w:start w:val="1"/>
      <w:numFmt w:val="bullet"/>
      <w:lvlText w:val="o"/>
      <w:lvlJc w:val="left"/>
      <w:pPr>
        <w:ind w:left="4382" w:hanging="360"/>
      </w:pPr>
      <w:rPr>
        <w:rFonts w:ascii="Courier New" w:hAnsi="Courier New" w:cs="Courier New" w:hint="default"/>
      </w:rPr>
    </w:lvl>
    <w:lvl w:ilvl="5" w:tplc="040C0005" w:tentative="1">
      <w:start w:val="1"/>
      <w:numFmt w:val="bullet"/>
      <w:lvlText w:val=""/>
      <w:lvlJc w:val="left"/>
      <w:pPr>
        <w:ind w:left="5102" w:hanging="360"/>
      </w:pPr>
      <w:rPr>
        <w:rFonts w:ascii="Wingdings" w:hAnsi="Wingdings" w:hint="default"/>
      </w:rPr>
    </w:lvl>
    <w:lvl w:ilvl="6" w:tplc="040C0001" w:tentative="1">
      <w:start w:val="1"/>
      <w:numFmt w:val="bullet"/>
      <w:lvlText w:val=""/>
      <w:lvlJc w:val="left"/>
      <w:pPr>
        <w:ind w:left="5822" w:hanging="360"/>
      </w:pPr>
      <w:rPr>
        <w:rFonts w:ascii="Symbol" w:hAnsi="Symbol" w:hint="default"/>
      </w:rPr>
    </w:lvl>
    <w:lvl w:ilvl="7" w:tplc="040C0003" w:tentative="1">
      <w:start w:val="1"/>
      <w:numFmt w:val="bullet"/>
      <w:lvlText w:val="o"/>
      <w:lvlJc w:val="left"/>
      <w:pPr>
        <w:ind w:left="6542" w:hanging="360"/>
      </w:pPr>
      <w:rPr>
        <w:rFonts w:ascii="Courier New" w:hAnsi="Courier New" w:cs="Courier New" w:hint="default"/>
      </w:rPr>
    </w:lvl>
    <w:lvl w:ilvl="8" w:tplc="040C0005" w:tentative="1">
      <w:start w:val="1"/>
      <w:numFmt w:val="bullet"/>
      <w:lvlText w:val=""/>
      <w:lvlJc w:val="left"/>
      <w:pPr>
        <w:ind w:left="7262" w:hanging="360"/>
      </w:pPr>
      <w:rPr>
        <w:rFonts w:ascii="Wingdings" w:hAnsi="Wingdings" w:hint="default"/>
      </w:rPr>
    </w:lvl>
  </w:abstractNum>
  <w:abstractNum w:abstractNumId="9" w15:restartNumberingAfterBreak="0">
    <w:nsid w:val="1C94106C"/>
    <w:multiLevelType w:val="hybridMultilevel"/>
    <w:tmpl w:val="484866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CF465E9"/>
    <w:multiLevelType w:val="hybridMultilevel"/>
    <w:tmpl w:val="F022EBAC"/>
    <w:lvl w:ilvl="0" w:tplc="51823D76">
      <w:numFmt w:val="bullet"/>
      <w:lvlText w:val=""/>
      <w:lvlJc w:val="left"/>
      <w:pPr>
        <w:ind w:left="783" w:hanging="360"/>
      </w:pPr>
      <w:rPr>
        <w:rFonts w:ascii="Symbol" w:hAnsi="Symbol" w:cs="Times New Roman" w:hint="default"/>
        <w:sz w:val="24"/>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15:restartNumberingAfterBreak="0">
    <w:nsid w:val="2177028B"/>
    <w:multiLevelType w:val="hybridMultilevel"/>
    <w:tmpl w:val="5CE08DA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64DB4"/>
    <w:multiLevelType w:val="hybridMultilevel"/>
    <w:tmpl w:val="92EE3C3A"/>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553B2"/>
    <w:multiLevelType w:val="hybridMultilevel"/>
    <w:tmpl w:val="1A76900A"/>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14AFF"/>
    <w:multiLevelType w:val="hybridMultilevel"/>
    <w:tmpl w:val="C916039E"/>
    <w:lvl w:ilvl="0" w:tplc="040C0001">
      <w:start w:val="1"/>
      <w:numFmt w:val="bullet"/>
      <w:lvlText w:val=""/>
      <w:lvlJc w:val="left"/>
      <w:pPr>
        <w:ind w:left="721" w:hanging="360"/>
      </w:pPr>
      <w:rPr>
        <w:rFonts w:ascii="Symbol" w:hAnsi="Symbol" w:hint="default"/>
        <w:color w:val="auto"/>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5" w15:restartNumberingAfterBreak="0">
    <w:nsid w:val="246F7948"/>
    <w:multiLevelType w:val="hybridMultilevel"/>
    <w:tmpl w:val="31DE663E"/>
    <w:lvl w:ilvl="0" w:tplc="ED66064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9342E"/>
    <w:multiLevelType w:val="hybridMultilevel"/>
    <w:tmpl w:val="ECB209C6"/>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D67894"/>
    <w:multiLevelType w:val="hybridMultilevel"/>
    <w:tmpl w:val="21762B5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050D1"/>
    <w:multiLevelType w:val="hybridMultilevel"/>
    <w:tmpl w:val="3A9C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196199"/>
    <w:multiLevelType w:val="hybridMultilevel"/>
    <w:tmpl w:val="F08A75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ED111E"/>
    <w:multiLevelType w:val="hybridMultilevel"/>
    <w:tmpl w:val="A0708602"/>
    <w:lvl w:ilvl="0" w:tplc="04090001">
      <w:start w:val="1"/>
      <w:numFmt w:val="bullet"/>
      <w:lvlText w:val=""/>
      <w:lvlJc w:val="left"/>
      <w:pPr>
        <w:ind w:left="720" w:hanging="360"/>
      </w:pPr>
      <w:rPr>
        <w:rFonts w:ascii="Symbol" w:hAnsi="Symbol" w:hint="default"/>
      </w:rPr>
    </w:lvl>
    <w:lvl w:ilvl="1" w:tplc="5BB0F578">
      <w:numFmt w:val="bullet"/>
      <w:lvlText w:val="•"/>
      <w:lvlJc w:val="left"/>
      <w:pPr>
        <w:ind w:left="1650" w:hanging="57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016FE"/>
    <w:multiLevelType w:val="hybridMultilevel"/>
    <w:tmpl w:val="722EDDA8"/>
    <w:lvl w:ilvl="0" w:tplc="4CEEB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375642"/>
    <w:multiLevelType w:val="hybridMultilevel"/>
    <w:tmpl w:val="DC86C0DC"/>
    <w:lvl w:ilvl="0" w:tplc="59CC7F5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919056D"/>
    <w:multiLevelType w:val="hybridMultilevel"/>
    <w:tmpl w:val="AA32BDA8"/>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A6453"/>
    <w:multiLevelType w:val="hybridMultilevel"/>
    <w:tmpl w:val="19FE8C86"/>
    <w:lvl w:ilvl="0" w:tplc="4CEEB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C86"/>
    <w:multiLevelType w:val="hybridMultilevel"/>
    <w:tmpl w:val="D0C81F40"/>
    <w:lvl w:ilvl="0" w:tplc="ED66064A">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7" w15:restartNumberingAfterBreak="0">
    <w:nsid w:val="579C4C56"/>
    <w:multiLevelType w:val="hybridMultilevel"/>
    <w:tmpl w:val="A1A00D10"/>
    <w:lvl w:ilvl="0" w:tplc="59CC7F5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7FC2358"/>
    <w:multiLevelType w:val="hybridMultilevel"/>
    <w:tmpl w:val="4D08C29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BC7465"/>
    <w:multiLevelType w:val="hybridMultilevel"/>
    <w:tmpl w:val="4FEC8E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F2E2AC5"/>
    <w:multiLevelType w:val="hybridMultilevel"/>
    <w:tmpl w:val="03EE0F3A"/>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BA3444"/>
    <w:multiLevelType w:val="hybridMultilevel"/>
    <w:tmpl w:val="925C5114"/>
    <w:lvl w:ilvl="0" w:tplc="4CEEB070">
      <w:start w:val="1"/>
      <w:numFmt w:val="bullet"/>
      <w:lvlText w:val=""/>
      <w:lvlJc w:val="left"/>
      <w:pPr>
        <w:ind w:left="720" w:hanging="360"/>
      </w:pPr>
      <w:rPr>
        <w:rFonts w:ascii="Symbol" w:hAnsi="Symbol" w:hint="default"/>
      </w:rPr>
    </w:lvl>
    <w:lvl w:ilvl="1" w:tplc="DE7A83E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45C64"/>
    <w:multiLevelType w:val="hybridMultilevel"/>
    <w:tmpl w:val="7C6CB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33194E"/>
    <w:multiLevelType w:val="hybridMultilevel"/>
    <w:tmpl w:val="D650364A"/>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B70474"/>
    <w:multiLevelType w:val="hybridMultilevel"/>
    <w:tmpl w:val="00B4534A"/>
    <w:lvl w:ilvl="0" w:tplc="48090019">
      <w:start w:val="1"/>
      <w:numFmt w:val="lowerLetter"/>
      <w:lvlText w:val="%1."/>
      <w:lvlJc w:val="left"/>
      <w:pPr>
        <w:ind w:left="1146" w:hanging="360"/>
      </w:pPr>
    </w:lvl>
    <w:lvl w:ilvl="1" w:tplc="48090019" w:tentative="1">
      <w:start w:val="1"/>
      <w:numFmt w:val="lowerLetter"/>
      <w:lvlText w:val="%2."/>
      <w:lvlJc w:val="left"/>
      <w:pPr>
        <w:ind w:left="1866" w:hanging="360"/>
      </w:pPr>
    </w:lvl>
    <w:lvl w:ilvl="2" w:tplc="4809001B" w:tentative="1">
      <w:start w:val="1"/>
      <w:numFmt w:val="lowerRoman"/>
      <w:lvlText w:val="%3."/>
      <w:lvlJc w:val="right"/>
      <w:pPr>
        <w:ind w:left="2586" w:hanging="180"/>
      </w:pPr>
    </w:lvl>
    <w:lvl w:ilvl="3" w:tplc="4809000F" w:tentative="1">
      <w:start w:val="1"/>
      <w:numFmt w:val="decimal"/>
      <w:lvlText w:val="%4."/>
      <w:lvlJc w:val="left"/>
      <w:pPr>
        <w:ind w:left="3306" w:hanging="360"/>
      </w:pPr>
    </w:lvl>
    <w:lvl w:ilvl="4" w:tplc="48090019" w:tentative="1">
      <w:start w:val="1"/>
      <w:numFmt w:val="lowerLetter"/>
      <w:lvlText w:val="%5."/>
      <w:lvlJc w:val="left"/>
      <w:pPr>
        <w:ind w:left="4026" w:hanging="360"/>
      </w:pPr>
    </w:lvl>
    <w:lvl w:ilvl="5" w:tplc="4809001B" w:tentative="1">
      <w:start w:val="1"/>
      <w:numFmt w:val="lowerRoman"/>
      <w:lvlText w:val="%6."/>
      <w:lvlJc w:val="right"/>
      <w:pPr>
        <w:ind w:left="4746" w:hanging="180"/>
      </w:pPr>
    </w:lvl>
    <w:lvl w:ilvl="6" w:tplc="4809000F" w:tentative="1">
      <w:start w:val="1"/>
      <w:numFmt w:val="decimal"/>
      <w:lvlText w:val="%7."/>
      <w:lvlJc w:val="left"/>
      <w:pPr>
        <w:ind w:left="5466" w:hanging="360"/>
      </w:pPr>
    </w:lvl>
    <w:lvl w:ilvl="7" w:tplc="48090019" w:tentative="1">
      <w:start w:val="1"/>
      <w:numFmt w:val="lowerLetter"/>
      <w:lvlText w:val="%8."/>
      <w:lvlJc w:val="left"/>
      <w:pPr>
        <w:ind w:left="6186" w:hanging="360"/>
      </w:pPr>
    </w:lvl>
    <w:lvl w:ilvl="8" w:tplc="4809001B" w:tentative="1">
      <w:start w:val="1"/>
      <w:numFmt w:val="lowerRoman"/>
      <w:lvlText w:val="%9."/>
      <w:lvlJc w:val="right"/>
      <w:pPr>
        <w:ind w:left="6906" w:hanging="180"/>
      </w:pPr>
    </w:lvl>
  </w:abstractNum>
  <w:abstractNum w:abstractNumId="35" w15:restartNumberingAfterBreak="0">
    <w:nsid w:val="6D010D72"/>
    <w:multiLevelType w:val="hybridMultilevel"/>
    <w:tmpl w:val="D916E032"/>
    <w:lvl w:ilvl="0" w:tplc="040C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F3EAA"/>
    <w:multiLevelType w:val="hybridMultilevel"/>
    <w:tmpl w:val="5EA4416C"/>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16BF7"/>
    <w:multiLevelType w:val="hybridMultilevel"/>
    <w:tmpl w:val="4656C932"/>
    <w:lvl w:ilvl="0" w:tplc="54083482">
      <w:start w:val="1"/>
      <w:numFmt w:val="bullet"/>
      <w:lvlText w:val="-"/>
      <w:lvlJc w:val="left"/>
      <w:pPr>
        <w:ind w:left="1074" w:hanging="360"/>
      </w:pPr>
      <w:rPr>
        <w:rFonts w:ascii="Arial" w:hAnsi="Arial" w:hint="default"/>
        <w:sz w:val="16"/>
      </w:rPr>
    </w:lvl>
    <w:lvl w:ilvl="1" w:tplc="54083482">
      <w:start w:val="1"/>
      <w:numFmt w:val="bullet"/>
      <w:lvlText w:val="-"/>
      <w:lvlJc w:val="left"/>
      <w:pPr>
        <w:ind w:left="1794" w:hanging="360"/>
      </w:pPr>
      <w:rPr>
        <w:rFonts w:ascii="Arial" w:hAnsi="Arial"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8" w15:restartNumberingAfterBreak="0">
    <w:nsid w:val="7AB40DC8"/>
    <w:multiLevelType w:val="hybridMultilevel"/>
    <w:tmpl w:val="C1D6E7A2"/>
    <w:lvl w:ilvl="0" w:tplc="6C823796">
      <w:start w:val="1"/>
      <w:numFmt w:val="bullet"/>
      <w:lvlText w:val=""/>
      <w:lvlJc w:val="left"/>
      <w:pPr>
        <w:ind w:left="783" w:hanging="360"/>
      </w:pPr>
      <w:rPr>
        <w:rFonts w:ascii="Symbol" w:hAnsi="Symbol"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18"/>
  </w:num>
  <w:num w:numId="2">
    <w:abstractNumId w:val="23"/>
  </w:num>
  <w:num w:numId="3">
    <w:abstractNumId w:val="36"/>
  </w:num>
  <w:num w:numId="4">
    <w:abstractNumId w:val="17"/>
  </w:num>
  <w:num w:numId="5">
    <w:abstractNumId w:val="12"/>
  </w:num>
  <w:num w:numId="6">
    <w:abstractNumId w:val="11"/>
  </w:num>
  <w:num w:numId="7">
    <w:abstractNumId w:val="20"/>
  </w:num>
  <w:num w:numId="8">
    <w:abstractNumId w:val="16"/>
  </w:num>
  <w:num w:numId="9">
    <w:abstractNumId w:val="7"/>
  </w:num>
  <w:num w:numId="10">
    <w:abstractNumId w:val="24"/>
  </w:num>
  <w:num w:numId="11">
    <w:abstractNumId w:val="31"/>
  </w:num>
  <w:num w:numId="12">
    <w:abstractNumId w:val="26"/>
  </w:num>
  <w:num w:numId="13">
    <w:abstractNumId w:val="19"/>
  </w:num>
  <w:num w:numId="14">
    <w:abstractNumId w:val="10"/>
  </w:num>
  <w:num w:numId="15">
    <w:abstractNumId w:val="5"/>
  </w:num>
  <w:num w:numId="16">
    <w:abstractNumId w:val="8"/>
  </w:num>
  <w:num w:numId="17">
    <w:abstractNumId w:val="38"/>
  </w:num>
  <w:num w:numId="18">
    <w:abstractNumId w:val="32"/>
  </w:num>
  <w:num w:numId="19">
    <w:abstractNumId w:val="2"/>
  </w:num>
  <w:num w:numId="20">
    <w:abstractNumId w:val="29"/>
  </w:num>
  <w:num w:numId="21">
    <w:abstractNumId w:val="22"/>
  </w:num>
  <w:num w:numId="22">
    <w:abstractNumId w:val="27"/>
  </w:num>
  <w:num w:numId="23">
    <w:abstractNumId w:val="9"/>
  </w:num>
  <w:num w:numId="24">
    <w:abstractNumId w:val="1"/>
  </w:num>
  <w:num w:numId="25">
    <w:abstractNumId w:val="28"/>
  </w:num>
  <w:num w:numId="26">
    <w:abstractNumId w:val="15"/>
  </w:num>
  <w:num w:numId="27">
    <w:abstractNumId w:val="6"/>
  </w:num>
  <w:num w:numId="28">
    <w:abstractNumId w:val="3"/>
  </w:num>
  <w:num w:numId="29">
    <w:abstractNumId w:val="21"/>
  </w:num>
  <w:num w:numId="30">
    <w:abstractNumId w:val="34"/>
  </w:num>
  <w:num w:numId="31">
    <w:abstractNumId w:val="4"/>
  </w:num>
  <w:num w:numId="32">
    <w:abstractNumId w:val="33"/>
  </w:num>
  <w:num w:numId="33">
    <w:abstractNumId w:val="30"/>
  </w:num>
  <w:num w:numId="34">
    <w:abstractNumId w:val="35"/>
  </w:num>
  <w:num w:numId="35">
    <w:abstractNumId w:val="14"/>
  </w:num>
  <w:num w:numId="36">
    <w:abstractNumId w:val="0"/>
  </w:num>
  <w:num w:numId="37">
    <w:abstractNumId w:val="25"/>
  </w:num>
  <w:num w:numId="38">
    <w:abstractNumId w:val="37"/>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DF"/>
    <w:rsid w:val="00010CF3"/>
    <w:rsid w:val="00011E27"/>
    <w:rsid w:val="000148BC"/>
    <w:rsid w:val="00024AB8"/>
    <w:rsid w:val="00030854"/>
    <w:rsid w:val="00032BF0"/>
    <w:rsid w:val="00036028"/>
    <w:rsid w:val="000362AD"/>
    <w:rsid w:val="0004198B"/>
    <w:rsid w:val="00044642"/>
    <w:rsid w:val="000446B9"/>
    <w:rsid w:val="00047E21"/>
    <w:rsid w:val="00050E16"/>
    <w:rsid w:val="000656A5"/>
    <w:rsid w:val="00070E67"/>
    <w:rsid w:val="00085505"/>
    <w:rsid w:val="00094940"/>
    <w:rsid w:val="000B2CE0"/>
    <w:rsid w:val="000C4E25"/>
    <w:rsid w:val="000C7021"/>
    <w:rsid w:val="000D6BBC"/>
    <w:rsid w:val="000D7780"/>
    <w:rsid w:val="000E636A"/>
    <w:rsid w:val="000F0BD0"/>
    <w:rsid w:val="000F1013"/>
    <w:rsid w:val="000F2F11"/>
    <w:rsid w:val="000F5128"/>
    <w:rsid w:val="00100A5F"/>
    <w:rsid w:val="00105929"/>
    <w:rsid w:val="00110BED"/>
    <w:rsid w:val="00110C36"/>
    <w:rsid w:val="001131D5"/>
    <w:rsid w:val="00114547"/>
    <w:rsid w:val="001249C9"/>
    <w:rsid w:val="00141DB8"/>
    <w:rsid w:val="00154735"/>
    <w:rsid w:val="00172084"/>
    <w:rsid w:val="0017474A"/>
    <w:rsid w:val="001758C6"/>
    <w:rsid w:val="00182B99"/>
    <w:rsid w:val="00190BB2"/>
    <w:rsid w:val="001C1525"/>
    <w:rsid w:val="001D17AA"/>
    <w:rsid w:val="001D736D"/>
    <w:rsid w:val="001F768C"/>
    <w:rsid w:val="0021332C"/>
    <w:rsid w:val="00213982"/>
    <w:rsid w:val="002145CE"/>
    <w:rsid w:val="00231512"/>
    <w:rsid w:val="00242EA4"/>
    <w:rsid w:val="0024416D"/>
    <w:rsid w:val="00271911"/>
    <w:rsid w:val="002723EF"/>
    <w:rsid w:val="00273187"/>
    <w:rsid w:val="002800A0"/>
    <w:rsid w:val="002801B3"/>
    <w:rsid w:val="00281060"/>
    <w:rsid w:val="00285BD0"/>
    <w:rsid w:val="002940E8"/>
    <w:rsid w:val="00294751"/>
    <w:rsid w:val="002976F7"/>
    <w:rsid w:val="002A6E50"/>
    <w:rsid w:val="002B4298"/>
    <w:rsid w:val="002B7A36"/>
    <w:rsid w:val="002C0C6C"/>
    <w:rsid w:val="002C256A"/>
    <w:rsid w:val="002D4898"/>
    <w:rsid w:val="002D5226"/>
    <w:rsid w:val="002D5B78"/>
    <w:rsid w:val="00303506"/>
    <w:rsid w:val="00305A7F"/>
    <w:rsid w:val="003152FE"/>
    <w:rsid w:val="00327436"/>
    <w:rsid w:val="00336505"/>
    <w:rsid w:val="00344BD6"/>
    <w:rsid w:val="00351ADF"/>
    <w:rsid w:val="0035528D"/>
    <w:rsid w:val="00361821"/>
    <w:rsid w:val="00361E9E"/>
    <w:rsid w:val="00365547"/>
    <w:rsid w:val="003753EE"/>
    <w:rsid w:val="00384530"/>
    <w:rsid w:val="003A0835"/>
    <w:rsid w:val="003A5AAF"/>
    <w:rsid w:val="003A632B"/>
    <w:rsid w:val="003B17C0"/>
    <w:rsid w:val="003B700A"/>
    <w:rsid w:val="003C641A"/>
    <w:rsid w:val="003C7FBE"/>
    <w:rsid w:val="003D00FA"/>
    <w:rsid w:val="003D227C"/>
    <w:rsid w:val="003D2B4D"/>
    <w:rsid w:val="003F37F5"/>
    <w:rsid w:val="00401C26"/>
    <w:rsid w:val="00411EED"/>
    <w:rsid w:val="00430A74"/>
    <w:rsid w:val="00431E58"/>
    <w:rsid w:val="00444A88"/>
    <w:rsid w:val="00474DA4"/>
    <w:rsid w:val="00476B4D"/>
    <w:rsid w:val="004805FA"/>
    <w:rsid w:val="004935D2"/>
    <w:rsid w:val="004B1215"/>
    <w:rsid w:val="004D047D"/>
    <w:rsid w:val="004D2165"/>
    <w:rsid w:val="004F1E9E"/>
    <w:rsid w:val="004F305A"/>
    <w:rsid w:val="005075A9"/>
    <w:rsid w:val="00512164"/>
    <w:rsid w:val="00520297"/>
    <w:rsid w:val="00522972"/>
    <w:rsid w:val="00523888"/>
    <w:rsid w:val="005338F9"/>
    <w:rsid w:val="0054281C"/>
    <w:rsid w:val="00544581"/>
    <w:rsid w:val="00544B5B"/>
    <w:rsid w:val="0055268D"/>
    <w:rsid w:val="00575DE2"/>
    <w:rsid w:val="00576BE4"/>
    <w:rsid w:val="005779DB"/>
    <w:rsid w:val="005A400A"/>
    <w:rsid w:val="005A5958"/>
    <w:rsid w:val="005B269D"/>
    <w:rsid w:val="005C3116"/>
    <w:rsid w:val="005D2DD1"/>
    <w:rsid w:val="005F3EE3"/>
    <w:rsid w:val="005F7B92"/>
    <w:rsid w:val="00612379"/>
    <w:rsid w:val="0061294D"/>
    <w:rsid w:val="006153B6"/>
    <w:rsid w:val="0061555F"/>
    <w:rsid w:val="006245ED"/>
    <w:rsid w:val="00636CA6"/>
    <w:rsid w:val="00641200"/>
    <w:rsid w:val="00645CA8"/>
    <w:rsid w:val="006655D3"/>
    <w:rsid w:val="00667404"/>
    <w:rsid w:val="00687EB4"/>
    <w:rsid w:val="0069058C"/>
    <w:rsid w:val="00695C56"/>
    <w:rsid w:val="006A5CDE"/>
    <w:rsid w:val="006A644A"/>
    <w:rsid w:val="006B17D2"/>
    <w:rsid w:val="006C224E"/>
    <w:rsid w:val="006D26CB"/>
    <w:rsid w:val="006D780A"/>
    <w:rsid w:val="0071271E"/>
    <w:rsid w:val="00716E8F"/>
    <w:rsid w:val="00732DEC"/>
    <w:rsid w:val="00735BD5"/>
    <w:rsid w:val="007451CC"/>
    <w:rsid w:val="007451EC"/>
    <w:rsid w:val="00751613"/>
    <w:rsid w:val="0075382F"/>
    <w:rsid w:val="00753EE9"/>
    <w:rsid w:val="007556F6"/>
    <w:rsid w:val="00760EEF"/>
    <w:rsid w:val="00777EE5"/>
    <w:rsid w:val="00784836"/>
    <w:rsid w:val="0079023E"/>
    <w:rsid w:val="007A2854"/>
    <w:rsid w:val="007B1027"/>
    <w:rsid w:val="007C1D92"/>
    <w:rsid w:val="007C4CB9"/>
    <w:rsid w:val="007C55EF"/>
    <w:rsid w:val="007D0B9D"/>
    <w:rsid w:val="007D19B0"/>
    <w:rsid w:val="007D504F"/>
    <w:rsid w:val="007F2B62"/>
    <w:rsid w:val="007F498F"/>
    <w:rsid w:val="0080679D"/>
    <w:rsid w:val="008108B0"/>
    <w:rsid w:val="00811B20"/>
    <w:rsid w:val="00812609"/>
    <w:rsid w:val="008211B5"/>
    <w:rsid w:val="0082296E"/>
    <w:rsid w:val="00824099"/>
    <w:rsid w:val="00846D7C"/>
    <w:rsid w:val="008604FE"/>
    <w:rsid w:val="00867AC1"/>
    <w:rsid w:val="008751DE"/>
    <w:rsid w:val="00890DF8"/>
    <w:rsid w:val="008A0ADE"/>
    <w:rsid w:val="008A4F2E"/>
    <w:rsid w:val="008A6D2B"/>
    <w:rsid w:val="008A743F"/>
    <w:rsid w:val="008C0970"/>
    <w:rsid w:val="008D0BC5"/>
    <w:rsid w:val="008D2CF7"/>
    <w:rsid w:val="008D4D6D"/>
    <w:rsid w:val="00900C26"/>
    <w:rsid w:val="0090197F"/>
    <w:rsid w:val="00903264"/>
    <w:rsid w:val="00906DDC"/>
    <w:rsid w:val="00907EF8"/>
    <w:rsid w:val="00913125"/>
    <w:rsid w:val="00934E09"/>
    <w:rsid w:val="00936253"/>
    <w:rsid w:val="00940D46"/>
    <w:rsid w:val="009413F1"/>
    <w:rsid w:val="00952DD4"/>
    <w:rsid w:val="009555CB"/>
    <w:rsid w:val="009561F4"/>
    <w:rsid w:val="009621DA"/>
    <w:rsid w:val="00965AE7"/>
    <w:rsid w:val="00970FED"/>
    <w:rsid w:val="009859E1"/>
    <w:rsid w:val="00991884"/>
    <w:rsid w:val="00991CBD"/>
    <w:rsid w:val="00992D82"/>
    <w:rsid w:val="00997029"/>
    <w:rsid w:val="009A7339"/>
    <w:rsid w:val="009B440E"/>
    <w:rsid w:val="009D690D"/>
    <w:rsid w:val="009E3085"/>
    <w:rsid w:val="009E65B6"/>
    <w:rsid w:val="009F0A51"/>
    <w:rsid w:val="009F77CF"/>
    <w:rsid w:val="00A24C10"/>
    <w:rsid w:val="00A42AC3"/>
    <w:rsid w:val="00A430CF"/>
    <w:rsid w:val="00A54309"/>
    <w:rsid w:val="00A610A9"/>
    <w:rsid w:val="00A80F2A"/>
    <w:rsid w:val="00A96C33"/>
    <w:rsid w:val="00AA13A2"/>
    <w:rsid w:val="00AA25BC"/>
    <w:rsid w:val="00AA2FEE"/>
    <w:rsid w:val="00AB2B93"/>
    <w:rsid w:val="00AB530F"/>
    <w:rsid w:val="00AB7E5B"/>
    <w:rsid w:val="00AC2883"/>
    <w:rsid w:val="00AD57A2"/>
    <w:rsid w:val="00AE0EF1"/>
    <w:rsid w:val="00AE2937"/>
    <w:rsid w:val="00AF6750"/>
    <w:rsid w:val="00B05301"/>
    <w:rsid w:val="00B07301"/>
    <w:rsid w:val="00B11F3E"/>
    <w:rsid w:val="00B224DE"/>
    <w:rsid w:val="00B27A93"/>
    <w:rsid w:val="00B324D4"/>
    <w:rsid w:val="00B46575"/>
    <w:rsid w:val="00B61777"/>
    <w:rsid w:val="00B622E6"/>
    <w:rsid w:val="00B83E82"/>
    <w:rsid w:val="00B84BBD"/>
    <w:rsid w:val="00B947BD"/>
    <w:rsid w:val="00BA43FB"/>
    <w:rsid w:val="00BB2F69"/>
    <w:rsid w:val="00BC127D"/>
    <w:rsid w:val="00BC1FE6"/>
    <w:rsid w:val="00BC377A"/>
    <w:rsid w:val="00C061B6"/>
    <w:rsid w:val="00C2446C"/>
    <w:rsid w:val="00C36AE5"/>
    <w:rsid w:val="00C41F17"/>
    <w:rsid w:val="00C42508"/>
    <w:rsid w:val="00C4550F"/>
    <w:rsid w:val="00C527FA"/>
    <w:rsid w:val="00C5280D"/>
    <w:rsid w:val="00C53EB3"/>
    <w:rsid w:val="00C5791C"/>
    <w:rsid w:val="00C66290"/>
    <w:rsid w:val="00C72B7A"/>
    <w:rsid w:val="00C84F0D"/>
    <w:rsid w:val="00C973F2"/>
    <w:rsid w:val="00CA304C"/>
    <w:rsid w:val="00CA774A"/>
    <w:rsid w:val="00CB4921"/>
    <w:rsid w:val="00CC11B0"/>
    <w:rsid w:val="00CC2841"/>
    <w:rsid w:val="00CC32DF"/>
    <w:rsid w:val="00CD4DFE"/>
    <w:rsid w:val="00CF1330"/>
    <w:rsid w:val="00CF7E36"/>
    <w:rsid w:val="00D04701"/>
    <w:rsid w:val="00D3708D"/>
    <w:rsid w:val="00D40426"/>
    <w:rsid w:val="00D46C5A"/>
    <w:rsid w:val="00D52F5C"/>
    <w:rsid w:val="00D57C96"/>
    <w:rsid w:val="00D57D18"/>
    <w:rsid w:val="00D70E65"/>
    <w:rsid w:val="00D76E4F"/>
    <w:rsid w:val="00D91203"/>
    <w:rsid w:val="00D95174"/>
    <w:rsid w:val="00DA4973"/>
    <w:rsid w:val="00DA6F36"/>
    <w:rsid w:val="00DB596E"/>
    <w:rsid w:val="00DB7773"/>
    <w:rsid w:val="00DC00EA"/>
    <w:rsid w:val="00DC3802"/>
    <w:rsid w:val="00DD1039"/>
    <w:rsid w:val="00DD6208"/>
    <w:rsid w:val="00DF7E99"/>
    <w:rsid w:val="00E07D87"/>
    <w:rsid w:val="00E249C8"/>
    <w:rsid w:val="00E32F7E"/>
    <w:rsid w:val="00E5267B"/>
    <w:rsid w:val="00E559F0"/>
    <w:rsid w:val="00E63C0E"/>
    <w:rsid w:val="00E6644B"/>
    <w:rsid w:val="00E72D49"/>
    <w:rsid w:val="00E7593C"/>
    <w:rsid w:val="00E7678A"/>
    <w:rsid w:val="00E85020"/>
    <w:rsid w:val="00E935F1"/>
    <w:rsid w:val="00E94A81"/>
    <w:rsid w:val="00EA1FFB"/>
    <w:rsid w:val="00EB048E"/>
    <w:rsid w:val="00EB4E9C"/>
    <w:rsid w:val="00ED33C5"/>
    <w:rsid w:val="00EE0E44"/>
    <w:rsid w:val="00EE34DF"/>
    <w:rsid w:val="00EF0563"/>
    <w:rsid w:val="00EF2F89"/>
    <w:rsid w:val="00F03E98"/>
    <w:rsid w:val="00F1237A"/>
    <w:rsid w:val="00F22CBD"/>
    <w:rsid w:val="00F272F1"/>
    <w:rsid w:val="00F31412"/>
    <w:rsid w:val="00F40742"/>
    <w:rsid w:val="00F410EA"/>
    <w:rsid w:val="00F43FBA"/>
    <w:rsid w:val="00F45372"/>
    <w:rsid w:val="00F54014"/>
    <w:rsid w:val="00F55BFD"/>
    <w:rsid w:val="00F55EC6"/>
    <w:rsid w:val="00F560F7"/>
    <w:rsid w:val="00F6334D"/>
    <w:rsid w:val="00F63599"/>
    <w:rsid w:val="00F71781"/>
    <w:rsid w:val="00F807C3"/>
    <w:rsid w:val="00F86A05"/>
    <w:rsid w:val="00FA49AB"/>
    <w:rsid w:val="00FB0555"/>
    <w:rsid w:val="00FC35F1"/>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AEB4234"/>
  <w15:docId w15:val="{9B99C9D8-3B5D-4068-B9FE-AAD3165C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530"/>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8">
    <w:name w:val="heading 8"/>
    <w:basedOn w:val="Normal"/>
    <w:next w:val="Normal"/>
    <w:link w:val="Heading8Char"/>
    <w:qFormat/>
    <w:rsid w:val="000362AD"/>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384530"/>
    <w:rPr>
      <w:sz w:val="16"/>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8Char">
    <w:name w:val="Heading 8 Char"/>
    <w:basedOn w:val="DefaultParagraphFont"/>
    <w:link w:val="Heading8"/>
    <w:rsid w:val="000362AD"/>
    <w:rPr>
      <w:rFonts w:ascii="Arial" w:hAnsi="Arial"/>
      <w:u w:val="single"/>
      <w:lang w:val="en-GB" w:eastAsia="pl-PL"/>
    </w:rPr>
  </w:style>
  <w:style w:type="paragraph" w:styleId="ListParagraph">
    <w:name w:val="List Paragraph"/>
    <w:basedOn w:val="Normal"/>
    <w:uiPriority w:val="34"/>
    <w:qFormat/>
    <w:rsid w:val="000362AD"/>
    <w:pPr>
      <w:ind w:left="1134" w:hanging="567"/>
      <w:jc w:val="left"/>
    </w:pPr>
    <w:rPr>
      <w:szCs w:val="22"/>
    </w:rPr>
  </w:style>
  <w:style w:type="table" w:styleId="TableGrid">
    <w:name w:val="Table Grid"/>
    <w:basedOn w:val="TableNormal"/>
    <w:qFormat/>
    <w:rsid w:val="00036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362AD"/>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0362AD"/>
    <w:rPr>
      <w:sz w:val="28"/>
      <w:lang w:val="pl-PL" w:eastAsia="pl-PL"/>
    </w:rPr>
  </w:style>
  <w:style w:type="character" w:customStyle="1" w:styleId="FooterChar">
    <w:name w:val="Footer Char"/>
    <w:aliases w:val="doc_path_name Char"/>
    <w:basedOn w:val="DefaultParagraphFont"/>
    <w:link w:val="Footer"/>
    <w:rsid w:val="000362AD"/>
    <w:rPr>
      <w:rFonts w:ascii="Arial" w:hAnsi="Arial"/>
      <w:sz w:val="14"/>
    </w:rPr>
  </w:style>
  <w:style w:type="paragraph" w:styleId="BodyTextIndent2">
    <w:name w:val="Body Text Indent 2"/>
    <w:basedOn w:val="Normal"/>
    <w:link w:val="BodyTextIndent2Char"/>
    <w:rsid w:val="000362AD"/>
    <w:pPr>
      <w:spacing w:after="120" w:line="480" w:lineRule="auto"/>
      <w:ind w:left="283"/>
    </w:pPr>
  </w:style>
  <w:style w:type="character" w:customStyle="1" w:styleId="BodyTextIndent2Char">
    <w:name w:val="Body Text Indent 2 Char"/>
    <w:basedOn w:val="DefaultParagraphFont"/>
    <w:link w:val="BodyTextIndent2"/>
    <w:rsid w:val="000362AD"/>
    <w:rPr>
      <w:rFonts w:ascii="Arial" w:hAnsi="Arial"/>
    </w:rPr>
  </w:style>
  <w:style w:type="character" w:styleId="FollowedHyperlink">
    <w:name w:val="FollowedHyperlink"/>
    <w:basedOn w:val="DefaultParagraphFont"/>
    <w:semiHidden/>
    <w:unhideWhenUsed/>
    <w:rsid w:val="000362AD"/>
    <w:rPr>
      <w:color w:val="800080" w:themeColor="followedHyperlink"/>
      <w:u w:val="single"/>
    </w:rPr>
  </w:style>
  <w:style w:type="paragraph" w:customStyle="1" w:styleId="TableParagraph">
    <w:name w:val="Table Paragraph"/>
    <w:basedOn w:val="Normal"/>
    <w:uiPriority w:val="1"/>
    <w:qFormat/>
    <w:rsid w:val="00411EED"/>
    <w:pPr>
      <w:widowControl w:val="0"/>
      <w:autoSpaceDE w:val="0"/>
      <w:autoSpaceDN w:val="0"/>
      <w:ind w:left="56"/>
      <w:jc w:val="left"/>
    </w:pPr>
    <w:rPr>
      <w:rFonts w:eastAsia="Arial" w:cs="Arial"/>
      <w:sz w:val="22"/>
      <w:szCs w:val="22"/>
      <w:lang w:val="de-DE" w:eastAsia="de-DE" w:bidi="de-DE"/>
    </w:rPr>
  </w:style>
  <w:style w:type="character" w:styleId="Emphasis">
    <w:name w:val="Emphasis"/>
    <w:uiPriority w:val="20"/>
    <w:qFormat/>
    <w:rsid w:val="00F43FBA"/>
    <w:rPr>
      <w:rFonts w:cs="Times New Roman"/>
      <w:i/>
      <w:iCs/>
    </w:rPr>
  </w:style>
  <w:style w:type="paragraph" w:styleId="ListBullet">
    <w:name w:val="List Bullet"/>
    <w:basedOn w:val="Normal"/>
    <w:rsid w:val="00384530"/>
    <w:pPr>
      <w:numPr>
        <w:numId w:val="12"/>
      </w:numPr>
      <w:spacing w:after="240"/>
    </w:pPr>
    <w:rPr>
      <w:lang w:val="en-GB"/>
    </w:rPr>
  </w:style>
  <w:style w:type="paragraph" w:customStyle="1" w:styleId="Default">
    <w:name w:val="Default"/>
    <w:rsid w:val="0038453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84530"/>
    <w:pPr>
      <w:spacing w:before="100" w:beforeAutospacing="1" w:after="100" w:afterAutospacing="1"/>
      <w:jc w:val="left"/>
    </w:pPr>
    <w:rPr>
      <w:rFonts w:ascii="Times New Roman" w:hAnsi="Times New Roman"/>
      <w:sz w:val="24"/>
      <w:szCs w:val="24"/>
    </w:rPr>
  </w:style>
  <w:style w:type="table" w:customStyle="1" w:styleId="TableNormal1">
    <w:name w:val="Table Normal1"/>
    <w:uiPriority w:val="2"/>
    <w:semiHidden/>
    <w:unhideWhenUsed/>
    <w:qFormat/>
    <w:rsid w:val="00F55EC6"/>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character" w:styleId="SubtleEmphasis">
    <w:name w:val="Subtle Emphasis"/>
    <w:uiPriority w:val="19"/>
    <w:qFormat/>
    <w:rsid w:val="00C84F0D"/>
    <w:rPr>
      <w:i/>
      <w:iCs/>
      <w:color w:val="808080"/>
    </w:rPr>
  </w:style>
  <w:style w:type="paragraph" w:styleId="NoSpacing">
    <w:name w:val="No Spacing"/>
    <w:uiPriority w:val="1"/>
    <w:qFormat/>
    <w:rsid w:val="00523888"/>
    <w:pPr>
      <w:widowControl w:val="0"/>
      <w:autoSpaceDE w:val="0"/>
      <w:autoSpaceDN w:val="0"/>
      <w:adjustRightInd w:val="0"/>
    </w:pPr>
    <w:rPr>
      <w:rFonts w:eastAsia="MS Minch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441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chart" Target="charts/chart2.xml"/><Relationship Id="rId39" Type="http://schemas.openxmlformats.org/officeDocument/2006/relationships/header" Target="header15.xml"/><Relationship Id="rId21" Type="http://schemas.openxmlformats.org/officeDocument/2006/relationships/hyperlink" Target="http://eapvp.org/report-data/japan/ministry-of-agriculture-forestry-and-fisheries-of-japan-held-capacity-building-workshop-1-introduction-of-pvp-upov-tg1-3/" TargetMode="External"/><Relationship Id="rId34" Type="http://schemas.openxmlformats.org/officeDocument/2006/relationships/hyperlink" Target="http://www.coboru.gov.pl" TargetMode="External"/><Relationship Id="rId42" Type="http://schemas.openxmlformats.org/officeDocument/2006/relationships/header" Target="header17.xml"/><Relationship Id="rId47" Type="http://schemas.openxmlformats.org/officeDocument/2006/relationships/hyperlink" Target="https://sops.gov.ua/publication/buleten-3" TargetMode="External"/><Relationship Id="rId50" Type="http://schemas.openxmlformats.org/officeDocument/2006/relationships/hyperlink" Target="https://conference.ukragroexpert.com.ua/wp-content/uploads/2021/06/Book-of-proceedings-2021.pdf" TargetMode="External"/><Relationship Id="rId55" Type="http://schemas.openxmlformats.org/officeDocument/2006/relationships/hyperlink" Target="https://ipkey.eu/en/south-east-asia/activities/webinar-plant-variety-protection-and-upov-199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yperlink" Target="https://www.mbie.govt.nz/business-and-employment/business/intellectual-property/plant-variety-rights/plant-variety-rights-act-review/" TargetMode="External"/><Relationship Id="rId11" Type="http://schemas.openxmlformats.org/officeDocument/2006/relationships/header" Target="header3.xml"/><Relationship Id="rId24" Type="http://schemas.openxmlformats.org/officeDocument/2006/relationships/hyperlink" Target="http://eapvp.org/report-data/cambodia/ministry-of-agriculture-forestry-and-fisheries-of-cambodia-held-online-workshop-on-plant-variety-protection-%e2%80%95plant-breeders-rights-and-farmers-benefits%e2%80%95/" TargetMode="External"/><Relationship Id="rId32" Type="http://schemas.openxmlformats.org/officeDocument/2006/relationships/hyperlink" Target="http://www.coboru.pl/Polska/Podstawy_prawne/DU20152166.pdf" TargetMode="Externa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header" Target="header20.xml"/><Relationship Id="rId53" Type="http://schemas.openxmlformats.org/officeDocument/2006/relationships/hyperlink" Target="https://ipkey.eu/en/china/activities/2021-plant-variety-rights-online-technical-training" TargetMode="External"/><Relationship Id="rId58" Type="http://schemas.openxmlformats.org/officeDocument/2006/relationships/header" Target="header21.xml"/><Relationship Id="rId5" Type="http://schemas.openxmlformats.org/officeDocument/2006/relationships/webSettings" Target="webSettings.xml"/><Relationship Id="rId19" Type="http://schemas.openxmlformats.org/officeDocument/2006/relationships/hyperlink" Target="http://eapvp.org/report-data/japan/international_seminar202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http://eapvp.org/report-data/indonesia/ministry-of-agriculture-of-indonesia-held-online-seminar-on-breeders-exemption-in-pvp-under-upov-convention/" TargetMode="Externa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yperlink" Target="http://www.coboru.gov.pl" TargetMode="External"/><Relationship Id="rId43" Type="http://schemas.openxmlformats.org/officeDocument/2006/relationships/header" Target="header18.xml"/><Relationship Id="rId48" Type="http://schemas.openxmlformats.org/officeDocument/2006/relationships/hyperlink" Target="http://confer.uiesr.sops.gov.ua/genetika2021/schedConf/presentations" TargetMode="External"/><Relationship Id="rId56" Type="http://schemas.openxmlformats.org/officeDocument/2006/relationships/hyperlink" Target="https://ipkey.eu/en/south-east-asia/activities/support-accession-sea-countries-upov-1991-convention" TargetMode="External"/><Relationship Id="rId8" Type="http://schemas.openxmlformats.org/officeDocument/2006/relationships/image" Target="media/image1.png"/><Relationship Id="rId51" Type="http://schemas.openxmlformats.org/officeDocument/2006/relationships/hyperlink" Target="mailto:upov.mail@upov.int" TargetMode="Externa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http://www.naro.affrc.go.jp/english/laboratory/ncss/dus_growing_test/index.html" TargetMode="External"/><Relationship Id="rId25" Type="http://schemas.openxmlformats.org/officeDocument/2006/relationships/chart" Target="charts/chart1.xml"/><Relationship Id="rId33" Type="http://schemas.openxmlformats.org/officeDocument/2006/relationships/image" Target="media/image2.png"/><Relationship Id="rId38" Type="http://schemas.openxmlformats.org/officeDocument/2006/relationships/hyperlink" Target="http://www.agepi.gov.md" TargetMode="External"/><Relationship Id="rId46" Type="http://schemas.openxmlformats.org/officeDocument/2006/relationships/hyperlink" Target="http://journal.sops.gov.ua/issue/archive" TargetMode="External"/><Relationship Id="rId59" Type="http://schemas.openxmlformats.org/officeDocument/2006/relationships/fontTable" Target="fontTable.xml"/><Relationship Id="rId20" Type="http://schemas.openxmlformats.org/officeDocument/2006/relationships/hyperlink" Target="http://eapvp.org/report-data/vietnam/ministry-of-agriculture-and-rural-development-of-vietnam-held-online-seminar-on-the-enforcement-of-plant-breeders-rights/" TargetMode="External"/><Relationship Id="rId41" Type="http://schemas.openxmlformats.org/officeDocument/2006/relationships/hyperlink" Target="https://www.uzb.minpolj.gov.rs/index.php?option=com_content&amp;view=article&amp;id=61&amp;Itemid=14&amp;lang=en" TargetMode="External"/><Relationship Id="rId54" Type="http://schemas.openxmlformats.org/officeDocument/2006/relationships/hyperlink" Target="https://ipkey.eu/en/china/activities/legislation-seminar-plant-variety-rights-amendment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yperlink" Target="http://eapvp.org/report-data/japan/ministry-of-agriculture-forestry-and-fisheries-of-japan-held-capacity-building-workshop2-technical-training-for-pvp-senior-staff/" TargetMode="External"/><Relationship Id="rId28" Type="http://schemas.openxmlformats.org/officeDocument/2006/relationships/header" Target="header11.xml"/><Relationship Id="rId36" Type="http://schemas.openxmlformats.org/officeDocument/2006/relationships/header" Target="header13.xml"/><Relationship Id="rId49" Type="http://schemas.openxmlformats.org/officeDocument/2006/relationships/hyperlink" Target="https://conference.ukragroexpert.com.ua/" TargetMode="External"/><Relationship Id="rId57" Type="http://schemas.openxmlformats.org/officeDocument/2006/relationships/hyperlink" Target="https://internationalipcooperation.eu/en/caripi/activities/regional-cooperation-plant-variety-rights-study-visit" TargetMode="External"/><Relationship Id="rId10" Type="http://schemas.openxmlformats.org/officeDocument/2006/relationships/header" Target="header2.xml"/><Relationship Id="rId31" Type="http://schemas.openxmlformats.org/officeDocument/2006/relationships/hyperlink" Target="http://www.coboru.pl/Polska/Podstawy_prawne/D20040567.pdf" TargetMode="External"/><Relationship Id="rId44" Type="http://schemas.openxmlformats.org/officeDocument/2006/relationships/header" Target="header19.xml"/><Relationship Id="rId52" Type="http://schemas.openxmlformats.org/officeDocument/2006/relationships/hyperlink" Target="https://ipkey.eu/en/china/activities/plant-variety-protection-awareness-raising-seminar" TargetMode="External"/><Relationship Id="rId6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Sheet1!$M$7</c:f>
              <c:strCache>
                <c:ptCount val="1"/>
                <c:pt idx="0">
                  <c:v>Number</c:v>
                </c:pt>
              </c:strCache>
            </c:strRef>
          </c:tx>
          <c:invertIfNegative val="0"/>
          <c:dLbls>
            <c:dLbl>
              <c:idx val="0"/>
              <c:layout>
                <c:manualLayout>
                  <c:x val="2.2701475595913734E-3"/>
                  <c:y val="2.2739037442385382E-1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C96-4915-A7F4-DD16950F6B67}"/>
                </c:ext>
              </c:extLst>
            </c:dLbl>
            <c:spPr>
              <a:solidFill>
                <a:sysClr val="window" lastClr="FFFFFF"/>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Sheet1!$L$8:$L$15</c:f>
              <c:strCache>
                <c:ptCount val="8"/>
                <c:pt idx="0">
                  <c:v>Applications</c:v>
                </c:pt>
                <c:pt idx="1">
                  <c:v>Contention</c:v>
                </c:pt>
                <c:pt idx="2">
                  <c:v>Rejection</c:v>
                </c:pt>
                <c:pt idx="3">
                  <c:v>Withdrawal</c:v>
                </c:pt>
                <c:pt idx="4">
                  <c:v>Surrender</c:v>
                </c:pt>
                <c:pt idx="5">
                  <c:v>Expired</c:v>
                </c:pt>
                <c:pt idx="6">
                  <c:v>Granted</c:v>
                </c:pt>
                <c:pt idx="7">
                  <c:v>Active grants</c:v>
                </c:pt>
              </c:strCache>
            </c:strRef>
          </c:cat>
          <c:val>
            <c:numRef>
              <c:f>Sheet1!$M$8:$M$15</c:f>
              <c:numCache>
                <c:formatCode>General</c:formatCode>
                <c:ptCount val="8"/>
                <c:pt idx="0">
                  <c:v>1886</c:v>
                </c:pt>
                <c:pt idx="1">
                  <c:v>17</c:v>
                </c:pt>
                <c:pt idx="2">
                  <c:v>20</c:v>
                </c:pt>
                <c:pt idx="3">
                  <c:v>362</c:v>
                </c:pt>
                <c:pt idx="4">
                  <c:v>297</c:v>
                </c:pt>
                <c:pt idx="5">
                  <c:v>44</c:v>
                </c:pt>
                <c:pt idx="6">
                  <c:v>497</c:v>
                </c:pt>
                <c:pt idx="7">
                  <c:v>838</c:v>
                </c:pt>
              </c:numCache>
            </c:numRef>
          </c:val>
          <c:extLst>
            <c:ext xmlns:c16="http://schemas.microsoft.com/office/drawing/2014/chart" uri="{C3380CC4-5D6E-409C-BE32-E72D297353CC}">
              <c16:uniqueId val="{00000001-2C96-4915-A7F4-DD16950F6B67}"/>
            </c:ext>
          </c:extLst>
        </c:ser>
        <c:dLbls>
          <c:showLegendKey val="0"/>
          <c:showVal val="0"/>
          <c:showCatName val="0"/>
          <c:showSerName val="0"/>
          <c:showPercent val="0"/>
          <c:showBubbleSize val="0"/>
        </c:dLbls>
        <c:gapWidth val="150"/>
        <c:axId val="160852992"/>
        <c:axId val="160854784"/>
      </c:barChart>
      <c:catAx>
        <c:axId val="160852992"/>
        <c:scaling>
          <c:orientation val="minMax"/>
        </c:scaling>
        <c:delete val="0"/>
        <c:axPos val="b"/>
        <c:numFmt formatCode="General" sourceLinked="0"/>
        <c:majorTickMark val="out"/>
        <c:minorTickMark val="none"/>
        <c:tickLblPos val="nextTo"/>
        <c:crossAx val="160854784"/>
        <c:crosses val="autoZero"/>
        <c:auto val="1"/>
        <c:lblAlgn val="ctr"/>
        <c:lblOffset val="100"/>
        <c:noMultiLvlLbl val="0"/>
      </c:catAx>
      <c:valAx>
        <c:axId val="160854784"/>
        <c:scaling>
          <c:orientation val="minMax"/>
        </c:scaling>
        <c:delete val="0"/>
        <c:axPos val="l"/>
        <c:majorGridlines/>
        <c:numFmt formatCode="General" sourceLinked="1"/>
        <c:majorTickMark val="out"/>
        <c:minorTickMark val="none"/>
        <c:tickLblPos val="nextTo"/>
        <c:crossAx val="16085299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Sheet1!$M$24</c:f>
              <c:strCache>
                <c:ptCount val="1"/>
                <c:pt idx="0">
                  <c:v>No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Sheet1!$L$25:$L$28</c:f>
              <c:strCache>
                <c:ptCount val="4"/>
                <c:pt idx="0">
                  <c:v>Applications</c:v>
                </c:pt>
                <c:pt idx="1">
                  <c:v>Grants</c:v>
                </c:pt>
                <c:pt idx="2">
                  <c:v>Surrender</c:v>
                </c:pt>
                <c:pt idx="3">
                  <c:v>Withdrawal</c:v>
                </c:pt>
              </c:strCache>
            </c:strRef>
          </c:cat>
          <c:val>
            <c:numRef>
              <c:f>Sheet1!$M$25:$M$28</c:f>
              <c:numCache>
                <c:formatCode>General</c:formatCode>
                <c:ptCount val="4"/>
                <c:pt idx="0">
                  <c:v>62</c:v>
                </c:pt>
                <c:pt idx="1">
                  <c:v>76</c:v>
                </c:pt>
                <c:pt idx="2">
                  <c:v>10</c:v>
                </c:pt>
                <c:pt idx="3">
                  <c:v>12</c:v>
                </c:pt>
              </c:numCache>
            </c:numRef>
          </c:val>
          <c:extLst>
            <c:ext xmlns:c16="http://schemas.microsoft.com/office/drawing/2014/chart" uri="{C3380CC4-5D6E-409C-BE32-E72D297353CC}">
              <c16:uniqueId val="{00000000-74ED-42A4-8996-8A15D4D4F0A2}"/>
            </c:ext>
          </c:extLst>
        </c:ser>
        <c:dLbls>
          <c:showLegendKey val="0"/>
          <c:showVal val="0"/>
          <c:showCatName val="0"/>
          <c:showSerName val="0"/>
          <c:showPercent val="0"/>
          <c:showBubbleSize val="0"/>
        </c:dLbls>
        <c:gapWidth val="150"/>
        <c:axId val="160575872"/>
        <c:axId val="160577408"/>
      </c:barChart>
      <c:catAx>
        <c:axId val="160575872"/>
        <c:scaling>
          <c:orientation val="minMax"/>
        </c:scaling>
        <c:delete val="0"/>
        <c:axPos val="b"/>
        <c:numFmt formatCode="General" sourceLinked="0"/>
        <c:majorTickMark val="out"/>
        <c:minorTickMark val="none"/>
        <c:tickLblPos val="nextTo"/>
        <c:crossAx val="160577408"/>
        <c:crosses val="autoZero"/>
        <c:auto val="1"/>
        <c:lblAlgn val="ctr"/>
        <c:lblOffset val="100"/>
        <c:noMultiLvlLbl val="0"/>
      </c:catAx>
      <c:valAx>
        <c:axId val="160577408"/>
        <c:scaling>
          <c:orientation val="minMax"/>
        </c:scaling>
        <c:delete val="0"/>
        <c:axPos val="l"/>
        <c:majorGridlines/>
        <c:numFmt formatCode="General" sourceLinked="1"/>
        <c:majorTickMark val="out"/>
        <c:minorTickMark val="none"/>
        <c:tickLblPos val="nextTo"/>
        <c:crossAx val="160575872"/>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FEF46-FD8A-470F-AA9F-7B0DACFAE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46</Pages>
  <Words>15986</Words>
  <Characters>93867</Characters>
  <Application>Microsoft Office Word</Application>
  <DocSecurity>0</DocSecurity>
  <Lines>782</Lines>
  <Paragraphs>219</Paragraphs>
  <ScaleCrop>false</ScaleCrop>
  <HeadingPairs>
    <vt:vector size="2" baseType="variant">
      <vt:variant>
        <vt:lpstr>Title</vt:lpstr>
      </vt:variant>
      <vt:variant>
        <vt:i4>1</vt:i4>
      </vt:variant>
    </vt:vector>
  </HeadingPairs>
  <TitlesOfParts>
    <vt:vector size="1" baseType="lpstr">
      <vt:lpstr>C/56/INF/4</vt:lpstr>
    </vt:vector>
  </TitlesOfParts>
  <Company>UPOV</Company>
  <LinksUpToDate>false</LinksUpToDate>
  <CharactersWithSpaces>109634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C/56/INF/4</dc:title>
  <dc:creator>SANCHEZ VIZCAINO GOMEZ Rosa Maria</dc:creator>
  <cp:lastModifiedBy>NICOLO Laurianne</cp:lastModifiedBy>
  <cp:revision>71</cp:revision>
  <cp:lastPrinted>2016-11-22T15:41:00Z</cp:lastPrinted>
  <dcterms:created xsi:type="dcterms:W3CDTF">2022-09-07T10:24:00Z</dcterms:created>
  <dcterms:modified xsi:type="dcterms:W3CDTF">2022-09-22T14:05:00Z</dcterms:modified>
</cp:coreProperties>
</file>