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EB4E9C">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AC2883" w:rsidRDefault="00DA4499" w:rsidP="00DA4499">
            <w:pPr>
              <w:pStyle w:val="Sessiontc"/>
            </w:pPr>
            <w:r>
              <w:t xml:space="preserve">Working Group on Biochemical and Molecular Techniques </w:t>
            </w:r>
            <w:r>
              <w:br/>
              <w:t>and DNA-Profiling in Particular</w:t>
            </w:r>
          </w:p>
          <w:p w:rsidR="00EB4E9C" w:rsidRPr="00DC3802" w:rsidRDefault="00624E05" w:rsidP="00DA4499">
            <w:pPr>
              <w:pStyle w:val="Sessiontcplacedate"/>
              <w:rPr>
                <w:sz w:val="22"/>
              </w:rPr>
            </w:pPr>
            <w:r>
              <w:t>Seventeenth</w:t>
            </w:r>
            <w:r w:rsidRPr="00DA4973">
              <w:t xml:space="preserve"> Session</w:t>
            </w:r>
            <w:r w:rsidR="00EB4E9C" w:rsidRPr="00DA4973">
              <w:br/>
            </w:r>
            <w:r w:rsidRPr="008873AE">
              <w:t>Montevideo, Uruguay, September 10 to 13</w:t>
            </w:r>
            <w:r w:rsidRPr="00DA4973">
              <w:t>, 201</w:t>
            </w:r>
            <w:r>
              <w:t>8</w:t>
            </w:r>
          </w:p>
        </w:tc>
        <w:tc>
          <w:tcPr>
            <w:tcW w:w="3127" w:type="dxa"/>
          </w:tcPr>
          <w:p w:rsidR="00EB4E9C" w:rsidRDefault="00624E05" w:rsidP="003C7FBE">
            <w:pPr>
              <w:pStyle w:val="Doccode"/>
            </w:pPr>
            <w:r>
              <w:t>BMT/17</w:t>
            </w:r>
            <w:r w:rsidR="00EB4E9C" w:rsidRPr="00AC2883">
              <w:t>/</w:t>
            </w:r>
            <w:r w:rsidR="00243F64">
              <w:t>10</w:t>
            </w:r>
            <w:r w:rsidR="007567D0">
              <w:t xml:space="preserve"> Add.</w:t>
            </w:r>
          </w:p>
          <w:p w:rsidR="00DA4499" w:rsidRPr="003C7FBE" w:rsidRDefault="00DA4499" w:rsidP="003C7FBE">
            <w:pPr>
              <w:pStyle w:val="Doccode"/>
            </w:pPr>
          </w:p>
          <w:p w:rsidR="00EB4E9C" w:rsidRPr="003C7FBE" w:rsidRDefault="00EB4E9C" w:rsidP="003C7FBE">
            <w:pPr>
              <w:pStyle w:val="Docoriginal"/>
            </w:pPr>
            <w:r w:rsidRPr="00AC2883">
              <w:t>Original:</w:t>
            </w:r>
            <w:r w:rsidRPr="000E636A">
              <w:rPr>
                <w:b w:val="0"/>
                <w:spacing w:val="0"/>
              </w:rPr>
              <w:t xml:space="preserve">  English</w:t>
            </w:r>
          </w:p>
          <w:p w:rsidR="00EB4E9C" w:rsidRPr="007C1D92" w:rsidRDefault="00EB4E9C" w:rsidP="007567D0">
            <w:pPr>
              <w:pStyle w:val="Docoriginal"/>
            </w:pPr>
            <w:r w:rsidRPr="00AC2883">
              <w:t>Date:</w:t>
            </w:r>
            <w:r w:rsidRPr="000E636A">
              <w:rPr>
                <w:b w:val="0"/>
                <w:spacing w:val="0"/>
              </w:rPr>
              <w:t xml:space="preserve">  </w:t>
            </w:r>
            <w:r w:rsidR="007567D0" w:rsidRPr="006F0F57">
              <w:rPr>
                <w:b w:val="0"/>
                <w:spacing w:val="0"/>
              </w:rPr>
              <w:t>September 10</w:t>
            </w:r>
            <w:r w:rsidRPr="006F0F57">
              <w:rPr>
                <w:b w:val="0"/>
                <w:spacing w:val="0"/>
              </w:rPr>
              <w:t>, 201</w:t>
            </w:r>
            <w:r w:rsidR="00B9531B" w:rsidRPr="006F0F57">
              <w:rPr>
                <w:b w:val="0"/>
                <w:spacing w:val="0"/>
              </w:rPr>
              <w:t>8</w:t>
            </w:r>
            <w:bookmarkStart w:id="0" w:name="_GoBack"/>
            <w:bookmarkEnd w:id="0"/>
          </w:p>
        </w:tc>
      </w:tr>
    </w:tbl>
    <w:p w:rsidR="0096384D" w:rsidRPr="006A644A" w:rsidRDefault="007567D0" w:rsidP="0096384D">
      <w:pPr>
        <w:pStyle w:val="Titleofdoc0"/>
      </w:pPr>
      <w:bookmarkStart w:id="1" w:name="TitleOfDoc"/>
      <w:bookmarkEnd w:id="1"/>
      <w:r>
        <w:t>addendum to</w:t>
      </w:r>
      <w:r>
        <w:br/>
      </w:r>
      <w:r w:rsidR="00243F64" w:rsidRPr="00243F64">
        <w:t>Review of document UPOV/INF/17 “Guidelines for DNA-Profiling: Molecular Marker Selection and Database Construction (‘BMT Guidelines’)”</w:t>
      </w:r>
    </w:p>
    <w:p w:rsidR="0096384D" w:rsidRDefault="0096384D" w:rsidP="0096384D">
      <w:pPr>
        <w:pStyle w:val="preparedby1"/>
        <w:jc w:val="left"/>
      </w:pPr>
      <w:bookmarkStart w:id="2" w:name="Prepared"/>
      <w:bookmarkEnd w:id="2"/>
      <w:r w:rsidRPr="000C4E25">
        <w:t>Document prepared by the Office of the Union</w:t>
      </w:r>
    </w:p>
    <w:p w:rsidR="0096384D" w:rsidRPr="006A644A" w:rsidRDefault="0096384D" w:rsidP="0096384D">
      <w:pPr>
        <w:pStyle w:val="Disclaimer"/>
      </w:pPr>
      <w:r w:rsidRPr="006A644A">
        <w:t>Disclaimer:  this document does not represent UPOV policies or guidance</w:t>
      </w:r>
    </w:p>
    <w:p w:rsidR="007567D0" w:rsidRPr="00002DBD" w:rsidRDefault="007567D0" w:rsidP="007567D0">
      <w:pPr>
        <w:rPr>
          <w:snapToGrid w:val="0"/>
        </w:rPr>
      </w:pPr>
      <w:proofErr w:type="gramStart"/>
      <w:r w:rsidRPr="005720B1">
        <w:rPr>
          <w:snapToGrid w:val="0"/>
        </w:rPr>
        <w:t>The Annex to this document contains a</w:t>
      </w:r>
      <w:r w:rsidR="005720B1" w:rsidRPr="005720B1">
        <w:rPr>
          <w:snapToGrid w:val="0"/>
        </w:rPr>
        <w:t>n</w:t>
      </w:r>
      <w:r w:rsidRPr="005720B1">
        <w:rPr>
          <w:snapToGrid w:val="0"/>
        </w:rPr>
        <w:t xml:space="preserve"> </w:t>
      </w:r>
      <w:r w:rsidR="005720B1" w:rsidRPr="005720B1">
        <w:rPr>
          <w:snapToGrid w:val="0"/>
        </w:rPr>
        <w:t xml:space="preserve">extract </w:t>
      </w:r>
      <w:r w:rsidRPr="005720B1">
        <w:rPr>
          <w:snapToGrid w:val="0"/>
        </w:rPr>
        <w:t>of document UPOV</w:t>
      </w:r>
      <w:r w:rsidR="0098385B" w:rsidRPr="005720B1">
        <w:rPr>
          <w:snapToGrid w:val="0"/>
        </w:rPr>
        <w:t>/</w:t>
      </w:r>
      <w:r w:rsidRPr="005720B1">
        <w:rPr>
          <w:snapToGrid w:val="0"/>
        </w:rPr>
        <w:t>INF/17/2</w:t>
      </w:r>
      <w:r w:rsidR="00B921D3" w:rsidRPr="005720B1">
        <w:rPr>
          <w:snapToGrid w:val="0"/>
        </w:rPr>
        <w:t> </w:t>
      </w:r>
      <w:r w:rsidRPr="005720B1">
        <w:rPr>
          <w:snapToGrid w:val="0"/>
        </w:rPr>
        <w:t>Draft</w:t>
      </w:r>
      <w:r w:rsidR="00B921D3" w:rsidRPr="005720B1">
        <w:rPr>
          <w:snapToGrid w:val="0"/>
        </w:rPr>
        <w:t> </w:t>
      </w:r>
      <w:r w:rsidRPr="005720B1">
        <w:rPr>
          <w:snapToGrid w:val="0"/>
        </w:rPr>
        <w:t>1 “Guidelines for DNA</w:t>
      </w:r>
      <w:r w:rsidRPr="005720B1">
        <w:rPr>
          <w:snapToGrid w:val="0"/>
        </w:rPr>
        <w:noBreakHyphen/>
        <w:t>Profiling:</w:t>
      </w:r>
      <w:r w:rsidRPr="00002DBD">
        <w:rPr>
          <w:snapToGrid w:val="0"/>
        </w:rPr>
        <w:t xml:space="preserve"> Molecular Marker Selection and Database Construction (‘BMT Guidelines’)</w:t>
      </w:r>
      <w:r>
        <w:rPr>
          <w:snapToGrid w:val="0"/>
        </w:rPr>
        <w:t>”, with comments from the European Seed Association (ESA)</w:t>
      </w:r>
      <w:r w:rsidR="005720B1">
        <w:rPr>
          <w:snapToGrid w:val="0"/>
        </w:rPr>
        <w:t xml:space="preserve"> presented in boxes highlighted in light orange and text to which those comments apply highlighted in yellow</w:t>
      </w:r>
      <w:r>
        <w:rPr>
          <w:snapToGrid w:val="0"/>
        </w:rPr>
        <w:t xml:space="preserve">, to be presented at the seventeenth session of </w:t>
      </w:r>
      <w:r w:rsidRPr="00D70BFB">
        <w:rPr>
          <w:rFonts w:hint="eastAsia"/>
          <w:snapToGrid w:val="0"/>
        </w:rPr>
        <w:t>the</w:t>
      </w:r>
      <w:r w:rsidRPr="00D70BFB">
        <w:rPr>
          <w:snapToGrid w:val="0"/>
        </w:rPr>
        <w:t xml:space="preserve"> </w:t>
      </w:r>
      <w:r w:rsidRPr="00E54218">
        <w:rPr>
          <w:snapToGrid w:val="0"/>
        </w:rPr>
        <w:t>Working Group on Biochemical and Molecular Techniques and DNA-Profiling in Particular</w:t>
      </w:r>
      <w:r w:rsidRPr="00D70BFB">
        <w:rPr>
          <w:snapToGrid w:val="0"/>
        </w:rPr>
        <w:t xml:space="preserve"> (</w:t>
      </w:r>
      <w:r>
        <w:rPr>
          <w:snapToGrid w:val="0"/>
        </w:rPr>
        <w:t>BMT</w:t>
      </w:r>
      <w:r w:rsidRPr="00D70BFB">
        <w:rPr>
          <w:snapToGrid w:val="0"/>
        </w:rPr>
        <w:t>).</w:t>
      </w:r>
      <w:proofErr w:type="gramEnd"/>
    </w:p>
    <w:p w:rsidR="007567D0" w:rsidRDefault="007567D0" w:rsidP="007567D0">
      <w:pPr>
        <w:jc w:val="right"/>
      </w:pPr>
    </w:p>
    <w:p w:rsidR="007567D0" w:rsidRDefault="007567D0" w:rsidP="007567D0">
      <w:pPr>
        <w:jc w:val="right"/>
      </w:pPr>
    </w:p>
    <w:p w:rsidR="007567D0" w:rsidRDefault="007567D0" w:rsidP="007567D0">
      <w:pPr>
        <w:jc w:val="right"/>
      </w:pPr>
    </w:p>
    <w:p w:rsidR="007567D0" w:rsidRPr="00C5280D" w:rsidRDefault="007567D0" w:rsidP="007567D0">
      <w:pPr>
        <w:jc w:val="right"/>
      </w:pPr>
      <w:r>
        <w:t>[Annex follows]</w:t>
      </w:r>
    </w:p>
    <w:p w:rsidR="0096384D" w:rsidRDefault="0096384D" w:rsidP="0096384D">
      <w:pPr>
        <w:jc w:val="right"/>
        <w:rPr>
          <w:lang w:eastAsia="ja-JP"/>
        </w:rPr>
        <w:sectPr w:rsidR="0096384D" w:rsidSect="00906DDC">
          <w:headerReference w:type="default" r:id="rId9"/>
          <w:pgSz w:w="11907" w:h="16840" w:code="9"/>
          <w:pgMar w:top="510" w:right="1134" w:bottom="1134" w:left="1134" w:header="510" w:footer="680" w:gutter="0"/>
          <w:cols w:space="720"/>
          <w:titlePg/>
        </w:sectPr>
      </w:pPr>
    </w:p>
    <w:p w:rsidR="00E11B99" w:rsidRDefault="00E11B99" w:rsidP="00E11B99"/>
    <w:p w:rsidR="00E11B99" w:rsidRPr="002406E4" w:rsidRDefault="00E83939" w:rsidP="00E11B99">
      <w:pPr>
        <w:pStyle w:val="Titleofdoc0"/>
        <w:spacing w:before="0" w:after="0"/>
        <w:jc w:val="center"/>
        <w:rPr>
          <w:b w:val="0"/>
        </w:rPr>
      </w:pPr>
      <w:r w:rsidRPr="00E83939">
        <w:rPr>
          <w:b w:val="0"/>
        </w:rPr>
        <w:t xml:space="preserve">COMMENTS FROM THE EUROPEAN SEED ASSOCIATION (ESA) TO </w:t>
      </w:r>
      <w:r w:rsidR="000717FC">
        <w:rPr>
          <w:b w:val="0"/>
        </w:rPr>
        <w:br/>
        <w:t>DOCUMENT UPOV/INF/17/2 DRAFT 1</w:t>
      </w:r>
    </w:p>
    <w:p w:rsidR="00B44ABD" w:rsidRDefault="00B44ABD" w:rsidP="00B44ABD"/>
    <w:p w:rsidR="00A31197" w:rsidRPr="00B44ABD" w:rsidRDefault="00A31197" w:rsidP="00B44ABD"/>
    <w:p w:rsidR="0043383F" w:rsidRDefault="0043383F" w:rsidP="0043383F">
      <w:pPr>
        <w:ind w:left="567"/>
        <w:rPr>
          <w:sz w:val="18"/>
        </w:rPr>
      </w:pPr>
      <w:r w:rsidRPr="000279A4">
        <w:rPr>
          <w:sz w:val="18"/>
        </w:rPr>
        <w:t>[…]</w:t>
      </w:r>
    </w:p>
    <w:p w:rsidR="00675977" w:rsidRPr="000279A4" w:rsidRDefault="00675977" w:rsidP="0043383F">
      <w:pPr>
        <w:ind w:left="567"/>
        <w:rPr>
          <w:sz w:val="18"/>
        </w:rPr>
      </w:pPr>
    </w:p>
    <w:p w:rsidR="00675977" w:rsidRPr="00675977" w:rsidRDefault="00675977" w:rsidP="00675977">
      <w:pPr>
        <w:rPr>
          <w:sz w:val="18"/>
        </w:rPr>
      </w:pPr>
      <w:bookmarkStart w:id="3" w:name="_Toc522523213"/>
      <w:r w:rsidRPr="00675977">
        <w:rPr>
          <w:sz w:val="18"/>
        </w:rPr>
        <w:t>A.</w:t>
      </w:r>
      <w:r w:rsidRPr="00675977">
        <w:rPr>
          <w:sz w:val="18"/>
        </w:rPr>
        <w:tab/>
        <w:t>INTRODUCTION</w:t>
      </w:r>
      <w:bookmarkEnd w:id="3"/>
    </w:p>
    <w:p w:rsidR="00675977" w:rsidRPr="00675977" w:rsidRDefault="00675977" w:rsidP="00675977">
      <w:pPr>
        <w:rPr>
          <w:sz w:val="18"/>
        </w:rPr>
      </w:pPr>
    </w:p>
    <w:p w:rsidR="0043383F" w:rsidRPr="00675977" w:rsidRDefault="00675977" w:rsidP="00675977">
      <w:pPr>
        <w:ind w:left="567" w:right="567"/>
        <w:rPr>
          <w:sz w:val="16"/>
        </w:rPr>
      </w:pPr>
      <w:r w:rsidRPr="00675977">
        <w:rPr>
          <w:sz w:val="18"/>
        </w:rPr>
        <w:t xml:space="preserve">The purpose of this document (BMT Guidelines) is to provide guidance </w:t>
      </w:r>
      <w:r w:rsidRPr="00675977">
        <w:rPr>
          <w:strike/>
          <w:sz w:val="18"/>
          <w:shd w:val="pct15" w:color="auto" w:fill="FFFFFF"/>
        </w:rPr>
        <w:t xml:space="preserve">for developing harmonized methodologies </w:t>
      </w:r>
      <w:r w:rsidRPr="00675977">
        <w:rPr>
          <w:sz w:val="18"/>
          <w:u w:val="single"/>
          <w:shd w:val="pct15" w:color="auto" w:fill="FFFFFF"/>
        </w:rPr>
        <w:t>to standardize criteria for the use of DNA based markers</w:t>
      </w:r>
      <w:r w:rsidRPr="00675977">
        <w:rPr>
          <w:sz w:val="18"/>
        </w:rPr>
        <w:t xml:space="preserve"> with the aim of generating high quality molecular data for a range of applications.  The BMT Guidelines are also intended to address the construction of databases containing molecular profiles of plant varieties, possibly produced in different laboratories using different technologies.  In addition, the aim is to set high demands on the quality of the markers and on the desire for generating reproducible data using these markers in situations where equipment and/or reaction chemicals might change.  Specific precautions need to be taken to ensure quality entry into a database.</w:t>
      </w:r>
    </w:p>
    <w:p w:rsidR="0043383F" w:rsidRPr="00675977" w:rsidRDefault="0043383F" w:rsidP="0043383F">
      <w:pPr>
        <w:ind w:left="567" w:right="567"/>
        <w:rPr>
          <w:sz w:val="16"/>
        </w:rPr>
      </w:pPr>
    </w:p>
    <w:p w:rsidR="0043383F" w:rsidRPr="000279A4" w:rsidRDefault="0043383F" w:rsidP="0043383F">
      <w:pPr>
        <w:ind w:left="567"/>
        <w:rPr>
          <w:sz w:val="18"/>
        </w:rPr>
      </w:pPr>
      <w:r w:rsidRPr="000279A4">
        <w:rPr>
          <w:sz w:val="18"/>
        </w:rPr>
        <w:t>[…]</w:t>
      </w:r>
    </w:p>
    <w:p w:rsidR="0043383F" w:rsidRPr="0043383F" w:rsidRDefault="0043383F" w:rsidP="0043383F">
      <w:pPr>
        <w:ind w:left="567" w:right="567"/>
        <w:rPr>
          <w:sz w:val="18"/>
        </w:rPr>
      </w:pPr>
    </w:p>
    <w:tbl>
      <w:tblPr>
        <w:tblW w:w="0" w:type="auto"/>
        <w:tblBorders>
          <w:top w:val="single" w:sz="4" w:space="0" w:color="auto"/>
          <w:left w:val="single" w:sz="4" w:space="0" w:color="auto"/>
          <w:bottom w:val="single" w:sz="4" w:space="0" w:color="auto"/>
          <w:right w:val="single" w:sz="4" w:space="0" w:color="auto"/>
        </w:tblBorders>
        <w:shd w:val="clear" w:color="auto" w:fill="FDE9D9" w:themeFill="accent6" w:themeFillTint="33"/>
        <w:tblLook w:val="04A0" w:firstRow="1" w:lastRow="0" w:firstColumn="1" w:lastColumn="0" w:noHBand="0" w:noVBand="1"/>
      </w:tblPr>
      <w:tblGrid>
        <w:gridCol w:w="9629"/>
      </w:tblGrid>
      <w:tr w:rsidR="00C06B46" w:rsidRPr="0047703B" w:rsidTr="005720B1">
        <w:trPr>
          <w:cantSplit/>
        </w:trPr>
        <w:tc>
          <w:tcPr>
            <w:tcW w:w="9855" w:type="dxa"/>
            <w:shd w:val="clear" w:color="auto" w:fill="FDE9D9" w:themeFill="accent6" w:themeFillTint="33"/>
          </w:tcPr>
          <w:p w:rsidR="00C06B46" w:rsidRPr="00521A15" w:rsidRDefault="00C06B46" w:rsidP="00CC6032">
            <w:pPr>
              <w:rPr>
                <w:szCs w:val="18"/>
              </w:rPr>
            </w:pPr>
          </w:p>
          <w:p w:rsidR="00C06B46" w:rsidRPr="00521A15" w:rsidRDefault="00C06B46" w:rsidP="00CC6032">
            <w:pPr>
              <w:rPr>
                <w:szCs w:val="18"/>
                <w:lang w:eastAsia="ja-JP"/>
              </w:rPr>
            </w:pPr>
            <w:r w:rsidRPr="00521A15">
              <w:rPr>
                <w:szCs w:val="18"/>
                <w:u w:val="single"/>
              </w:rPr>
              <w:t>Comments by ESA</w:t>
            </w:r>
          </w:p>
          <w:p w:rsidR="00C06B46" w:rsidRDefault="00C06B46" w:rsidP="00CC6032">
            <w:pPr>
              <w:rPr>
                <w:szCs w:val="18"/>
              </w:rPr>
            </w:pPr>
          </w:p>
          <w:p w:rsidR="00675977" w:rsidRPr="00675977" w:rsidRDefault="00675977" w:rsidP="00675977">
            <w:pPr>
              <w:rPr>
                <w:szCs w:val="18"/>
              </w:rPr>
            </w:pPr>
            <w:r w:rsidRPr="00675977">
              <w:rPr>
                <w:szCs w:val="18"/>
              </w:rPr>
              <w:t>It might be useful to specify the range of applications by referring to respective UPOV documents that elaborate on recommended or approved applications within the PVP system</w:t>
            </w:r>
            <w:r>
              <w:rPr>
                <w:szCs w:val="18"/>
              </w:rPr>
              <w:t>.</w:t>
            </w:r>
          </w:p>
          <w:p w:rsidR="00C06B46" w:rsidRPr="00D15D91" w:rsidRDefault="00C06B46" w:rsidP="00CC6032">
            <w:pPr>
              <w:rPr>
                <w:sz w:val="18"/>
                <w:szCs w:val="18"/>
              </w:rPr>
            </w:pPr>
          </w:p>
        </w:tc>
      </w:tr>
    </w:tbl>
    <w:p w:rsidR="00C06B46" w:rsidRDefault="00C06B46" w:rsidP="00E11B99"/>
    <w:p w:rsidR="00A01EE0" w:rsidRDefault="00A01EE0" w:rsidP="00D36CFD"/>
    <w:p w:rsidR="0043383F" w:rsidRPr="000279A4" w:rsidRDefault="0043383F" w:rsidP="0043383F">
      <w:pPr>
        <w:ind w:left="567"/>
        <w:rPr>
          <w:sz w:val="18"/>
        </w:rPr>
      </w:pPr>
      <w:r w:rsidRPr="000279A4">
        <w:rPr>
          <w:sz w:val="18"/>
        </w:rPr>
        <w:t>[…]</w:t>
      </w:r>
    </w:p>
    <w:p w:rsidR="00723994" w:rsidRPr="00723994" w:rsidRDefault="00723994" w:rsidP="00723994"/>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29"/>
      </w:tblGrid>
      <w:tr w:rsidR="00723994" w:rsidRPr="00723994" w:rsidTr="006B5FEB">
        <w:trPr>
          <w:cantSplit/>
        </w:trPr>
        <w:tc>
          <w:tcPr>
            <w:tcW w:w="9629" w:type="dxa"/>
            <w:shd w:val="clear" w:color="auto" w:fill="D9D9D9" w:themeFill="background1" w:themeFillShade="D9"/>
          </w:tcPr>
          <w:p w:rsidR="00723994" w:rsidRPr="00723994" w:rsidRDefault="00723994" w:rsidP="00723994">
            <w:pPr>
              <w:rPr>
                <w:sz w:val="18"/>
                <w:szCs w:val="18"/>
                <w:u w:val="single"/>
              </w:rPr>
            </w:pPr>
          </w:p>
          <w:p w:rsidR="00723994" w:rsidRPr="00723994" w:rsidRDefault="00723994" w:rsidP="00723994">
            <w:pPr>
              <w:rPr>
                <w:sz w:val="18"/>
                <w:szCs w:val="18"/>
                <w:vertAlign w:val="superscript"/>
              </w:rPr>
            </w:pPr>
            <w:r w:rsidRPr="00723994">
              <w:rPr>
                <w:sz w:val="18"/>
                <w:szCs w:val="18"/>
                <w:u w:val="single"/>
              </w:rPr>
              <w:t>Joint comments from the European Union, France and the Netherlands</w:t>
            </w:r>
            <w:r w:rsidRPr="00723994">
              <w:rPr>
                <w:sz w:val="18"/>
                <w:szCs w:val="18"/>
                <w:vertAlign w:val="superscript"/>
              </w:rPr>
              <w:t xml:space="preserve"> ii</w:t>
            </w:r>
          </w:p>
          <w:p w:rsidR="00723994" w:rsidRPr="00723994" w:rsidRDefault="00723994" w:rsidP="00723994">
            <w:pPr>
              <w:rPr>
                <w:sz w:val="18"/>
                <w:szCs w:val="18"/>
                <w:lang w:eastAsia="nl-NL"/>
              </w:rPr>
            </w:pPr>
          </w:p>
          <w:p w:rsidR="00723994" w:rsidRPr="00723994" w:rsidRDefault="00723994" w:rsidP="00723994">
            <w:pPr>
              <w:rPr>
                <w:sz w:val="18"/>
                <w:szCs w:val="18"/>
                <w:lang w:val="en-GB" w:eastAsia="nl-NL"/>
              </w:rPr>
            </w:pPr>
            <w:r w:rsidRPr="00723994">
              <w:rPr>
                <w:sz w:val="18"/>
                <w:szCs w:val="18"/>
                <w:lang w:val="en-GB" w:eastAsia="nl-NL"/>
              </w:rPr>
              <w:t>To add new sections 1.2 and 1.3 as follows:</w:t>
            </w:r>
          </w:p>
          <w:p w:rsidR="00723994" w:rsidRPr="00723994" w:rsidRDefault="00723994" w:rsidP="00723994">
            <w:pPr>
              <w:ind w:left="1080" w:hanging="675"/>
              <w:rPr>
                <w:sz w:val="18"/>
                <w:szCs w:val="18"/>
                <w:lang w:val="en-GB" w:eastAsia="nl-NL"/>
              </w:rPr>
            </w:pPr>
          </w:p>
          <w:p w:rsidR="00723994" w:rsidRPr="00723994" w:rsidRDefault="00723994" w:rsidP="00723994">
            <w:pPr>
              <w:rPr>
                <w:sz w:val="18"/>
                <w:szCs w:val="18"/>
                <w:shd w:val="pct15" w:color="auto" w:fill="FFFFFF"/>
                <w:lang w:val="en-GB" w:eastAsia="nl-NL"/>
              </w:rPr>
            </w:pPr>
            <w:r w:rsidRPr="00723994">
              <w:rPr>
                <w:sz w:val="18"/>
                <w:szCs w:val="18"/>
                <w:shd w:val="pct15" w:color="auto" w:fill="FFFFFF"/>
                <w:lang w:val="en-GB" w:eastAsia="nl-NL"/>
              </w:rPr>
              <w:t>1.2        Flexibility and adaptability of a marker set</w:t>
            </w:r>
          </w:p>
          <w:p w:rsidR="00723994" w:rsidRPr="00723994" w:rsidRDefault="00723994" w:rsidP="00723994">
            <w:pPr>
              <w:rPr>
                <w:sz w:val="18"/>
                <w:szCs w:val="18"/>
                <w:shd w:val="pct15" w:color="auto" w:fill="FFFFFF"/>
                <w:lang w:val="en-GB" w:eastAsia="nl-NL"/>
              </w:rPr>
            </w:pPr>
          </w:p>
          <w:p w:rsidR="00723994" w:rsidRPr="00723994" w:rsidRDefault="00723994" w:rsidP="00723994">
            <w:pPr>
              <w:rPr>
                <w:sz w:val="18"/>
                <w:szCs w:val="18"/>
                <w:shd w:val="pct15" w:color="auto" w:fill="FFFFFF"/>
                <w:lang w:val="en-GB" w:eastAsia="nl-NL"/>
              </w:rPr>
            </w:pPr>
            <w:r w:rsidRPr="00723994">
              <w:rPr>
                <w:sz w:val="18"/>
                <w:szCs w:val="18"/>
                <w:shd w:val="pct15" w:color="auto" w:fill="FFFFFF"/>
                <w:lang w:val="en-GB" w:eastAsia="nl-NL"/>
              </w:rPr>
              <w:t xml:space="preserve">The discriminatory power of a marker set needs to be regularly assessed due to the evolution of the variety collections. Markers may need to be added or discarded depending on the modification of the genetics of varieties. </w:t>
            </w:r>
            <w:r w:rsidRPr="005720B1">
              <w:rPr>
                <w:sz w:val="18"/>
                <w:szCs w:val="18"/>
                <w:highlight w:val="yellow"/>
                <w:shd w:val="clear" w:color="auto" w:fill="FDE9D9" w:themeFill="accent6" w:themeFillTint="33"/>
                <w:lang w:val="en-GB" w:eastAsia="nl-NL"/>
              </w:rPr>
              <w:t>In addition, New Breeding Techniques (NBT) and their resulting products may also require to use specific markers to detect the edited sites in the genome (e.g. additional characteristics could be evaluated these markers provided that a direct correlation between the edited sites and the phenotype has been established)</w:t>
            </w:r>
            <w:r w:rsidRPr="00723994">
              <w:rPr>
                <w:sz w:val="18"/>
                <w:szCs w:val="18"/>
                <w:shd w:val="pct15" w:color="auto" w:fill="FFFFFF"/>
                <w:lang w:val="en-GB" w:eastAsia="nl-NL"/>
              </w:rPr>
              <w:t>.</w:t>
            </w:r>
          </w:p>
          <w:p w:rsidR="00723994" w:rsidRPr="00723994" w:rsidRDefault="00723994" w:rsidP="00723994">
            <w:pPr>
              <w:rPr>
                <w:sz w:val="18"/>
                <w:szCs w:val="18"/>
                <w:lang w:val="en-GB" w:eastAsia="nl-NL"/>
              </w:rPr>
            </w:pPr>
          </w:p>
          <w:p w:rsidR="00723994" w:rsidRPr="00723994" w:rsidRDefault="00723994" w:rsidP="00723994">
            <w:pPr>
              <w:rPr>
                <w:sz w:val="18"/>
                <w:szCs w:val="18"/>
                <w:shd w:val="pct15" w:color="auto" w:fill="FFFFFF"/>
                <w:lang w:val="en-GB" w:eastAsia="nl-NL"/>
              </w:rPr>
            </w:pPr>
            <w:r w:rsidRPr="00723994">
              <w:rPr>
                <w:sz w:val="18"/>
                <w:szCs w:val="18"/>
                <w:shd w:val="pct15" w:color="auto" w:fill="FFFFFF"/>
                <w:lang w:val="en-GB" w:eastAsia="nl-NL"/>
              </w:rPr>
              <w:t>1.3        Requirements on the molecular profiles</w:t>
            </w:r>
          </w:p>
          <w:p w:rsidR="00723994" w:rsidRPr="00723994" w:rsidRDefault="00723994" w:rsidP="00723994">
            <w:pPr>
              <w:rPr>
                <w:sz w:val="18"/>
                <w:szCs w:val="18"/>
                <w:shd w:val="pct15" w:color="auto" w:fill="FFFFFF"/>
                <w:lang w:val="en-GB" w:eastAsia="nl-NL"/>
              </w:rPr>
            </w:pPr>
          </w:p>
          <w:p w:rsidR="00723994" w:rsidRPr="00723994" w:rsidRDefault="00723994" w:rsidP="00723994">
            <w:pPr>
              <w:contextualSpacing/>
              <w:rPr>
                <w:rFonts w:eastAsiaTheme="minorEastAsia"/>
                <w:sz w:val="18"/>
                <w:szCs w:val="18"/>
                <w:shd w:val="pct15" w:color="auto" w:fill="FFFFFF"/>
                <w:lang w:val="en-GB" w:eastAsia="nl-NL"/>
              </w:rPr>
            </w:pPr>
            <w:r w:rsidRPr="00723994">
              <w:rPr>
                <w:rFonts w:eastAsiaTheme="minorEastAsia"/>
                <w:sz w:val="18"/>
                <w:szCs w:val="18"/>
                <w:shd w:val="pct15" w:color="auto" w:fill="FFFFFF"/>
                <w:lang w:val="en-GB" w:eastAsia="nl-NL"/>
              </w:rPr>
              <w:t xml:space="preserve">1.3.1   Markers scattered all along the genome are used for the evaluation of distances/similarities between varieties through molecular distances and/or allelic frequencies. Application of this markers set is an assessment of the ‘genetic background’. </w:t>
            </w:r>
          </w:p>
          <w:p w:rsidR="00723994" w:rsidRDefault="00723994" w:rsidP="00723994">
            <w:pPr>
              <w:contextualSpacing/>
              <w:rPr>
                <w:rFonts w:eastAsiaTheme="minorEastAsia"/>
                <w:sz w:val="18"/>
                <w:szCs w:val="18"/>
                <w:shd w:val="pct15" w:color="auto" w:fill="FFFFFF"/>
                <w:lang w:val="en-GB" w:eastAsia="nl-NL"/>
              </w:rPr>
            </w:pPr>
            <w:r w:rsidRPr="00723994">
              <w:rPr>
                <w:rFonts w:eastAsiaTheme="minorEastAsia"/>
                <w:sz w:val="18"/>
                <w:szCs w:val="18"/>
                <w:shd w:val="pct15" w:color="auto" w:fill="FFFFFF"/>
                <w:lang w:val="en-GB" w:eastAsia="nl-NL"/>
              </w:rPr>
              <w:t>1.3.2   In addition, markers that correlate with defined morphological qualitative traits, fulfilling the UPOV model 1 criteria, can complement the genetic description.</w:t>
            </w:r>
          </w:p>
          <w:p w:rsidR="00902E78" w:rsidRPr="00723994" w:rsidRDefault="00902E78" w:rsidP="00723994">
            <w:pPr>
              <w:contextualSpacing/>
              <w:rPr>
                <w:sz w:val="18"/>
                <w:szCs w:val="18"/>
                <w:lang w:val="en-GB"/>
              </w:rPr>
            </w:pPr>
          </w:p>
        </w:tc>
      </w:tr>
    </w:tbl>
    <w:p w:rsidR="00723994" w:rsidRPr="00723994" w:rsidRDefault="00723994" w:rsidP="00723994"/>
    <w:p w:rsidR="0043383F" w:rsidRPr="000279A4" w:rsidRDefault="0043383F" w:rsidP="0043383F">
      <w:pPr>
        <w:ind w:left="567" w:right="567"/>
        <w:rPr>
          <w:sz w:val="18"/>
        </w:rPr>
      </w:pPr>
      <w:r w:rsidRPr="000279A4">
        <w:rPr>
          <w:sz w:val="18"/>
        </w:rPr>
        <w:t>[…]</w:t>
      </w:r>
    </w:p>
    <w:p w:rsidR="00723994" w:rsidRDefault="00723994" w:rsidP="0043383F">
      <w:pPr>
        <w:ind w:left="567" w:right="567"/>
        <w:rPr>
          <w:sz w:val="18"/>
        </w:rPr>
      </w:pPr>
    </w:p>
    <w:tbl>
      <w:tblPr>
        <w:tblW w:w="0" w:type="auto"/>
        <w:tblBorders>
          <w:top w:val="single" w:sz="4" w:space="0" w:color="auto"/>
          <w:left w:val="single" w:sz="4" w:space="0" w:color="auto"/>
          <w:bottom w:val="single" w:sz="4" w:space="0" w:color="auto"/>
          <w:right w:val="single" w:sz="4" w:space="0" w:color="auto"/>
        </w:tblBorders>
        <w:shd w:val="clear" w:color="auto" w:fill="FDE9D9" w:themeFill="accent6" w:themeFillTint="33"/>
        <w:tblLook w:val="04A0" w:firstRow="1" w:lastRow="0" w:firstColumn="1" w:lastColumn="0" w:noHBand="0" w:noVBand="1"/>
      </w:tblPr>
      <w:tblGrid>
        <w:gridCol w:w="9629"/>
      </w:tblGrid>
      <w:tr w:rsidR="00B269A7" w:rsidRPr="0047703B" w:rsidTr="005720B1">
        <w:trPr>
          <w:cantSplit/>
        </w:trPr>
        <w:tc>
          <w:tcPr>
            <w:tcW w:w="9855" w:type="dxa"/>
            <w:shd w:val="clear" w:color="auto" w:fill="FDE9D9" w:themeFill="accent6" w:themeFillTint="33"/>
          </w:tcPr>
          <w:p w:rsidR="00B269A7" w:rsidRPr="00521A15" w:rsidRDefault="00B269A7" w:rsidP="00CC6032">
            <w:pPr>
              <w:rPr>
                <w:szCs w:val="18"/>
              </w:rPr>
            </w:pPr>
          </w:p>
          <w:p w:rsidR="00B269A7" w:rsidRPr="00521A15" w:rsidRDefault="00B269A7" w:rsidP="00CC6032">
            <w:pPr>
              <w:rPr>
                <w:szCs w:val="18"/>
                <w:lang w:eastAsia="ja-JP"/>
              </w:rPr>
            </w:pPr>
            <w:r w:rsidRPr="00521A15">
              <w:rPr>
                <w:szCs w:val="18"/>
                <w:u w:val="single"/>
              </w:rPr>
              <w:t>Comments by ESA</w:t>
            </w:r>
          </w:p>
          <w:p w:rsidR="00B269A7" w:rsidRPr="00521A15" w:rsidRDefault="00B269A7" w:rsidP="00CC6032">
            <w:pPr>
              <w:rPr>
                <w:szCs w:val="18"/>
              </w:rPr>
            </w:pPr>
          </w:p>
          <w:p w:rsidR="00723994" w:rsidRPr="00723994" w:rsidRDefault="00723994" w:rsidP="00723994">
            <w:pPr>
              <w:rPr>
                <w:szCs w:val="18"/>
              </w:rPr>
            </w:pPr>
            <w:r w:rsidRPr="00723994">
              <w:rPr>
                <w:szCs w:val="18"/>
              </w:rPr>
              <w:t>What exactly is meant by New Breeding Techniques? This term covers a lot of different techniques and NBT is not identical to genome editing and genome editing is not identical to targeted mutagenesis .... Why is there a need in the PVP system to have specific markers for detection of edited sites? There is scientific consensus that genetic identification of a genetic change as such is possible, but there is no way to distinguish e.g. a natural mutation from one that was introduced by genome editing. This means a genetic identification method will detect a genetic change, but not a method with which the change was introduced....</w:t>
            </w:r>
          </w:p>
          <w:p w:rsidR="00B269A7" w:rsidRPr="00EF1F39" w:rsidRDefault="00B269A7" w:rsidP="00CC6032">
            <w:pPr>
              <w:rPr>
                <w:sz w:val="18"/>
                <w:szCs w:val="18"/>
              </w:rPr>
            </w:pPr>
          </w:p>
        </w:tc>
      </w:tr>
    </w:tbl>
    <w:p w:rsidR="00B269A7" w:rsidRDefault="00B269A7" w:rsidP="00D36CFD"/>
    <w:p w:rsidR="00723994" w:rsidRDefault="00723994" w:rsidP="00D36CFD"/>
    <w:p w:rsidR="00723994" w:rsidRDefault="00723994" w:rsidP="00D36CFD"/>
    <w:p w:rsidR="000717FC" w:rsidRDefault="000717FC">
      <w:pPr>
        <w:jc w:val="left"/>
      </w:pPr>
      <w:r>
        <w:br w:type="page"/>
      </w:r>
    </w:p>
    <w:p w:rsidR="00B44ABD" w:rsidRPr="000717FC" w:rsidRDefault="00B44ABD" w:rsidP="00B44ABD">
      <w:pPr>
        <w:ind w:left="567" w:right="567" w:hanging="567"/>
      </w:pPr>
    </w:p>
    <w:p w:rsidR="00B44ABD" w:rsidRPr="000279A4" w:rsidRDefault="00B44ABD" w:rsidP="00B44ABD">
      <w:pPr>
        <w:ind w:left="567" w:right="567"/>
        <w:rPr>
          <w:sz w:val="18"/>
        </w:rPr>
      </w:pPr>
      <w:r w:rsidRPr="000279A4">
        <w:rPr>
          <w:sz w:val="18"/>
        </w:rPr>
        <w:t>[…]</w:t>
      </w:r>
    </w:p>
    <w:p w:rsidR="00B44ABD" w:rsidRDefault="00B44ABD" w:rsidP="00B44ABD">
      <w:pPr>
        <w:ind w:left="567" w:right="567"/>
        <w:rPr>
          <w:sz w:val="18"/>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29"/>
      </w:tblGrid>
      <w:tr w:rsidR="00B06E72" w:rsidRPr="00B06E72" w:rsidTr="008869D3">
        <w:trPr>
          <w:cantSplit/>
        </w:trPr>
        <w:tc>
          <w:tcPr>
            <w:tcW w:w="9629" w:type="dxa"/>
            <w:shd w:val="clear" w:color="auto" w:fill="D9D9D9" w:themeFill="background1" w:themeFillShade="D9"/>
          </w:tcPr>
          <w:p w:rsidR="00B06E72" w:rsidRPr="00B06E72" w:rsidRDefault="00B06E72" w:rsidP="00B06E72">
            <w:pPr>
              <w:rPr>
                <w:sz w:val="18"/>
                <w:szCs w:val="18"/>
                <w:u w:val="single"/>
              </w:rPr>
            </w:pPr>
          </w:p>
          <w:p w:rsidR="00B06E72" w:rsidRPr="00B06E72" w:rsidRDefault="00B06E72" w:rsidP="00B06E72">
            <w:pPr>
              <w:rPr>
                <w:sz w:val="18"/>
                <w:szCs w:val="18"/>
                <w:vertAlign w:val="superscript"/>
              </w:rPr>
            </w:pPr>
            <w:r w:rsidRPr="00B06E72">
              <w:rPr>
                <w:sz w:val="18"/>
                <w:szCs w:val="18"/>
                <w:u w:val="single"/>
              </w:rPr>
              <w:t>Joint comments from the European Union, France and the Netherlands</w:t>
            </w:r>
            <w:r w:rsidRPr="00B06E72">
              <w:rPr>
                <w:sz w:val="18"/>
                <w:szCs w:val="18"/>
                <w:vertAlign w:val="superscript"/>
              </w:rPr>
              <w:t xml:space="preserve"> ii</w:t>
            </w:r>
          </w:p>
          <w:p w:rsidR="00B06E72" w:rsidRPr="00B06E72" w:rsidRDefault="00B06E72" w:rsidP="00B06E72">
            <w:pPr>
              <w:rPr>
                <w:sz w:val="18"/>
                <w:szCs w:val="18"/>
                <w:lang w:eastAsia="nl-NL"/>
              </w:rPr>
            </w:pPr>
          </w:p>
          <w:p w:rsidR="00B06E72" w:rsidRPr="00B06E72" w:rsidRDefault="00B06E72" w:rsidP="00B06E72">
            <w:pPr>
              <w:rPr>
                <w:sz w:val="18"/>
                <w:szCs w:val="18"/>
                <w:lang w:val="en-GB" w:eastAsia="nl-NL"/>
              </w:rPr>
            </w:pPr>
            <w:r w:rsidRPr="00B06E72">
              <w:rPr>
                <w:sz w:val="18"/>
                <w:szCs w:val="18"/>
                <w:lang w:val="en-GB" w:eastAsia="nl-NL"/>
              </w:rPr>
              <w:t>To add a new section 2.1 “Genotyping methods - general criteria” with the following subsections 2.1.1 and 2.1.2:</w:t>
            </w:r>
          </w:p>
          <w:p w:rsidR="00B06E72" w:rsidRPr="00B06E72" w:rsidRDefault="00B06E72" w:rsidP="00B06E72">
            <w:pPr>
              <w:rPr>
                <w:sz w:val="18"/>
                <w:szCs w:val="18"/>
                <w:lang w:val="en-GB" w:eastAsia="nl-NL"/>
              </w:rPr>
            </w:pPr>
          </w:p>
          <w:p w:rsidR="00B06E72" w:rsidRPr="00B06E72" w:rsidRDefault="00B06E72" w:rsidP="00B06E72">
            <w:pPr>
              <w:rPr>
                <w:sz w:val="18"/>
                <w:szCs w:val="18"/>
                <w:shd w:val="pct15" w:color="auto" w:fill="FFFFFF"/>
                <w:lang w:val="en-GB" w:eastAsia="nl-NL"/>
              </w:rPr>
            </w:pPr>
            <w:r w:rsidRPr="00B06E72">
              <w:rPr>
                <w:sz w:val="18"/>
                <w:szCs w:val="18"/>
                <w:shd w:val="pct15" w:color="auto" w:fill="FFFFFF"/>
                <w:lang w:val="en-GB" w:eastAsia="nl-NL"/>
              </w:rPr>
              <w:t xml:space="preserve">2.1.1   Important criteria for choosing a genotyping methods that generate high quality molecular data are: </w:t>
            </w:r>
          </w:p>
          <w:p w:rsidR="00B06E72" w:rsidRPr="00B06E72" w:rsidRDefault="00B06E72" w:rsidP="00B06E72">
            <w:pPr>
              <w:rPr>
                <w:sz w:val="18"/>
                <w:szCs w:val="18"/>
                <w:shd w:val="pct15" w:color="auto" w:fill="FFFFFF"/>
                <w:lang w:val="en-GB" w:eastAsia="nl-NL"/>
              </w:rPr>
            </w:pPr>
          </w:p>
          <w:p w:rsidR="00B06E72" w:rsidRPr="00B06E72" w:rsidRDefault="00B06E72" w:rsidP="00B06E72">
            <w:pPr>
              <w:numPr>
                <w:ilvl w:val="0"/>
                <w:numId w:val="18"/>
              </w:numPr>
              <w:ind w:left="1134"/>
              <w:contextualSpacing/>
              <w:rPr>
                <w:rFonts w:eastAsiaTheme="minorEastAsia"/>
                <w:sz w:val="18"/>
                <w:szCs w:val="18"/>
                <w:shd w:val="pct15" w:color="auto" w:fill="FFFFFF"/>
                <w:lang w:val="en-GB" w:eastAsia="nl-NL"/>
              </w:rPr>
            </w:pPr>
            <w:r w:rsidRPr="00B06E72">
              <w:rPr>
                <w:rFonts w:eastAsiaTheme="minorEastAsia"/>
                <w:sz w:val="18"/>
                <w:szCs w:val="18"/>
                <w:shd w:val="pct15" w:color="auto" w:fill="FFFFFF"/>
                <w:lang w:val="en-GB" w:eastAsia="nl-NL"/>
              </w:rPr>
              <w:t>Mandatory criteria:</w:t>
            </w:r>
          </w:p>
          <w:p w:rsidR="00B06E72" w:rsidRPr="00B06E72" w:rsidRDefault="00B06E72" w:rsidP="00B06E72">
            <w:pPr>
              <w:ind w:left="1134" w:hanging="729"/>
              <w:rPr>
                <w:sz w:val="18"/>
                <w:szCs w:val="18"/>
                <w:shd w:val="pct15" w:color="auto" w:fill="FFFFFF"/>
                <w:lang w:val="en-GB" w:eastAsia="nl-NL"/>
              </w:rPr>
            </w:pPr>
            <w:r w:rsidRPr="00B06E72">
              <w:rPr>
                <w:sz w:val="18"/>
                <w:szCs w:val="18"/>
                <w:shd w:val="pct15" w:color="auto" w:fill="FFFFFF"/>
                <w:lang w:val="en-GB" w:eastAsia="nl-NL"/>
              </w:rPr>
              <w:t>(a)</w:t>
            </w:r>
            <w:r w:rsidRPr="00B06E72">
              <w:rPr>
                <w:sz w:val="18"/>
                <w:szCs w:val="18"/>
                <w:shd w:val="pct15" w:color="auto" w:fill="FFFFFF"/>
                <w:lang w:val="en-GB" w:eastAsia="nl-NL"/>
              </w:rPr>
              <w:tab/>
              <w:t xml:space="preserve">Reproducibility of data production within and between laboratories and detection platforms (different types of equipment).  </w:t>
            </w:r>
          </w:p>
          <w:p w:rsidR="00B06E72" w:rsidRPr="00B06E72" w:rsidRDefault="00B06E72" w:rsidP="00B06E72">
            <w:pPr>
              <w:ind w:firstLine="405"/>
              <w:rPr>
                <w:sz w:val="18"/>
                <w:szCs w:val="18"/>
                <w:shd w:val="pct15" w:color="auto" w:fill="FFFFFF"/>
                <w:lang w:val="en-GB" w:eastAsia="nl-NL"/>
              </w:rPr>
            </w:pPr>
            <w:r w:rsidRPr="00B06E72">
              <w:rPr>
                <w:sz w:val="18"/>
                <w:szCs w:val="18"/>
                <w:shd w:val="pct15" w:color="auto" w:fill="FFFFFF"/>
                <w:lang w:val="en-GB" w:eastAsia="nl-NL"/>
              </w:rPr>
              <w:t>(b)</w:t>
            </w:r>
            <w:r w:rsidRPr="00B06E72">
              <w:rPr>
                <w:sz w:val="18"/>
                <w:szCs w:val="18"/>
                <w:shd w:val="pct15" w:color="auto" w:fill="FFFFFF"/>
                <w:lang w:val="en-GB" w:eastAsia="nl-NL"/>
              </w:rPr>
              <w:tab/>
              <w:t xml:space="preserve">Repeatability over time </w:t>
            </w:r>
          </w:p>
          <w:p w:rsidR="00B06E72" w:rsidRPr="00B06E72" w:rsidRDefault="00B06E72" w:rsidP="00B06E72">
            <w:pPr>
              <w:ind w:firstLine="405"/>
              <w:rPr>
                <w:sz w:val="18"/>
                <w:szCs w:val="18"/>
                <w:shd w:val="pct15" w:color="auto" w:fill="FFFFFF"/>
                <w:lang w:val="en-GB" w:eastAsia="nl-NL"/>
              </w:rPr>
            </w:pPr>
            <w:r w:rsidRPr="00B06E72">
              <w:rPr>
                <w:sz w:val="18"/>
                <w:szCs w:val="18"/>
                <w:shd w:val="pct15" w:color="auto" w:fill="FFFFFF"/>
                <w:lang w:val="en-GB" w:eastAsia="nl-NL"/>
              </w:rPr>
              <w:t>(c)</w:t>
            </w:r>
            <w:r w:rsidRPr="00B06E72">
              <w:rPr>
                <w:sz w:val="18"/>
                <w:szCs w:val="18"/>
                <w:shd w:val="pct15" w:color="auto" w:fill="FFFFFF"/>
                <w:lang w:val="en-GB" w:eastAsia="nl-NL"/>
              </w:rPr>
              <w:tab/>
              <w:t xml:space="preserve">Discrimination power of the method </w:t>
            </w:r>
          </w:p>
          <w:p w:rsidR="00B06E72" w:rsidRPr="00B06E72" w:rsidRDefault="00B06E72" w:rsidP="00B06E72">
            <w:pPr>
              <w:ind w:firstLine="405"/>
              <w:rPr>
                <w:sz w:val="18"/>
                <w:szCs w:val="18"/>
                <w:shd w:val="pct15" w:color="auto" w:fill="FFFFFF"/>
                <w:lang w:val="en-GB" w:eastAsia="nl-NL"/>
              </w:rPr>
            </w:pPr>
            <w:r w:rsidRPr="00B06E72">
              <w:rPr>
                <w:sz w:val="18"/>
                <w:szCs w:val="18"/>
                <w:shd w:val="pct15" w:color="auto" w:fill="FFFFFF"/>
                <w:lang w:val="en-GB" w:eastAsia="nl-NL"/>
              </w:rPr>
              <w:t>(d)</w:t>
            </w:r>
            <w:r w:rsidRPr="00B06E72">
              <w:rPr>
                <w:sz w:val="18"/>
                <w:szCs w:val="18"/>
                <w:shd w:val="pct15" w:color="auto" w:fill="FFFFFF"/>
                <w:lang w:val="en-GB" w:eastAsia="nl-NL"/>
              </w:rPr>
              <w:tab/>
              <w:t>Interpretation of the data produced is independent of the equipment</w:t>
            </w:r>
          </w:p>
          <w:p w:rsidR="00B06E72" w:rsidRPr="00B06E72" w:rsidRDefault="00B06E72" w:rsidP="00B06E72">
            <w:pPr>
              <w:rPr>
                <w:sz w:val="18"/>
                <w:szCs w:val="18"/>
                <w:shd w:val="pct15" w:color="auto" w:fill="FFFFFF"/>
                <w:lang w:val="en-GB" w:eastAsia="nl-NL"/>
              </w:rPr>
            </w:pPr>
          </w:p>
          <w:p w:rsidR="00B06E72" w:rsidRPr="00B06E72" w:rsidRDefault="00B06E72" w:rsidP="00B06E72">
            <w:pPr>
              <w:numPr>
                <w:ilvl w:val="0"/>
                <w:numId w:val="18"/>
              </w:numPr>
              <w:ind w:left="1134"/>
              <w:contextualSpacing/>
              <w:rPr>
                <w:rFonts w:eastAsiaTheme="minorEastAsia"/>
                <w:sz w:val="18"/>
                <w:szCs w:val="18"/>
                <w:shd w:val="pct15" w:color="auto" w:fill="FFFFFF"/>
                <w:lang w:val="en-GB" w:eastAsia="nl-NL"/>
              </w:rPr>
            </w:pPr>
            <w:r w:rsidRPr="00B06E72">
              <w:rPr>
                <w:rFonts w:eastAsiaTheme="minorEastAsia"/>
                <w:sz w:val="18"/>
                <w:szCs w:val="18"/>
                <w:shd w:val="pct15" w:color="auto" w:fill="FFFFFF"/>
                <w:lang w:val="en-GB" w:eastAsia="nl-NL"/>
              </w:rPr>
              <w:t>Optional criteria</w:t>
            </w:r>
          </w:p>
          <w:p w:rsidR="00B06E72" w:rsidRPr="00B06E72" w:rsidRDefault="00B06E72" w:rsidP="00B06E72">
            <w:pPr>
              <w:ind w:firstLine="426"/>
              <w:rPr>
                <w:sz w:val="18"/>
                <w:szCs w:val="18"/>
                <w:highlight w:val="yellow"/>
                <w:shd w:val="pct15" w:color="auto" w:fill="FFFFFF"/>
                <w:lang w:val="en-GB" w:eastAsia="nl-NL"/>
              </w:rPr>
            </w:pPr>
            <w:r w:rsidRPr="00B06E72">
              <w:rPr>
                <w:sz w:val="18"/>
                <w:szCs w:val="18"/>
                <w:highlight w:val="yellow"/>
                <w:shd w:val="pct15" w:color="auto" w:fill="FFFFFF"/>
                <w:lang w:val="en-GB" w:eastAsia="nl-NL"/>
              </w:rPr>
              <w:t>(a)</w:t>
            </w:r>
            <w:r w:rsidRPr="00B06E72">
              <w:rPr>
                <w:sz w:val="18"/>
                <w:szCs w:val="18"/>
                <w:highlight w:val="yellow"/>
                <w:shd w:val="pct15" w:color="auto" w:fill="FFFFFF"/>
                <w:lang w:val="en-GB" w:eastAsia="nl-NL"/>
              </w:rPr>
              <w:tab/>
              <w:t xml:space="preserve">Possibilities for </w:t>
            </w:r>
            <w:proofErr w:type="spellStart"/>
            <w:r w:rsidRPr="00B06E72">
              <w:rPr>
                <w:sz w:val="18"/>
                <w:szCs w:val="18"/>
                <w:highlight w:val="yellow"/>
                <w:shd w:val="pct15" w:color="auto" w:fill="FFFFFF"/>
                <w:lang w:val="en-GB" w:eastAsia="nl-NL"/>
              </w:rPr>
              <w:t>databasing</w:t>
            </w:r>
            <w:proofErr w:type="spellEnd"/>
          </w:p>
          <w:p w:rsidR="00B06E72" w:rsidRPr="00B06E72" w:rsidRDefault="00B06E72" w:rsidP="00B06E72">
            <w:pPr>
              <w:ind w:firstLine="426"/>
              <w:rPr>
                <w:sz w:val="18"/>
                <w:szCs w:val="18"/>
                <w:shd w:val="pct15" w:color="auto" w:fill="FFFFFF"/>
                <w:lang w:val="en-GB" w:eastAsia="nl-NL"/>
              </w:rPr>
            </w:pPr>
            <w:r w:rsidRPr="00B06E72">
              <w:rPr>
                <w:sz w:val="18"/>
                <w:szCs w:val="18"/>
                <w:highlight w:val="yellow"/>
                <w:shd w:val="pct15" w:color="auto" w:fill="FFFFFF"/>
                <w:lang w:val="en-GB" w:eastAsia="nl-NL"/>
              </w:rPr>
              <w:t>(b)</w:t>
            </w:r>
            <w:r w:rsidRPr="00B06E72">
              <w:rPr>
                <w:sz w:val="18"/>
                <w:szCs w:val="18"/>
                <w:highlight w:val="yellow"/>
                <w:shd w:val="pct15" w:color="auto" w:fill="FFFFFF"/>
                <w:lang w:val="en-GB" w:eastAsia="nl-NL"/>
              </w:rPr>
              <w:tab/>
              <w:t>Accessibility of methodology</w:t>
            </w:r>
          </w:p>
          <w:p w:rsidR="00B06E72" w:rsidRPr="00B06E72" w:rsidRDefault="00B06E72" w:rsidP="00B06E72">
            <w:pPr>
              <w:ind w:firstLine="426"/>
              <w:rPr>
                <w:sz w:val="18"/>
                <w:szCs w:val="18"/>
                <w:shd w:val="pct15" w:color="auto" w:fill="FFFFFF"/>
                <w:lang w:val="en-GB" w:eastAsia="nl-NL"/>
              </w:rPr>
            </w:pPr>
            <w:r w:rsidRPr="00B06E72">
              <w:rPr>
                <w:sz w:val="18"/>
                <w:szCs w:val="18"/>
                <w:shd w:val="pct15" w:color="auto" w:fill="FFFFFF"/>
                <w:lang w:val="en-GB" w:eastAsia="nl-NL"/>
              </w:rPr>
              <w:t>(c)</w:t>
            </w:r>
            <w:r w:rsidRPr="00B06E72">
              <w:rPr>
                <w:sz w:val="18"/>
                <w:szCs w:val="18"/>
                <w:shd w:val="pct15" w:color="auto" w:fill="FFFFFF"/>
                <w:lang w:val="en-GB" w:eastAsia="nl-NL"/>
              </w:rPr>
              <w:tab/>
              <w:t>Suitable for automation</w:t>
            </w:r>
          </w:p>
          <w:p w:rsidR="00B06E72" w:rsidRPr="00B06E72" w:rsidRDefault="00B06E72" w:rsidP="00B06E72">
            <w:pPr>
              <w:ind w:firstLine="426"/>
              <w:rPr>
                <w:sz w:val="18"/>
                <w:szCs w:val="18"/>
                <w:shd w:val="pct15" w:color="auto" w:fill="FFFFFF"/>
                <w:lang w:val="en-GB" w:eastAsia="nl-NL"/>
              </w:rPr>
            </w:pPr>
            <w:r w:rsidRPr="00B06E72">
              <w:rPr>
                <w:sz w:val="18"/>
                <w:szCs w:val="18"/>
                <w:shd w:val="pct15" w:color="auto" w:fill="FFFFFF"/>
                <w:lang w:val="en-GB" w:eastAsia="nl-NL"/>
              </w:rPr>
              <w:t>(d)</w:t>
            </w:r>
            <w:r w:rsidRPr="00B06E72">
              <w:rPr>
                <w:sz w:val="18"/>
                <w:szCs w:val="18"/>
                <w:shd w:val="pct15" w:color="auto" w:fill="FFFFFF"/>
                <w:lang w:val="en-GB" w:eastAsia="nl-NL"/>
              </w:rPr>
              <w:tab/>
              <w:t>Suitable for multiplexing</w:t>
            </w:r>
          </w:p>
          <w:p w:rsidR="00B06E72" w:rsidRPr="00B06E72" w:rsidRDefault="00B06E72" w:rsidP="00B06E72">
            <w:pPr>
              <w:ind w:firstLine="426"/>
              <w:rPr>
                <w:sz w:val="18"/>
                <w:szCs w:val="18"/>
                <w:shd w:val="pct15" w:color="auto" w:fill="FFFFFF"/>
                <w:lang w:val="en-GB" w:eastAsia="nl-NL"/>
              </w:rPr>
            </w:pPr>
            <w:r w:rsidRPr="00B06E72">
              <w:rPr>
                <w:sz w:val="18"/>
                <w:szCs w:val="18"/>
                <w:highlight w:val="yellow"/>
                <w:shd w:val="pct15" w:color="auto" w:fill="FFFFFF"/>
                <w:lang w:val="en-GB" w:eastAsia="nl-NL"/>
              </w:rPr>
              <w:t>(e)</w:t>
            </w:r>
            <w:r w:rsidRPr="00B06E72">
              <w:rPr>
                <w:sz w:val="18"/>
                <w:szCs w:val="18"/>
                <w:highlight w:val="yellow"/>
                <w:shd w:val="pct15" w:color="auto" w:fill="FFFFFF"/>
                <w:lang w:val="en-GB" w:eastAsia="nl-NL"/>
              </w:rPr>
              <w:tab/>
              <w:t>Applicable for both diploid species and polyploidy species</w:t>
            </w:r>
          </w:p>
          <w:p w:rsidR="00B06E72" w:rsidRPr="00B06E72" w:rsidRDefault="00B06E72" w:rsidP="00B06E72">
            <w:pPr>
              <w:ind w:firstLine="426"/>
              <w:rPr>
                <w:sz w:val="18"/>
                <w:szCs w:val="18"/>
                <w:shd w:val="pct15" w:color="auto" w:fill="FFFFFF"/>
                <w:lang w:val="en-GB" w:eastAsia="nl-NL"/>
              </w:rPr>
            </w:pPr>
            <w:r w:rsidRPr="00B06E72">
              <w:rPr>
                <w:sz w:val="18"/>
                <w:szCs w:val="18"/>
                <w:shd w:val="pct15" w:color="auto" w:fill="FFFFFF"/>
                <w:lang w:val="en-GB" w:eastAsia="nl-NL"/>
              </w:rPr>
              <w:t>(f)</w:t>
            </w:r>
            <w:r w:rsidRPr="00B06E72">
              <w:rPr>
                <w:sz w:val="18"/>
                <w:szCs w:val="18"/>
                <w:shd w:val="pct15" w:color="auto" w:fill="FFFFFF"/>
                <w:lang w:val="en-GB" w:eastAsia="nl-NL"/>
              </w:rPr>
              <w:tab/>
              <w:t>Cost effective; costs, number of samples and number of markers are in balance.</w:t>
            </w:r>
          </w:p>
          <w:p w:rsidR="00B06E72" w:rsidRPr="00B06E72" w:rsidRDefault="00B06E72" w:rsidP="00B06E72">
            <w:pPr>
              <w:rPr>
                <w:sz w:val="18"/>
                <w:szCs w:val="18"/>
                <w:lang w:val="en-GB" w:eastAsia="nl-NL"/>
              </w:rPr>
            </w:pPr>
          </w:p>
          <w:p w:rsidR="00B06E72" w:rsidRPr="00B06E72" w:rsidRDefault="00B06E72" w:rsidP="00B06E72">
            <w:pPr>
              <w:rPr>
                <w:sz w:val="18"/>
                <w:szCs w:val="18"/>
                <w:lang w:val="en-GB"/>
              </w:rPr>
            </w:pPr>
            <w:r w:rsidRPr="00B06E72">
              <w:rPr>
                <w:sz w:val="18"/>
                <w:szCs w:val="18"/>
                <w:shd w:val="pct15" w:color="auto" w:fill="FFFFFF"/>
                <w:lang w:val="en-GB" w:eastAsia="nl-NL"/>
              </w:rPr>
              <w:t xml:space="preserve">2.1.2   </w:t>
            </w:r>
            <w:r w:rsidRPr="00B06E72">
              <w:rPr>
                <w:bCs/>
                <w:sz w:val="18"/>
                <w:szCs w:val="18"/>
                <w:shd w:val="pct15" w:color="auto" w:fill="FFFFFF"/>
                <w:lang w:val="en-GB" w:eastAsia="nl-NL"/>
              </w:rPr>
              <w:t>As improvements in technology and new equipment become available, it is important for the continued sustainability of databases that the interpretation of the data produced is independent of the technology and equipment used to produce them.  This repeatability and reproducibility is important in the construction, operation and longevity of databases and is very important in generating a centrally maintained database, populated with verified data from a range of sources.</w:t>
            </w:r>
            <w:r w:rsidRPr="00B06E72">
              <w:rPr>
                <w:sz w:val="18"/>
                <w:szCs w:val="18"/>
                <w:shd w:val="pct15" w:color="auto" w:fill="FFFFFF"/>
                <w:lang w:val="en-GB" w:eastAsia="nl-NL"/>
              </w:rPr>
              <w:t xml:space="preserve"> </w:t>
            </w:r>
          </w:p>
        </w:tc>
      </w:tr>
    </w:tbl>
    <w:p w:rsidR="00D36CFD" w:rsidRPr="00B44ABD" w:rsidRDefault="00D36CFD" w:rsidP="00B44ABD">
      <w:pPr>
        <w:ind w:left="567" w:right="567"/>
        <w:rPr>
          <w:snapToGrid w:val="0"/>
          <w:sz w:val="18"/>
        </w:rPr>
      </w:pPr>
    </w:p>
    <w:p w:rsidR="00B44ABD" w:rsidRPr="000279A4" w:rsidRDefault="00B44ABD" w:rsidP="00B44ABD">
      <w:pPr>
        <w:ind w:left="567" w:right="567"/>
        <w:rPr>
          <w:sz w:val="18"/>
        </w:rPr>
      </w:pPr>
      <w:r w:rsidRPr="000279A4">
        <w:rPr>
          <w:sz w:val="18"/>
        </w:rPr>
        <w:t>[…]</w:t>
      </w:r>
    </w:p>
    <w:p w:rsidR="00B44ABD" w:rsidRDefault="00B44ABD" w:rsidP="00B44ABD">
      <w:pPr>
        <w:ind w:left="567" w:right="567"/>
        <w:rPr>
          <w:sz w:val="18"/>
        </w:rPr>
      </w:pPr>
    </w:p>
    <w:tbl>
      <w:tblPr>
        <w:tblW w:w="0" w:type="auto"/>
        <w:tblBorders>
          <w:top w:val="single" w:sz="4" w:space="0" w:color="auto"/>
          <w:left w:val="single" w:sz="4" w:space="0" w:color="auto"/>
          <w:bottom w:val="single" w:sz="4" w:space="0" w:color="auto"/>
          <w:right w:val="single" w:sz="4" w:space="0" w:color="auto"/>
        </w:tblBorders>
        <w:shd w:val="clear" w:color="auto" w:fill="FDE9D9" w:themeFill="accent6" w:themeFillTint="33"/>
        <w:tblLook w:val="04A0" w:firstRow="1" w:lastRow="0" w:firstColumn="1" w:lastColumn="0" w:noHBand="0" w:noVBand="1"/>
      </w:tblPr>
      <w:tblGrid>
        <w:gridCol w:w="9629"/>
      </w:tblGrid>
      <w:tr w:rsidR="001C5902" w:rsidRPr="0047703B" w:rsidTr="005720B1">
        <w:trPr>
          <w:cantSplit/>
        </w:trPr>
        <w:tc>
          <w:tcPr>
            <w:tcW w:w="9855" w:type="dxa"/>
            <w:shd w:val="clear" w:color="auto" w:fill="FDE9D9" w:themeFill="accent6" w:themeFillTint="33"/>
          </w:tcPr>
          <w:p w:rsidR="001C5902" w:rsidRPr="00521A15" w:rsidRDefault="001C5902" w:rsidP="00CC6032">
            <w:pPr>
              <w:rPr>
                <w:szCs w:val="18"/>
              </w:rPr>
            </w:pPr>
          </w:p>
          <w:p w:rsidR="001C5902" w:rsidRPr="00521A15" w:rsidRDefault="001C5902" w:rsidP="00CC6032">
            <w:pPr>
              <w:rPr>
                <w:szCs w:val="18"/>
                <w:lang w:eastAsia="ja-JP"/>
              </w:rPr>
            </w:pPr>
            <w:r w:rsidRPr="00521A15">
              <w:rPr>
                <w:szCs w:val="18"/>
                <w:u w:val="single"/>
              </w:rPr>
              <w:t>Comments by ESA</w:t>
            </w:r>
          </w:p>
          <w:p w:rsidR="001C5902" w:rsidRPr="00521A15" w:rsidRDefault="001C5902" w:rsidP="00CC6032">
            <w:pPr>
              <w:rPr>
                <w:szCs w:val="18"/>
              </w:rPr>
            </w:pPr>
          </w:p>
          <w:p w:rsidR="001C5902" w:rsidRPr="00B06E72" w:rsidRDefault="00B06E72" w:rsidP="00B06E72">
            <w:pPr>
              <w:pStyle w:val="ListParagraph"/>
              <w:numPr>
                <w:ilvl w:val="0"/>
                <w:numId w:val="26"/>
              </w:numPr>
              <w:rPr>
                <w:szCs w:val="18"/>
              </w:rPr>
            </w:pPr>
            <w:r w:rsidRPr="00B06E72">
              <w:rPr>
                <w:szCs w:val="18"/>
              </w:rPr>
              <w:t>and (b):</w:t>
            </w:r>
          </w:p>
          <w:p w:rsidR="00B06E72" w:rsidRDefault="00B06E72" w:rsidP="00B06E72">
            <w:pPr>
              <w:rPr>
                <w:szCs w:val="18"/>
              </w:rPr>
            </w:pPr>
          </w:p>
          <w:p w:rsidR="00B06E72" w:rsidRPr="00B06E72" w:rsidRDefault="00B06E72" w:rsidP="00B06E72">
            <w:pPr>
              <w:rPr>
                <w:szCs w:val="18"/>
              </w:rPr>
            </w:pPr>
            <w:r w:rsidRPr="00B06E72">
              <w:rPr>
                <w:szCs w:val="18"/>
              </w:rPr>
              <w:t>we would suggest to make this mandatory</w:t>
            </w:r>
          </w:p>
          <w:p w:rsidR="001C5902" w:rsidRDefault="001C5902" w:rsidP="00CC6032">
            <w:pPr>
              <w:rPr>
                <w:szCs w:val="18"/>
              </w:rPr>
            </w:pPr>
          </w:p>
          <w:p w:rsidR="00B06E72" w:rsidRDefault="00B06E72" w:rsidP="00CC6032">
            <w:pPr>
              <w:rPr>
                <w:szCs w:val="18"/>
              </w:rPr>
            </w:pPr>
            <w:r>
              <w:rPr>
                <w:szCs w:val="18"/>
              </w:rPr>
              <w:t>(e):</w:t>
            </w:r>
          </w:p>
          <w:p w:rsidR="00B06E72" w:rsidRDefault="00B06E72" w:rsidP="00CC6032">
            <w:pPr>
              <w:rPr>
                <w:szCs w:val="18"/>
              </w:rPr>
            </w:pPr>
          </w:p>
          <w:p w:rsidR="00B06E72" w:rsidRDefault="00B06E72" w:rsidP="00CC6032">
            <w:pPr>
              <w:rPr>
                <w:szCs w:val="18"/>
              </w:rPr>
            </w:pPr>
            <w:r>
              <w:rPr>
                <w:rFonts w:ascii="Segoe UI" w:hAnsi="Segoe UI" w:cs="Segoe UI"/>
                <w:color w:val="000000"/>
              </w:rPr>
              <w:t>Why?</w:t>
            </w:r>
          </w:p>
          <w:p w:rsidR="001C5902" w:rsidRPr="00EF1F39" w:rsidRDefault="001C5902" w:rsidP="00B06E72">
            <w:pPr>
              <w:rPr>
                <w:sz w:val="18"/>
                <w:szCs w:val="18"/>
              </w:rPr>
            </w:pPr>
          </w:p>
        </w:tc>
      </w:tr>
    </w:tbl>
    <w:p w:rsidR="001C5902" w:rsidRDefault="001C5902" w:rsidP="00E11B99"/>
    <w:p w:rsidR="00F9162A" w:rsidRDefault="00F9162A">
      <w:pPr>
        <w:jc w:val="left"/>
      </w:pPr>
      <w:r>
        <w:br w:type="page"/>
      </w:r>
    </w:p>
    <w:p w:rsidR="00F9162A" w:rsidRDefault="00F9162A" w:rsidP="00E11B99"/>
    <w:p w:rsidR="00E37F4E" w:rsidRPr="000279A4" w:rsidRDefault="00F9162A" w:rsidP="00E37F4E">
      <w:pPr>
        <w:ind w:left="567" w:right="567"/>
        <w:rPr>
          <w:sz w:val="18"/>
        </w:rPr>
      </w:pPr>
      <w:r w:rsidRPr="000279A4">
        <w:rPr>
          <w:sz w:val="18"/>
        </w:rPr>
        <w:t xml:space="preserve"> </w:t>
      </w:r>
      <w:r w:rsidR="00E37F4E" w:rsidRPr="000279A4">
        <w:rPr>
          <w:sz w:val="18"/>
        </w:rPr>
        <w:t>[…]</w:t>
      </w:r>
    </w:p>
    <w:p w:rsidR="00E37F4E" w:rsidRDefault="00E37F4E" w:rsidP="00E37F4E">
      <w:pPr>
        <w:ind w:left="567" w:right="567"/>
        <w:rPr>
          <w:sz w:val="18"/>
        </w:rPr>
      </w:pPr>
    </w:p>
    <w:p w:rsidR="007256B2" w:rsidRDefault="007256B2" w:rsidP="00E11B99"/>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29"/>
      </w:tblGrid>
      <w:tr w:rsidR="00E37F4E" w:rsidRPr="0047703B" w:rsidTr="00E37F4E">
        <w:trPr>
          <w:cantSplit/>
        </w:trPr>
        <w:tc>
          <w:tcPr>
            <w:tcW w:w="9629" w:type="dxa"/>
            <w:shd w:val="clear" w:color="auto" w:fill="D9D9D9" w:themeFill="background1" w:themeFillShade="D9"/>
          </w:tcPr>
          <w:p w:rsidR="00E37F4E" w:rsidRDefault="00E37F4E" w:rsidP="0029509A">
            <w:pPr>
              <w:rPr>
                <w:sz w:val="18"/>
                <w:szCs w:val="18"/>
                <w:u w:val="single"/>
              </w:rPr>
            </w:pPr>
          </w:p>
          <w:p w:rsidR="00E37F4E" w:rsidRDefault="00E37F4E" w:rsidP="0029509A">
            <w:pPr>
              <w:rPr>
                <w:sz w:val="18"/>
                <w:szCs w:val="18"/>
                <w:vertAlign w:val="superscript"/>
              </w:rPr>
            </w:pPr>
            <w:r>
              <w:rPr>
                <w:sz w:val="18"/>
                <w:szCs w:val="18"/>
                <w:u w:val="single"/>
              </w:rPr>
              <w:t>J</w:t>
            </w:r>
            <w:r w:rsidRPr="0052055F">
              <w:rPr>
                <w:sz w:val="18"/>
                <w:szCs w:val="18"/>
                <w:u w:val="single"/>
              </w:rPr>
              <w:t>oint comments from the European Union, France and the Netherlands</w:t>
            </w:r>
            <w:r w:rsidRPr="00D65879">
              <w:rPr>
                <w:sz w:val="18"/>
                <w:szCs w:val="18"/>
                <w:vertAlign w:val="superscript"/>
              </w:rPr>
              <w:t xml:space="preserve"> </w:t>
            </w:r>
            <w:r>
              <w:rPr>
                <w:sz w:val="18"/>
                <w:szCs w:val="18"/>
                <w:vertAlign w:val="superscript"/>
              </w:rPr>
              <w:t>ii</w:t>
            </w:r>
          </w:p>
          <w:p w:rsidR="00E37F4E" w:rsidRPr="0037687A" w:rsidRDefault="00E37F4E" w:rsidP="0029509A">
            <w:pPr>
              <w:rPr>
                <w:sz w:val="18"/>
                <w:szCs w:val="18"/>
                <w:lang w:eastAsia="nl-NL"/>
              </w:rPr>
            </w:pPr>
          </w:p>
          <w:p w:rsidR="00E37F4E" w:rsidRDefault="00E37F4E" w:rsidP="0029509A">
            <w:pPr>
              <w:rPr>
                <w:sz w:val="18"/>
                <w:szCs w:val="18"/>
                <w:lang w:val="en-GB" w:eastAsia="nl-NL"/>
              </w:rPr>
            </w:pPr>
            <w:r>
              <w:rPr>
                <w:sz w:val="18"/>
                <w:szCs w:val="18"/>
                <w:lang w:val="en-GB" w:eastAsia="nl-NL"/>
              </w:rPr>
              <w:t>To add a new section 2.2 “</w:t>
            </w:r>
            <w:r w:rsidRPr="00871C10">
              <w:rPr>
                <w:sz w:val="18"/>
                <w:szCs w:val="18"/>
                <w:lang w:val="en-GB" w:eastAsia="nl-NL"/>
              </w:rPr>
              <w:t>Recommendations for the choice of the method</w:t>
            </w:r>
            <w:r>
              <w:rPr>
                <w:sz w:val="18"/>
                <w:szCs w:val="18"/>
                <w:lang w:val="en-GB" w:eastAsia="nl-NL"/>
              </w:rPr>
              <w:t>” with the following texts:</w:t>
            </w:r>
          </w:p>
          <w:p w:rsidR="00E37F4E" w:rsidRDefault="00E37F4E" w:rsidP="0029509A">
            <w:pPr>
              <w:rPr>
                <w:sz w:val="18"/>
                <w:szCs w:val="18"/>
                <w:lang w:val="en-GB" w:eastAsia="nl-NL"/>
              </w:rPr>
            </w:pPr>
          </w:p>
          <w:p w:rsidR="00E37F4E" w:rsidRPr="00F90E3B" w:rsidRDefault="00E37F4E" w:rsidP="0029509A">
            <w:pPr>
              <w:ind w:firstLine="426"/>
              <w:rPr>
                <w:sz w:val="18"/>
                <w:szCs w:val="18"/>
                <w:shd w:val="pct15" w:color="auto" w:fill="FFFFFF"/>
                <w:lang w:val="en-GB" w:eastAsia="nl-NL"/>
              </w:rPr>
            </w:pPr>
            <w:r>
              <w:rPr>
                <w:sz w:val="18"/>
                <w:szCs w:val="18"/>
                <w:shd w:val="pct15" w:color="auto" w:fill="FFFFFF"/>
                <w:lang w:val="en-GB" w:eastAsia="nl-NL"/>
              </w:rPr>
              <w:t>(</w:t>
            </w:r>
            <w:r w:rsidRPr="00F90E3B">
              <w:rPr>
                <w:sz w:val="18"/>
                <w:szCs w:val="18"/>
                <w:shd w:val="pct15" w:color="auto" w:fill="FFFFFF"/>
                <w:lang w:val="en-GB" w:eastAsia="nl-NL"/>
              </w:rPr>
              <w:t>a)</w:t>
            </w:r>
            <w:r w:rsidRPr="00F90E3B">
              <w:rPr>
                <w:sz w:val="18"/>
                <w:szCs w:val="18"/>
                <w:shd w:val="pct15" w:color="auto" w:fill="FFFFFF"/>
                <w:lang w:val="en-GB" w:eastAsia="nl-NL"/>
              </w:rPr>
              <w:tab/>
            </w:r>
            <w:r>
              <w:rPr>
                <w:sz w:val="18"/>
                <w:szCs w:val="18"/>
                <w:shd w:val="pct15" w:color="auto" w:fill="FFFFFF"/>
                <w:lang w:val="en-GB" w:eastAsia="nl-NL"/>
              </w:rPr>
              <w:t xml:space="preserve">Methods that are </w:t>
            </w:r>
            <w:r w:rsidRPr="00871C10">
              <w:rPr>
                <w:bCs/>
                <w:sz w:val="18"/>
                <w:szCs w:val="18"/>
                <w:lang w:val="en-GB" w:eastAsia="nl-NL"/>
              </w:rPr>
              <w:t>simple to perform (limited steps in the protocol) are preferred over methods with a complex protocol that are time and labour consuming.</w:t>
            </w:r>
          </w:p>
          <w:p w:rsidR="00E37F4E" w:rsidRPr="00F90E3B" w:rsidRDefault="00E37F4E" w:rsidP="0029509A">
            <w:pPr>
              <w:ind w:firstLine="426"/>
              <w:rPr>
                <w:sz w:val="18"/>
                <w:szCs w:val="18"/>
                <w:shd w:val="pct15" w:color="auto" w:fill="FFFFFF"/>
                <w:lang w:val="en-GB" w:eastAsia="nl-NL"/>
              </w:rPr>
            </w:pPr>
            <w:r>
              <w:rPr>
                <w:sz w:val="18"/>
                <w:szCs w:val="18"/>
                <w:shd w:val="pct15" w:color="auto" w:fill="FFFFFF"/>
                <w:lang w:val="en-GB" w:eastAsia="nl-NL"/>
              </w:rPr>
              <w:t>(</w:t>
            </w:r>
            <w:r w:rsidRPr="00F90E3B">
              <w:rPr>
                <w:sz w:val="18"/>
                <w:szCs w:val="18"/>
                <w:shd w:val="pct15" w:color="auto" w:fill="FFFFFF"/>
                <w:lang w:val="en-GB" w:eastAsia="nl-NL"/>
              </w:rPr>
              <w:t>b)</w:t>
            </w:r>
            <w:r w:rsidRPr="00F90E3B">
              <w:rPr>
                <w:sz w:val="18"/>
                <w:szCs w:val="18"/>
                <w:shd w:val="pct15" w:color="auto" w:fill="FFFFFF"/>
                <w:lang w:val="en-GB" w:eastAsia="nl-NL"/>
              </w:rPr>
              <w:tab/>
            </w:r>
            <w:r>
              <w:rPr>
                <w:sz w:val="18"/>
                <w:szCs w:val="18"/>
                <w:shd w:val="pct15" w:color="auto" w:fill="FFFFFF"/>
                <w:lang w:val="en-GB" w:eastAsia="nl-NL"/>
              </w:rPr>
              <w:t xml:space="preserve">Methods that </w:t>
            </w:r>
            <w:r w:rsidRPr="00871C10">
              <w:rPr>
                <w:bCs/>
                <w:sz w:val="18"/>
                <w:szCs w:val="18"/>
                <w:lang w:val="en-GB" w:eastAsia="nl-NL"/>
              </w:rPr>
              <w:t>allow easy, objective and indisputable scoring of marker profiles are preferred over methods that produce complex marker profiles that are sensitive for interpretation (e.g. wide range of intensities of the bands).</w:t>
            </w:r>
            <w:r>
              <w:rPr>
                <w:sz w:val="18"/>
                <w:szCs w:val="18"/>
                <w:shd w:val="pct15" w:color="auto" w:fill="FFFFFF"/>
                <w:lang w:val="en-GB" w:eastAsia="nl-NL"/>
              </w:rPr>
              <w:t xml:space="preserve"> </w:t>
            </w:r>
          </w:p>
          <w:p w:rsidR="00E37F4E" w:rsidRPr="00F90E3B" w:rsidRDefault="00E37F4E" w:rsidP="0029509A">
            <w:pPr>
              <w:ind w:firstLine="426"/>
              <w:rPr>
                <w:sz w:val="18"/>
                <w:szCs w:val="18"/>
                <w:shd w:val="pct15" w:color="auto" w:fill="FFFFFF"/>
                <w:lang w:val="en-GB" w:eastAsia="nl-NL"/>
              </w:rPr>
            </w:pPr>
            <w:r>
              <w:rPr>
                <w:sz w:val="18"/>
                <w:szCs w:val="18"/>
                <w:shd w:val="pct15" w:color="auto" w:fill="FFFFFF"/>
                <w:lang w:val="en-GB" w:eastAsia="nl-NL"/>
              </w:rPr>
              <w:t>(</w:t>
            </w:r>
            <w:r w:rsidRPr="00F90E3B">
              <w:rPr>
                <w:sz w:val="18"/>
                <w:szCs w:val="18"/>
                <w:shd w:val="pct15" w:color="auto" w:fill="FFFFFF"/>
                <w:lang w:val="en-GB" w:eastAsia="nl-NL"/>
              </w:rPr>
              <w:t>c)</w:t>
            </w:r>
            <w:r w:rsidRPr="00F90E3B">
              <w:rPr>
                <w:sz w:val="18"/>
                <w:szCs w:val="18"/>
                <w:shd w:val="pct15" w:color="auto" w:fill="FFFFFF"/>
                <w:lang w:val="en-GB" w:eastAsia="nl-NL"/>
              </w:rPr>
              <w:tab/>
            </w:r>
            <w:r>
              <w:rPr>
                <w:sz w:val="18"/>
                <w:szCs w:val="18"/>
                <w:shd w:val="pct15" w:color="auto" w:fill="FFFFFF"/>
                <w:lang w:val="en-GB" w:eastAsia="nl-NL"/>
              </w:rPr>
              <w:t xml:space="preserve">Methods that are </w:t>
            </w:r>
            <w:r w:rsidRPr="00871C10">
              <w:rPr>
                <w:bCs/>
                <w:sz w:val="18"/>
                <w:szCs w:val="18"/>
                <w:lang w:val="en-GB" w:eastAsia="nl-NL"/>
              </w:rPr>
              <w:t>robust, not sensitive to subtle changes in the protocol or condition, but stable performance in time and conditions are preferred over methods that are sensitive to environmental conditions that are difficult to control.</w:t>
            </w:r>
          </w:p>
          <w:p w:rsidR="00E37F4E" w:rsidRDefault="00E37F4E" w:rsidP="0029509A">
            <w:pPr>
              <w:ind w:firstLine="426"/>
              <w:rPr>
                <w:bCs/>
                <w:sz w:val="18"/>
                <w:szCs w:val="18"/>
                <w:lang w:val="en-GB" w:eastAsia="nl-NL"/>
              </w:rPr>
            </w:pPr>
            <w:r>
              <w:rPr>
                <w:sz w:val="18"/>
                <w:szCs w:val="18"/>
                <w:shd w:val="pct15" w:color="auto" w:fill="FFFFFF"/>
                <w:lang w:val="en-GB" w:eastAsia="nl-NL"/>
              </w:rPr>
              <w:t>(</w:t>
            </w:r>
            <w:r w:rsidRPr="00F90E3B">
              <w:rPr>
                <w:sz w:val="18"/>
                <w:szCs w:val="18"/>
                <w:shd w:val="pct15" w:color="auto" w:fill="FFFFFF"/>
                <w:lang w:val="en-GB" w:eastAsia="nl-NL"/>
              </w:rPr>
              <w:t>d)</w:t>
            </w:r>
            <w:r w:rsidRPr="00F90E3B">
              <w:rPr>
                <w:sz w:val="18"/>
                <w:szCs w:val="18"/>
                <w:shd w:val="pct15" w:color="auto" w:fill="FFFFFF"/>
                <w:lang w:val="en-GB" w:eastAsia="nl-NL"/>
              </w:rPr>
              <w:tab/>
            </w:r>
            <w:r>
              <w:rPr>
                <w:sz w:val="18"/>
                <w:szCs w:val="18"/>
                <w:shd w:val="pct15" w:color="auto" w:fill="FFFFFF"/>
                <w:lang w:val="en-GB" w:eastAsia="nl-NL"/>
              </w:rPr>
              <w:t xml:space="preserve">Methods that are </w:t>
            </w:r>
            <w:r w:rsidRPr="00871C10">
              <w:rPr>
                <w:bCs/>
                <w:sz w:val="18"/>
                <w:szCs w:val="18"/>
                <w:lang w:val="en-GB" w:eastAsia="nl-NL"/>
              </w:rPr>
              <w:t xml:space="preserve">flexible (vary in the number of samples or the number of markers) </w:t>
            </w:r>
            <w:r>
              <w:rPr>
                <w:bCs/>
                <w:sz w:val="18"/>
                <w:szCs w:val="18"/>
                <w:lang w:val="en-GB" w:eastAsia="nl-NL"/>
              </w:rPr>
              <w:t xml:space="preserve">are </w:t>
            </w:r>
            <w:r w:rsidRPr="00871C10">
              <w:rPr>
                <w:bCs/>
                <w:sz w:val="18"/>
                <w:szCs w:val="18"/>
                <w:lang w:val="en-GB" w:eastAsia="nl-NL"/>
              </w:rPr>
              <w:t>preferred over methods that have a fixed set-up.</w:t>
            </w:r>
          </w:p>
          <w:p w:rsidR="00E37F4E" w:rsidRDefault="00E37F4E" w:rsidP="0029509A">
            <w:pPr>
              <w:ind w:firstLine="426"/>
              <w:rPr>
                <w:bCs/>
                <w:sz w:val="18"/>
                <w:szCs w:val="18"/>
                <w:lang w:val="en-GB" w:eastAsia="nl-NL"/>
              </w:rPr>
            </w:pPr>
            <w:r>
              <w:rPr>
                <w:bCs/>
                <w:sz w:val="18"/>
                <w:szCs w:val="18"/>
                <w:lang w:val="en-GB" w:eastAsia="nl-NL"/>
              </w:rPr>
              <w:t>(e)</w:t>
            </w:r>
            <w:r w:rsidRPr="00F90E3B">
              <w:rPr>
                <w:sz w:val="18"/>
                <w:szCs w:val="18"/>
                <w:shd w:val="pct15" w:color="auto" w:fill="FFFFFF"/>
                <w:lang w:val="en-GB" w:eastAsia="nl-NL"/>
              </w:rPr>
              <w:tab/>
            </w:r>
            <w:r w:rsidRPr="00871C10">
              <w:rPr>
                <w:bCs/>
                <w:sz w:val="18"/>
                <w:szCs w:val="18"/>
                <w:lang w:val="en-GB" w:eastAsia="nl-NL"/>
              </w:rPr>
              <w:t>Methods that are open source are preferred over methods that are completely or partly protected by IP rights or by confidential information.</w:t>
            </w:r>
          </w:p>
          <w:p w:rsidR="00E37F4E" w:rsidRDefault="00E37F4E" w:rsidP="0029509A">
            <w:pPr>
              <w:ind w:firstLine="426"/>
              <w:rPr>
                <w:bCs/>
                <w:sz w:val="18"/>
                <w:szCs w:val="18"/>
                <w:lang w:val="en-GB" w:eastAsia="nl-NL"/>
              </w:rPr>
            </w:pPr>
            <w:r>
              <w:rPr>
                <w:bCs/>
                <w:sz w:val="18"/>
                <w:szCs w:val="18"/>
                <w:lang w:val="en-GB" w:eastAsia="nl-NL"/>
              </w:rPr>
              <w:t>(f)</w:t>
            </w:r>
            <w:r w:rsidRPr="00F90E3B">
              <w:rPr>
                <w:sz w:val="18"/>
                <w:szCs w:val="18"/>
                <w:shd w:val="pct15" w:color="auto" w:fill="FFFFFF"/>
                <w:lang w:val="en-GB" w:eastAsia="nl-NL"/>
              </w:rPr>
              <w:tab/>
            </w:r>
            <w:r w:rsidRPr="00871C10">
              <w:rPr>
                <w:bCs/>
                <w:sz w:val="18"/>
                <w:szCs w:val="18"/>
                <w:lang w:val="en-GB" w:eastAsia="nl-NL"/>
              </w:rPr>
              <w:t xml:space="preserve">Methods that are </w:t>
            </w:r>
            <w:r w:rsidRPr="00CE1423">
              <w:rPr>
                <w:bCs/>
                <w:sz w:val="18"/>
                <w:szCs w:val="18"/>
                <w:highlight w:val="yellow"/>
                <w:lang w:val="en-GB" w:eastAsia="nl-NL"/>
              </w:rPr>
              <w:t>independent of a specific machine or specific chemistry or specific supplier are preferred over methods that require a specific machine, chemistry or supplier that have a monopoly in the market</w:t>
            </w:r>
            <w:r w:rsidRPr="00871C10">
              <w:rPr>
                <w:bCs/>
                <w:sz w:val="18"/>
                <w:szCs w:val="18"/>
                <w:lang w:val="en-GB" w:eastAsia="nl-NL"/>
              </w:rPr>
              <w:t>. Methods without dependence on particular partners or products are preferred.</w:t>
            </w:r>
          </w:p>
          <w:p w:rsidR="00E37F4E" w:rsidRDefault="00E37F4E" w:rsidP="0029509A">
            <w:pPr>
              <w:ind w:firstLine="426"/>
              <w:rPr>
                <w:bCs/>
                <w:sz w:val="18"/>
                <w:szCs w:val="18"/>
                <w:lang w:val="en-GB" w:eastAsia="nl-NL"/>
              </w:rPr>
            </w:pPr>
            <w:r>
              <w:rPr>
                <w:bCs/>
                <w:sz w:val="18"/>
                <w:szCs w:val="18"/>
                <w:lang w:val="en-GB" w:eastAsia="nl-NL"/>
              </w:rPr>
              <w:t>(g)</w:t>
            </w:r>
            <w:r w:rsidRPr="00F90E3B">
              <w:rPr>
                <w:sz w:val="18"/>
                <w:szCs w:val="18"/>
                <w:shd w:val="pct15" w:color="auto" w:fill="FFFFFF"/>
                <w:lang w:val="en-GB" w:eastAsia="nl-NL"/>
              </w:rPr>
              <w:tab/>
            </w:r>
            <w:r w:rsidRPr="00871C10">
              <w:rPr>
                <w:bCs/>
                <w:sz w:val="18"/>
                <w:szCs w:val="18"/>
                <w:lang w:val="en-GB" w:eastAsia="nl-NL"/>
              </w:rPr>
              <w:t>Methods that detect molecular markers in a co-dominant way are preferred over methods that detect markers in a dominant way.</w:t>
            </w:r>
          </w:p>
          <w:p w:rsidR="00E37F4E" w:rsidRDefault="00E37F4E" w:rsidP="0029509A">
            <w:pPr>
              <w:ind w:firstLine="426"/>
              <w:rPr>
                <w:bCs/>
                <w:sz w:val="18"/>
                <w:szCs w:val="18"/>
                <w:lang w:val="en-GB" w:eastAsia="nl-NL"/>
              </w:rPr>
            </w:pPr>
            <w:r>
              <w:rPr>
                <w:bCs/>
                <w:sz w:val="18"/>
                <w:szCs w:val="18"/>
                <w:lang w:val="en-GB" w:eastAsia="nl-NL"/>
              </w:rPr>
              <w:t>(h)</w:t>
            </w:r>
            <w:r w:rsidRPr="00F90E3B">
              <w:rPr>
                <w:sz w:val="18"/>
                <w:szCs w:val="18"/>
                <w:shd w:val="pct15" w:color="auto" w:fill="FFFFFF"/>
                <w:lang w:val="en-GB" w:eastAsia="nl-NL"/>
              </w:rPr>
              <w:tab/>
            </w:r>
            <w:r w:rsidRPr="00871C10">
              <w:rPr>
                <w:bCs/>
                <w:sz w:val="18"/>
                <w:szCs w:val="18"/>
                <w:lang w:val="en-GB" w:eastAsia="nl-NL"/>
              </w:rPr>
              <w:t>Methods that allow multiplexing are preferred over methods that detect only one marker in one assay.</w:t>
            </w:r>
          </w:p>
          <w:p w:rsidR="00E37F4E" w:rsidRPr="00E67F49" w:rsidRDefault="00E37F4E" w:rsidP="0029509A">
            <w:pPr>
              <w:ind w:firstLine="426"/>
              <w:rPr>
                <w:sz w:val="18"/>
                <w:szCs w:val="18"/>
                <w:lang w:val="en-GB"/>
              </w:rPr>
            </w:pPr>
            <w:r>
              <w:rPr>
                <w:bCs/>
                <w:sz w:val="18"/>
                <w:szCs w:val="18"/>
                <w:lang w:val="en-GB" w:eastAsia="nl-NL"/>
              </w:rPr>
              <w:t>(</w:t>
            </w:r>
            <w:proofErr w:type="spellStart"/>
            <w:r>
              <w:rPr>
                <w:bCs/>
                <w:sz w:val="18"/>
                <w:szCs w:val="18"/>
                <w:lang w:val="en-GB" w:eastAsia="nl-NL"/>
              </w:rPr>
              <w:t>i</w:t>
            </w:r>
            <w:proofErr w:type="spellEnd"/>
            <w:r>
              <w:rPr>
                <w:bCs/>
                <w:sz w:val="18"/>
                <w:szCs w:val="18"/>
                <w:lang w:val="en-GB" w:eastAsia="nl-NL"/>
              </w:rPr>
              <w:t>)</w:t>
            </w:r>
            <w:r w:rsidRPr="00F90E3B">
              <w:rPr>
                <w:sz w:val="18"/>
                <w:szCs w:val="18"/>
                <w:shd w:val="pct15" w:color="auto" w:fill="FFFFFF"/>
                <w:lang w:val="en-GB" w:eastAsia="nl-NL"/>
              </w:rPr>
              <w:tab/>
            </w:r>
            <w:r w:rsidRPr="00871C10">
              <w:rPr>
                <w:bCs/>
                <w:sz w:val="18"/>
                <w:szCs w:val="18"/>
                <w:lang w:val="en-GB" w:eastAsia="nl-NL"/>
              </w:rPr>
              <w:t>Methods that are suitable for automation are preferred.</w:t>
            </w:r>
          </w:p>
        </w:tc>
      </w:tr>
      <w:tr w:rsidR="00E37F4E" w:rsidRPr="0047703B" w:rsidTr="00E37F4E">
        <w:trPr>
          <w:cantSplit/>
        </w:trPr>
        <w:tc>
          <w:tcPr>
            <w:tcW w:w="9629" w:type="dxa"/>
            <w:tcBorders>
              <w:left w:val="single" w:sz="4" w:space="0" w:color="auto"/>
              <w:bottom w:val="single" w:sz="4" w:space="0" w:color="auto"/>
              <w:right w:val="single" w:sz="4" w:space="0" w:color="auto"/>
            </w:tcBorders>
            <w:shd w:val="clear" w:color="auto" w:fill="D9D9D9" w:themeFill="background1" w:themeFillShade="D9"/>
          </w:tcPr>
          <w:p w:rsidR="00E37F4E" w:rsidRPr="00D65879" w:rsidRDefault="00E37F4E" w:rsidP="0029509A">
            <w:pPr>
              <w:rPr>
                <w:sz w:val="18"/>
                <w:szCs w:val="18"/>
                <w:u w:val="single"/>
              </w:rPr>
            </w:pPr>
          </w:p>
        </w:tc>
      </w:tr>
    </w:tbl>
    <w:p w:rsidR="00E37F4E" w:rsidRDefault="00E37F4E" w:rsidP="00E37F4E">
      <w:pPr>
        <w:ind w:left="567" w:right="567" w:hanging="567"/>
        <w:rPr>
          <w:sz w:val="18"/>
        </w:rPr>
      </w:pPr>
    </w:p>
    <w:p w:rsidR="00E37F4E" w:rsidRPr="000279A4" w:rsidRDefault="00E37F4E" w:rsidP="00E37F4E">
      <w:pPr>
        <w:ind w:left="567" w:right="567"/>
        <w:rPr>
          <w:sz w:val="18"/>
        </w:rPr>
      </w:pPr>
      <w:r w:rsidRPr="000279A4">
        <w:rPr>
          <w:sz w:val="18"/>
        </w:rPr>
        <w:t>[…]</w:t>
      </w:r>
    </w:p>
    <w:p w:rsidR="00E37F4E" w:rsidRDefault="00E37F4E" w:rsidP="00E37F4E">
      <w:pPr>
        <w:ind w:left="567" w:right="567"/>
        <w:rPr>
          <w:sz w:val="18"/>
        </w:rPr>
      </w:pPr>
    </w:p>
    <w:tbl>
      <w:tblPr>
        <w:tblW w:w="0" w:type="auto"/>
        <w:tblBorders>
          <w:top w:val="single" w:sz="4" w:space="0" w:color="auto"/>
          <w:left w:val="single" w:sz="4" w:space="0" w:color="auto"/>
          <w:bottom w:val="single" w:sz="4" w:space="0" w:color="auto"/>
          <w:right w:val="single" w:sz="4" w:space="0" w:color="auto"/>
        </w:tblBorders>
        <w:shd w:val="clear" w:color="auto" w:fill="FDE9D9" w:themeFill="accent6" w:themeFillTint="33"/>
        <w:tblLook w:val="04A0" w:firstRow="1" w:lastRow="0" w:firstColumn="1" w:lastColumn="0" w:noHBand="0" w:noVBand="1"/>
      </w:tblPr>
      <w:tblGrid>
        <w:gridCol w:w="9629"/>
      </w:tblGrid>
      <w:tr w:rsidR="00E37F4E" w:rsidRPr="0047703B" w:rsidTr="005720B1">
        <w:trPr>
          <w:cantSplit/>
        </w:trPr>
        <w:tc>
          <w:tcPr>
            <w:tcW w:w="9855" w:type="dxa"/>
            <w:shd w:val="clear" w:color="auto" w:fill="FDE9D9" w:themeFill="accent6" w:themeFillTint="33"/>
          </w:tcPr>
          <w:p w:rsidR="00E37F4E" w:rsidRPr="00521A15" w:rsidRDefault="00E37F4E" w:rsidP="0029509A">
            <w:pPr>
              <w:rPr>
                <w:szCs w:val="18"/>
              </w:rPr>
            </w:pPr>
          </w:p>
          <w:p w:rsidR="00E37F4E" w:rsidRPr="00521A15" w:rsidRDefault="00E37F4E" w:rsidP="0029509A">
            <w:pPr>
              <w:rPr>
                <w:szCs w:val="18"/>
                <w:lang w:eastAsia="ja-JP"/>
              </w:rPr>
            </w:pPr>
            <w:r w:rsidRPr="00521A15">
              <w:rPr>
                <w:szCs w:val="18"/>
                <w:u w:val="single"/>
              </w:rPr>
              <w:t>Comments by ESA</w:t>
            </w:r>
          </w:p>
          <w:p w:rsidR="00E37F4E" w:rsidRPr="00CE1423" w:rsidRDefault="00E37F4E" w:rsidP="0029509A">
            <w:pPr>
              <w:rPr>
                <w:sz w:val="22"/>
                <w:szCs w:val="18"/>
              </w:rPr>
            </w:pPr>
          </w:p>
          <w:p w:rsidR="00E37F4E" w:rsidRPr="00CE1423" w:rsidRDefault="00CE1423" w:rsidP="00CE1423">
            <w:pPr>
              <w:rPr>
                <w:szCs w:val="18"/>
              </w:rPr>
            </w:pPr>
            <w:r w:rsidRPr="00CE1423">
              <w:rPr>
                <w:szCs w:val="18"/>
              </w:rPr>
              <w:t>(f):</w:t>
            </w:r>
          </w:p>
          <w:p w:rsidR="00CE1423" w:rsidRPr="00CE1423" w:rsidRDefault="00CE1423" w:rsidP="00CE1423">
            <w:pPr>
              <w:rPr>
                <w:szCs w:val="18"/>
              </w:rPr>
            </w:pPr>
            <w:r w:rsidRPr="00CE1423">
              <w:rPr>
                <w:szCs w:val="18"/>
              </w:rPr>
              <w:t>yes, we agree, but this should not affect standardization!</w:t>
            </w:r>
          </w:p>
          <w:p w:rsidR="00CE1423" w:rsidRPr="00CE1423" w:rsidRDefault="00CE1423" w:rsidP="00CE1423">
            <w:pPr>
              <w:rPr>
                <w:szCs w:val="18"/>
              </w:rPr>
            </w:pPr>
          </w:p>
          <w:p w:rsidR="00CE1423" w:rsidRPr="00EF1F39" w:rsidRDefault="00CE1423" w:rsidP="00CE1423">
            <w:pPr>
              <w:rPr>
                <w:sz w:val="18"/>
                <w:szCs w:val="18"/>
              </w:rPr>
            </w:pPr>
          </w:p>
        </w:tc>
      </w:tr>
    </w:tbl>
    <w:p w:rsidR="00E37F4E" w:rsidRDefault="00E37F4E" w:rsidP="00E11B99"/>
    <w:p w:rsidR="00CE1423" w:rsidRDefault="00CE1423" w:rsidP="00E11B99"/>
    <w:p w:rsidR="005244E3" w:rsidRPr="000279A4" w:rsidRDefault="005244E3" w:rsidP="005244E3">
      <w:pPr>
        <w:ind w:left="567" w:right="567"/>
        <w:rPr>
          <w:sz w:val="18"/>
        </w:rPr>
      </w:pPr>
      <w:r w:rsidRPr="000279A4">
        <w:rPr>
          <w:sz w:val="18"/>
        </w:rPr>
        <w:t>[…]</w:t>
      </w:r>
    </w:p>
    <w:p w:rsidR="005244E3" w:rsidRDefault="005244E3" w:rsidP="005244E3">
      <w:pPr>
        <w:ind w:left="567" w:right="567"/>
        <w:rPr>
          <w:sz w:val="18"/>
        </w:rPr>
      </w:pPr>
    </w:p>
    <w:p w:rsidR="005244E3" w:rsidRDefault="005244E3" w:rsidP="005244E3"/>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29"/>
      </w:tblGrid>
      <w:tr w:rsidR="005244E3" w:rsidRPr="005244E3" w:rsidTr="005244E3">
        <w:trPr>
          <w:cantSplit/>
        </w:trPr>
        <w:tc>
          <w:tcPr>
            <w:tcW w:w="9629" w:type="dxa"/>
            <w:shd w:val="clear" w:color="auto" w:fill="D9D9D9" w:themeFill="background1" w:themeFillShade="D9"/>
          </w:tcPr>
          <w:p w:rsidR="005244E3" w:rsidRPr="005244E3" w:rsidRDefault="005244E3" w:rsidP="005244E3">
            <w:pPr>
              <w:rPr>
                <w:sz w:val="18"/>
                <w:szCs w:val="18"/>
                <w:u w:val="single"/>
              </w:rPr>
            </w:pPr>
          </w:p>
          <w:p w:rsidR="005244E3" w:rsidRPr="005244E3" w:rsidRDefault="005244E3" w:rsidP="005244E3">
            <w:pPr>
              <w:rPr>
                <w:sz w:val="18"/>
                <w:szCs w:val="18"/>
                <w:vertAlign w:val="superscript"/>
              </w:rPr>
            </w:pPr>
            <w:r w:rsidRPr="005244E3">
              <w:rPr>
                <w:sz w:val="18"/>
                <w:szCs w:val="18"/>
                <w:u w:val="single"/>
              </w:rPr>
              <w:t>Joint comments from the European Union, France and the Netherlands</w:t>
            </w:r>
            <w:r w:rsidRPr="005244E3">
              <w:rPr>
                <w:sz w:val="18"/>
                <w:szCs w:val="18"/>
                <w:vertAlign w:val="superscript"/>
              </w:rPr>
              <w:t xml:space="preserve"> ii</w:t>
            </w:r>
          </w:p>
          <w:p w:rsidR="005244E3" w:rsidRPr="005244E3" w:rsidRDefault="005244E3" w:rsidP="005244E3">
            <w:pPr>
              <w:rPr>
                <w:sz w:val="18"/>
                <w:szCs w:val="18"/>
                <w:lang w:eastAsia="nl-NL"/>
              </w:rPr>
            </w:pPr>
          </w:p>
          <w:p w:rsidR="005244E3" w:rsidRPr="005244E3" w:rsidRDefault="005244E3" w:rsidP="005244E3">
            <w:pPr>
              <w:rPr>
                <w:sz w:val="18"/>
                <w:szCs w:val="18"/>
                <w:lang w:val="en-GB" w:eastAsia="nl-NL"/>
              </w:rPr>
            </w:pPr>
            <w:r w:rsidRPr="005244E3">
              <w:rPr>
                <w:sz w:val="18"/>
                <w:szCs w:val="18"/>
                <w:lang w:val="en-GB" w:eastAsia="nl-NL"/>
              </w:rPr>
              <w:t>To add a new section 2.4 “</w:t>
            </w:r>
            <w:r w:rsidRPr="005244E3">
              <w:rPr>
                <w:sz w:val="18"/>
                <w:szCs w:val="18"/>
                <w:highlight w:val="yellow"/>
                <w:lang w:val="en-GB" w:eastAsia="nl-NL"/>
              </w:rPr>
              <w:t>Future perspective on technological development</w:t>
            </w:r>
            <w:r w:rsidRPr="005244E3">
              <w:rPr>
                <w:sz w:val="18"/>
                <w:szCs w:val="18"/>
                <w:lang w:val="en-GB" w:eastAsia="nl-NL"/>
              </w:rPr>
              <w:t>” with the following texts and table:</w:t>
            </w:r>
          </w:p>
          <w:p w:rsidR="005244E3" w:rsidRPr="005244E3" w:rsidRDefault="005244E3" w:rsidP="005244E3">
            <w:pPr>
              <w:rPr>
                <w:sz w:val="18"/>
                <w:szCs w:val="18"/>
                <w:lang w:val="en-GB" w:eastAsia="nl-NL"/>
              </w:rPr>
            </w:pPr>
          </w:p>
          <w:p w:rsidR="005244E3" w:rsidRPr="005244E3" w:rsidRDefault="005244E3" w:rsidP="005244E3">
            <w:pPr>
              <w:rPr>
                <w:sz w:val="18"/>
                <w:szCs w:val="18"/>
                <w:lang w:val="en-GB" w:eastAsia="nl-NL"/>
              </w:rPr>
            </w:pPr>
            <w:r w:rsidRPr="005244E3">
              <w:rPr>
                <w:sz w:val="18"/>
                <w:szCs w:val="18"/>
                <w:lang w:val="en-GB" w:eastAsia="nl-NL"/>
              </w:rPr>
              <w:t xml:space="preserve">Genotyping methods develop very fast and new technologies will keep being discovered.  High-Throughput sequencing of short reads and now massive sequencing of long reads by </w:t>
            </w:r>
            <w:proofErr w:type="spellStart"/>
            <w:r w:rsidRPr="005244E3">
              <w:rPr>
                <w:sz w:val="18"/>
                <w:szCs w:val="18"/>
                <w:lang w:val="en-GB" w:eastAsia="nl-NL"/>
              </w:rPr>
              <w:t>nanopore</w:t>
            </w:r>
            <w:proofErr w:type="spellEnd"/>
            <w:r w:rsidRPr="005244E3">
              <w:rPr>
                <w:sz w:val="18"/>
                <w:szCs w:val="18"/>
                <w:lang w:val="en-GB" w:eastAsia="nl-NL"/>
              </w:rPr>
              <w:t xml:space="preserve"> sequencing enable the production of more and more data for a decreasing price per </w:t>
            </w:r>
            <w:proofErr w:type="spellStart"/>
            <w:r w:rsidRPr="005244E3">
              <w:rPr>
                <w:sz w:val="18"/>
                <w:szCs w:val="18"/>
                <w:lang w:val="en-GB" w:eastAsia="nl-NL"/>
              </w:rPr>
              <w:t>datapoint</w:t>
            </w:r>
            <w:proofErr w:type="spellEnd"/>
            <w:r w:rsidRPr="005244E3">
              <w:rPr>
                <w:sz w:val="18"/>
                <w:szCs w:val="18"/>
                <w:lang w:val="en-GB" w:eastAsia="nl-NL"/>
              </w:rPr>
              <w:t xml:space="preserve">.  As a consequence, the methods for marker set detection will alter in the future and shift from single sample endpoint methods towards whole genome sequences approaches.  Irrespective of the technology used to detect the defined marker set, </w:t>
            </w:r>
            <w:r w:rsidRPr="005244E3">
              <w:rPr>
                <w:sz w:val="18"/>
                <w:szCs w:val="18"/>
                <w:highlight w:val="yellow"/>
                <w:lang w:val="en-GB" w:eastAsia="nl-NL"/>
              </w:rPr>
              <w:t>the genotype of a particular variety should not be affected</w:t>
            </w:r>
            <w:r w:rsidRPr="005244E3">
              <w:rPr>
                <w:sz w:val="18"/>
                <w:szCs w:val="18"/>
                <w:lang w:val="en-GB" w:eastAsia="nl-NL"/>
              </w:rPr>
              <w:t xml:space="preserve">.  Both SSR markers and SNP/INDEL markers can be detected by High-Throughput Sequencing.  </w:t>
            </w:r>
            <w:r w:rsidRPr="005244E3">
              <w:rPr>
                <w:sz w:val="18"/>
                <w:szCs w:val="18"/>
                <w:highlight w:val="yellow"/>
                <w:lang w:val="en-GB" w:eastAsia="nl-NL"/>
              </w:rPr>
              <w:t>In the (near) future, it could be cost effective to just sequence the whole genome of a plant</w:t>
            </w:r>
            <w:r w:rsidRPr="005244E3">
              <w:rPr>
                <w:sz w:val="18"/>
                <w:szCs w:val="18"/>
                <w:lang w:val="en-GB" w:eastAsia="nl-NL"/>
              </w:rPr>
              <w:t>.  Even if all data produced will not be used (depending on the application), if the cost of a whole sequence become cheaper than single end point methods it may become the default method.  However genotyping error of this technology need to be evaluated carefully before use.</w:t>
            </w:r>
          </w:p>
          <w:p w:rsidR="005244E3" w:rsidRPr="005244E3" w:rsidRDefault="005244E3" w:rsidP="005244E3">
            <w:pPr>
              <w:rPr>
                <w:sz w:val="18"/>
                <w:szCs w:val="18"/>
                <w:lang w:val="en-GB" w:eastAsia="nl-NL"/>
              </w:rPr>
            </w:pPr>
          </w:p>
          <w:tbl>
            <w:tblPr>
              <w:tblStyle w:val="TableGrid1"/>
              <w:tblW w:w="7088" w:type="dxa"/>
              <w:jc w:val="center"/>
              <w:tblLook w:val="04A0" w:firstRow="1" w:lastRow="0" w:firstColumn="1" w:lastColumn="0" w:noHBand="0" w:noVBand="1"/>
            </w:tblPr>
            <w:tblGrid>
              <w:gridCol w:w="2552"/>
              <w:gridCol w:w="1843"/>
              <w:gridCol w:w="1417"/>
              <w:gridCol w:w="1276"/>
            </w:tblGrid>
            <w:tr w:rsidR="005244E3" w:rsidRPr="005244E3" w:rsidTr="0029509A">
              <w:trPr>
                <w:jc w:val="center"/>
              </w:trPr>
              <w:tc>
                <w:tcPr>
                  <w:tcW w:w="2552" w:type="dxa"/>
                </w:tcPr>
                <w:p w:rsidR="005244E3" w:rsidRPr="005244E3" w:rsidRDefault="005244E3" w:rsidP="005244E3">
                  <w:pPr>
                    <w:autoSpaceDE w:val="0"/>
                    <w:autoSpaceDN w:val="0"/>
                    <w:adjustRightInd w:val="0"/>
                    <w:rPr>
                      <w:rFonts w:ascii="Calibri" w:hAnsi="Calibri"/>
                      <w:bCs/>
                      <w:color w:val="000000"/>
                      <w:lang w:val="en-GB" w:eastAsia="nl-NL"/>
                    </w:rPr>
                  </w:pPr>
                  <w:r w:rsidRPr="005244E3">
                    <w:rPr>
                      <w:rFonts w:ascii="Calibri" w:hAnsi="Calibri"/>
                      <w:bCs/>
                      <w:color w:val="000000"/>
                      <w:lang w:val="en-GB" w:eastAsia="nl-NL"/>
                    </w:rPr>
                    <w:t>Strategy</w:t>
                  </w:r>
                </w:p>
              </w:tc>
              <w:tc>
                <w:tcPr>
                  <w:tcW w:w="1843" w:type="dxa"/>
                </w:tcPr>
                <w:p w:rsidR="005244E3" w:rsidRPr="005244E3" w:rsidRDefault="005244E3" w:rsidP="005244E3">
                  <w:pPr>
                    <w:autoSpaceDE w:val="0"/>
                    <w:autoSpaceDN w:val="0"/>
                    <w:adjustRightInd w:val="0"/>
                    <w:rPr>
                      <w:rFonts w:ascii="Calibri" w:hAnsi="Calibri"/>
                      <w:bCs/>
                      <w:color w:val="000000"/>
                      <w:lang w:val="en-GB" w:eastAsia="nl-NL"/>
                    </w:rPr>
                  </w:pPr>
                  <w:r w:rsidRPr="005244E3">
                    <w:rPr>
                      <w:rFonts w:ascii="Calibri" w:hAnsi="Calibri"/>
                      <w:bCs/>
                      <w:color w:val="000000"/>
                      <w:lang w:val="en-GB" w:eastAsia="nl-NL"/>
                    </w:rPr>
                    <w:t>Reference genome</w:t>
                  </w:r>
                </w:p>
              </w:tc>
              <w:tc>
                <w:tcPr>
                  <w:tcW w:w="1417" w:type="dxa"/>
                </w:tcPr>
                <w:p w:rsidR="005244E3" w:rsidRPr="005244E3" w:rsidRDefault="005244E3" w:rsidP="005244E3">
                  <w:pPr>
                    <w:autoSpaceDE w:val="0"/>
                    <w:autoSpaceDN w:val="0"/>
                    <w:adjustRightInd w:val="0"/>
                    <w:rPr>
                      <w:rFonts w:ascii="Calibri" w:hAnsi="Calibri"/>
                      <w:bCs/>
                      <w:color w:val="000000"/>
                      <w:lang w:val="en-GB" w:eastAsia="nl-NL"/>
                    </w:rPr>
                  </w:pPr>
                  <w:r w:rsidRPr="005244E3">
                    <w:rPr>
                      <w:rFonts w:ascii="Calibri" w:hAnsi="Calibri"/>
                      <w:bCs/>
                      <w:color w:val="000000"/>
                      <w:lang w:val="en-GB" w:eastAsia="nl-NL"/>
                    </w:rPr>
                    <w:t>Present cost</w:t>
                  </w:r>
                </w:p>
              </w:tc>
              <w:tc>
                <w:tcPr>
                  <w:tcW w:w="1276" w:type="dxa"/>
                </w:tcPr>
                <w:p w:rsidR="005244E3" w:rsidRPr="005244E3" w:rsidRDefault="005244E3" w:rsidP="005244E3">
                  <w:pPr>
                    <w:autoSpaceDE w:val="0"/>
                    <w:autoSpaceDN w:val="0"/>
                    <w:adjustRightInd w:val="0"/>
                    <w:rPr>
                      <w:rFonts w:ascii="Calibri" w:hAnsi="Calibri"/>
                      <w:bCs/>
                      <w:color w:val="000000"/>
                      <w:lang w:val="en-GB" w:eastAsia="nl-NL"/>
                    </w:rPr>
                  </w:pPr>
                  <w:r w:rsidRPr="005244E3">
                    <w:rPr>
                      <w:rFonts w:ascii="Calibri" w:hAnsi="Calibri"/>
                      <w:bCs/>
                      <w:color w:val="000000"/>
                      <w:lang w:val="en-GB" w:eastAsia="nl-NL"/>
                    </w:rPr>
                    <w:t>Ease of use</w:t>
                  </w:r>
                </w:p>
              </w:tc>
            </w:tr>
            <w:tr w:rsidR="005244E3" w:rsidRPr="005244E3" w:rsidTr="0029509A">
              <w:trPr>
                <w:jc w:val="center"/>
              </w:trPr>
              <w:tc>
                <w:tcPr>
                  <w:tcW w:w="2552" w:type="dxa"/>
                </w:tcPr>
                <w:p w:rsidR="005244E3" w:rsidRPr="005244E3" w:rsidRDefault="005244E3" w:rsidP="005244E3">
                  <w:pPr>
                    <w:autoSpaceDE w:val="0"/>
                    <w:autoSpaceDN w:val="0"/>
                    <w:adjustRightInd w:val="0"/>
                    <w:rPr>
                      <w:rFonts w:ascii="Calibri" w:hAnsi="Calibri"/>
                      <w:bCs/>
                      <w:color w:val="000000"/>
                      <w:lang w:val="en-GB" w:eastAsia="nl-NL"/>
                    </w:rPr>
                  </w:pPr>
                  <w:r w:rsidRPr="005244E3">
                    <w:rPr>
                      <w:rFonts w:ascii="Calibri" w:hAnsi="Calibri"/>
                      <w:bCs/>
                      <w:color w:val="000000"/>
                      <w:lang w:val="en-GB" w:eastAsia="nl-NL"/>
                    </w:rPr>
                    <w:t>Genome reduction - NGS</w:t>
                  </w:r>
                </w:p>
              </w:tc>
              <w:tc>
                <w:tcPr>
                  <w:tcW w:w="1843" w:type="dxa"/>
                </w:tcPr>
                <w:p w:rsidR="005244E3" w:rsidRPr="005244E3" w:rsidRDefault="005244E3" w:rsidP="005244E3">
                  <w:pPr>
                    <w:autoSpaceDE w:val="0"/>
                    <w:autoSpaceDN w:val="0"/>
                    <w:adjustRightInd w:val="0"/>
                    <w:rPr>
                      <w:rFonts w:ascii="Calibri" w:hAnsi="Calibri"/>
                      <w:bCs/>
                      <w:color w:val="000000"/>
                      <w:lang w:val="en-GB" w:eastAsia="nl-NL"/>
                    </w:rPr>
                  </w:pPr>
                  <w:r w:rsidRPr="005244E3">
                    <w:rPr>
                      <w:rFonts w:ascii="Calibri" w:hAnsi="Calibri"/>
                      <w:bCs/>
                      <w:color w:val="000000"/>
                      <w:lang w:val="en-GB" w:eastAsia="nl-NL"/>
                    </w:rPr>
                    <w:t>yes</w:t>
                  </w:r>
                </w:p>
              </w:tc>
              <w:tc>
                <w:tcPr>
                  <w:tcW w:w="1417" w:type="dxa"/>
                </w:tcPr>
                <w:p w:rsidR="005244E3" w:rsidRPr="005244E3" w:rsidRDefault="005244E3" w:rsidP="005244E3">
                  <w:pPr>
                    <w:autoSpaceDE w:val="0"/>
                    <w:autoSpaceDN w:val="0"/>
                    <w:adjustRightInd w:val="0"/>
                    <w:rPr>
                      <w:rFonts w:ascii="Calibri" w:hAnsi="Calibri"/>
                      <w:bCs/>
                      <w:color w:val="000000"/>
                      <w:lang w:val="en-GB" w:eastAsia="nl-NL"/>
                    </w:rPr>
                  </w:pPr>
                  <w:r w:rsidRPr="005244E3">
                    <w:rPr>
                      <w:rFonts w:ascii="Calibri" w:hAnsi="Calibri"/>
                      <w:bCs/>
                      <w:color w:val="000000"/>
                      <w:lang w:val="en-GB" w:eastAsia="nl-NL"/>
                    </w:rPr>
                    <w:t>€</w:t>
                  </w:r>
                </w:p>
              </w:tc>
              <w:tc>
                <w:tcPr>
                  <w:tcW w:w="1276" w:type="dxa"/>
                </w:tcPr>
                <w:p w:rsidR="005244E3" w:rsidRPr="005244E3" w:rsidRDefault="005244E3" w:rsidP="005244E3">
                  <w:pPr>
                    <w:autoSpaceDE w:val="0"/>
                    <w:autoSpaceDN w:val="0"/>
                    <w:adjustRightInd w:val="0"/>
                    <w:rPr>
                      <w:rFonts w:ascii="Calibri" w:hAnsi="Calibri"/>
                      <w:bCs/>
                      <w:color w:val="000000"/>
                      <w:lang w:val="en-GB" w:eastAsia="nl-NL"/>
                    </w:rPr>
                  </w:pPr>
                  <w:r w:rsidRPr="005244E3">
                    <w:rPr>
                      <w:rFonts w:ascii="Calibri" w:hAnsi="Calibri"/>
                      <w:bCs/>
                      <w:color w:val="000000"/>
                      <w:lang w:val="en-GB" w:eastAsia="nl-NL"/>
                    </w:rPr>
                    <w:t>+++</w:t>
                  </w:r>
                </w:p>
              </w:tc>
            </w:tr>
            <w:tr w:rsidR="005244E3" w:rsidRPr="005244E3" w:rsidTr="0029509A">
              <w:trPr>
                <w:jc w:val="center"/>
              </w:trPr>
              <w:tc>
                <w:tcPr>
                  <w:tcW w:w="2552" w:type="dxa"/>
                </w:tcPr>
                <w:p w:rsidR="005244E3" w:rsidRPr="005244E3" w:rsidRDefault="005244E3" w:rsidP="005244E3">
                  <w:pPr>
                    <w:autoSpaceDE w:val="0"/>
                    <w:autoSpaceDN w:val="0"/>
                    <w:adjustRightInd w:val="0"/>
                    <w:rPr>
                      <w:rFonts w:ascii="Calibri" w:hAnsi="Calibri"/>
                      <w:bCs/>
                      <w:color w:val="000000"/>
                      <w:lang w:val="en-GB" w:eastAsia="nl-NL"/>
                    </w:rPr>
                  </w:pPr>
                  <w:r w:rsidRPr="005244E3">
                    <w:rPr>
                      <w:rFonts w:ascii="Calibri" w:hAnsi="Calibri"/>
                      <w:bCs/>
                      <w:color w:val="000000"/>
                      <w:lang w:val="en-GB" w:eastAsia="nl-NL"/>
                    </w:rPr>
                    <w:t>Genome reduction - NGS</w:t>
                  </w:r>
                </w:p>
              </w:tc>
              <w:tc>
                <w:tcPr>
                  <w:tcW w:w="1843" w:type="dxa"/>
                </w:tcPr>
                <w:p w:rsidR="005244E3" w:rsidRPr="005244E3" w:rsidRDefault="005244E3" w:rsidP="005244E3">
                  <w:pPr>
                    <w:autoSpaceDE w:val="0"/>
                    <w:autoSpaceDN w:val="0"/>
                    <w:adjustRightInd w:val="0"/>
                    <w:rPr>
                      <w:rFonts w:ascii="Calibri" w:hAnsi="Calibri"/>
                      <w:bCs/>
                      <w:color w:val="000000"/>
                      <w:lang w:val="en-GB" w:eastAsia="nl-NL"/>
                    </w:rPr>
                  </w:pPr>
                  <w:r w:rsidRPr="005244E3">
                    <w:rPr>
                      <w:rFonts w:ascii="Calibri" w:hAnsi="Calibri"/>
                      <w:bCs/>
                      <w:color w:val="000000"/>
                      <w:lang w:val="en-GB" w:eastAsia="nl-NL"/>
                    </w:rPr>
                    <w:t>no</w:t>
                  </w:r>
                </w:p>
              </w:tc>
              <w:tc>
                <w:tcPr>
                  <w:tcW w:w="1417" w:type="dxa"/>
                </w:tcPr>
                <w:p w:rsidR="005244E3" w:rsidRPr="005244E3" w:rsidRDefault="005244E3" w:rsidP="005244E3">
                  <w:pPr>
                    <w:autoSpaceDE w:val="0"/>
                    <w:autoSpaceDN w:val="0"/>
                    <w:adjustRightInd w:val="0"/>
                    <w:rPr>
                      <w:rFonts w:ascii="Calibri" w:hAnsi="Calibri"/>
                      <w:bCs/>
                      <w:color w:val="000000"/>
                      <w:lang w:val="en-GB" w:eastAsia="nl-NL"/>
                    </w:rPr>
                  </w:pPr>
                  <w:r w:rsidRPr="005244E3">
                    <w:rPr>
                      <w:rFonts w:ascii="Calibri" w:hAnsi="Calibri"/>
                      <w:bCs/>
                      <w:color w:val="000000"/>
                      <w:lang w:val="en-GB" w:eastAsia="nl-NL"/>
                    </w:rPr>
                    <w:t>€€</w:t>
                  </w:r>
                </w:p>
              </w:tc>
              <w:tc>
                <w:tcPr>
                  <w:tcW w:w="1276" w:type="dxa"/>
                </w:tcPr>
                <w:p w:rsidR="005244E3" w:rsidRPr="005244E3" w:rsidRDefault="005244E3" w:rsidP="005244E3">
                  <w:pPr>
                    <w:autoSpaceDE w:val="0"/>
                    <w:autoSpaceDN w:val="0"/>
                    <w:adjustRightInd w:val="0"/>
                    <w:rPr>
                      <w:rFonts w:ascii="Calibri" w:hAnsi="Calibri"/>
                      <w:bCs/>
                      <w:color w:val="000000"/>
                      <w:lang w:val="en-GB" w:eastAsia="nl-NL"/>
                    </w:rPr>
                  </w:pPr>
                  <w:r w:rsidRPr="005244E3">
                    <w:rPr>
                      <w:rFonts w:ascii="Calibri" w:hAnsi="Calibri"/>
                      <w:bCs/>
                      <w:color w:val="000000"/>
                      <w:lang w:val="en-GB" w:eastAsia="nl-NL"/>
                    </w:rPr>
                    <w:t>++</w:t>
                  </w:r>
                </w:p>
              </w:tc>
            </w:tr>
            <w:tr w:rsidR="005244E3" w:rsidRPr="005244E3" w:rsidTr="0029509A">
              <w:trPr>
                <w:jc w:val="center"/>
              </w:trPr>
              <w:tc>
                <w:tcPr>
                  <w:tcW w:w="2552" w:type="dxa"/>
                </w:tcPr>
                <w:p w:rsidR="005244E3" w:rsidRPr="005244E3" w:rsidRDefault="005244E3" w:rsidP="005244E3">
                  <w:pPr>
                    <w:autoSpaceDE w:val="0"/>
                    <w:autoSpaceDN w:val="0"/>
                    <w:adjustRightInd w:val="0"/>
                    <w:rPr>
                      <w:rFonts w:ascii="Calibri" w:hAnsi="Calibri"/>
                      <w:bCs/>
                      <w:color w:val="000000"/>
                      <w:lang w:val="en-GB" w:eastAsia="nl-NL"/>
                    </w:rPr>
                  </w:pPr>
                  <w:r w:rsidRPr="005244E3">
                    <w:rPr>
                      <w:rFonts w:ascii="Calibri" w:hAnsi="Calibri"/>
                      <w:bCs/>
                      <w:color w:val="000000"/>
                      <w:lang w:val="en-GB" w:eastAsia="nl-NL"/>
                    </w:rPr>
                    <w:t>Whole genome - NGS</w:t>
                  </w:r>
                </w:p>
              </w:tc>
              <w:tc>
                <w:tcPr>
                  <w:tcW w:w="1843" w:type="dxa"/>
                </w:tcPr>
                <w:p w:rsidR="005244E3" w:rsidRPr="005244E3" w:rsidRDefault="005244E3" w:rsidP="005244E3">
                  <w:pPr>
                    <w:autoSpaceDE w:val="0"/>
                    <w:autoSpaceDN w:val="0"/>
                    <w:adjustRightInd w:val="0"/>
                    <w:rPr>
                      <w:rFonts w:ascii="Calibri" w:hAnsi="Calibri"/>
                      <w:bCs/>
                      <w:color w:val="000000"/>
                      <w:lang w:val="en-GB" w:eastAsia="nl-NL"/>
                    </w:rPr>
                  </w:pPr>
                  <w:r w:rsidRPr="005244E3">
                    <w:rPr>
                      <w:rFonts w:ascii="Calibri" w:hAnsi="Calibri"/>
                      <w:bCs/>
                      <w:color w:val="000000"/>
                      <w:lang w:val="en-GB" w:eastAsia="nl-NL"/>
                    </w:rPr>
                    <w:t>Yes</w:t>
                  </w:r>
                </w:p>
              </w:tc>
              <w:tc>
                <w:tcPr>
                  <w:tcW w:w="1417" w:type="dxa"/>
                </w:tcPr>
                <w:p w:rsidR="005244E3" w:rsidRPr="005244E3" w:rsidRDefault="005244E3" w:rsidP="005244E3">
                  <w:pPr>
                    <w:autoSpaceDE w:val="0"/>
                    <w:autoSpaceDN w:val="0"/>
                    <w:adjustRightInd w:val="0"/>
                    <w:rPr>
                      <w:rFonts w:ascii="Calibri" w:hAnsi="Calibri"/>
                      <w:bCs/>
                      <w:color w:val="000000"/>
                      <w:lang w:val="en-GB" w:eastAsia="nl-NL"/>
                    </w:rPr>
                  </w:pPr>
                  <w:r w:rsidRPr="005244E3">
                    <w:rPr>
                      <w:rFonts w:ascii="Calibri" w:hAnsi="Calibri"/>
                      <w:bCs/>
                      <w:color w:val="000000"/>
                      <w:lang w:val="en-GB" w:eastAsia="nl-NL"/>
                    </w:rPr>
                    <w:t>€€€</w:t>
                  </w:r>
                </w:p>
              </w:tc>
              <w:tc>
                <w:tcPr>
                  <w:tcW w:w="1276" w:type="dxa"/>
                </w:tcPr>
                <w:p w:rsidR="005244E3" w:rsidRPr="005244E3" w:rsidRDefault="005244E3" w:rsidP="005244E3">
                  <w:pPr>
                    <w:autoSpaceDE w:val="0"/>
                    <w:autoSpaceDN w:val="0"/>
                    <w:adjustRightInd w:val="0"/>
                    <w:rPr>
                      <w:rFonts w:ascii="Calibri" w:hAnsi="Calibri"/>
                      <w:bCs/>
                      <w:color w:val="000000"/>
                      <w:lang w:val="en-GB" w:eastAsia="nl-NL"/>
                    </w:rPr>
                  </w:pPr>
                  <w:r w:rsidRPr="005244E3">
                    <w:rPr>
                      <w:rFonts w:ascii="Calibri" w:hAnsi="Calibri"/>
                      <w:bCs/>
                      <w:color w:val="000000"/>
                      <w:lang w:val="en-GB" w:eastAsia="nl-NL"/>
                    </w:rPr>
                    <w:t>++</w:t>
                  </w:r>
                </w:p>
              </w:tc>
            </w:tr>
            <w:tr w:rsidR="005244E3" w:rsidRPr="005244E3" w:rsidTr="0029509A">
              <w:trPr>
                <w:jc w:val="center"/>
              </w:trPr>
              <w:tc>
                <w:tcPr>
                  <w:tcW w:w="2552" w:type="dxa"/>
                </w:tcPr>
                <w:p w:rsidR="005244E3" w:rsidRPr="005244E3" w:rsidRDefault="005244E3" w:rsidP="005244E3">
                  <w:pPr>
                    <w:autoSpaceDE w:val="0"/>
                    <w:autoSpaceDN w:val="0"/>
                    <w:adjustRightInd w:val="0"/>
                    <w:rPr>
                      <w:rFonts w:ascii="Calibri" w:hAnsi="Calibri"/>
                      <w:bCs/>
                      <w:color w:val="000000"/>
                      <w:lang w:val="en-GB" w:eastAsia="nl-NL"/>
                    </w:rPr>
                  </w:pPr>
                  <w:r w:rsidRPr="005244E3">
                    <w:rPr>
                      <w:rFonts w:ascii="Calibri" w:hAnsi="Calibri"/>
                      <w:bCs/>
                      <w:color w:val="000000"/>
                      <w:lang w:val="en-GB" w:eastAsia="nl-NL"/>
                    </w:rPr>
                    <w:t>Whole genome - NGS</w:t>
                  </w:r>
                </w:p>
              </w:tc>
              <w:tc>
                <w:tcPr>
                  <w:tcW w:w="1843" w:type="dxa"/>
                </w:tcPr>
                <w:p w:rsidR="005244E3" w:rsidRPr="005244E3" w:rsidRDefault="005244E3" w:rsidP="005244E3">
                  <w:pPr>
                    <w:autoSpaceDE w:val="0"/>
                    <w:autoSpaceDN w:val="0"/>
                    <w:adjustRightInd w:val="0"/>
                    <w:rPr>
                      <w:rFonts w:ascii="Calibri" w:hAnsi="Calibri"/>
                      <w:bCs/>
                      <w:color w:val="000000"/>
                      <w:lang w:val="en-GB" w:eastAsia="nl-NL"/>
                    </w:rPr>
                  </w:pPr>
                  <w:r w:rsidRPr="005244E3">
                    <w:rPr>
                      <w:rFonts w:ascii="Calibri" w:hAnsi="Calibri"/>
                      <w:bCs/>
                      <w:color w:val="000000"/>
                      <w:lang w:val="en-GB" w:eastAsia="nl-NL"/>
                    </w:rPr>
                    <w:t>no</w:t>
                  </w:r>
                </w:p>
              </w:tc>
              <w:tc>
                <w:tcPr>
                  <w:tcW w:w="1417" w:type="dxa"/>
                </w:tcPr>
                <w:p w:rsidR="005244E3" w:rsidRPr="005244E3" w:rsidRDefault="005244E3" w:rsidP="005244E3">
                  <w:pPr>
                    <w:autoSpaceDE w:val="0"/>
                    <w:autoSpaceDN w:val="0"/>
                    <w:adjustRightInd w:val="0"/>
                    <w:rPr>
                      <w:rFonts w:ascii="Calibri" w:hAnsi="Calibri"/>
                      <w:bCs/>
                      <w:color w:val="000000"/>
                      <w:lang w:val="en-GB" w:eastAsia="nl-NL"/>
                    </w:rPr>
                  </w:pPr>
                  <w:r w:rsidRPr="005244E3">
                    <w:rPr>
                      <w:rFonts w:ascii="Calibri" w:hAnsi="Calibri"/>
                      <w:bCs/>
                      <w:color w:val="000000"/>
                      <w:lang w:val="en-GB" w:eastAsia="nl-NL"/>
                    </w:rPr>
                    <w:t>€€€€</w:t>
                  </w:r>
                </w:p>
              </w:tc>
              <w:tc>
                <w:tcPr>
                  <w:tcW w:w="1276" w:type="dxa"/>
                </w:tcPr>
                <w:p w:rsidR="005244E3" w:rsidRPr="005244E3" w:rsidRDefault="005244E3" w:rsidP="005244E3">
                  <w:pPr>
                    <w:autoSpaceDE w:val="0"/>
                    <w:autoSpaceDN w:val="0"/>
                    <w:adjustRightInd w:val="0"/>
                    <w:rPr>
                      <w:rFonts w:ascii="Calibri" w:hAnsi="Calibri"/>
                      <w:bCs/>
                      <w:color w:val="000000"/>
                      <w:lang w:val="en-GB" w:eastAsia="nl-NL"/>
                    </w:rPr>
                  </w:pPr>
                  <w:r w:rsidRPr="005244E3">
                    <w:rPr>
                      <w:rFonts w:ascii="Calibri" w:hAnsi="Calibri"/>
                      <w:bCs/>
                      <w:color w:val="000000"/>
                      <w:lang w:val="en-GB" w:eastAsia="nl-NL"/>
                    </w:rPr>
                    <w:t>+</w:t>
                  </w:r>
                </w:p>
              </w:tc>
            </w:tr>
          </w:tbl>
          <w:p w:rsidR="005244E3" w:rsidRPr="005244E3" w:rsidRDefault="005244E3" w:rsidP="005244E3">
            <w:pPr>
              <w:rPr>
                <w:sz w:val="18"/>
                <w:szCs w:val="18"/>
                <w:lang w:val="en-GB"/>
              </w:rPr>
            </w:pPr>
          </w:p>
        </w:tc>
      </w:tr>
      <w:tr w:rsidR="005244E3" w:rsidRPr="005244E3" w:rsidTr="005244E3">
        <w:trPr>
          <w:cantSplit/>
        </w:trPr>
        <w:tc>
          <w:tcPr>
            <w:tcW w:w="9629" w:type="dxa"/>
            <w:tcBorders>
              <w:left w:val="single" w:sz="4" w:space="0" w:color="auto"/>
              <w:bottom w:val="single" w:sz="4" w:space="0" w:color="auto"/>
              <w:right w:val="single" w:sz="4" w:space="0" w:color="auto"/>
            </w:tcBorders>
            <w:shd w:val="clear" w:color="auto" w:fill="D9D9D9" w:themeFill="background1" w:themeFillShade="D9"/>
          </w:tcPr>
          <w:p w:rsidR="005244E3" w:rsidRPr="005244E3" w:rsidRDefault="005244E3" w:rsidP="005244E3">
            <w:pPr>
              <w:rPr>
                <w:sz w:val="18"/>
                <w:szCs w:val="18"/>
                <w:u w:val="single"/>
              </w:rPr>
            </w:pPr>
          </w:p>
        </w:tc>
      </w:tr>
    </w:tbl>
    <w:p w:rsidR="005244E3" w:rsidRDefault="005244E3" w:rsidP="005244E3"/>
    <w:p w:rsidR="005244E3" w:rsidRPr="000279A4" w:rsidRDefault="005244E3" w:rsidP="005244E3">
      <w:pPr>
        <w:ind w:left="567" w:right="567"/>
        <w:rPr>
          <w:sz w:val="18"/>
        </w:rPr>
      </w:pPr>
      <w:r w:rsidRPr="000279A4">
        <w:rPr>
          <w:sz w:val="18"/>
        </w:rPr>
        <w:t>[…]</w:t>
      </w:r>
    </w:p>
    <w:p w:rsidR="005244E3" w:rsidRDefault="005244E3" w:rsidP="005244E3">
      <w:pPr>
        <w:ind w:left="567" w:right="567"/>
        <w:rPr>
          <w:sz w:val="18"/>
        </w:rPr>
      </w:pPr>
    </w:p>
    <w:p w:rsidR="00CE1423" w:rsidRDefault="00CE1423" w:rsidP="00E11B99"/>
    <w:tbl>
      <w:tblPr>
        <w:tblW w:w="0" w:type="auto"/>
        <w:tblBorders>
          <w:top w:val="single" w:sz="4" w:space="0" w:color="auto"/>
          <w:left w:val="single" w:sz="4" w:space="0" w:color="auto"/>
          <w:bottom w:val="single" w:sz="4" w:space="0" w:color="auto"/>
          <w:right w:val="single" w:sz="4" w:space="0" w:color="auto"/>
        </w:tblBorders>
        <w:shd w:val="clear" w:color="auto" w:fill="FDE9D9" w:themeFill="accent6" w:themeFillTint="33"/>
        <w:tblLook w:val="04A0" w:firstRow="1" w:lastRow="0" w:firstColumn="1" w:lastColumn="0" w:noHBand="0" w:noVBand="1"/>
      </w:tblPr>
      <w:tblGrid>
        <w:gridCol w:w="9629"/>
      </w:tblGrid>
      <w:tr w:rsidR="005244E3" w:rsidRPr="0047703B" w:rsidTr="005720B1">
        <w:trPr>
          <w:cantSplit/>
        </w:trPr>
        <w:tc>
          <w:tcPr>
            <w:tcW w:w="9855" w:type="dxa"/>
            <w:shd w:val="clear" w:color="auto" w:fill="FDE9D9" w:themeFill="accent6" w:themeFillTint="33"/>
          </w:tcPr>
          <w:p w:rsidR="005244E3" w:rsidRPr="00521A15" w:rsidRDefault="005244E3" w:rsidP="0029509A">
            <w:pPr>
              <w:rPr>
                <w:szCs w:val="18"/>
              </w:rPr>
            </w:pPr>
          </w:p>
          <w:p w:rsidR="005244E3" w:rsidRPr="00521A15" w:rsidRDefault="005244E3" w:rsidP="0029509A">
            <w:pPr>
              <w:rPr>
                <w:szCs w:val="18"/>
                <w:lang w:eastAsia="ja-JP"/>
              </w:rPr>
            </w:pPr>
            <w:r w:rsidRPr="00521A15">
              <w:rPr>
                <w:szCs w:val="18"/>
                <w:u w:val="single"/>
              </w:rPr>
              <w:t>Comments by ESA</w:t>
            </w:r>
          </w:p>
          <w:p w:rsidR="005244E3" w:rsidRPr="00CE1423" w:rsidRDefault="005244E3" w:rsidP="0029509A">
            <w:pPr>
              <w:rPr>
                <w:sz w:val="22"/>
                <w:szCs w:val="18"/>
              </w:rPr>
            </w:pPr>
          </w:p>
          <w:p w:rsidR="005244E3" w:rsidRPr="00CE1423" w:rsidRDefault="005244E3" w:rsidP="0029509A">
            <w:pPr>
              <w:rPr>
                <w:szCs w:val="18"/>
              </w:rPr>
            </w:pPr>
            <w:r w:rsidRPr="005244E3">
              <w:rPr>
                <w:szCs w:val="18"/>
              </w:rPr>
              <w:t>what is meant by this?</w:t>
            </w:r>
          </w:p>
          <w:p w:rsidR="005244E3" w:rsidRPr="00CE1423" w:rsidRDefault="005244E3" w:rsidP="0029509A">
            <w:pPr>
              <w:rPr>
                <w:szCs w:val="18"/>
              </w:rPr>
            </w:pPr>
          </w:p>
          <w:p w:rsidR="005244E3" w:rsidRPr="00EF1F39" w:rsidRDefault="005244E3" w:rsidP="0029509A">
            <w:pPr>
              <w:rPr>
                <w:sz w:val="18"/>
                <w:szCs w:val="18"/>
              </w:rPr>
            </w:pPr>
          </w:p>
        </w:tc>
      </w:tr>
    </w:tbl>
    <w:p w:rsidR="00CE1423" w:rsidRDefault="00CE1423" w:rsidP="00E11B99"/>
    <w:p w:rsidR="005244E3" w:rsidRDefault="005244E3" w:rsidP="00E37F4E">
      <w:pPr>
        <w:tabs>
          <w:tab w:val="left" w:pos="1440"/>
        </w:tabs>
      </w:pPr>
    </w:p>
    <w:p w:rsidR="008869D3" w:rsidRPr="000279A4" w:rsidRDefault="008869D3" w:rsidP="008869D3">
      <w:pPr>
        <w:ind w:left="567" w:right="567"/>
        <w:rPr>
          <w:sz w:val="18"/>
        </w:rPr>
      </w:pPr>
      <w:r w:rsidRPr="000279A4">
        <w:rPr>
          <w:sz w:val="18"/>
        </w:rPr>
        <w:t>[…]</w:t>
      </w:r>
    </w:p>
    <w:p w:rsidR="008869D3" w:rsidRDefault="008869D3" w:rsidP="008869D3">
      <w:pPr>
        <w:ind w:left="567" w:right="567"/>
        <w:rPr>
          <w:sz w:val="18"/>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29"/>
      </w:tblGrid>
      <w:tr w:rsidR="008869D3" w:rsidTr="008869D3">
        <w:trPr>
          <w:cantSplit/>
        </w:trPr>
        <w:tc>
          <w:tcPr>
            <w:tcW w:w="9629" w:type="dxa"/>
            <w:shd w:val="clear" w:color="auto" w:fill="D9D9D9" w:themeFill="background1" w:themeFillShade="D9"/>
          </w:tcPr>
          <w:p w:rsidR="008869D3" w:rsidRPr="0047703B" w:rsidRDefault="008869D3" w:rsidP="0029509A">
            <w:pPr>
              <w:rPr>
                <w:sz w:val="18"/>
                <w:szCs w:val="18"/>
              </w:rPr>
            </w:pPr>
          </w:p>
          <w:p w:rsidR="008869D3" w:rsidRPr="0047703B" w:rsidRDefault="008869D3" w:rsidP="0029509A">
            <w:pPr>
              <w:rPr>
                <w:sz w:val="18"/>
                <w:szCs w:val="18"/>
                <w:lang w:eastAsia="ja-JP"/>
              </w:rPr>
            </w:pPr>
            <w:r>
              <w:rPr>
                <w:sz w:val="18"/>
                <w:szCs w:val="18"/>
                <w:u w:val="single"/>
              </w:rPr>
              <w:t>Comments</w:t>
            </w:r>
            <w:r w:rsidRPr="0047703B">
              <w:rPr>
                <w:sz w:val="18"/>
                <w:szCs w:val="18"/>
                <w:u w:val="single"/>
              </w:rPr>
              <w:t xml:space="preserve"> by </w:t>
            </w:r>
            <w:r>
              <w:rPr>
                <w:sz w:val="18"/>
                <w:szCs w:val="18"/>
                <w:u w:val="single"/>
              </w:rPr>
              <w:t>Ecuador</w:t>
            </w:r>
            <w:r w:rsidRPr="00775C96">
              <w:rPr>
                <w:sz w:val="18"/>
                <w:szCs w:val="18"/>
              </w:rPr>
              <w:t xml:space="preserve"> </w:t>
            </w:r>
            <w:r w:rsidRPr="00775C96">
              <w:rPr>
                <w:sz w:val="18"/>
                <w:szCs w:val="18"/>
                <w:vertAlign w:val="superscript"/>
              </w:rPr>
              <w:t>i</w:t>
            </w:r>
            <w:r>
              <w:rPr>
                <w:sz w:val="18"/>
                <w:szCs w:val="18"/>
                <w:vertAlign w:val="superscript"/>
              </w:rPr>
              <w:t>v</w:t>
            </w:r>
          </w:p>
          <w:p w:rsidR="008869D3" w:rsidRPr="0047703B" w:rsidRDefault="008869D3" w:rsidP="0029509A">
            <w:pPr>
              <w:rPr>
                <w:sz w:val="18"/>
                <w:szCs w:val="18"/>
              </w:rPr>
            </w:pPr>
          </w:p>
          <w:p w:rsidR="008869D3" w:rsidRPr="00B63669" w:rsidRDefault="008869D3" w:rsidP="0029509A">
            <w:pPr>
              <w:rPr>
                <w:sz w:val="18"/>
                <w:szCs w:val="18"/>
              </w:rPr>
            </w:pPr>
            <w:r w:rsidRPr="00B63669">
              <w:rPr>
                <w:sz w:val="18"/>
                <w:szCs w:val="18"/>
              </w:rPr>
              <w:t xml:space="preserve">What criteria are used to guarantee an </w:t>
            </w:r>
            <w:r w:rsidRPr="008869D3">
              <w:rPr>
                <w:sz w:val="18"/>
                <w:szCs w:val="18"/>
                <w:highlight w:val="yellow"/>
              </w:rPr>
              <w:t>authentic, representative sample of the variety?</w:t>
            </w:r>
          </w:p>
          <w:p w:rsidR="008869D3" w:rsidRDefault="008869D3" w:rsidP="0029509A">
            <w:pPr>
              <w:rPr>
                <w:sz w:val="18"/>
                <w:szCs w:val="18"/>
              </w:rPr>
            </w:pPr>
          </w:p>
          <w:p w:rsidR="008869D3" w:rsidRPr="00B63669" w:rsidRDefault="008869D3" w:rsidP="0029509A">
            <w:pPr>
              <w:rPr>
                <w:sz w:val="18"/>
                <w:szCs w:val="18"/>
              </w:rPr>
            </w:pPr>
            <w:r w:rsidRPr="00B63669">
              <w:rPr>
                <w:sz w:val="18"/>
                <w:szCs w:val="18"/>
              </w:rPr>
              <w:t>What is meant by “where possible, [the plant material] should be obtained from the sample of the variety used for examination for the purposes of plant breeders' rights or for official registration”?</w:t>
            </w:r>
          </w:p>
          <w:p w:rsidR="008869D3" w:rsidRPr="00B63669" w:rsidRDefault="008869D3" w:rsidP="0029509A">
            <w:pPr>
              <w:rPr>
                <w:sz w:val="18"/>
                <w:szCs w:val="18"/>
              </w:rPr>
            </w:pPr>
          </w:p>
          <w:p w:rsidR="008869D3" w:rsidRPr="00B63669" w:rsidRDefault="008869D3" w:rsidP="0029509A">
            <w:pPr>
              <w:rPr>
                <w:sz w:val="18"/>
                <w:szCs w:val="18"/>
              </w:rPr>
            </w:pPr>
            <w:r w:rsidRPr="00B63669">
              <w:rPr>
                <w:sz w:val="18"/>
                <w:szCs w:val="18"/>
              </w:rPr>
              <w:t>What is the protocol for obtaining the sample and how is permission obtained to take the sample?</w:t>
            </w:r>
          </w:p>
          <w:p w:rsidR="008869D3" w:rsidRPr="00B63669" w:rsidRDefault="008869D3" w:rsidP="0029509A">
            <w:pPr>
              <w:rPr>
                <w:sz w:val="18"/>
                <w:szCs w:val="18"/>
              </w:rPr>
            </w:pPr>
          </w:p>
          <w:p w:rsidR="008869D3" w:rsidRPr="00B63669" w:rsidRDefault="008869D3" w:rsidP="0029509A">
            <w:pPr>
              <w:rPr>
                <w:sz w:val="18"/>
                <w:szCs w:val="18"/>
              </w:rPr>
            </w:pPr>
            <w:r w:rsidRPr="00B63669">
              <w:rPr>
                <w:sz w:val="18"/>
                <w:szCs w:val="18"/>
              </w:rPr>
              <w:t>Will a bank of germplasm solely from plant material be created? What authority will be the custodian of that information or will the samples be kept by each relevant authority?</w:t>
            </w:r>
          </w:p>
          <w:p w:rsidR="008869D3" w:rsidRPr="00B63669" w:rsidRDefault="008869D3" w:rsidP="0029509A">
            <w:pPr>
              <w:rPr>
                <w:sz w:val="18"/>
                <w:szCs w:val="18"/>
              </w:rPr>
            </w:pPr>
          </w:p>
          <w:p w:rsidR="008869D3" w:rsidRDefault="008869D3" w:rsidP="0029509A">
            <w:pPr>
              <w:rPr>
                <w:sz w:val="18"/>
                <w:szCs w:val="18"/>
              </w:rPr>
            </w:pPr>
            <w:r w:rsidRPr="00B63669">
              <w:rPr>
                <w:sz w:val="18"/>
                <w:szCs w:val="18"/>
              </w:rPr>
              <w:t>The document recommended in the general introduction that the size of the representative samples for determining the number of plants is for plants used in the open field and not for determining the number of plants for sequencing.</w:t>
            </w:r>
          </w:p>
          <w:p w:rsidR="008869D3" w:rsidRPr="0047703B" w:rsidRDefault="008869D3" w:rsidP="0029509A">
            <w:pPr>
              <w:rPr>
                <w:sz w:val="18"/>
                <w:szCs w:val="18"/>
              </w:rPr>
            </w:pPr>
          </w:p>
        </w:tc>
      </w:tr>
    </w:tbl>
    <w:p w:rsidR="008869D3" w:rsidRDefault="008869D3" w:rsidP="00E37F4E">
      <w:pPr>
        <w:tabs>
          <w:tab w:val="left" w:pos="1440"/>
        </w:tabs>
      </w:pPr>
    </w:p>
    <w:p w:rsidR="008869D3" w:rsidRPr="000279A4" w:rsidRDefault="008869D3" w:rsidP="008869D3">
      <w:pPr>
        <w:ind w:left="567" w:right="567"/>
        <w:rPr>
          <w:sz w:val="18"/>
        </w:rPr>
      </w:pPr>
      <w:r w:rsidRPr="000279A4">
        <w:rPr>
          <w:sz w:val="18"/>
        </w:rPr>
        <w:t>[…]</w:t>
      </w:r>
    </w:p>
    <w:p w:rsidR="008869D3" w:rsidRDefault="008869D3" w:rsidP="008869D3">
      <w:pPr>
        <w:ind w:left="567" w:right="567"/>
        <w:rPr>
          <w:sz w:val="18"/>
        </w:rPr>
      </w:pPr>
    </w:p>
    <w:tbl>
      <w:tblPr>
        <w:tblW w:w="0" w:type="auto"/>
        <w:tblBorders>
          <w:top w:val="single" w:sz="4" w:space="0" w:color="auto"/>
          <w:left w:val="single" w:sz="4" w:space="0" w:color="auto"/>
          <w:bottom w:val="single" w:sz="4" w:space="0" w:color="auto"/>
          <w:right w:val="single" w:sz="4" w:space="0" w:color="auto"/>
        </w:tblBorders>
        <w:shd w:val="clear" w:color="auto" w:fill="FDE9D9" w:themeFill="accent6" w:themeFillTint="33"/>
        <w:tblLook w:val="04A0" w:firstRow="1" w:lastRow="0" w:firstColumn="1" w:lastColumn="0" w:noHBand="0" w:noVBand="1"/>
      </w:tblPr>
      <w:tblGrid>
        <w:gridCol w:w="9629"/>
      </w:tblGrid>
      <w:tr w:rsidR="008869D3" w:rsidRPr="0047703B" w:rsidTr="005720B1">
        <w:trPr>
          <w:cantSplit/>
        </w:trPr>
        <w:tc>
          <w:tcPr>
            <w:tcW w:w="9855" w:type="dxa"/>
            <w:shd w:val="clear" w:color="auto" w:fill="FDE9D9" w:themeFill="accent6" w:themeFillTint="33"/>
          </w:tcPr>
          <w:p w:rsidR="008869D3" w:rsidRPr="00521A15" w:rsidRDefault="008869D3" w:rsidP="0029509A">
            <w:pPr>
              <w:rPr>
                <w:szCs w:val="18"/>
              </w:rPr>
            </w:pPr>
          </w:p>
          <w:p w:rsidR="008869D3" w:rsidRPr="00521A15" w:rsidRDefault="008869D3" w:rsidP="0029509A">
            <w:pPr>
              <w:rPr>
                <w:szCs w:val="18"/>
                <w:lang w:eastAsia="ja-JP"/>
              </w:rPr>
            </w:pPr>
            <w:r w:rsidRPr="00521A15">
              <w:rPr>
                <w:szCs w:val="18"/>
                <w:u w:val="single"/>
              </w:rPr>
              <w:t>Comments by ESA</w:t>
            </w:r>
          </w:p>
          <w:p w:rsidR="008869D3" w:rsidRPr="00CE1423" w:rsidRDefault="008869D3" w:rsidP="0029509A">
            <w:pPr>
              <w:rPr>
                <w:sz w:val="22"/>
                <w:szCs w:val="18"/>
              </w:rPr>
            </w:pPr>
          </w:p>
          <w:p w:rsidR="008869D3" w:rsidRPr="008869D3" w:rsidRDefault="008869D3" w:rsidP="008869D3">
            <w:pPr>
              <w:rPr>
                <w:szCs w:val="18"/>
              </w:rPr>
            </w:pPr>
            <w:r w:rsidRPr="008869D3">
              <w:rPr>
                <w:szCs w:val="18"/>
              </w:rPr>
              <w:t xml:space="preserve">This is a very important issue! that ISTA protocols are meant to obtain authentic and representative samples in an objective of seed testing including identity and purity checks. On adventitious presence, ISTA sampling methods are also named in the EU Commission recommendation 2004/787 on technical guidelines and detection of GMOs. </w:t>
            </w:r>
          </w:p>
          <w:p w:rsidR="008869D3" w:rsidRPr="00EF1F39" w:rsidRDefault="008869D3" w:rsidP="0029509A">
            <w:pPr>
              <w:rPr>
                <w:sz w:val="18"/>
                <w:szCs w:val="18"/>
              </w:rPr>
            </w:pPr>
          </w:p>
        </w:tc>
      </w:tr>
    </w:tbl>
    <w:p w:rsidR="008869D3" w:rsidRDefault="008869D3" w:rsidP="00E37F4E">
      <w:pPr>
        <w:tabs>
          <w:tab w:val="left" w:pos="1440"/>
        </w:tabs>
      </w:pPr>
    </w:p>
    <w:p w:rsidR="002A3D34" w:rsidRDefault="002A3D34" w:rsidP="002A3D34">
      <w:pPr>
        <w:tabs>
          <w:tab w:val="left" w:pos="1440"/>
        </w:tabs>
      </w:pPr>
    </w:p>
    <w:p w:rsidR="002A3D34" w:rsidRPr="000279A4" w:rsidRDefault="002A3D34" w:rsidP="002A3D34">
      <w:pPr>
        <w:ind w:left="567" w:right="567"/>
        <w:rPr>
          <w:sz w:val="18"/>
        </w:rPr>
      </w:pPr>
      <w:r w:rsidRPr="000279A4">
        <w:rPr>
          <w:sz w:val="18"/>
        </w:rPr>
        <w:t>[…]</w:t>
      </w:r>
    </w:p>
    <w:p w:rsidR="002A3D34" w:rsidRDefault="002A3D34" w:rsidP="002A3D34">
      <w:pPr>
        <w:ind w:left="567" w:right="567"/>
        <w:rPr>
          <w:sz w:val="18"/>
        </w:rPr>
      </w:pPr>
    </w:p>
    <w:p w:rsidR="002A3D34" w:rsidRDefault="002A3D34" w:rsidP="00E37F4E">
      <w:pPr>
        <w:tabs>
          <w:tab w:val="left" w:pos="1440"/>
        </w:tabs>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29"/>
      </w:tblGrid>
      <w:tr w:rsidR="00B220B3" w:rsidRPr="00A31197" w:rsidTr="00B220B3">
        <w:trPr>
          <w:cantSplit/>
        </w:trPr>
        <w:tc>
          <w:tcPr>
            <w:tcW w:w="9629" w:type="dxa"/>
            <w:shd w:val="clear" w:color="auto" w:fill="D9D9D9" w:themeFill="background1" w:themeFillShade="D9"/>
          </w:tcPr>
          <w:p w:rsidR="00B220B3" w:rsidRPr="00A31197" w:rsidRDefault="00B220B3" w:rsidP="00B220B3">
            <w:pPr>
              <w:tabs>
                <w:tab w:val="left" w:pos="1440"/>
              </w:tabs>
              <w:rPr>
                <w:sz w:val="18"/>
                <w:u w:val="single"/>
              </w:rPr>
            </w:pPr>
          </w:p>
          <w:p w:rsidR="00B220B3" w:rsidRPr="00A31197" w:rsidRDefault="00B220B3" w:rsidP="00B220B3">
            <w:pPr>
              <w:tabs>
                <w:tab w:val="left" w:pos="1440"/>
              </w:tabs>
              <w:rPr>
                <w:sz w:val="18"/>
                <w:vertAlign w:val="superscript"/>
              </w:rPr>
            </w:pPr>
            <w:r w:rsidRPr="00A31197">
              <w:rPr>
                <w:sz w:val="18"/>
                <w:u w:val="single"/>
              </w:rPr>
              <w:t>Joint comments from the European Union, France and the Netherlands</w:t>
            </w:r>
            <w:r w:rsidRPr="00A31197">
              <w:rPr>
                <w:sz w:val="18"/>
                <w:vertAlign w:val="superscript"/>
              </w:rPr>
              <w:t xml:space="preserve"> ii </w:t>
            </w:r>
          </w:p>
          <w:p w:rsidR="00B220B3" w:rsidRPr="00A31197" w:rsidRDefault="00B220B3" w:rsidP="00B220B3">
            <w:pPr>
              <w:tabs>
                <w:tab w:val="left" w:pos="1440"/>
              </w:tabs>
              <w:rPr>
                <w:sz w:val="18"/>
              </w:rPr>
            </w:pPr>
          </w:p>
          <w:p w:rsidR="00B220B3" w:rsidRPr="00A31197" w:rsidRDefault="00B220B3" w:rsidP="00B220B3">
            <w:pPr>
              <w:tabs>
                <w:tab w:val="left" w:pos="1440"/>
              </w:tabs>
              <w:rPr>
                <w:sz w:val="18"/>
                <w:lang w:val="en-GB"/>
              </w:rPr>
            </w:pPr>
            <w:r w:rsidRPr="00A31197">
              <w:rPr>
                <w:sz w:val="18"/>
                <w:lang w:val="en-GB"/>
              </w:rPr>
              <w:t>To delete current section 5.3 and replace with a new section 3 “Phase 3: EVALUATION OF THE SELECTED MARKER SET AND DETECTION METHOD (fit for purpose validation of the marker set and technological validation of the method)” with the following subsections:</w:t>
            </w:r>
          </w:p>
          <w:p w:rsidR="00B220B3" w:rsidRPr="00A31197" w:rsidRDefault="00B220B3" w:rsidP="00B220B3">
            <w:pPr>
              <w:tabs>
                <w:tab w:val="left" w:pos="1440"/>
              </w:tabs>
              <w:rPr>
                <w:sz w:val="18"/>
                <w:lang w:val="en-GB"/>
              </w:rPr>
            </w:pPr>
          </w:p>
          <w:p w:rsidR="00B220B3" w:rsidRPr="00A31197" w:rsidRDefault="00B220B3" w:rsidP="00B220B3">
            <w:pPr>
              <w:tabs>
                <w:tab w:val="left" w:pos="1440"/>
              </w:tabs>
              <w:rPr>
                <w:i/>
                <w:sz w:val="18"/>
                <w:lang w:val="en-GB"/>
              </w:rPr>
            </w:pPr>
            <w:r w:rsidRPr="00A31197">
              <w:rPr>
                <w:sz w:val="18"/>
                <w:lang w:val="en-GB"/>
              </w:rPr>
              <w:t>3.1     General requirements for molecular marker set development</w:t>
            </w:r>
          </w:p>
          <w:p w:rsidR="00B220B3" w:rsidRPr="00A31197" w:rsidRDefault="00B220B3" w:rsidP="00B220B3">
            <w:pPr>
              <w:tabs>
                <w:tab w:val="left" w:pos="1440"/>
              </w:tabs>
              <w:rPr>
                <w:sz w:val="18"/>
                <w:lang w:val="en-GB"/>
              </w:rPr>
            </w:pPr>
          </w:p>
          <w:p w:rsidR="00B220B3" w:rsidRPr="00A31197" w:rsidRDefault="00B220B3" w:rsidP="00B220B3">
            <w:pPr>
              <w:tabs>
                <w:tab w:val="left" w:pos="1440"/>
              </w:tabs>
              <w:rPr>
                <w:sz w:val="18"/>
                <w:lang w:val="en-GB"/>
              </w:rPr>
            </w:pPr>
            <w:r w:rsidRPr="00A31197">
              <w:rPr>
                <w:sz w:val="18"/>
                <w:lang w:val="en-GB"/>
              </w:rPr>
              <w:t>3.1.1.   Selection of the varieties - defining the genetic width of the marker set</w:t>
            </w:r>
          </w:p>
          <w:p w:rsidR="00B220B3" w:rsidRPr="00A31197" w:rsidRDefault="00B220B3" w:rsidP="00B220B3">
            <w:pPr>
              <w:tabs>
                <w:tab w:val="left" w:pos="1440"/>
              </w:tabs>
              <w:rPr>
                <w:i/>
                <w:sz w:val="18"/>
                <w:lang w:val="en-GB"/>
              </w:rPr>
            </w:pPr>
          </w:p>
          <w:p w:rsidR="00B220B3" w:rsidRPr="00A31197" w:rsidRDefault="00B220B3" w:rsidP="00B220B3">
            <w:pPr>
              <w:tabs>
                <w:tab w:val="left" w:pos="1440"/>
              </w:tabs>
              <w:rPr>
                <w:sz w:val="18"/>
                <w:lang w:val="en-GB"/>
              </w:rPr>
            </w:pPr>
            <w:r w:rsidRPr="00A31197">
              <w:rPr>
                <w:sz w:val="18"/>
                <w:lang w:val="en-GB"/>
              </w:rPr>
              <w:t xml:space="preserve">The selection of the varieties on which the molecular markers are developed is crucial. An appropriate number of varieties, based on the genetic variability within the species and type of variety concerned, </w:t>
            </w:r>
            <w:proofErr w:type="gramStart"/>
            <w:r w:rsidRPr="00A31197">
              <w:rPr>
                <w:sz w:val="18"/>
                <w:lang w:val="en-GB"/>
              </w:rPr>
              <w:t>should be selected</w:t>
            </w:r>
            <w:proofErr w:type="gramEnd"/>
            <w:r w:rsidRPr="00A31197">
              <w:rPr>
                <w:sz w:val="18"/>
                <w:lang w:val="en-GB"/>
              </w:rPr>
              <w:t xml:space="preserve">. The selected varieties should be well characterized (morphologically) and true-to-type. The choice of varieties should reflect the maximum range of diversity within the group/crop/species/type - representative sampling of the particular group/crop/species/type </w:t>
            </w:r>
            <w:proofErr w:type="gramStart"/>
            <w:r w:rsidRPr="00A31197">
              <w:rPr>
                <w:sz w:val="18"/>
                <w:lang w:val="en-GB"/>
              </w:rPr>
              <w:t>must be guaranteed</w:t>
            </w:r>
            <w:proofErr w:type="gramEnd"/>
            <w:r w:rsidRPr="00A31197">
              <w:rPr>
                <w:sz w:val="18"/>
                <w:lang w:val="en-GB"/>
              </w:rPr>
              <w:t xml:space="preserve">. In addition, some genetically very similar varieties or lines, some parents and offspring, genetically close but morphologically distinct varieties, some morphologically close varieties with different pedigree should be included, to enable to ‘measure’ the level of discriminative capacity of the markers and to determine the ‘suitability’ of the marker set.  </w:t>
            </w:r>
          </w:p>
          <w:p w:rsidR="00B220B3" w:rsidRPr="00A31197" w:rsidRDefault="00B220B3" w:rsidP="00B220B3">
            <w:pPr>
              <w:tabs>
                <w:tab w:val="left" w:pos="1440"/>
              </w:tabs>
              <w:rPr>
                <w:sz w:val="18"/>
                <w:lang w:val="en-GB"/>
              </w:rPr>
            </w:pPr>
          </w:p>
          <w:p w:rsidR="00B220B3" w:rsidRPr="00A31197" w:rsidRDefault="00B220B3" w:rsidP="00B220B3">
            <w:pPr>
              <w:tabs>
                <w:tab w:val="left" w:pos="1440"/>
              </w:tabs>
              <w:rPr>
                <w:sz w:val="18"/>
                <w:lang w:val="en-GB"/>
              </w:rPr>
            </w:pPr>
            <w:r w:rsidRPr="00A31197">
              <w:rPr>
                <w:sz w:val="18"/>
                <w:lang w:val="en-GB"/>
              </w:rPr>
              <w:t>3.1.2.   Generation of molecular data of selected varieties – defining the genetic depth of the marker set</w:t>
            </w:r>
          </w:p>
          <w:p w:rsidR="00B220B3" w:rsidRPr="00A31197" w:rsidRDefault="00B220B3" w:rsidP="00B220B3">
            <w:pPr>
              <w:tabs>
                <w:tab w:val="left" w:pos="1440"/>
              </w:tabs>
              <w:rPr>
                <w:sz w:val="18"/>
                <w:lang w:val="en-GB"/>
              </w:rPr>
            </w:pPr>
          </w:p>
          <w:p w:rsidR="00B220B3" w:rsidRPr="00A31197" w:rsidRDefault="00B220B3" w:rsidP="00B220B3">
            <w:pPr>
              <w:tabs>
                <w:tab w:val="left" w:pos="1440"/>
              </w:tabs>
              <w:rPr>
                <w:sz w:val="18"/>
                <w:lang w:val="en-GB"/>
              </w:rPr>
            </w:pPr>
            <w:r w:rsidRPr="00A31197">
              <w:rPr>
                <w:sz w:val="18"/>
                <w:lang w:val="en-GB"/>
              </w:rPr>
              <w:t xml:space="preserve">Primers used in a particular laboratory should be synthesized by an assured supplier, to reduce the possibility of different DNA profiles </w:t>
            </w:r>
            <w:proofErr w:type="gramStart"/>
            <w:r w:rsidRPr="00A31197">
              <w:rPr>
                <w:sz w:val="18"/>
                <w:lang w:val="en-GB"/>
              </w:rPr>
              <w:t>as a result</w:t>
            </w:r>
            <w:proofErr w:type="gramEnd"/>
            <w:r w:rsidRPr="00A31197">
              <w:rPr>
                <w:sz w:val="18"/>
                <w:lang w:val="en-GB"/>
              </w:rPr>
              <w:t xml:space="preserve"> of using primers synthesized through different sources.</w:t>
            </w:r>
          </w:p>
          <w:p w:rsidR="00B220B3" w:rsidRPr="00A31197" w:rsidRDefault="00B220B3" w:rsidP="00B220B3">
            <w:pPr>
              <w:tabs>
                <w:tab w:val="left" w:pos="1440"/>
              </w:tabs>
              <w:rPr>
                <w:sz w:val="18"/>
                <w:lang w:val="en-GB"/>
              </w:rPr>
            </w:pPr>
            <w:r w:rsidRPr="00A31197">
              <w:rPr>
                <w:sz w:val="18"/>
                <w:lang w:val="en-GB"/>
              </w:rPr>
              <w:t xml:space="preserve">There are several ways to collect the data on the genetic diversity within the particular group/crop/species/type for which a marker set is to be developed.  </w:t>
            </w:r>
          </w:p>
          <w:p w:rsidR="00B220B3" w:rsidRPr="00A31197" w:rsidRDefault="00B220B3" w:rsidP="00B220B3">
            <w:pPr>
              <w:tabs>
                <w:tab w:val="left" w:pos="1440"/>
              </w:tabs>
              <w:rPr>
                <w:sz w:val="18"/>
                <w:lang w:val="en-GB"/>
              </w:rPr>
            </w:pPr>
          </w:p>
        </w:tc>
      </w:tr>
    </w:tbl>
    <w:p w:rsidR="00B220B3" w:rsidRDefault="00B220B3" w:rsidP="00B220B3">
      <w:pPr>
        <w:tabs>
          <w:tab w:val="left" w:pos="1440"/>
        </w:tabs>
      </w:pPr>
    </w:p>
    <w:p w:rsidR="00B220B3" w:rsidRPr="000279A4" w:rsidRDefault="00B220B3" w:rsidP="00B220B3">
      <w:pPr>
        <w:ind w:left="567" w:right="567"/>
        <w:rPr>
          <w:sz w:val="18"/>
        </w:rPr>
      </w:pPr>
      <w:r w:rsidRPr="000279A4">
        <w:rPr>
          <w:sz w:val="18"/>
        </w:rPr>
        <w:lastRenderedPageBreak/>
        <w:t>[…]</w:t>
      </w:r>
    </w:p>
    <w:p w:rsidR="00B220B3" w:rsidRDefault="00B220B3" w:rsidP="00B220B3">
      <w:pPr>
        <w:ind w:left="567" w:right="567"/>
        <w:rPr>
          <w:sz w:val="18"/>
        </w:rPr>
      </w:pPr>
    </w:p>
    <w:p w:rsidR="00B220B3" w:rsidRDefault="00B220B3" w:rsidP="00B220B3">
      <w:pPr>
        <w:tabs>
          <w:tab w:val="left" w:pos="1440"/>
        </w:tabs>
      </w:pPr>
    </w:p>
    <w:tbl>
      <w:tblPr>
        <w:tblW w:w="0" w:type="auto"/>
        <w:tblBorders>
          <w:top w:val="single" w:sz="4" w:space="0" w:color="auto"/>
          <w:left w:val="single" w:sz="4" w:space="0" w:color="auto"/>
          <w:bottom w:val="single" w:sz="4" w:space="0" w:color="auto"/>
          <w:right w:val="single" w:sz="4" w:space="0" w:color="auto"/>
        </w:tblBorders>
        <w:shd w:val="clear" w:color="auto" w:fill="FDE9D9" w:themeFill="accent6" w:themeFillTint="33"/>
        <w:tblLook w:val="04A0" w:firstRow="1" w:lastRow="0" w:firstColumn="1" w:lastColumn="0" w:noHBand="0" w:noVBand="1"/>
      </w:tblPr>
      <w:tblGrid>
        <w:gridCol w:w="9629"/>
      </w:tblGrid>
      <w:tr w:rsidR="00B220B3" w:rsidRPr="0047703B" w:rsidTr="005720B1">
        <w:trPr>
          <w:cantSplit/>
        </w:trPr>
        <w:tc>
          <w:tcPr>
            <w:tcW w:w="9855" w:type="dxa"/>
            <w:shd w:val="clear" w:color="auto" w:fill="FDE9D9" w:themeFill="accent6" w:themeFillTint="33"/>
          </w:tcPr>
          <w:p w:rsidR="00B220B3" w:rsidRPr="00521A15" w:rsidRDefault="00B220B3" w:rsidP="0029509A">
            <w:pPr>
              <w:rPr>
                <w:szCs w:val="18"/>
              </w:rPr>
            </w:pPr>
          </w:p>
          <w:p w:rsidR="00B220B3" w:rsidRPr="00521A15" w:rsidRDefault="00B220B3" w:rsidP="0029509A">
            <w:pPr>
              <w:rPr>
                <w:szCs w:val="18"/>
                <w:lang w:eastAsia="ja-JP"/>
              </w:rPr>
            </w:pPr>
            <w:r w:rsidRPr="00521A15">
              <w:rPr>
                <w:szCs w:val="18"/>
                <w:u w:val="single"/>
              </w:rPr>
              <w:t>Comments by ESA</w:t>
            </w:r>
          </w:p>
          <w:p w:rsidR="00B220B3" w:rsidRPr="00CE1423" w:rsidRDefault="00B220B3" w:rsidP="0029509A">
            <w:pPr>
              <w:rPr>
                <w:sz w:val="22"/>
                <w:szCs w:val="18"/>
              </w:rPr>
            </w:pPr>
          </w:p>
          <w:p w:rsidR="00B220B3" w:rsidRPr="008869D3" w:rsidRDefault="00B220B3" w:rsidP="0029509A">
            <w:pPr>
              <w:rPr>
                <w:szCs w:val="18"/>
              </w:rPr>
            </w:pPr>
            <w:r w:rsidRPr="00B220B3">
              <w:rPr>
                <w:szCs w:val="18"/>
              </w:rPr>
              <w:t>Are primers always needed? What about NGS?</w:t>
            </w:r>
            <w:r w:rsidRPr="008869D3">
              <w:rPr>
                <w:szCs w:val="18"/>
              </w:rPr>
              <w:t xml:space="preserve">. </w:t>
            </w:r>
          </w:p>
          <w:p w:rsidR="00B220B3" w:rsidRPr="00EF1F39" w:rsidRDefault="00B220B3" w:rsidP="0029509A">
            <w:pPr>
              <w:rPr>
                <w:sz w:val="18"/>
                <w:szCs w:val="18"/>
              </w:rPr>
            </w:pPr>
          </w:p>
        </w:tc>
      </w:tr>
    </w:tbl>
    <w:p w:rsidR="008869D3" w:rsidRDefault="008869D3" w:rsidP="00E37F4E">
      <w:pPr>
        <w:tabs>
          <w:tab w:val="left" w:pos="1440"/>
        </w:tabs>
      </w:pPr>
    </w:p>
    <w:p w:rsidR="004E64F0" w:rsidRDefault="004E64F0" w:rsidP="004E64F0">
      <w:pPr>
        <w:tabs>
          <w:tab w:val="left" w:pos="1440"/>
        </w:tabs>
      </w:pPr>
    </w:p>
    <w:p w:rsidR="004E64F0" w:rsidRPr="000279A4" w:rsidRDefault="004E64F0" w:rsidP="004E64F0">
      <w:pPr>
        <w:ind w:left="567" w:right="567"/>
        <w:rPr>
          <w:sz w:val="18"/>
        </w:rPr>
      </w:pPr>
      <w:r w:rsidRPr="000279A4">
        <w:rPr>
          <w:sz w:val="18"/>
        </w:rPr>
        <w:t>[…]</w:t>
      </w:r>
    </w:p>
    <w:p w:rsidR="004E64F0" w:rsidRDefault="004E64F0" w:rsidP="004E64F0">
      <w:pPr>
        <w:ind w:left="567" w:right="567"/>
        <w:rPr>
          <w:sz w:val="18"/>
        </w:rPr>
      </w:pPr>
    </w:p>
    <w:p w:rsidR="004E64F0" w:rsidRPr="004E64F0" w:rsidRDefault="004E64F0" w:rsidP="004E64F0">
      <w:pPr>
        <w:tabs>
          <w:tab w:val="left" w:pos="1440"/>
        </w:tabs>
        <w:rPr>
          <w:sz w:val="18"/>
          <w:u w:val="single"/>
        </w:rPr>
      </w:pPr>
      <w:bookmarkStart w:id="4" w:name="_Toc522523230"/>
      <w:r w:rsidRPr="004E64F0">
        <w:rPr>
          <w:sz w:val="18"/>
          <w:u w:val="single"/>
        </w:rPr>
        <w:t>6.</w:t>
      </w:r>
      <w:r w:rsidRPr="004E64F0">
        <w:rPr>
          <w:sz w:val="18"/>
          <w:u w:val="single"/>
        </w:rPr>
        <w:tab/>
        <w:t>Databases</w:t>
      </w:r>
      <w:bookmarkEnd w:id="4"/>
      <w:r w:rsidRPr="004E64F0">
        <w:rPr>
          <w:sz w:val="18"/>
          <w:u w:val="single"/>
        </w:rPr>
        <w:t xml:space="preserve"> </w:t>
      </w:r>
    </w:p>
    <w:p w:rsidR="004E64F0" w:rsidRPr="004E64F0" w:rsidRDefault="004E64F0" w:rsidP="004E64F0">
      <w:pPr>
        <w:tabs>
          <w:tab w:val="left" w:pos="1440"/>
        </w:tabs>
        <w:rPr>
          <w:u w:val="single"/>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29"/>
      </w:tblGrid>
      <w:tr w:rsidR="004E64F0" w:rsidRPr="004E64F0" w:rsidTr="004E64F0">
        <w:trPr>
          <w:cantSplit/>
        </w:trPr>
        <w:tc>
          <w:tcPr>
            <w:tcW w:w="9629" w:type="dxa"/>
            <w:shd w:val="clear" w:color="auto" w:fill="D9D9D9" w:themeFill="background1" w:themeFillShade="D9"/>
          </w:tcPr>
          <w:p w:rsidR="004E64F0" w:rsidRPr="004E64F0" w:rsidRDefault="004E64F0" w:rsidP="004E64F0">
            <w:pPr>
              <w:tabs>
                <w:tab w:val="left" w:pos="1440"/>
              </w:tabs>
              <w:rPr>
                <w:sz w:val="18"/>
                <w:u w:val="single"/>
              </w:rPr>
            </w:pPr>
          </w:p>
          <w:p w:rsidR="004E64F0" w:rsidRPr="004E64F0" w:rsidRDefault="004E64F0" w:rsidP="004E64F0">
            <w:pPr>
              <w:tabs>
                <w:tab w:val="left" w:pos="1440"/>
              </w:tabs>
              <w:rPr>
                <w:sz w:val="18"/>
                <w:vertAlign w:val="superscript"/>
              </w:rPr>
            </w:pPr>
            <w:r w:rsidRPr="004E64F0">
              <w:rPr>
                <w:sz w:val="18"/>
                <w:u w:val="single"/>
              </w:rPr>
              <w:t>Joint comments from the European Union, France and the Netherlands</w:t>
            </w:r>
            <w:r w:rsidRPr="004E64F0">
              <w:rPr>
                <w:sz w:val="18"/>
                <w:vertAlign w:val="superscript"/>
              </w:rPr>
              <w:t xml:space="preserve"> ii </w:t>
            </w:r>
          </w:p>
          <w:p w:rsidR="004E64F0" w:rsidRPr="004E64F0" w:rsidRDefault="004E64F0" w:rsidP="004E64F0">
            <w:pPr>
              <w:tabs>
                <w:tab w:val="left" w:pos="1440"/>
              </w:tabs>
              <w:rPr>
                <w:sz w:val="18"/>
              </w:rPr>
            </w:pPr>
          </w:p>
          <w:p w:rsidR="004E64F0" w:rsidRPr="004E64F0" w:rsidRDefault="004E64F0" w:rsidP="004E64F0">
            <w:pPr>
              <w:tabs>
                <w:tab w:val="left" w:pos="1440"/>
              </w:tabs>
              <w:rPr>
                <w:sz w:val="18"/>
                <w:lang w:val="en-GB"/>
              </w:rPr>
            </w:pPr>
            <w:r w:rsidRPr="004E64F0">
              <w:rPr>
                <w:sz w:val="18"/>
                <w:lang w:val="en-GB"/>
              </w:rPr>
              <w:t>To delete current section 6 and replace with a new section 5 “Phase 5: CONSTRUCTION OF A SPECIES-SPECIFIC DATABASE” with the following texts and subsection 5.1:</w:t>
            </w:r>
          </w:p>
          <w:p w:rsidR="004E64F0" w:rsidRPr="004E64F0" w:rsidRDefault="004E64F0" w:rsidP="004E64F0">
            <w:pPr>
              <w:tabs>
                <w:tab w:val="left" w:pos="1440"/>
              </w:tabs>
              <w:rPr>
                <w:sz w:val="18"/>
                <w:lang w:val="en-GB"/>
              </w:rPr>
            </w:pPr>
          </w:p>
          <w:p w:rsidR="004E64F0" w:rsidRPr="004E64F0" w:rsidRDefault="004E64F0" w:rsidP="004E64F0">
            <w:pPr>
              <w:tabs>
                <w:tab w:val="left" w:pos="1440"/>
              </w:tabs>
              <w:rPr>
                <w:sz w:val="18"/>
                <w:lang w:val="en-GB"/>
              </w:rPr>
            </w:pPr>
            <w:r w:rsidRPr="004E64F0">
              <w:rPr>
                <w:sz w:val="18"/>
                <w:lang w:val="en-GB"/>
              </w:rPr>
              <w:t xml:space="preserve">A database and the data that is stored in a shared database and how it is stored in a database reflects the process of producing the data. The database should store: </w:t>
            </w:r>
          </w:p>
          <w:p w:rsidR="004E64F0" w:rsidRPr="004E64F0" w:rsidRDefault="004E64F0" w:rsidP="004E64F0">
            <w:pPr>
              <w:tabs>
                <w:tab w:val="left" w:pos="1440"/>
              </w:tabs>
              <w:rPr>
                <w:sz w:val="18"/>
                <w:highlight w:val="yellow"/>
                <w:lang w:val="en-GB"/>
              </w:rPr>
            </w:pPr>
            <w:r w:rsidRPr="004E64F0">
              <w:rPr>
                <w:sz w:val="18"/>
                <w:lang w:val="en-GB"/>
              </w:rPr>
              <w:t xml:space="preserve">      (</w:t>
            </w:r>
            <w:r w:rsidRPr="004E64F0">
              <w:rPr>
                <w:sz w:val="18"/>
                <w:highlight w:val="yellow"/>
                <w:lang w:val="en-GB"/>
              </w:rPr>
              <w:t>1)   the end results, e.g. the genotype as well as how it was derived both in terms of;</w:t>
            </w:r>
          </w:p>
          <w:p w:rsidR="004E64F0" w:rsidRPr="004E64F0" w:rsidRDefault="004E64F0" w:rsidP="004E64F0">
            <w:pPr>
              <w:tabs>
                <w:tab w:val="left" w:pos="1440"/>
              </w:tabs>
              <w:rPr>
                <w:sz w:val="18"/>
                <w:highlight w:val="yellow"/>
                <w:lang w:val="en-GB"/>
              </w:rPr>
            </w:pPr>
            <w:r w:rsidRPr="004E64F0">
              <w:rPr>
                <w:sz w:val="18"/>
                <w:lang w:val="en-GB"/>
              </w:rPr>
              <w:t xml:space="preserve">      </w:t>
            </w:r>
            <w:r w:rsidRPr="004E64F0">
              <w:rPr>
                <w:sz w:val="18"/>
                <w:highlight w:val="yellow"/>
                <w:lang w:val="en-GB"/>
              </w:rPr>
              <w:t>(2)   sequencing library preparation; and</w:t>
            </w:r>
          </w:p>
          <w:p w:rsidR="004E64F0" w:rsidRPr="004E64F0" w:rsidRDefault="004E64F0" w:rsidP="004E64F0">
            <w:pPr>
              <w:tabs>
                <w:tab w:val="left" w:pos="1440"/>
              </w:tabs>
              <w:rPr>
                <w:sz w:val="18"/>
                <w:lang w:val="en-GB"/>
              </w:rPr>
            </w:pPr>
            <w:r w:rsidRPr="004E64F0">
              <w:rPr>
                <w:sz w:val="18"/>
                <w:lang w:val="en-GB"/>
              </w:rPr>
              <w:t xml:space="preserve">      </w:t>
            </w:r>
            <w:r w:rsidRPr="004E64F0">
              <w:rPr>
                <w:sz w:val="18"/>
                <w:highlight w:val="yellow"/>
                <w:lang w:val="en-GB"/>
              </w:rPr>
              <w:t>(3)   the computational steps for deriving a genotype.</w:t>
            </w:r>
            <w:r w:rsidRPr="004E64F0">
              <w:rPr>
                <w:sz w:val="18"/>
                <w:lang w:val="en-GB"/>
              </w:rPr>
              <w:t xml:space="preserve"> </w:t>
            </w:r>
          </w:p>
          <w:p w:rsidR="004E64F0" w:rsidRPr="004E64F0" w:rsidRDefault="004E64F0" w:rsidP="004E64F0">
            <w:pPr>
              <w:tabs>
                <w:tab w:val="left" w:pos="1440"/>
              </w:tabs>
              <w:rPr>
                <w:sz w:val="18"/>
                <w:lang w:val="en-GB"/>
              </w:rPr>
            </w:pPr>
          </w:p>
          <w:p w:rsidR="004E64F0" w:rsidRPr="004E64F0" w:rsidRDefault="004E64F0" w:rsidP="004E64F0">
            <w:pPr>
              <w:tabs>
                <w:tab w:val="left" w:pos="1440"/>
              </w:tabs>
              <w:rPr>
                <w:sz w:val="18"/>
                <w:lang w:val="en-GB"/>
              </w:rPr>
            </w:pPr>
            <w:r w:rsidRPr="004E64F0">
              <w:rPr>
                <w:sz w:val="18"/>
                <w:lang w:val="en-GB"/>
              </w:rPr>
              <w:t>5.1   Requirements of a database</w:t>
            </w:r>
          </w:p>
          <w:p w:rsidR="004E64F0" w:rsidRPr="004E64F0" w:rsidRDefault="004E64F0" w:rsidP="004E64F0">
            <w:pPr>
              <w:tabs>
                <w:tab w:val="left" w:pos="1440"/>
              </w:tabs>
              <w:rPr>
                <w:sz w:val="18"/>
                <w:lang w:val="en-GB"/>
              </w:rPr>
            </w:pPr>
            <w:r w:rsidRPr="004E64F0">
              <w:rPr>
                <w:sz w:val="18"/>
                <w:lang w:val="en-GB"/>
              </w:rPr>
              <w:tab/>
              <w:t>(a)</w:t>
            </w:r>
            <w:r w:rsidRPr="004E64F0">
              <w:rPr>
                <w:sz w:val="18"/>
                <w:lang w:val="en-GB"/>
              </w:rPr>
              <w:tab/>
              <w:t>The database architecture should be flexible, e.g. allow for storing both flat files as well as compressed archives.</w:t>
            </w:r>
          </w:p>
          <w:p w:rsidR="004E64F0" w:rsidRPr="004E64F0" w:rsidRDefault="004E64F0" w:rsidP="004E64F0">
            <w:pPr>
              <w:tabs>
                <w:tab w:val="left" w:pos="1440"/>
              </w:tabs>
              <w:rPr>
                <w:sz w:val="18"/>
                <w:lang w:val="en-GB"/>
              </w:rPr>
            </w:pPr>
            <w:r w:rsidRPr="004E64F0">
              <w:rPr>
                <w:sz w:val="18"/>
                <w:lang w:val="en-GB"/>
              </w:rPr>
              <w:tab/>
              <w:t>(b)</w:t>
            </w:r>
            <w:r w:rsidRPr="004E64F0">
              <w:rPr>
                <w:sz w:val="18"/>
                <w:lang w:val="en-GB"/>
              </w:rPr>
              <w:tab/>
              <w:t xml:space="preserve">Contains different tables, separate tables and entries are required for library prep (the wet-lab work), data processing and the genotyping scores. </w:t>
            </w:r>
          </w:p>
          <w:p w:rsidR="004E64F0" w:rsidRPr="004E64F0" w:rsidRDefault="004E64F0" w:rsidP="004E64F0">
            <w:pPr>
              <w:tabs>
                <w:tab w:val="left" w:pos="1440"/>
              </w:tabs>
              <w:rPr>
                <w:sz w:val="18"/>
                <w:lang w:val="en-GB"/>
              </w:rPr>
            </w:pPr>
            <w:r w:rsidRPr="004E64F0">
              <w:rPr>
                <w:sz w:val="18"/>
                <w:lang w:val="en-GB"/>
              </w:rPr>
              <w:tab/>
              <w:t>(c)</w:t>
            </w:r>
            <w:r w:rsidRPr="004E64F0">
              <w:rPr>
                <w:sz w:val="18"/>
                <w:lang w:val="en-GB"/>
              </w:rPr>
              <w:tab/>
              <w:t>Store information at different levels (allele scores / how the allele score was called (the rules or the interpretation rules behind a decision) / (links) to the raw data (tiff files, bam files, xx files that came out of the machine that produced the data that were used for Allele scoring and interpretation).</w:t>
            </w:r>
          </w:p>
          <w:p w:rsidR="004E64F0" w:rsidRPr="004E64F0" w:rsidRDefault="004E64F0" w:rsidP="004E64F0">
            <w:pPr>
              <w:tabs>
                <w:tab w:val="left" w:pos="1440"/>
              </w:tabs>
              <w:rPr>
                <w:sz w:val="18"/>
                <w:lang w:val="en-GB"/>
              </w:rPr>
            </w:pPr>
            <w:r w:rsidRPr="004E64F0">
              <w:rPr>
                <w:sz w:val="18"/>
                <w:lang w:val="en-GB"/>
              </w:rPr>
              <w:tab/>
              <w:t>(d)</w:t>
            </w:r>
            <w:r w:rsidRPr="004E64F0">
              <w:rPr>
                <w:sz w:val="18"/>
                <w:lang w:val="en-GB"/>
              </w:rPr>
              <w:tab/>
              <w:t xml:space="preserve">For sequencing data, variant call files in </w:t>
            </w:r>
            <w:r w:rsidRPr="004E64F0">
              <w:rPr>
                <w:sz w:val="18"/>
                <w:highlight w:val="yellow"/>
                <w:lang w:val="en-GB"/>
              </w:rPr>
              <w:t>VCF or BCF</w:t>
            </w:r>
            <w:r w:rsidRPr="004E64F0">
              <w:rPr>
                <w:sz w:val="18"/>
                <w:lang w:val="en-GB"/>
              </w:rPr>
              <w:t xml:space="preserve"> format corresponding to the standard version 4.2 or higher should be used. Header entries should contain the name and version of the different scripts used for both sequence read mapping, read filtering, variant calling and variant filtering in such a way that a competent </w:t>
            </w:r>
            <w:proofErr w:type="spellStart"/>
            <w:r w:rsidRPr="004E64F0">
              <w:rPr>
                <w:sz w:val="18"/>
                <w:lang w:val="en-GB"/>
              </w:rPr>
              <w:t>bioinformatician</w:t>
            </w:r>
            <w:proofErr w:type="spellEnd"/>
            <w:r w:rsidRPr="004E64F0">
              <w:rPr>
                <w:sz w:val="18"/>
                <w:lang w:val="en-GB"/>
              </w:rPr>
              <w:t xml:space="preserve"> can repeat the analysis.</w:t>
            </w:r>
          </w:p>
          <w:p w:rsidR="004E64F0" w:rsidRPr="004E64F0" w:rsidRDefault="004E64F0" w:rsidP="004E64F0">
            <w:pPr>
              <w:tabs>
                <w:tab w:val="left" w:pos="1440"/>
              </w:tabs>
              <w:rPr>
                <w:sz w:val="18"/>
                <w:lang w:val="en-GB"/>
              </w:rPr>
            </w:pPr>
            <w:r w:rsidRPr="004E64F0">
              <w:rPr>
                <w:sz w:val="18"/>
                <w:lang w:val="en-GB"/>
              </w:rPr>
              <w:tab/>
              <w:t>(e)</w:t>
            </w:r>
            <w:r w:rsidRPr="004E64F0">
              <w:rPr>
                <w:sz w:val="18"/>
                <w:lang w:val="en-GB"/>
              </w:rPr>
              <w:tab/>
              <w:t>In case of replicate samples, one consensus genotype entry can be computed and stored in case the genotypes of the replicates match. In case of non-matching replicates, the record needs to be flagged or filtered out where appropriate. The rules applied for these cases need to be documented in a publicly accessible code repository that is references from the variant call file. Frequencies could also be used for heterogeneous varieties.</w:t>
            </w:r>
          </w:p>
          <w:p w:rsidR="004E64F0" w:rsidRPr="004E64F0" w:rsidRDefault="004E64F0" w:rsidP="004E64F0">
            <w:pPr>
              <w:tabs>
                <w:tab w:val="left" w:pos="1440"/>
              </w:tabs>
              <w:rPr>
                <w:sz w:val="18"/>
                <w:lang w:val="en-GB"/>
              </w:rPr>
            </w:pPr>
            <w:r w:rsidRPr="004E64F0">
              <w:rPr>
                <w:sz w:val="18"/>
                <w:lang w:val="en-GB"/>
              </w:rPr>
              <w:tab/>
              <w:t>(f)</w:t>
            </w:r>
            <w:r w:rsidRPr="004E64F0">
              <w:rPr>
                <w:sz w:val="18"/>
                <w:lang w:val="en-GB"/>
              </w:rPr>
              <w:tab/>
              <w:t xml:space="preserve">The database should validate the </w:t>
            </w:r>
            <w:r w:rsidRPr="004E64F0">
              <w:rPr>
                <w:sz w:val="18"/>
                <w:highlight w:val="yellow"/>
                <w:lang w:val="en-GB"/>
              </w:rPr>
              <w:t>VCF and or BCF</w:t>
            </w:r>
            <w:r w:rsidRPr="004E64F0">
              <w:rPr>
                <w:sz w:val="18"/>
                <w:lang w:val="en-GB"/>
              </w:rPr>
              <w:t xml:space="preserve"> data against relevant specifications.</w:t>
            </w:r>
          </w:p>
          <w:p w:rsidR="004E64F0" w:rsidRPr="004E64F0" w:rsidRDefault="004E64F0" w:rsidP="004E64F0">
            <w:pPr>
              <w:tabs>
                <w:tab w:val="left" w:pos="1440"/>
              </w:tabs>
              <w:rPr>
                <w:sz w:val="18"/>
                <w:lang w:val="en-GB"/>
              </w:rPr>
            </w:pPr>
            <w:r w:rsidRPr="004E64F0">
              <w:rPr>
                <w:sz w:val="18"/>
                <w:lang w:val="en-GB"/>
              </w:rPr>
              <w:tab/>
              <w:t>(g)</w:t>
            </w:r>
            <w:r w:rsidRPr="004E64F0">
              <w:rPr>
                <w:sz w:val="18"/>
                <w:lang w:val="en-GB"/>
              </w:rPr>
              <w:tab/>
              <w:t>The database should have a web front-end that enables easy uploading, downloading and interactive exploration of the data. The systems for storing, analysing and interpreting the data should be build and function separately yet function well in concert.</w:t>
            </w:r>
          </w:p>
          <w:p w:rsidR="004E64F0" w:rsidRPr="004E64F0" w:rsidRDefault="004E64F0" w:rsidP="004E64F0">
            <w:pPr>
              <w:tabs>
                <w:tab w:val="left" w:pos="1440"/>
              </w:tabs>
              <w:rPr>
                <w:sz w:val="18"/>
                <w:lang w:val="en-GB"/>
              </w:rPr>
            </w:pPr>
            <w:r w:rsidRPr="004E64F0">
              <w:rPr>
                <w:sz w:val="18"/>
                <w:lang w:val="en-GB"/>
              </w:rPr>
              <w:tab/>
              <w:t>(h)</w:t>
            </w:r>
            <w:r w:rsidRPr="004E64F0">
              <w:rPr>
                <w:sz w:val="18"/>
                <w:lang w:val="en-GB"/>
              </w:rPr>
              <w:tab/>
              <w:t>Easy to share data, an API is recommended.</w:t>
            </w:r>
          </w:p>
          <w:p w:rsidR="004E64F0" w:rsidRPr="004E64F0" w:rsidRDefault="004E64F0" w:rsidP="004E64F0">
            <w:pPr>
              <w:tabs>
                <w:tab w:val="left" w:pos="1440"/>
              </w:tabs>
              <w:rPr>
                <w:sz w:val="18"/>
                <w:lang w:val="en-GB"/>
              </w:rPr>
            </w:pPr>
          </w:p>
        </w:tc>
      </w:tr>
    </w:tbl>
    <w:p w:rsidR="004E64F0" w:rsidRDefault="004E64F0" w:rsidP="004E64F0">
      <w:pPr>
        <w:tabs>
          <w:tab w:val="left" w:pos="1440"/>
        </w:tabs>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29"/>
      </w:tblGrid>
      <w:tr w:rsidR="004E64F0" w:rsidRPr="004E64F0" w:rsidTr="0029509A">
        <w:trPr>
          <w:cantSplit/>
        </w:trPr>
        <w:tc>
          <w:tcPr>
            <w:tcW w:w="9855" w:type="dxa"/>
            <w:shd w:val="clear" w:color="auto" w:fill="D9D9D9" w:themeFill="background1" w:themeFillShade="D9"/>
          </w:tcPr>
          <w:p w:rsidR="004E64F0" w:rsidRPr="004E64F0" w:rsidRDefault="004E64F0" w:rsidP="004E64F0">
            <w:pPr>
              <w:rPr>
                <w:sz w:val="18"/>
                <w:szCs w:val="18"/>
                <w:u w:val="single"/>
              </w:rPr>
            </w:pPr>
          </w:p>
          <w:p w:rsidR="004E64F0" w:rsidRPr="004E64F0" w:rsidRDefault="004E64F0" w:rsidP="004E64F0">
            <w:pPr>
              <w:rPr>
                <w:sz w:val="18"/>
                <w:szCs w:val="18"/>
                <w:vertAlign w:val="superscript"/>
              </w:rPr>
            </w:pPr>
            <w:r w:rsidRPr="004E64F0">
              <w:rPr>
                <w:sz w:val="18"/>
                <w:szCs w:val="18"/>
                <w:u w:val="single"/>
              </w:rPr>
              <w:t>Joint comments from the European Union, France and the Netherlands</w:t>
            </w:r>
            <w:r w:rsidRPr="004E64F0">
              <w:rPr>
                <w:sz w:val="18"/>
                <w:szCs w:val="18"/>
                <w:vertAlign w:val="superscript"/>
              </w:rPr>
              <w:t xml:space="preserve"> ii </w:t>
            </w:r>
          </w:p>
          <w:p w:rsidR="004E64F0" w:rsidRPr="004E64F0" w:rsidRDefault="004E64F0" w:rsidP="004E64F0">
            <w:pPr>
              <w:rPr>
                <w:sz w:val="18"/>
                <w:szCs w:val="18"/>
                <w:lang w:eastAsia="nl-NL"/>
              </w:rPr>
            </w:pPr>
          </w:p>
          <w:p w:rsidR="004E64F0" w:rsidRPr="004E64F0" w:rsidRDefault="004E64F0" w:rsidP="004E64F0">
            <w:pPr>
              <w:rPr>
                <w:sz w:val="18"/>
                <w:szCs w:val="18"/>
                <w:lang w:val="en-GB" w:eastAsia="nl-NL"/>
              </w:rPr>
            </w:pPr>
            <w:r w:rsidRPr="004E64F0">
              <w:rPr>
                <w:sz w:val="18"/>
                <w:szCs w:val="18"/>
                <w:lang w:val="en-GB" w:eastAsia="nl-NL"/>
              </w:rPr>
              <w:t>To add a new section 5.3 “Data processing” with the following texts:</w:t>
            </w:r>
          </w:p>
          <w:p w:rsidR="004E64F0" w:rsidRPr="004E64F0" w:rsidRDefault="004E64F0" w:rsidP="004E64F0">
            <w:pPr>
              <w:rPr>
                <w:sz w:val="18"/>
                <w:szCs w:val="18"/>
                <w:shd w:val="pct15" w:color="auto" w:fill="FFFFFF"/>
                <w:lang w:val="en-GB" w:eastAsia="nl-NL"/>
              </w:rPr>
            </w:pPr>
          </w:p>
          <w:p w:rsidR="004E64F0" w:rsidRPr="004E64F0" w:rsidRDefault="004E64F0" w:rsidP="004E64F0">
            <w:pPr>
              <w:autoSpaceDE w:val="0"/>
              <w:autoSpaceDN w:val="0"/>
              <w:adjustRightInd w:val="0"/>
              <w:spacing w:line="240" w:lineRule="atLeast"/>
              <w:rPr>
                <w:sz w:val="18"/>
                <w:szCs w:val="18"/>
                <w:lang w:val="en-GB"/>
              </w:rPr>
            </w:pPr>
            <w:r w:rsidRPr="004E64F0">
              <w:rPr>
                <w:sz w:val="18"/>
                <w:szCs w:val="18"/>
                <w:lang w:val="en-GB"/>
              </w:rPr>
              <w:t>The pipeline for processing the data should keep a detailed log of:</w:t>
            </w:r>
          </w:p>
          <w:p w:rsidR="004E64F0" w:rsidRPr="004E64F0" w:rsidRDefault="004E64F0" w:rsidP="004E64F0">
            <w:pPr>
              <w:autoSpaceDE w:val="0"/>
              <w:autoSpaceDN w:val="0"/>
              <w:adjustRightInd w:val="0"/>
              <w:spacing w:line="240" w:lineRule="atLeast"/>
              <w:rPr>
                <w:sz w:val="18"/>
                <w:szCs w:val="18"/>
                <w:lang w:val="en-GB"/>
              </w:rPr>
            </w:pPr>
            <w:r w:rsidRPr="004E64F0">
              <w:rPr>
                <w:sz w:val="18"/>
                <w:szCs w:val="18"/>
                <w:shd w:val="pct15" w:color="auto" w:fill="FFFFFF"/>
                <w:lang w:val="en-GB" w:eastAsia="nl-NL"/>
              </w:rPr>
              <w:tab/>
            </w:r>
            <w:r w:rsidRPr="004E64F0">
              <w:rPr>
                <w:sz w:val="18"/>
                <w:szCs w:val="18"/>
                <w:lang w:val="en-GB"/>
              </w:rPr>
              <w:t>(a)</w:t>
            </w:r>
            <w:r w:rsidRPr="004E64F0">
              <w:rPr>
                <w:sz w:val="18"/>
                <w:szCs w:val="18"/>
                <w:lang w:val="en-GB"/>
              </w:rPr>
              <w:tab/>
              <w:t>Type and versions of tools;</w:t>
            </w:r>
          </w:p>
          <w:p w:rsidR="004E64F0" w:rsidRPr="004E64F0" w:rsidRDefault="004E64F0" w:rsidP="004E64F0">
            <w:pPr>
              <w:autoSpaceDE w:val="0"/>
              <w:autoSpaceDN w:val="0"/>
              <w:adjustRightInd w:val="0"/>
              <w:spacing w:line="240" w:lineRule="atLeast"/>
              <w:rPr>
                <w:sz w:val="18"/>
                <w:szCs w:val="18"/>
                <w:lang w:val="en-GB"/>
              </w:rPr>
            </w:pPr>
            <w:r w:rsidRPr="004E64F0">
              <w:rPr>
                <w:sz w:val="18"/>
                <w:szCs w:val="18"/>
                <w:shd w:val="pct15" w:color="auto" w:fill="FFFFFF"/>
                <w:lang w:val="en-GB" w:eastAsia="nl-NL"/>
              </w:rPr>
              <w:t xml:space="preserve">  </w:t>
            </w:r>
            <w:r w:rsidRPr="004E64F0">
              <w:rPr>
                <w:sz w:val="18"/>
                <w:szCs w:val="18"/>
                <w:shd w:val="pct15" w:color="auto" w:fill="FFFFFF"/>
                <w:lang w:val="en-GB" w:eastAsia="nl-NL"/>
              </w:rPr>
              <w:tab/>
            </w:r>
            <w:r w:rsidRPr="004E64F0">
              <w:rPr>
                <w:sz w:val="18"/>
                <w:szCs w:val="18"/>
                <w:lang w:val="en-GB"/>
              </w:rPr>
              <w:t>(b)</w:t>
            </w:r>
            <w:r w:rsidRPr="004E64F0">
              <w:rPr>
                <w:sz w:val="18"/>
                <w:szCs w:val="18"/>
                <w:lang w:val="en-GB"/>
              </w:rPr>
              <w:tab/>
              <w:t>Command line used for the tool;</w:t>
            </w:r>
          </w:p>
          <w:p w:rsidR="004E64F0" w:rsidRPr="004E64F0" w:rsidRDefault="004E64F0" w:rsidP="004E64F0">
            <w:pPr>
              <w:autoSpaceDE w:val="0"/>
              <w:autoSpaceDN w:val="0"/>
              <w:adjustRightInd w:val="0"/>
              <w:spacing w:line="240" w:lineRule="atLeast"/>
              <w:rPr>
                <w:sz w:val="18"/>
                <w:szCs w:val="18"/>
                <w:lang w:val="en-GB"/>
              </w:rPr>
            </w:pPr>
            <w:r w:rsidRPr="004E64F0">
              <w:rPr>
                <w:sz w:val="18"/>
                <w:szCs w:val="18"/>
                <w:shd w:val="pct15" w:color="auto" w:fill="FFFFFF"/>
                <w:lang w:val="en-GB" w:eastAsia="nl-NL"/>
              </w:rPr>
              <w:t xml:space="preserve">  </w:t>
            </w:r>
            <w:r w:rsidRPr="004E64F0">
              <w:rPr>
                <w:sz w:val="18"/>
                <w:szCs w:val="18"/>
                <w:shd w:val="pct15" w:color="auto" w:fill="FFFFFF"/>
                <w:lang w:val="en-GB" w:eastAsia="nl-NL"/>
              </w:rPr>
              <w:tab/>
            </w:r>
            <w:r w:rsidRPr="004E64F0">
              <w:rPr>
                <w:sz w:val="18"/>
                <w:szCs w:val="18"/>
                <w:lang w:val="en-GB"/>
              </w:rPr>
              <w:t>(c)</w:t>
            </w:r>
            <w:r w:rsidRPr="004E64F0">
              <w:rPr>
                <w:sz w:val="18"/>
                <w:szCs w:val="18"/>
                <w:lang w:val="en-GB"/>
              </w:rPr>
              <w:tab/>
              <w:t>Reproducibility counts;</w:t>
            </w:r>
          </w:p>
          <w:p w:rsidR="004E64F0" w:rsidRPr="004E64F0" w:rsidRDefault="004E64F0" w:rsidP="004E64F0">
            <w:pPr>
              <w:autoSpaceDE w:val="0"/>
              <w:autoSpaceDN w:val="0"/>
              <w:adjustRightInd w:val="0"/>
              <w:spacing w:line="240" w:lineRule="atLeast"/>
              <w:rPr>
                <w:sz w:val="18"/>
                <w:szCs w:val="18"/>
                <w:lang w:val="en-GB"/>
              </w:rPr>
            </w:pPr>
            <w:r w:rsidRPr="004E64F0">
              <w:rPr>
                <w:sz w:val="18"/>
                <w:szCs w:val="18"/>
                <w:shd w:val="pct15" w:color="auto" w:fill="FFFFFF"/>
                <w:lang w:val="en-GB" w:eastAsia="nl-NL"/>
              </w:rPr>
              <w:t xml:space="preserve">  </w:t>
            </w:r>
            <w:r w:rsidRPr="004E64F0">
              <w:rPr>
                <w:sz w:val="18"/>
                <w:szCs w:val="18"/>
                <w:shd w:val="pct15" w:color="auto" w:fill="FFFFFF"/>
                <w:lang w:val="en-GB" w:eastAsia="nl-NL"/>
              </w:rPr>
              <w:tab/>
            </w:r>
            <w:r w:rsidRPr="004E64F0">
              <w:rPr>
                <w:sz w:val="18"/>
                <w:szCs w:val="18"/>
                <w:lang w:val="en-GB"/>
              </w:rPr>
              <w:t>(d)</w:t>
            </w:r>
            <w:r w:rsidRPr="004E64F0">
              <w:rPr>
                <w:sz w:val="18"/>
                <w:szCs w:val="18"/>
                <w:lang w:val="en-GB"/>
              </w:rPr>
              <w:tab/>
              <w:t>Open source tools are preferred;</w:t>
            </w:r>
          </w:p>
          <w:p w:rsidR="004E64F0" w:rsidRPr="004E64F0" w:rsidRDefault="004E64F0" w:rsidP="004E64F0">
            <w:pPr>
              <w:autoSpaceDE w:val="0"/>
              <w:autoSpaceDN w:val="0"/>
              <w:adjustRightInd w:val="0"/>
              <w:spacing w:line="240" w:lineRule="atLeast"/>
              <w:rPr>
                <w:sz w:val="18"/>
                <w:szCs w:val="18"/>
                <w:lang w:val="en-GB"/>
              </w:rPr>
            </w:pPr>
            <w:r w:rsidRPr="004E64F0">
              <w:rPr>
                <w:sz w:val="18"/>
                <w:szCs w:val="18"/>
                <w:shd w:val="pct15" w:color="auto" w:fill="FFFFFF"/>
                <w:lang w:val="en-GB" w:eastAsia="nl-NL"/>
              </w:rPr>
              <w:t xml:space="preserve">  </w:t>
            </w:r>
            <w:r w:rsidRPr="004E64F0">
              <w:rPr>
                <w:sz w:val="18"/>
                <w:szCs w:val="18"/>
                <w:shd w:val="pct15" w:color="auto" w:fill="FFFFFF"/>
                <w:lang w:val="en-GB" w:eastAsia="nl-NL"/>
              </w:rPr>
              <w:tab/>
            </w:r>
            <w:r w:rsidRPr="004E64F0">
              <w:rPr>
                <w:sz w:val="18"/>
                <w:szCs w:val="18"/>
                <w:lang w:val="en-GB"/>
              </w:rPr>
              <w:t>(e)</w:t>
            </w:r>
            <w:r w:rsidRPr="004E64F0">
              <w:rPr>
                <w:sz w:val="18"/>
                <w:szCs w:val="18"/>
                <w:lang w:val="en-GB"/>
              </w:rPr>
              <w:tab/>
              <w:t>Sharing is encouraged;</w:t>
            </w:r>
          </w:p>
          <w:p w:rsidR="004E64F0" w:rsidRPr="004E64F0" w:rsidRDefault="004E64F0" w:rsidP="004E64F0">
            <w:pPr>
              <w:autoSpaceDE w:val="0"/>
              <w:autoSpaceDN w:val="0"/>
              <w:adjustRightInd w:val="0"/>
              <w:spacing w:line="240" w:lineRule="atLeast"/>
              <w:rPr>
                <w:sz w:val="18"/>
                <w:szCs w:val="18"/>
                <w:lang w:val="en-GB"/>
              </w:rPr>
            </w:pPr>
            <w:r w:rsidRPr="004E64F0">
              <w:rPr>
                <w:sz w:val="18"/>
                <w:szCs w:val="18"/>
                <w:shd w:val="pct15" w:color="auto" w:fill="FFFFFF"/>
                <w:lang w:val="en-GB" w:eastAsia="nl-NL"/>
              </w:rPr>
              <w:t xml:space="preserve">  </w:t>
            </w:r>
            <w:r w:rsidRPr="004E64F0">
              <w:rPr>
                <w:sz w:val="18"/>
                <w:szCs w:val="18"/>
                <w:shd w:val="pct15" w:color="auto" w:fill="FFFFFF"/>
                <w:lang w:val="en-GB" w:eastAsia="nl-NL"/>
              </w:rPr>
              <w:tab/>
            </w:r>
            <w:r w:rsidRPr="004E64F0">
              <w:rPr>
                <w:sz w:val="18"/>
                <w:szCs w:val="18"/>
                <w:lang w:val="en-GB"/>
              </w:rPr>
              <w:t>(f)</w:t>
            </w:r>
            <w:r w:rsidRPr="004E64F0">
              <w:rPr>
                <w:sz w:val="18"/>
                <w:szCs w:val="18"/>
                <w:lang w:val="en-GB"/>
              </w:rPr>
              <w:tab/>
              <w:t>Raw alignment data (bam or CRAM files) should be stored where possible;</w:t>
            </w:r>
          </w:p>
          <w:p w:rsidR="004E64F0" w:rsidRPr="004E64F0" w:rsidRDefault="004E64F0" w:rsidP="004E64F0">
            <w:pPr>
              <w:autoSpaceDE w:val="0"/>
              <w:autoSpaceDN w:val="0"/>
              <w:adjustRightInd w:val="0"/>
              <w:spacing w:line="240" w:lineRule="atLeast"/>
              <w:rPr>
                <w:sz w:val="18"/>
                <w:szCs w:val="18"/>
                <w:lang w:val="en-GB"/>
              </w:rPr>
            </w:pPr>
            <w:r w:rsidRPr="004E64F0">
              <w:rPr>
                <w:sz w:val="18"/>
                <w:szCs w:val="18"/>
                <w:shd w:val="pct15" w:color="auto" w:fill="FFFFFF"/>
                <w:lang w:val="en-GB" w:eastAsia="nl-NL"/>
              </w:rPr>
              <w:t xml:space="preserve">  </w:t>
            </w:r>
            <w:r w:rsidRPr="004E64F0">
              <w:rPr>
                <w:sz w:val="18"/>
                <w:szCs w:val="18"/>
                <w:shd w:val="pct15" w:color="auto" w:fill="FFFFFF"/>
                <w:lang w:val="en-GB" w:eastAsia="nl-NL"/>
              </w:rPr>
              <w:tab/>
            </w:r>
            <w:r w:rsidRPr="004E64F0">
              <w:rPr>
                <w:sz w:val="18"/>
                <w:szCs w:val="18"/>
                <w:lang w:val="en-GB"/>
              </w:rPr>
              <w:t>(g)</w:t>
            </w:r>
            <w:r w:rsidRPr="004E64F0">
              <w:rPr>
                <w:sz w:val="18"/>
                <w:szCs w:val="18"/>
                <w:lang w:val="en-GB"/>
              </w:rPr>
              <w:tab/>
              <w:t xml:space="preserve">Multi-sample </w:t>
            </w:r>
            <w:r w:rsidRPr="004E64F0">
              <w:rPr>
                <w:sz w:val="18"/>
                <w:szCs w:val="18"/>
                <w:highlight w:val="yellow"/>
                <w:lang w:val="en-GB"/>
              </w:rPr>
              <w:t>VCF files</w:t>
            </w:r>
            <w:r w:rsidRPr="004E64F0">
              <w:rPr>
                <w:sz w:val="18"/>
                <w:szCs w:val="18"/>
                <w:lang w:val="en-GB"/>
              </w:rPr>
              <w:t xml:space="preserve"> are not suitable, one VCF file per cultivar must be present;</w:t>
            </w:r>
          </w:p>
          <w:p w:rsidR="004E64F0" w:rsidRPr="004E64F0" w:rsidRDefault="004E64F0" w:rsidP="004E64F0">
            <w:pPr>
              <w:autoSpaceDE w:val="0"/>
              <w:autoSpaceDN w:val="0"/>
              <w:adjustRightInd w:val="0"/>
              <w:spacing w:line="240" w:lineRule="atLeast"/>
              <w:rPr>
                <w:sz w:val="18"/>
                <w:szCs w:val="18"/>
                <w:lang w:val="en-GB"/>
              </w:rPr>
            </w:pPr>
            <w:r w:rsidRPr="004E64F0">
              <w:rPr>
                <w:sz w:val="18"/>
                <w:szCs w:val="18"/>
                <w:shd w:val="pct15" w:color="auto" w:fill="FFFFFF"/>
                <w:lang w:val="en-GB" w:eastAsia="nl-NL"/>
              </w:rPr>
              <w:t xml:space="preserve">  </w:t>
            </w:r>
            <w:r w:rsidRPr="004E64F0">
              <w:rPr>
                <w:sz w:val="18"/>
                <w:szCs w:val="18"/>
                <w:shd w:val="pct15" w:color="auto" w:fill="FFFFFF"/>
                <w:lang w:val="en-GB" w:eastAsia="nl-NL"/>
              </w:rPr>
              <w:tab/>
            </w:r>
            <w:r w:rsidRPr="004E64F0">
              <w:rPr>
                <w:sz w:val="18"/>
                <w:szCs w:val="18"/>
                <w:lang w:val="en-GB"/>
              </w:rPr>
              <w:t>(h)</w:t>
            </w:r>
            <w:r w:rsidRPr="004E64F0">
              <w:rPr>
                <w:sz w:val="18"/>
                <w:szCs w:val="18"/>
                <w:lang w:val="en-GB"/>
              </w:rPr>
              <w:tab/>
              <w:t xml:space="preserve">If </w:t>
            </w:r>
            <w:r w:rsidRPr="004E64F0">
              <w:rPr>
                <w:sz w:val="18"/>
                <w:szCs w:val="18"/>
                <w:highlight w:val="yellow"/>
                <w:lang w:val="en-GB"/>
              </w:rPr>
              <w:t>VCF files</w:t>
            </w:r>
            <w:r w:rsidRPr="004E64F0">
              <w:rPr>
                <w:sz w:val="18"/>
                <w:szCs w:val="18"/>
                <w:lang w:val="en-GB"/>
              </w:rPr>
              <w:t xml:space="preserve"> are stored, all positions (both variants &amp; non-variants) and their depth should be stored;</w:t>
            </w:r>
          </w:p>
          <w:p w:rsidR="004E64F0" w:rsidRPr="004E64F0" w:rsidRDefault="004E64F0" w:rsidP="004E64F0">
            <w:pPr>
              <w:autoSpaceDE w:val="0"/>
              <w:autoSpaceDN w:val="0"/>
              <w:adjustRightInd w:val="0"/>
              <w:spacing w:line="240" w:lineRule="atLeast"/>
              <w:rPr>
                <w:sz w:val="18"/>
                <w:szCs w:val="18"/>
                <w:lang w:val="en-GB"/>
              </w:rPr>
            </w:pPr>
            <w:r w:rsidRPr="004E64F0">
              <w:rPr>
                <w:sz w:val="18"/>
                <w:szCs w:val="18"/>
                <w:shd w:val="pct15" w:color="auto" w:fill="FFFFFF"/>
                <w:lang w:val="en-GB" w:eastAsia="nl-NL"/>
              </w:rPr>
              <w:t xml:space="preserve">  </w:t>
            </w:r>
            <w:r w:rsidRPr="004E64F0">
              <w:rPr>
                <w:sz w:val="18"/>
                <w:szCs w:val="18"/>
                <w:shd w:val="pct15" w:color="auto" w:fill="FFFFFF"/>
                <w:lang w:val="en-GB" w:eastAsia="nl-NL"/>
              </w:rPr>
              <w:tab/>
            </w:r>
            <w:r w:rsidRPr="004E64F0">
              <w:rPr>
                <w:sz w:val="18"/>
                <w:szCs w:val="18"/>
                <w:lang w:val="en-GB"/>
              </w:rPr>
              <w:t>(</w:t>
            </w:r>
            <w:proofErr w:type="spellStart"/>
            <w:r w:rsidRPr="004E64F0">
              <w:rPr>
                <w:sz w:val="18"/>
                <w:szCs w:val="18"/>
                <w:lang w:val="en-GB"/>
              </w:rPr>
              <w:t>i</w:t>
            </w:r>
            <w:proofErr w:type="spellEnd"/>
            <w:r w:rsidRPr="004E64F0">
              <w:rPr>
                <w:sz w:val="18"/>
                <w:szCs w:val="18"/>
                <w:lang w:val="en-GB"/>
              </w:rPr>
              <w:t>)</w:t>
            </w:r>
            <w:r w:rsidRPr="004E64F0">
              <w:rPr>
                <w:sz w:val="18"/>
                <w:szCs w:val="18"/>
                <w:lang w:val="en-GB"/>
              </w:rPr>
              <w:tab/>
              <w:t>Both heuristic and probabilistic approached should be considered and compared for genotyping methods</w:t>
            </w:r>
            <w:r w:rsidRPr="004E64F0">
              <w:rPr>
                <w:sz w:val="18"/>
                <w:szCs w:val="18"/>
                <w:shd w:val="pct15" w:color="auto" w:fill="FFFFFF"/>
                <w:lang w:val="en-GB" w:eastAsia="nl-NL"/>
              </w:rPr>
              <w:t>;</w:t>
            </w:r>
          </w:p>
          <w:p w:rsidR="004E64F0" w:rsidRPr="004E64F0" w:rsidRDefault="004E64F0" w:rsidP="004E64F0">
            <w:pPr>
              <w:autoSpaceDE w:val="0"/>
              <w:autoSpaceDN w:val="0"/>
              <w:adjustRightInd w:val="0"/>
              <w:spacing w:line="240" w:lineRule="atLeast"/>
              <w:rPr>
                <w:sz w:val="18"/>
                <w:szCs w:val="18"/>
                <w:lang w:val="en-GB"/>
              </w:rPr>
            </w:pPr>
            <w:r w:rsidRPr="004E64F0">
              <w:rPr>
                <w:sz w:val="18"/>
                <w:szCs w:val="18"/>
                <w:shd w:val="pct15" w:color="auto" w:fill="FFFFFF"/>
                <w:lang w:val="en-GB" w:eastAsia="nl-NL"/>
              </w:rPr>
              <w:t xml:space="preserve">  </w:t>
            </w:r>
            <w:r w:rsidRPr="004E64F0">
              <w:rPr>
                <w:sz w:val="18"/>
                <w:szCs w:val="18"/>
                <w:shd w:val="pct15" w:color="auto" w:fill="FFFFFF"/>
                <w:lang w:val="en-GB" w:eastAsia="nl-NL"/>
              </w:rPr>
              <w:tab/>
            </w:r>
            <w:r w:rsidRPr="004E64F0">
              <w:rPr>
                <w:sz w:val="18"/>
                <w:szCs w:val="18"/>
                <w:lang w:val="en-GB"/>
              </w:rPr>
              <w:t>(j)</w:t>
            </w:r>
            <w:r w:rsidRPr="004E64F0">
              <w:rPr>
                <w:sz w:val="18"/>
                <w:szCs w:val="18"/>
                <w:lang w:val="en-GB"/>
              </w:rPr>
              <w:tab/>
              <w:t>Databases should facilitate input and output of genotype call data in standardized format (</w:t>
            </w:r>
            <w:r w:rsidRPr="004E64F0">
              <w:rPr>
                <w:sz w:val="18"/>
                <w:szCs w:val="18"/>
                <w:highlight w:val="yellow"/>
                <w:lang w:val="en-GB"/>
              </w:rPr>
              <w:t>VCF or BCF</w:t>
            </w:r>
            <w:r w:rsidRPr="004E64F0">
              <w:rPr>
                <w:sz w:val="18"/>
                <w:szCs w:val="18"/>
                <w:lang w:val="en-GB"/>
              </w:rPr>
              <w:t>)</w:t>
            </w:r>
            <w:r w:rsidRPr="004E64F0">
              <w:rPr>
                <w:sz w:val="18"/>
                <w:szCs w:val="18"/>
                <w:shd w:val="pct15" w:color="auto" w:fill="FFFFFF"/>
                <w:lang w:val="en-GB" w:eastAsia="nl-NL"/>
              </w:rPr>
              <w:t>;</w:t>
            </w:r>
          </w:p>
          <w:p w:rsidR="004E64F0" w:rsidRPr="004E64F0" w:rsidRDefault="004E64F0" w:rsidP="004E64F0">
            <w:pPr>
              <w:autoSpaceDE w:val="0"/>
              <w:autoSpaceDN w:val="0"/>
              <w:adjustRightInd w:val="0"/>
              <w:spacing w:line="240" w:lineRule="atLeast"/>
              <w:rPr>
                <w:sz w:val="18"/>
                <w:szCs w:val="18"/>
                <w:lang w:val="en-GB"/>
              </w:rPr>
            </w:pPr>
            <w:r w:rsidRPr="004E64F0">
              <w:rPr>
                <w:sz w:val="18"/>
                <w:szCs w:val="18"/>
                <w:shd w:val="pct15" w:color="auto" w:fill="FFFFFF"/>
                <w:lang w:val="en-GB" w:eastAsia="nl-NL"/>
              </w:rPr>
              <w:t xml:space="preserve">  </w:t>
            </w:r>
            <w:r w:rsidRPr="004E64F0">
              <w:rPr>
                <w:sz w:val="18"/>
                <w:szCs w:val="18"/>
                <w:shd w:val="pct15" w:color="auto" w:fill="FFFFFF"/>
                <w:lang w:val="en-GB" w:eastAsia="nl-NL"/>
              </w:rPr>
              <w:tab/>
            </w:r>
            <w:r w:rsidRPr="004E64F0">
              <w:rPr>
                <w:sz w:val="18"/>
                <w:szCs w:val="18"/>
                <w:lang w:val="en-GB"/>
              </w:rPr>
              <w:t>(k)</w:t>
            </w:r>
            <w:r w:rsidRPr="004E64F0">
              <w:rPr>
                <w:sz w:val="18"/>
                <w:szCs w:val="18"/>
                <w:lang w:val="en-GB"/>
              </w:rPr>
              <w:tab/>
              <w:t>The data processing pipeline should result in a detailed log file which should be stored in conjunction to the variant call data</w:t>
            </w:r>
            <w:r w:rsidRPr="004E64F0">
              <w:rPr>
                <w:sz w:val="18"/>
                <w:szCs w:val="18"/>
                <w:shd w:val="pct15" w:color="auto" w:fill="FFFFFF"/>
                <w:lang w:val="en-GB" w:eastAsia="nl-NL"/>
              </w:rPr>
              <w:t>;</w:t>
            </w:r>
          </w:p>
          <w:p w:rsidR="004E64F0" w:rsidRPr="004E64F0" w:rsidRDefault="004E64F0" w:rsidP="004E64F0">
            <w:pPr>
              <w:autoSpaceDE w:val="0"/>
              <w:autoSpaceDN w:val="0"/>
              <w:adjustRightInd w:val="0"/>
              <w:spacing w:line="240" w:lineRule="atLeast"/>
              <w:rPr>
                <w:sz w:val="18"/>
                <w:szCs w:val="18"/>
                <w:lang w:val="en-GB"/>
              </w:rPr>
            </w:pPr>
            <w:r w:rsidRPr="004E64F0">
              <w:rPr>
                <w:sz w:val="18"/>
                <w:szCs w:val="18"/>
                <w:shd w:val="pct15" w:color="auto" w:fill="FFFFFF"/>
                <w:lang w:val="en-GB" w:eastAsia="nl-NL"/>
              </w:rPr>
              <w:t xml:space="preserve">  </w:t>
            </w:r>
            <w:r w:rsidRPr="004E64F0">
              <w:rPr>
                <w:sz w:val="18"/>
                <w:szCs w:val="18"/>
                <w:shd w:val="pct15" w:color="auto" w:fill="FFFFFF"/>
                <w:lang w:val="en-GB" w:eastAsia="nl-NL"/>
              </w:rPr>
              <w:tab/>
            </w:r>
            <w:r w:rsidRPr="004E64F0">
              <w:rPr>
                <w:sz w:val="18"/>
                <w:szCs w:val="18"/>
                <w:lang w:val="en-GB"/>
              </w:rPr>
              <w:t>(l)</w:t>
            </w:r>
            <w:r w:rsidRPr="004E64F0">
              <w:rPr>
                <w:sz w:val="18"/>
                <w:szCs w:val="18"/>
                <w:lang w:val="en-GB"/>
              </w:rPr>
              <w:tab/>
              <w:t>If possible, raw data should be stored so that data processing can be repeated with new or updated tools</w:t>
            </w:r>
            <w:r w:rsidRPr="004E64F0">
              <w:rPr>
                <w:sz w:val="18"/>
                <w:szCs w:val="18"/>
                <w:shd w:val="pct15" w:color="auto" w:fill="FFFFFF"/>
                <w:lang w:val="en-GB" w:eastAsia="nl-NL"/>
              </w:rPr>
              <w:t xml:space="preserve"> ; and</w:t>
            </w:r>
          </w:p>
          <w:p w:rsidR="004E64F0" w:rsidRPr="004E64F0" w:rsidRDefault="004E64F0" w:rsidP="004E64F0">
            <w:pPr>
              <w:autoSpaceDE w:val="0"/>
              <w:autoSpaceDN w:val="0"/>
              <w:adjustRightInd w:val="0"/>
              <w:spacing w:line="240" w:lineRule="atLeast"/>
              <w:rPr>
                <w:sz w:val="18"/>
                <w:szCs w:val="18"/>
                <w:lang w:val="en-GB"/>
              </w:rPr>
            </w:pPr>
            <w:r w:rsidRPr="004E64F0">
              <w:rPr>
                <w:sz w:val="18"/>
                <w:szCs w:val="18"/>
                <w:shd w:val="pct15" w:color="auto" w:fill="FFFFFF"/>
                <w:lang w:val="en-GB" w:eastAsia="nl-NL"/>
              </w:rPr>
              <w:t xml:space="preserve">  </w:t>
            </w:r>
            <w:r w:rsidRPr="004E64F0">
              <w:rPr>
                <w:sz w:val="18"/>
                <w:szCs w:val="18"/>
                <w:shd w:val="pct15" w:color="auto" w:fill="FFFFFF"/>
                <w:lang w:val="en-GB" w:eastAsia="nl-NL"/>
              </w:rPr>
              <w:tab/>
            </w:r>
            <w:r w:rsidRPr="004E64F0">
              <w:rPr>
                <w:sz w:val="18"/>
                <w:szCs w:val="18"/>
                <w:lang w:val="en-GB"/>
              </w:rPr>
              <w:t>(m)</w:t>
            </w:r>
            <w:r w:rsidRPr="004E64F0">
              <w:rPr>
                <w:sz w:val="18"/>
                <w:szCs w:val="18"/>
                <w:lang w:val="en-GB"/>
              </w:rPr>
              <w:tab/>
              <w:t>A p-value or uncertainty for a given allele should be stored.</w:t>
            </w:r>
            <w:r w:rsidRPr="004E64F0">
              <w:rPr>
                <w:sz w:val="18"/>
                <w:szCs w:val="18"/>
                <w:lang w:val="en-GB"/>
              </w:rPr>
              <w:tab/>
            </w:r>
          </w:p>
        </w:tc>
      </w:tr>
      <w:tr w:rsidR="004E64F0" w:rsidRPr="004E64F0" w:rsidTr="0029509A">
        <w:trPr>
          <w:cantSplit/>
        </w:trPr>
        <w:tc>
          <w:tcPr>
            <w:tcW w:w="9855" w:type="dxa"/>
            <w:tcBorders>
              <w:left w:val="single" w:sz="4" w:space="0" w:color="auto"/>
              <w:bottom w:val="single" w:sz="4" w:space="0" w:color="auto"/>
              <w:right w:val="single" w:sz="4" w:space="0" w:color="auto"/>
            </w:tcBorders>
            <w:shd w:val="clear" w:color="auto" w:fill="D9D9D9" w:themeFill="background1" w:themeFillShade="D9"/>
          </w:tcPr>
          <w:p w:rsidR="004E64F0" w:rsidRPr="004E64F0" w:rsidRDefault="004E64F0" w:rsidP="004E64F0">
            <w:pPr>
              <w:rPr>
                <w:sz w:val="18"/>
                <w:szCs w:val="18"/>
                <w:u w:val="single"/>
              </w:rPr>
            </w:pPr>
          </w:p>
        </w:tc>
      </w:tr>
    </w:tbl>
    <w:p w:rsidR="004E64F0" w:rsidRPr="00A31197" w:rsidRDefault="004E64F0" w:rsidP="004E64F0">
      <w:pPr>
        <w:tabs>
          <w:tab w:val="left" w:pos="1440"/>
        </w:tabs>
        <w:rPr>
          <w:sz w:val="18"/>
        </w:rPr>
      </w:pPr>
    </w:p>
    <w:p w:rsidR="004E64F0" w:rsidRPr="00A31197" w:rsidRDefault="004E64F0" w:rsidP="000717FC">
      <w:pPr>
        <w:tabs>
          <w:tab w:val="left" w:pos="1440"/>
        </w:tabs>
        <w:ind w:left="567"/>
        <w:rPr>
          <w:sz w:val="18"/>
        </w:rPr>
      </w:pPr>
      <w:r w:rsidRPr="00A31197">
        <w:rPr>
          <w:sz w:val="18"/>
        </w:rPr>
        <w:t>[…]</w:t>
      </w:r>
    </w:p>
    <w:p w:rsidR="004E64F0" w:rsidRPr="00A31197" w:rsidRDefault="004E64F0" w:rsidP="004E64F0">
      <w:pPr>
        <w:tabs>
          <w:tab w:val="left" w:pos="1440"/>
        </w:tabs>
        <w:rPr>
          <w:sz w:val="18"/>
        </w:rPr>
      </w:pPr>
    </w:p>
    <w:tbl>
      <w:tblPr>
        <w:tblW w:w="0" w:type="auto"/>
        <w:tblBorders>
          <w:top w:val="single" w:sz="4" w:space="0" w:color="auto"/>
          <w:left w:val="single" w:sz="4" w:space="0" w:color="auto"/>
          <w:bottom w:val="single" w:sz="4" w:space="0" w:color="auto"/>
          <w:right w:val="single" w:sz="4" w:space="0" w:color="auto"/>
        </w:tblBorders>
        <w:shd w:val="clear" w:color="auto" w:fill="FDE9D9" w:themeFill="accent6" w:themeFillTint="33"/>
        <w:tblLook w:val="04A0" w:firstRow="1" w:lastRow="0" w:firstColumn="1" w:lastColumn="0" w:noHBand="0" w:noVBand="1"/>
      </w:tblPr>
      <w:tblGrid>
        <w:gridCol w:w="9629"/>
      </w:tblGrid>
      <w:tr w:rsidR="004E64F0" w:rsidRPr="004E64F0" w:rsidTr="005720B1">
        <w:trPr>
          <w:cantSplit/>
        </w:trPr>
        <w:tc>
          <w:tcPr>
            <w:tcW w:w="9855" w:type="dxa"/>
            <w:shd w:val="clear" w:color="auto" w:fill="FDE9D9" w:themeFill="accent6" w:themeFillTint="33"/>
          </w:tcPr>
          <w:p w:rsidR="004E64F0" w:rsidRPr="004E64F0" w:rsidRDefault="004E64F0" w:rsidP="004E64F0">
            <w:pPr>
              <w:tabs>
                <w:tab w:val="left" w:pos="1440"/>
              </w:tabs>
            </w:pPr>
          </w:p>
          <w:p w:rsidR="004E64F0" w:rsidRPr="004E64F0" w:rsidRDefault="004E64F0" w:rsidP="004E64F0">
            <w:pPr>
              <w:tabs>
                <w:tab w:val="left" w:pos="1440"/>
              </w:tabs>
            </w:pPr>
            <w:r w:rsidRPr="004E64F0">
              <w:rPr>
                <w:u w:val="single"/>
              </w:rPr>
              <w:t>Comments by ESA</w:t>
            </w:r>
          </w:p>
          <w:p w:rsidR="004E64F0" w:rsidRPr="004E64F0" w:rsidRDefault="004E64F0" w:rsidP="004E64F0">
            <w:pPr>
              <w:tabs>
                <w:tab w:val="left" w:pos="1440"/>
              </w:tabs>
            </w:pPr>
          </w:p>
          <w:p w:rsidR="004E64F0" w:rsidRPr="004E64F0" w:rsidRDefault="004E64F0" w:rsidP="004E64F0">
            <w:pPr>
              <w:tabs>
                <w:tab w:val="left" w:pos="1440"/>
              </w:tabs>
            </w:pPr>
            <w:r w:rsidRPr="004E64F0">
              <w:t xml:space="preserve">I do not really understand what is meant here.... </w:t>
            </w:r>
          </w:p>
          <w:p w:rsidR="004E64F0" w:rsidRPr="004E64F0" w:rsidRDefault="004E64F0" w:rsidP="004E64F0">
            <w:pPr>
              <w:tabs>
                <w:tab w:val="left" w:pos="1440"/>
              </w:tabs>
            </w:pPr>
          </w:p>
        </w:tc>
      </w:tr>
    </w:tbl>
    <w:p w:rsidR="004E64F0" w:rsidRPr="00A31197" w:rsidRDefault="004E64F0" w:rsidP="004E64F0">
      <w:pPr>
        <w:tabs>
          <w:tab w:val="left" w:pos="1440"/>
        </w:tabs>
      </w:pPr>
    </w:p>
    <w:p w:rsidR="004E64F0" w:rsidRPr="00A31197" w:rsidRDefault="004E64F0" w:rsidP="004E64F0">
      <w:pPr>
        <w:tabs>
          <w:tab w:val="left" w:pos="1440"/>
        </w:tabs>
      </w:pPr>
    </w:p>
    <w:p w:rsidR="004E64F0" w:rsidRPr="00A31197" w:rsidRDefault="004E64F0" w:rsidP="000717FC">
      <w:pPr>
        <w:tabs>
          <w:tab w:val="left" w:pos="1440"/>
        </w:tabs>
        <w:ind w:left="567"/>
        <w:rPr>
          <w:sz w:val="18"/>
        </w:rPr>
      </w:pPr>
      <w:r w:rsidRPr="00A31197">
        <w:rPr>
          <w:sz w:val="18"/>
        </w:rPr>
        <w:t>[…]</w:t>
      </w:r>
    </w:p>
    <w:p w:rsidR="004E64F0" w:rsidRPr="004E64F0" w:rsidRDefault="004E64F0" w:rsidP="004E64F0">
      <w:pPr>
        <w:tabs>
          <w:tab w:val="left" w:pos="1440"/>
        </w:tabs>
      </w:pPr>
    </w:p>
    <w:p w:rsidR="004E64F0" w:rsidRPr="004E64F0" w:rsidRDefault="004E64F0" w:rsidP="004E64F0">
      <w:pPr>
        <w:rPr>
          <w:sz w:val="18"/>
        </w:rPr>
      </w:pPr>
      <w:bookmarkStart w:id="5" w:name="_Toc522523231"/>
      <w:r w:rsidRPr="004E64F0">
        <w:rPr>
          <w:sz w:val="18"/>
        </w:rPr>
        <w:t xml:space="preserve">6.1 </w:t>
      </w:r>
      <w:r w:rsidRPr="004E64F0">
        <w:rPr>
          <w:sz w:val="18"/>
        </w:rPr>
        <w:tab/>
        <w:t>Type of database</w:t>
      </w:r>
      <w:bookmarkEnd w:id="5"/>
    </w:p>
    <w:p w:rsidR="004E64F0" w:rsidRPr="004E64F0" w:rsidRDefault="004E64F0" w:rsidP="004E64F0">
      <w:pPr>
        <w:keepNext/>
        <w:rPr>
          <w:sz w:val="18"/>
        </w:rPr>
      </w:pPr>
    </w:p>
    <w:p w:rsidR="004E64F0" w:rsidRPr="004E64F0" w:rsidRDefault="004E64F0" w:rsidP="004E64F0">
      <w:pPr>
        <w:keepNext/>
        <w:rPr>
          <w:sz w:val="18"/>
        </w:rPr>
      </w:pPr>
      <w:r w:rsidRPr="004E64F0">
        <w:rPr>
          <w:sz w:val="18"/>
        </w:rPr>
        <w:t>There are many ways in which molecular data can be stored, therefore, it is important that the database structure is developed to be compatible with all intended uses of the data.</w:t>
      </w:r>
    </w:p>
    <w:p w:rsidR="004E64F0" w:rsidRPr="004E64F0" w:rsidRDefault="004E64F0" w:rsidP="004E64F0">
      <w:pPr>
        <w:pStyle w:val="Heading3"/>
        <w:rPr>
          <w:sz w:val="18"/>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29"/>
      </w:tblGrid>
      <w:tr w:rsidR="004E64F0" w:rsidRPr="0047703B" w:rsidTr="004E64F0">
        <w:trPr>
          <w:cantSplit/>
        </w:trPr>
        <w:tc>
          <w:tcPr>
            <w:tcW w:w="9629" w:type="dxa"/>
            <w:shd w:val="clear" w:color="auto" w:fill="D9D9D9" w:themeFill="background1" w:themeFillShade="D9"/>
          </w:tcPr>
          <w:p w:rsidR="004E64F0" w:rsidRPr="009D0E1C" w:rsidRDefault="004E64F0" w:rsidP="0029509A">
            <w:pPr>
              <w:rPr>
                <w:sz w:val="18"/>
                <w:szCs w:val="18"/>
                <w:u w:val="single"/>
              </w:rPr>
            </w:pPr>
          </w:p>
          <w:p w:rsidR="004E64F0" w:rsidRPr="009D0E1C" w:rsidRDefault="004E64F0" w:rsidP="0029509A">
            <w:pPr>
              <w:rPr>
                <w:sz w:val="18"/>
                <w:szCs w:val="18"/>
                <w:vertAlign w:val="superscript"/>
              </w:rPr>
            </w:pPr>
            <w:r w:rsidRPr="009D0E1C">
              <w:rPr>
                <w:sz w:val="18"/>
                <w:szCs w:val="18"/>
                <w:u w:val="single"/>
              </w:rPr>
              <w:t>Joint comments from the European Union, France and the Netherlands</w:t>
            </w:r>
            <w:r w:rsidRPr="009D0E1C">
              <w:rPr>
                <w:sz w:val="18"/>
                <w:szCs w:val="18"/>
                <w:vertAlign w:val="superscript"/>
              </w:rPr>
              <w:t xml:space="preserve"> </w:t>
            </w:r>
            <w:r>
              <w:rPr>
                <w:sz w:val="18"/>
                <w:szCs w:val="18"/>
                <w:vertAlign w:val="superscript"/>
              </w:rPr>
              <w:t>ii</w:t>
            </w:r>
            <w:r w:rsidRPr="009D0E1C">
              <w:rPr>
                <w:sz w:val="18"/>
                <w:szCs w:val="18"/>
                <w:vertAlign w:val="superscript"/>
              </w:rPr>
              <w:t xml:space="preserve"> </w:t>
            </w:r>
          </w:p>
          <w:p w:rsidR="004E64F0" w:rsidRPr="0037687A" w:rsidRDefault="004E64F0" w:rsidP="0029509A">
            <w:pPr>
              <w:rPr>
                <w:sz w:val="18"/>
                <w:szCs w:val="18"/>
                <w:lang w:eastAsia="nl-NL"/>
              </w:rPr>
            </w:pPr>
          </w:p>
          <w:p w:rsidR="004E64F0" w:rsidRDefault="004E64F0" w:rsidP="0029509A">
            <w:r>
              <w:rPr>
                <w:sz w:val="18"/>
                <w:szCs w:val="18"/>
                <w:lang w:val="en-GB" w:eastAsia="nl-NL"/>
              </w:rPr>
              <w:t>To renumber section 6.1. for a new section 5.4 and to add the following sentence to the end of the current texts:</w:t>
            </w:r>
            <w:r>
              <w:t xml:space="preserve"> </w:t>
            </w:r>
          </w:p>
          <w:p w:rsidR="004E64F0" w:rsidRDefault="004E64F0" w:rsidP="0029509A"/>
          <w:p w:rsidR="004E64F0" w:rsidRPr="00AF6E3F" w:rsidRDefault="004E64F0" w:rsidP="0029509A">
            <w:pPr>
              <w:rPr>
                <w:sz w:val="18"/>
                <w:szCs w:val="18"/>
                <w:lang w:val="en-GB"/>
              </w:rPr>
            </w:pPr>
            <w:r w:rsidRPr="000E7377">
              <w:rPr>
                <w:sz w:val="18"/>
                <w:szCs w:val="18"/>
                <w:lang w:val="en-GB" w:eastAsia="nl-NL"/>
              </w:rPr>
              <w:t xml:space="preserve">For molecular data obtained using next generation sequencing (NGS), the variant call file standard </w:t>
            </w:r>
            <w:r w:rsidRPr="004E64F0">
              <w:rPr>
                <w:sz w:val="18"/>
                <w:szCs w:val="18"/>
                <w:highlight w:val="yellow"/>
                <w:lang w:val="en-GB" w:eastAsia="nl-NL"/>
              </w:rPr>
              <w:t>VCFv4.2</w:t>
            </w:r>
            <w:r w:rsidRPr="000E7377">
              <w:rPr>
                <w:sz w:val="18"/>
                <w:szCs w:val="18"/>
                <w:lang w:val="en-GB" w:eastAsia="nl-NL"/>
              </w:rPr>
              <w:t xml:space="preserve"> is recommended (</w:t>
            </w:r>
            <w:hyperlink r:id="rId10" w:history="1">
              <w:r w:rsidRPr="004735B4">
                <w:rPr>
                  <w:rStyle w:val="Hyperlink"/>
                  <w:sz w:val="18"/>
                  <w:szCs w:val="18"/>
                  <w:lang w:val="en-GB" w:eastAsia="nl-NL"/>
                </w:rPr>
                <w:t>https://samtools.github.io/hts-specs/VCFv4.2.pdf</w:t>
              </w:r>
            </w:hyperlink>
            <w:r w:rsidRPr="000E7377">
              <w:rPr>
                <w:sz w:val="18"/>
                <w:szCs w:val="18"/>
                <w:lang w:val="en-GB" w:eastAsia="nl-NL"/>
              </w:rPr>
              <w:t>)</w:t>
            </w:r>
            <w:r w:rsidRPr="008D5741">
              <w:rPr>
                <w:sz w:val="18"/>
                <w:szCs w:val="18"/>
                <w:lang w:val="en-GB"/>
              </w:rPr>
              <w:t>.</w:t>
            </w:r>
            <w:r w:rsidRPr="008D5741">
              <w:rPr>
                <w:sz w:val="18"/>
                <w:szCs w:val="18"/>
                <w:lang w:val="en-GB"/>
              </w:rPr>
              <w:tab/>
            </w:r>
          </w:p>
        </w:tc>
      </w:tr>
      <w:tr w:rsidR="004E64F0" w:rsidRPr="0047703B" w:rsidTr="004E64F0">
        <w:trPr>
          <w:cantSplit/>
        </w:trPr>
        <w:tc>
          <w:tcPr>
            <w:tcW w:w="9629" w:type="dxa"/>
            <w:tcBorders>
              <w:left w:val="single" w:sz="4" w:space="0" w:color="auto"/>
              <w:bottom w:val="single" w:sz="4" w:space="0" w:color="auto"/>
              <w:right w:val="single" w:sz="4" w:space="0" w:color="auto"/>
            </w:tcBorders>
            <w:shd w:val="clear" w:color="auto" w:fill="D9D9D9" w:themeFill="background1" w:themeFillShade="D9"/>
          </w:tcPr>
          <w:p w:rsidR="004E64F0" w:rsidRPr="00D65879" w:rsidRDefault="004E64F0" w:rsidP="0029509A">
            <w:pPr>
              <w:rPr>
                <w:sz w:val="18"/>
                <w:szCs w:val="18"/>
                <w:u w:val="single"/>
              </w:rPr>
            </w:pPr>
          </w:p>
        </w:tc>
      </w:tr>
    </w:tbl>
    <w:p w:rsidR="004E64F0" w:rsidRPr="00A31197" w:rsidRDefault="004E64F0" w:rsidP="004E64F0">
      <w:pPr>
        <w:tabs>
          <w:tab w:val="left" w:pos="1440"/>
        </w:tabs>
        <w:rPr>
          <w:sz w:val="18"/>
        </w:rPr>
      </w:pPr>
    </w:p>
    <w:p w:rsidR="004E64F0" w:rsidRPr="00A31197" w:rsidRDefault="004E64F0" w:rsidP="000717FC">
      <w:pPr>
        <w:tabs>
          <w:tab w:val="left" w:pos="1440"/>
        </w:tabs>
        <w:ind w:left="567"/>
        <w:rPr>
          <w:sz w:val="18"/>
        </w:rPr>
      </w:pPr>
      <w:r w:rsidRPr="00A31197">
        <w:rPr>
          <w:sz w:val="18"/>
        </w:rPr>
        <w:t>[…]</w:t>
      </w:r>
    </w:p>
    <w:p w:rsidR="004E64F0" w:rsidRPr="00A31197" w:rsidRDefault="004E64F0" w:rsidP="004E64F0">
      <w:pPr>
        <w:tabs>
          <w:tab w:val="left" w:pos="1440"/>
        </w:tabs>
        <w:rPr>
          <w:sz w:val="18"/>
        </w:rPr>
      </w:pPr>
    </w:p>
    <w:tbl>
      <w:tblPr>
        <w:tblW w:w="0" w:type="auto"/>
        <w:tblBorders>
          <w:top w:val="single" w:sz="4" w:space="0" w:color="auto"/>
          <w:left w:val="single" w:sz="4" w:space="0" w:color="auto"/>
          <w:bottom w:val="single" w:sz="4" w:space="0" w:color="auto"/>
          <w:right w:val="single" w:sz="4" w:space="0" w:color="auto"/>
        </w:tblBorders>
        <w:shd w:val="clear" w:color="auto" w:fill="FDE9D9" w:themeFill="accent6" w:themeFillTint="33"/>
        <w:tblLook w:val="04A0" w:firstRow="1" w:lastRow="0" w:firstColumn="1" w:lastColumn="0" w:noHBand="0" w:noVBand="1"/>
      </w:tblPr>
      <w:tblGrid>
        <w:gridCol w:w="9629"/>
      </w:tblGrid>
      <w:tr w:rsidR="004E64F0" w:rsidRPr="004E64F0" w:rsidTr="005720B1">
        <w:trPr>
          <w:cantSplit/>
        </w:trPr>
        <w:tc>
          <w:tcPr>
            <w:tcW w:w="9855" w:type="dxa"/>
            <w:shd w:val="clear" w:color="auto" w:fill="FDE9D9" w:themeFill="accent6" w:themeFillTint="33"/>
          </w:tcPr>
          <w:p w:rsidR="004E64F0" w:rsidRPr="004E64F0" w:rsidRDefault="004E64F0" w:rsidP="0029509A">
            <w:pPr>
              <w:tabs>
                <w:tab w:val="left" w:pos="1440"/>
              </w:tabs>
            </w:pPr>
          </w:p>
          <w:p w:rsidR="004E64F0" w:rsidRPr="004E64F0" w:rsidRDefault="004E64F0" w:rsidP="0029509A">
            <w:pPr>
              <w:tabs>
                <w:tab w:val="left" w:pos="1440"/>
              </w:tabs>
            </w:pPr>
            <w:r w:rsidRPr="004E64F0">
              <w:rPr>
                <w:u w:val="single"/>
              </w:rPr>
              <w:t>Comments by ESA</w:t>
            </w:r>
          </w:p>
          <w:p w:rsidR="004E64F0" w:rsidRPr="004E64F0" w:rsidRDefault="004E64F0" w:rsidP="0029509A">
            <w:pPr>
              <w:tabs>
                <w:tab w:val="left" w:pos="1440"/>
              </w:tabs>
            </w:pPr>
          </w:p>
          <w:p w:rsidR="004E64F0" w:rsidRDefault="004E64F0" w:rsidP="0029509A">
            <w:pPr>
              <w:tabs>
                <w:tab w:val="left" w:pos="1440"/>
              </w:tabs>
            </w:pPr>
            <w:r w:rsidRPr="004E64F0">
              <w:t>see previous comment on specific aspects</w:t>
            </w:r>
            <w:r>
              <w:t>.</w:t>
            </w:r>
          </w:p>
          <w:p w:rsidR="004E64F0" w:rsidRPr="004E64F0" w:rsidRDefault="004E64F0" w:rsidP="0029509A">
            <w:pPr>
              <w:tabs>
                <w:tab w:val="left" w:pos="1440"/>
              </w:tabs>
            </w:pPr>
          </w:p>
        </w:tc>
      </w:tr>
    </w:tbl>
    <w:p w:rsidR="004E64F0" w:rsidRDefault="004E64F0" w:rsidP="004E64F0"/>
    <w:p w:rsidR="00444A4C" w:rsidRPr="004E64F0" w:rsidRDefault="00444A4C" w:rsidP="00444A4C">
      <w:pPr>
        <w:tabs>
          <w:tab w:val="left" w:pos="1440"/>
        </w:tabs>
      </w:pPr>
    </w:p>
    <w:p w:rsidR="00444A4C" w:rsidRPr="00A31197" w:rsidRDefault="00444A4C" w:rsidP="000717FC">
      <w:pPr>
        <w:tabs>
          <w:tab w:val="left" w:pos="1440"/>
        </w:tabs>
        <w:ind w:left="567"/>
        <w:rPr>
          <w:sz w:val="18"/>
        </w:rPr>
      </w:pPr>
      <w:r w:rsidRPr="00A31197">
        <w:rPr>
          <w:sz w:val="18"/>
        </w:rPr>
        <w:t>[…]</w:t>
      </w:r>
    </w:p>
    <w:p w:rsidR="00444A4C" w:rsidRPr="004E64F0" w:rsidRDefault="00444A4C" w:rsidP="00444A4C">
      <w:pPr>
        <w:tabs>
          <w:tab w:val="left" w:pos="1440"/>
        </w:tabs>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29"/>
      </w:tblGrid>
      <w:tr w:rsidR="00444A4C" w:rsidRPr="0047703B" w:rsidTr="00444A4C">
        <w:trPr>
          <w:cantSplit/>
        </w:trPr>
        <w:tc>
          <w:tcPr>
            <w:tcW w:w="9629" w:type="dxa"/>
            <w:shd w:val="clear" w:color="auto" w:fill="D9D9D9" w:themeFill="background1" w:themeFillShade="D9"/>
          </w:tcPr>
          <w:p w:rsidR="00444A4C" w:rsidRPr="0047703B" w:rsidRDefault="00444A4C" w:rsidP="0029509A">
            <w:pPr>
              <w:rPr>
                <w:sz w:val="18"/>
                <w:szCs w:val="18"/>
              </w:rPr>
            </w:pPr>
          </w:p>
          <w:p w:rsidR="00444A4C" w:rsidRPr="0047703B" w:rsidRDefault="00444A4C" w:rsidP="0029509A">
            <w:pPr>
              <w:rPr>
                <w:sz w:val="18"/>
                <w:szCs w:val="18"/>
                <w:lang w:eastAsia="ja-JP"/>
              </w:rPr>
            </w:pPr>
            <w:r>
              <w:rPr>
                <w:sz w:val="18"/>
                <w:szCs w:val="18"/>
                <w:u w:val="single"/>
              </w:rPr>
              <w:t>J</w:t>
            </w:r>
            <w:r w:rsidRPr="0052055F">
              <w:rPr>
                <w:sz w:val="18"/>
                <w:szCs w:val="18"/>
                <w:u w:val="single"/>
              </w:rPr>
              <w:t>oint comments from the European Union, France and the Netherlands</w:t>
            </w:r>
            <w:r w:rsidRPr="0052055F">
              <w:rPr>
                <w:sz w:val="18"/>
                <w:szCs w:val="18"/>
                <w:u w:val="single"/>
                <w:vertAlign w:val="superscript"/>
              </w:rPr>
              <w:t xml:space="preserve"> </w:t>
            </w:r>
            <w:r w:rsidRPr="00F80D0C">
              <w:rPr>
                <w:vertAlign w:val="superscript"/>
              </w:rPr>
              <w:t>ii</w:t>
            </w:r>
          </w:p>
          <w:p w:rsidR="00444A4C" w:rsidRDefault="00444A4C" w:rsidP="0029509A">
            <w:pPr>
              <w:rPr>
                <w:sz w:val="18"/>
                <w:szCs w:val="18"/>
                <w:lang w:val="en-GB" w:eastAsia="nl-NL"/>
              </w:rPr>
            </w:pPr>
          </w:p>
          <w:p w:rsidR="00444A4C" w:rsidRDefault="00444A4C" w:rsidP="0029509A">
            <w:pPr>
              <w:rPr>
                <w:sz w:val="18"/>
                <w:szCs w:val="18"/>
                <w:lang w:val="en-GB" w:eastAsia="nl-NL"/>
              </w:rPr>
            </w:pPr>
            <w:r>
              <w:rPr>
                <w:sz w:val="18"/>
                <w:szCs w:val="18"/>
                <w:lang w:val="en-GB" w:eastAsia="nl-NL"/>
              </w:rPr>
              <w:t>To add a new section 6 “</w:t>
            </w:r>
            <w:r w:rsidRPr="00912385">
              <w:rPr>
                <w:sz w:val="18"/>
                <w:szCs w:val="18"/>
                <w:lang w:val="en-GB" w:eastAsia="nl-NL"/>
              </w:rPr>
              <w:t xml:space="preserve">Phase 4: </w:t>
            </w:r>
            <w:r>
              <w:rPr>
                <w:sz w:val="18"/>
                <w:szCs w:val="18"/>
                <w:lang w:val="en-GB" w:eastAsia="nl-NL"/>
              </w:rPr>
              <w:t>DATABASE MANAGEMENT” with the following texts:</w:t>
            </w:r>
          </w:p>
          <w:p w:rsidR="00444A4C" w:rsidRDefault="00444A4C" w:rsidP="0029509A">
            <w:pPr>
              <w:rPr>
                <w:sz w:val="18"/>
                <w:szCs w:val="18"/>
                <w:lang w:val="en-GB" w:eastAsia="nl-NL"/>
              </w:rPr>
            </w:pPr>
          </w:p>
          <w:p w:rsidR="00444A4C" w:rsidRDefault="00444A4C" w:rsidP="0029509A">
            <w:pPr>
              <w:rPr>
                <w:sz w:val="18"/>
                <w:szCs w:val="18"/>
                <w:lang w:val="en-GB" w:eastAsia="nl-NL"/>
              </w:rPr>
            </w:pPr>
            <w:r w:rsidRPr="006D1BBB">
              <w:rPr>
                <w:sz w:val="18"/>
                <w:szCs w:val="18"/>
                <w:lang w:val="en-GB" w:eastAsia="nl-NL"/>
              </w:rPr>
              <w:t xml:space="preserve">The effective management and updating of the database on the long term requires that appropriate agreements between partners are signed at the start of the creation process. These agreements should cover general principles (defining precisely the ownership of the materials and data, conditions of access and use, confidentiality, etc.) and technical principles (describing the types of data, identifiers, </w:t>
            </w:r>
            <w:r w:rsidRPr="00444A4C">
              <w:rPr>
                <w:sz w:val="18"/>
                <w:szCs w:val="18"/>
                <w:highlight w:val="yellow"/>
                <w:lang w:val="en-GB" w:eastAsia="nl-NL"/>
              </w:rPr>
              <w:t>role of the partners</w:t>
            </w:r>
            <w:r w:rsidRPr="006D1BBB">
              <w:rPr>
                <w:sz w:val="18"/>
                <w:szCs w:val="18"/>
                <w:lang w:val="en-GB" w:eastAsia="nl-NL"/>
              </w:rPr>
              <w:t>, rules and planning of updating, etc.). The conditions under which the database could be open to additional partners wishing to contribute to its feeding after it was built needs also to be clearly established.</w:t>
            </w:r>
          </w:p>
          <w:p w:rsidR="00444A4C" w:rsidRPr="00EF1F39" w:rsidRDefault="00444A4C" w:rsidP="0029509A">
            <w:pPr>
              <w:autoSpaceDE w:val="0"/>
              <w:autoSpaceDN w:val="0"/>
              <w:adjustRightInd w:val="0"/>
              <w:spacing w:line="240" w:lineRule="atLeast"/>
              <w:rPr>
                <w:sz w:val="18"/>
                <w:szCs w:val="18"/>
              </w:rPr>
            </w:pPr>
          </w:p>
        </w:tc>
      </w:tr>
    </w:tbl>
    <w:p w:rsidR="00444A4C" w:rsidRPr="004E64F0" w:rsidRDefault="00444A4C" w:rsidP="00444A4C">
      <w:pPr>
        <w:tabs>
          <w:tab w:val="left" w:pos="1440"/>
        </w:tabs>
      </w:pPr>
    </w:p>
    <w:p w:rsidR="00444A4C" w:rsidRPr="00A31197" w:rsidRDefault="00444A4C" w:rsidP="000717FC">
      <w:pPr>
        <w:tabs>
          <w:tab w:val="left" w:pos="1440"/>
        </w:tabs>
        <w:ind w:left="567"/>
        <w:rPr>
          <w:sz w:val="18"/>
        </w:rPr>
      </w:pPr>
      <w:r w:rsidRPr="00A31197">
        <w:rPr>
          <w:sz w:val="18"/>
        </w:rPr>
        <w:t>[…]</w:t>
      </w:r>
    </w:p>
    <w:p w:rsidR="00444A4C" w:rsidRPr="004E64F0" w:rsidRDefault="00444A4C" w:rsidP="00444A4C">
      <w:pPr>
        <w:tabs>
          <w:tab w:val="left" w:pos="1440"/>
        </w:tabs>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29"/>
      </w:tblGrid>
      <w:tr w:rsidR="00444A4C" w:rsidRPr="004E64F0" w:rsidTr="005720B1">
        <w:trPr>
          <w:cantSplit/>
        </w:trPr>
        <w:tc>
          <w:tcPr>
            <w:tcW w:w="9855" w:type="dxa"/>
            <w:shd w:val="clear" w:color="auto" w:fill="FDE9D9" w:themeFill="accent6" w:themeFillTint="33"/>
          </w:tcPr>
          <w:p w:rsidR="00444A4C" w:rsidRPr="004E64F0" w:rsidRDefault="00444A4C" w:rsidP="0029509A">
            <w:pPr>
              <w:tabs>
                <w:tab w:val="left" w:pos="1440"/>
              </w:tabs>
            </w:pPr>
          </w:p>
          <w:p w:rsidR="00444A4C" w:rsidRPr="004E64F0" w:rsidRDefault="00444A4C" w:rsidP="0029509A">
            <w:pPr>
              <w:tabs>
                <w:tab w:val="left" w:pos="1440"/>
              </w:tabs>
            </w:pPr>
            <w:r w:rsidRPr="004E64F0">
              <w:rPr>
                <w:u w:val="single"/>
              </w:rPr>
              <w:t>Comments by ESA</w:t>
            </w:r>
          </w:p>
          <w:p w:rsidR="00444A4C" w:rsidRPr="004E64F0" w:rsidRDefault="00444A4C" w:rsidP="0029509A">
            <w:pPr>
              <w:tabs>
                <w:tab w:val="left" w:pos="1440"/>
              </w:tabs>
            </w:pPr>
          </w:p>
          <w:p w:rsidR="00444A4C" w:rsidRDefault="00444A4C" w:rsidP="0029509A">
            <w:pPr>
              <w:tabs>
                <w:tab w:val="left" w:pos="1440"/>
              </w:tabs>
            </w:pPr>
            <w:r w:rsidRPr="00444A4C">
              <w:t>roles and associated data access/ confidentiality - meaning individualized access to data according to role</w:t>
            </w:r>
          </w:p>
          <w:p w:rsidR="00444A4C" w:rsidRPr="004E64F0" w:rsidRDefault="00444A4C" w:rsidP="0029509A">
            <w:pPr>
              <w:tabs>
                <w:tab w:val="left" w:pos="1440"/>
              </w:tabs>
            </w:pPr>
          </w:p>
        </w:tc>
      </w:tr>
    </w:tbl>
    <w:p w:rsidR="008869D3" w:rsidRDefault="008869D3" w:rsidP="00E37F4E">
      <w:pPr>
        <w:tabs>
          <w:tab w:val="left" w:pos="1440"/>
        </w:tabs>
      </w:pPr>
    </w:p>
    <w:p w:rsidR="008869D3" w:rsidRDefault="008869D3" w:rsidP="00E37F4E">
      <w:pPr>
        <w:tabs>
          <w:tab w:val="left" w:pos="1440"/>
        </w:tabs>
      </w:pPr>
    </w:p>
    <w:p w:rsidR="007567D0" w:rsidRDefault="007567D0" w:rsidP="00E37F4E">
      <w:pPr>
        <w:tabs>
          <w:tab w:val="left" w:pos="1440"/>
        </w:tabs>
      </w:pPr>
    </w:p>
    <w:p w:rsidR="007567D0" w:rsidRDefault="000717FC" w:rsidP="000717FC">
      <w:pPr>
        <w:tabs>
          <w:tab w:val="left" w:pos="1440"/>
        </w:tabs>
        <w:jc w:val="right"/>
      </w:pPr>
      <w:r>
        <w:t>[End of Annex and of document]</w:t>
      </w:r>
    </w:p>
    <w:p w:rsidR="007567D0" w:rsidRDefault="007567D0" w:rsidP="00E37F4E">
      <w:pPr>
        <w:tabs>
          <w:tab w:val="left" w:pos="1440"/>
        </w:tabs>
      </w:pPr>
    </w:p>
    <w:p w:rsidR="00663C2B" w:rsidRDefault="00663C2B" w:rsidP="005244E3">
      <w:pPr>
        <w:tabs>
          <w:tab w:val="left" w:pos="3368"/>
        </w:tabs>
      </w:pPr>
    </w:p>
    <w:p w:rsidR="00767C34" w:rsidRPr="00663C2B" w:rsidRDefault="00767C34" w:rsidP="00663C2B">
      <w:pPr>
        <w:tabs>
          <w:tab w:val="left" w:pos="751"/>
        </w:tabs>
      </w:pPr>
    </w:p>
    <w:sectPr w:rsidR="00767C34" w:rsidRPr="00663C2B" w:rsidSect="00A6726D">
      <w:headerReference w:type="default" r:id="rId11"/>
      <w:headerReference w:type="first" r:id="rId12"/>
      <w:pgSz w:w="11907" w:h="16840" w:code="9"/>
      <w:pgMar w:top="510" w:right="1134" w:bottom="426"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53FE" w:rsidRDefault="001953FE" w:rsidP="006655D3">
      <w:r>
        <w:separator/>
      </w:r>
    </w:p>
    <w:p w:rsidR="001953FE" w:rsidRDefault="001953FE" w:rsidP="006655D3"/>
    <w:p w:rsidR="001953FE" w:rsidRDefault="001953FE" w:rsidP="006655D3"/>
  </w:endnote>
  <w:endnote w:type="continuationSeparator" w:id="0">
    <w:p w:rsidR="001953FE" w:rsidRDefault="001953FE" w:rsidP="006655D3">
      <w:r>
        <w:separator/>
      </w:r>
    </w:p>
    <w:p w:rsidR="001953FE" w:rsidRPr="00294751" w:rsidRDefault="001953FE">
      <w:pPr>
        <w:pStyle w:val="Footer"/>
        <w:spacing w:after="60"/>
        <w:rPr>
          <w:sz w:val="18"/>
          <w:lang w:val="fr-FR"/>
        </w:rPr>
      </w:pPr>
      <w:r w:rsidRPr="00294751">
        <w:rPr>
          <w:sz w:val="18"/>
          <w:lang w:val="fr-FR"/>
        </w:rPr>
        <w:t>[Suite de la note de la page précédente]</w:t>
      </w:r>
    </w:p>
    <w:p w:rsidR="001953FE" w:rsidRPr="00294751" w:rsidRDefault="001953FE" w:rsidP="006655D3">
      <w:pPr>
        <w:rPr>
          <w:lang w:val="fr-FR"/>
        </w:rPr>
      </w:pPr>
    </w:p>
    <w:p w:rsidR="001953FE" w:rsidRPr="00294751" w:rsidRDefault="001953FE" w:rsidP="006655D3">
      <w:pPr>
        <w:rPr>
          <w:lang w:val="fr-FR"/>
        </w:rPr>
      </w:pPr>
    </w:p>
  </w:endnote>
  <w:endnote w:type="continuationNotice" w:id="1">
    <w:p w:rsidR="001953FE" w:rsidRPr="00294751" w:rsidRDefault="001953FE" w:rsidP="006655D3">
      <w:pPr>
        <w:rPr>
          <w:lang w:val="fr-FR"/>
        </w:rPr>
      </w:pPr>
      <w:r w:rsidRPr="00294751">
        <w:rPr>
          <w:lang w:val="fr-FR"/>
        </w:rPr>
        <w:t>[Suite de la note page suivante]</w:t>
      </w:r>
    </w:p>
    <w:p w:rsidR="001953FE" w:rsidRPr="00294751" w:rsidRDefault="001953FE" w:rsidP="006655D3">
      <w:pPr>
        <w:rPr>
          <w:lang w:val="fr-FR"/>
        </w:rPr>
      </w:pPr>
    </w:p>
    <w:p w:rsidR="001953FE" w:rsidRPr="00294751" w:rsidRDefault="001953FE"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53FE" w:rsidRDefault="001953FE" w:rsidP="006655D3">
      <w:r>
        <w:separator/>
      </w:r>
    </w:p>
  </w:footnote>
  <w:footnote w:type="continuationSeparator" w:id="0">
    <w:p w:rsidR="001953FE" w:rsidRDefault="001953FE" w:rsidP="006655D3">
      <w:r>
        <w:separator/>
      </w:r>
    </w:p>
  </w:footnote>
  <w:footnote w:type="continuationNotice" w:id="1">
    <w:p w:rsidR="001953FE" w:rsidRPr="00AB530F" w:rsidRDefault="001953FE" w:rsidP="00AB530F">
      <w:pPr>
        <w:pStyle w:val="Foote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53FE" w:rsidRPr="00C5280D" w:rsidRDefault="001953FE" w:rsidP="008B0240">
    <w:pPr>
      <w:pStyle w:val="Header"/>
      <w:rPr>
        <w:rStyle w:val="PageNumber"/>
        <w:lang w:val="en-US"/>
      </w:rPr>
    </w:pPr>
    <w:r>
      <w:rPr>
        <w:rStyle w:val="PageNumber"/>
        <w:lang w:val="en-US"/>
      </w:rPr>
      <w:t>BMT/17/10</w:t>
    </w:r>
  </w:p>
  <w:p w:rsidR="001953FE" w:rsidRPr="00C5280D" w:rsidRDefault="001953FE" w:rsidP="008B0240">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2A3D34">
      <w:rPr>
        <w:rStyle w:val="PageNumber"/>
        <w:noProof/>
        <w:lang w:val="en-US"/>
      </w:rPr>
      <w:t>2</w:t>
    </w:r>
    <w:r w:rsidRPr="00C5280D">
      <w:rPr>
        <w:rStyle w:val="PageNumber"/>
        <w:lang w:val="en-US"/>
      </w:rPr>
      <w:fldChar w:fldCharType="end"/>
    </w:r>
  </w:p>
  <w:p w:rsidR="001953FE" w:rsidRPr="00C5280D" w:rsidRDefault="001953FE" w:rsidP="006655D3"/>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53FE" w:rsidRPr="00C5280D" w:rsidRDefault="001953FE" w:rsidP="00EB048E">
    <w:pPr>
      <w:pStyle w:val="Header"/>
      <w:rPr>
        <w:rStyle w:val="PageNumber"/>
        <w:lang w:val="en-US"/>
      </w:rPr>
    </w:pPr>
    <w:r>
      <w:rPr>
        <w:rStyle w:val="PageNumber"/>
        <w:lang w:val="en-US"/>
      </w:rPr>
      <w:t>BMT/17/10</w:t>
    </w:r>
    <w:r w:rsidR="000717FC">
      <w:rPr>
        <w:rStyle w:val="PageNumber"/>
        <w:lang w:val="en-US"/>
      </w:rPr>
      <w:t xml:space="preserve"> Add.</w:t>
    </w:r>
  </w:p>
  <w:p w:rsidR="001953FE" w:rsidRPr="00C5280D" w:rsidRDefault="001953FE" w:rsidP="00A6726D">
    <w:pPr>
      <w:pStyle w:val="Header"/>
      <w:rPr>
        <w:lang w:val="en-US"/>
      </w:rPr>
    </w:pPr>
    <w:r w:rsidRPr="00F759CB">
      <w:rPr>
        <w:lang w:val="en-US"/>
      </w:rPr>
      <w:t xml:space="preserve">Annex,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6F0F57">
      <w:rPr>
        <w:rStyle w:val="PageNumber"/>
        <w:noProof/>
        <w:lang w:val="en-US"/>
      </w:rPr>
      <w:t>4</w:t>
    </w:r>
    <w:r w:rsidRPr="00C5280D">
      <w:rPr>
        <w:rStyle w:val="PageNumber"/>
        <w:lang w:val="en-US"/>
      </w:rPr>
      <w:fldChar w:fldCharType="end"/>
    </w:r>
  </w:p>
  <w:p w:rsidR="001953FE" w:rsidRPr="00C5280D" w:rsidRDefault="001953FE" w:rsidP="006655D3"/>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53FE" w:rsidRDefault="001953FE" w:rsidP="008B0240">
    <w:pPr>
      <w:pStyle w:val="Header"/>
      <w:rPr>
        <w:lang w:eastAsia="ja-JP"/>
      </w:rPr>
    </w:pPr>
    <w:r>
      <w:t>BMT/17/10</w:t>
    </w:r>
    <w:r w:rsidR="000717FC">
      <w:t xml:space="preserve"> </w:t>
    </w:r>
    <w:proofErr w:type="spellStart"/>
    <w:r w:rsidR="000717FC">
      <w:t>Add</w:t>
    </w:r>
    <w:proofErr w:type="spellEnd"/>
    <w:r w:rsidR="000717FC">
      <w:t>.</w:t>
    </w:r>
  </w:p>
  <w:p w:rsidR="001953FE" w:rsidRDefault="001953FE" w:rsidP="008B0240">
    <w:pPr>
      <w:pStyle w:val="Header"/>
      <w:tabs>
        <w:tab w:val="left" w:pos="5400"/>
      </w:tabs>
      <w:jc w:val="left"/>
    </w:pPr>
    <w:r>
      <w:tab/>
    </w:r>
  </w:p>
  <w:p w:rsidR="001953FE" w:rsidRPr="00C5280D" w:rsidRDefault="000717FC" w:rsidP="008B0240">
    <w:pPr>
      <w:pStyle w:val="Header"/>
    </w:pPr>
    <w:r>
      <w:t>ANNEX</w:t>
    </w:r>
  </w:p>
  <w:p w:rsidR="001953FE" w:rsidRDefault="001953F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37C9B"/>
    <w:multiLevelType w:val="hybridMultilevel"/>
    <w:tmpl w:val="351038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D994B21"/>
    <w:multiLevelType w:val="hybridMultilevel"/>
    <w:tmpl w:val="5C04998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10C465C1"/>
    <w:multiLevelType w:val="hybridMultilevel"/>
    <w:tmpl w:val="F8D002A4"/>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5A87FC0"/>
    <w:multiLevelType w:val="hybridMultilevel"/>
    <w:tmpl w:val="F84C00B2"/>
    <w:lvl w:ilvl="0" w:tplc="B30EAF9C">
      <w:start w:val="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D422EB8"/>
    <w:multiLevelType w:val="hybridMultilevel"/>
    <w:tmpl w:val="5B880656"/>
    <w:lvl w:ilvl="0" w:tplc="3FBED5E6">
      <w:start w:val="1"/>
      <w:numFmt w:val="lowerLetter"/>
      <w:lvlText w:val="(%1)"/>
      <w:lvlJc w:val="left"/>
      <w:pPr>
        <w:ind w:left="1287" w:hanging="360"/>
      </w:pPr>
      <w:rPr>
        <w:rFont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259A48A4"/>
    <w:multiLevelType w:val="hybridMultilevel"/>
    <w:tmpl w:val="0F76A38E"/>
    <w:lvl w:ilvl="0" w:tplc="0F76A13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536FAE"/>
    <w:multiLevelType w:val="hybridMultilevel"/>
    <w:tmpl w:val="6DE09AB8"/>
    <w:lvl w:ilvl="0" w:tplc="D50474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A9C51CA"/>
    <w:multiLevelType w:val="hybridMultilevel"/>
    <w:tmpl w:val="30FA374C"/>
    <w:lvl w:ilvl="0" w:tplc="FD2AC392">
      <w:start w:val="3"/>
      <w:numFmt w:val="bullet"/>
      <w:lvlText w:val="-"/>
      <w:lvlJc w:val="left"/>
      <w:pPr>
        <w:ind w:left="1440" w:hanging="360"/>
      </w:pPr>
      <w:rPr>
        <w:rFonts w:ascii="Calibri Light" w:eastAsiaTheme="minorHAnsi" w:hAnsi="Calibri Light" w:cs="Calibri Light"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15:restartNumberingAfterBreak="0">
    <w:nsid w:val="2AFC411A"/>
    <w:multiLevelType w:val="hybridMultilevel"/>
    <w:tmpl w:val="905A4B5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CD23DA3"/>
    <w:multiLevelType w:val="hybridMultilevel"/>
    <w:tmpl w:val="B33483A2"/>
    <w:lvl w:ilvl="0" w:tplc="8210023A">
      <w:start w:val="1"/>
      <w:numFmt w:val="lowerRoman"/>
      <w:lvlText w:val="(%1)"/>
      <w:lvlJc w:val="left"/>
      <w:pPr>
        <w:ind w:left="1410" w:hanging="72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10" w15:restartNumberingAfterBreak="0">
    <w:nsid w:val="2D5B2FE4"/>
    <w:multiLevelType w:val="hybridMultilevel"/>
    <w:tmpl w:val="E716B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DC74AA"/>
    <w:multiLevelType w:val="hybridMultilevel"/>
    <w:tmpl w:val="9E128F64"/>
    <w:lvl w:ilvl="0" w:tplc="054A55D0">
      <w:start w:val="1"/>
      <w:numFmt w:val="lowerLetter"/>
      <w:lvlText w:val="(%1)"/>
      <w:lvlJc w:val="left"/>
      <w:pPr>
        <w:ind w:left="389" w:hanging="360"/>
      </w:pPr>
      <w:rPr>
        <w:rFonts w:hint="default"/>
      </w:rPr>
    </w:lvl>
    <w:lvl w:ilvl="1" w:tplc="04090019" w:tentative="1">
      <w:start w:val="1"/>
      <w:numFmt w:val="lowerLetter"/>
      <w:lvlText w:val="%2."/>
      <w:lvlJc w:val="left"/>
      <w:pPr>
        <w:ind w:left="1109" w:hanging="360"/>
      </w:pPr>
    </w:lvl>
    <w:lvl w:ilvl="2" w:tplc="0409001B" w:tentative="1">
      <w:start w:val="1"/>
      <w:numFmt w:val="lowerRoman"/>
      <w:lvlText w:val="%3."/>
      <w:lvlJc w:val="right"/>
      <w:pPr>
        <w:ind w:left="1829" w:hanging="180"/>
      </w:pPr>
    </w:lvl>
    <w:lvl w:ilvl="3" w:tplc="0409000F" w:tentative="1">
      <w:start w:val="1"/>
      <w:numFmt w:val="decimal"/>
      <w:lvlText w:val="%4."/>
      <w:lvlJc w:val="left"/>
      <w:pPr>
        <w:ind w:left="2549" w:hanging="360"/>
      </w:pPr>
    </w:lvl>
    <w:lvl w:ilvl="4" w:tplc="04090019" w:tentative="1">
      <w:start w:val="1"/>
      <w:numFmt w:val="lowerLetter"/>
      <w:lvlText w:val="%5."/>
      <w:lvlJc w:val="left"/>
      <w:pPr>
        <w:ind w:left="3269" w:hanging="360"/>
      </w:pPr>
    </w:lvl>
    <w:lvl w:ilvl="5" w:tplc="0409001B" w:tentative="1">
      <w:start w:val="1"/>
      <w:numFmt w:val="lowerRoman"/>
      <w:lvlText w:val="%6."/>
      <w:lvlJc w:val="right"/>
      <w:pPr>
        <w:ind w:left="3989" w:hanging="180"/>
      </w:pPr>
    </w:lvl>
    <w:lvl w:ilvl="6" w:tplc="0409000F" w:tentative="1">
      <w:start w:val="1"/>
      <w:numFmt w:val="decimal"/>
      <w:lvlText w:val="%7."/>
      <w:lvlJc w:val="left"/>
      <w:pPr>
        <w:ind w:left="4709" w:hanging="360"/>
      </w:pPr>
    </w:lvl>
    <w:lvl w:ilvl="7" w:tplc="04090019" w:tentative="1">
      <w:start w:val="1"/>
      <w:numFmt w:val="lowerLetter"/>
      <w:lvlText w:val="%8."/>
      <w:lvlJc w:val="left"/>
      <w:pPr>
        <w:ind w:left="5429" w:hanging="360"/>
      </w:pPr>
    </w:lvl>
    <w:lvl w:ilvl="8" w:tplc="0409001B" w:tentative="1">
      <w:start w:val="1"/>
      <w:numFmt w:val="lowerRoman"/>
      <w:lvlText w:val="%9."/>
      <w:lvlJc w:val="right"/>
      <w:pPr>
        <w:ind w:left="6149" w:hanging="180"/>
      </w:pPr>
    </w:lvl>
  </w:abstractNum>
  <w:abstractNum w:abstractNumId="12" w15:restartNumberingAfterBreak="0">
    <w:nsid w:val="31802DB3"/>
    <w:multiLevelType w:val="hybridMultilevel"/>
    <w:tmpl w:val="3B4C29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2076F1C"/>
    <w:multiLevelType w:val="multilevel"/>
    <w:tmpl w:val="C958C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A3417EB"/>
    <w:multiLevelType w:val="hybridMultilevel"/>
    <w:tmpl w:val="742ADB12"/>
    <w:lvl w:ilvl="0" w:tplc="E9FAC498">
      <w:start w:val="4"/>
      <w:numFmt w:val="bullet"/>
      <w:lvlText w:val="-"/>
      <w:lvlJc w:val="left"/>
      <w:pPr>
        <w:ind w:left="1080" w:hanging="360"/>
      </w:pPr>
      <w:rPr>
        <w:rFonts w:ascii="Calibri" w:eastAsia="Times New Roman" w:hAnsi="Calibri"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15:restartNumberingAfterBreak="0">
    <w:nsid w:val="3C9440F5"/>
    <w:multiLevelType w:val="hybridMultilevel"/>
    <w:tmpl w:val="ECF04B24"/>
    <w:lvl w:ilvl="0" w:tplc="E1ECD1EC">
      <w:start w:val="1"/>
      <w:numFmt w:val="lowerLetter"/>
      <w:lvlText w:val="(%1)"/>
      <w:lvlJc w:val="left"/>
      <w:pPr>
        <w:ind w:left="389" w:hanging="360"/>
      </w:pPr>
      <w:rPr>
        <w:rFonts w:hint="default"/>
      </w:rPr>
    </w:lvl>
    <w:lvl w:ilvl="1" w:tplc="04090019" w:tentative="1">
      <w:start w:val="1"/>
      <w:numFmt w:val="lowerLetter"/>
      <w:lvlText w:val="%2."/>
      <w:lvlJc w:val="left"/>
      <w:pPr>
        <w:ind w:left="1109" w:hanging="360"/>
      </w:pPr>
    </w:lvl>
    <w:lvl w:ilvl="2" w:tplc="0409001B" w:tentative="1">
      <w:start w:val="1"/>
      <w:numFmt w:val="lowerRoman"/>
      <w:lvlText w:val="%3."/>
      <w:lvlJc w:val="right"/>
      <w:pPr>
        <w:ind w:left="1829" w:hanging="180"/>
      </w:pPr>
    </w:lvl>
    <w:lvl w:ilvl="3" w:tplc="0409000F" w:tentative="1">
      <w:start w:val="1"/>
      <w:numFmt w:val="decimal"/>
      <w:lvlText w:val="%4."/>
      <w:lvlJc w:val="left"/>
      <w:pPr>
        <w:ind w:left="2549" w:hanging="360"/>
      </w:pPr>
    </w:lvl>
    <w:lvl w:ilvl="4" w:tplc="04090019" w:tentative="1">
      <w:start w:val="1"/>
      <w:numFmt w:val="lowerLetter"/>
      <w:lvlText w:val="%5."/>
      <w:lvlJc w:val="left"/>
      <w:pPr>
        <w:ind w:left="3269" w:hanging="360"/>
      </w:pPr>
    </w:lvl>
    <w:lvl w:ilvl="5" w:tplc="0409001B" w:tentative="1">
      <w:start w:val="1"/>
      <w:numFmt w:val="lowerRoman"/>
      <w:lvlText w:val="%6."/>
      <w:lvlJc w:val="right"/>
      <w:pPr>
        <w:ind w:left="3989" w:hanging="180"/>
      </w:pPr>
    </w:lvl>
    <w:lvl w:ilvl="6" w:tplc="0409000F" w:tentative="1">
      <w:start w:val="1"/>
      <w:numFmt w:val="decimal"/>
      <w:lvlText w:val="%7."/>
      <w:lvlJc w:val="left"/>
      <w:pPr>
        <w:ind w:left="4709" w:hanging="360"/>
      </w:pPr>
    </w:lvl>
    <w:lvl w:ilvl="7" w:tplc="04090019" w:tentative="1">
      <w:start w:val="1"/>
      <w:numFmt w:val="lowerLetter"/>
      <w:lvlText w:val="%8."/>
      <w:lvlJc w:val="left"/>
      <w:pPr>
        <w:ind w:left="5429" w:hanging="360"/>
      </w:pPr>
    </w:lvl>
    <w:lvl w:ilvl="8" w:tplc="0409001B" w:tentative="1">
      <w:start w:val="1"/>
      <w:numFmt w:val="lowerRoman"/>
      <w:lvlText w:val="%9."/>
      <w:lvlJc w:val="right"/>
      <w:pPr>
        <w:ind w:left="6149" w:hanging="180"/>
      </w:pPr>
    </w:lvl>
  </w:abstractNum>
  <w:abstractNum w:abstractNumId="16" w15:restartNumberingAfterBreak="0">
    <w:nsid w:val="4A4579EA"/>
    <w:multiLevelType w:val="hybridMultilevel"/>
    <w:tmpl w:val="8BC81140"/>
    <w:lvl w:ilvl="0" w:tplc="7DFC9018">
      <w:start w:val="1"/>
      <w:numFmt w:val="lowerLetter"/>
      <w:lvlText w:val="(%1)"/>
      <w:lvlJc w:val="left"/>
      <w:pPr>
        <w:ind w:left="389" w:hanging="360"/>
      </w:pPr>
      <w:rPr>
        <w:rFonts w:hint="default"/>
      </w:rPr>
    </w:lvl>
    <w:lvl w:ilvl="1" w:tplc="04090019" w:tentative="1">
      <w:start w:val="1"/>
      <w:numFmt w:val="lowerLetter"/>
      <w:lvlText w:val="%2."/>
      <w:lvlJc w:val="left"/>
      <w:pPr>
        <w:ind w:left="1109" w:hanging="360"/>
      </w:pPr>
    </w:lvl>
    <w:lvl w:ilvl="2" w:tplc="0409001B" w:tentative="1">
      <w:start w:val="1"/>
      <w:numFmt w:val="lowerRoman"/>
      <w:lvlText w:val="%3."/>
      <w:lvlJc w:val="right"/>
      <w:pPr>
        <w:ind w:left="1829" w:hanging="180"/>
      </w:pPr>
    </w:lvl>
    <w:lvl w:ilvl="3" w:tplc="0409000F" w:tentative="1">
      <w:start w:val="1"/>
      <w:numFmt w:val="decimal"/>
      <w:lvlText w:val="%4."/>
      <w:lvlJc w:val="left"/>
      <w:pPr>
        <w:ind w:left="2549" w:hanging="360"/>
      </w:pPr>
    </w:lvl>
    <w:lvl w:ilvl="4" w:tplc="04090019" w:tentative="1">
      <w:start w:val="1"/>
      <w:numFmt w:val="lowerLetter"/>
      <w:lvlText w:val="%5."/>
      <w:lvlJc w:val="left"/>
      <w:pPr>
        <w:ind w:left="3269" w:hanging="360"/>
      </w:pPr>
    </w:lvl>
    <w:lvl w:ilvl="5" w:tplc="0409001B" w:tentative="1">
      <w:start w:val="1"/>
      <w:numFmt w:val="lowerRoman"/>
      <w:lvlText w:val="%6."/>
      <w:lvlJc w:val="right"/>
      <w:pPr>
        <w:ind w:left="3989" w:hanging="180"/>
      </w:pPr>
    </w:lvl>
    <w:lvl w:ilvl="6" w:tplc="0409000F" w:tentative="1">
      <w:start w:val="1"/>
      <w:numFmt w:val="decimal"/>
      <w:lvlText w:val="%7."/>
      <w:lvlJc w:val="left"/>
      <w:pPr>
        <w:ind w:left="4709" w:hanging="360"/>
      </w:pPr>
    </w:lvl>
    <w:lvl w:ilvl="7" w:tplc="04090019" w:tentative="1">
      <w:start w:val="1"/>
      <w:numFmt w:val="lowerLetter"/>
      <w:lvlText w:val="%8."/>
      <w:lvlJc w:val="left"/>
      <w:pPr>
        <w:ind w:left="5429" w:hanging="360"/>
      </w:pPr>
    </w:lvl>
    <w:lvl w:ilvl="8" w:tplc="0409001B" w:tentative="1">
      <w:start w:val="1"/>
      <w:numFmt w:val="lowerRoman"/>
      <w:lvlText w:val="%9."/>
      <w:lvlJc w:val="right"/>
      <w:pPr>
        <w:ind w:left="6149" w:hanging="180"/>
      </w:pPr>
    </w:lvl>
  </w:abstractNum>
  <w:abstractNum w:abstractNumId="17" w15:restartNumberingAfterBreak="0">
    <w:nsid w:val="545C2466"/>
    <w:multiLevelType w:val="hybridMultilevel"/>
    <w:tmpl w:val="97201376"/>
    <w:lvl w:ilvl="0" w:tplc="97448D2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4D133C"/>
    <w:multiLevelType w:val="hybridMultilevel"/>
    <w:tmpl w:val="ECF04B24"/>
    <w:lvl w:ilvl="0" w:tplc="E1ECD1EC">
      <w:start w:val="1"/>
      <w:numFmt w:val="lowerLetter"/>
      <w:lvlText w:val="(%1)"/>
      <w:lvlJc w:val="left"/>
      <w:pPr>
        <w:ind w:left="389" w:hanging="360"/>
      </w:pPr>
      <w:rPr>
        <w:rFonts w:hint="default"/>
      </w:rPr>
    </w:lvl>
    <w:lvl w:ilvl="1" w:tplc="04090019" w:tentative="1">
      <w:start w:val="1"/>
      <w:numFmt w:val="lowerLetter"/>
      <w:lvlText w:val="%2."/>
      <w:lvlJc w:val="left"/>
      <w:pPr>
        <w:ind w:left="1109" w:hanging="360"/>
      </w:pPr>
    </w:lvl>
    <w:lvl w:ilvl="2" w:tplc="0409001B" w:tentative="1">
      <w:start w:val="1"/>
      <w:numFmt w:val="lowerRoman"/>
      <w:lvlText w:val="%3."/>
      <w:lvlJc w:val="right"/>
      <w:pPr>
        <w:ind w:left="1829" w:hanging="180"/>
      </w:pPr>
    </w:lvl>
    <w:lvl w:ilvl="3" w:tplc="0409000F" w:tentative="1">
      <w:start w:val="1"/>
      <w:numFmt w:val="decimal"/>
      <w:lvlText w:val="%4."/>
      <w:lvlJc w:val="left"/>
      <w:pPr>
        <w:ind w:left="2549" w:hanging="360"/>
      </w:pPr>
    </w:lvl>
    <w:lvl w:ilvl="4" w:tplc="04090019" w:tentative="1">
      <w:start w:val="1"/>
      <w:numFmt w:val="lowerLetter"/>
      <w:lvlText w:val="%5."/>
      <w:lvlJc w:val="left"/>
      <w:pPr>
        <w:ind w:left="3269" w:hanging="360"/>
      </w:pPr>
    </w:lvl>
    <w:lvl w:ilvl="5" w:tplc="0409001B" w:tentative="1">
      <w:start w:val="1"/>
      <w:numFmt w:val="lowerRoman"/>
      <w:lvlText w:val="%6."/>
      <w:lvlJc w:val="right"/>
      <w:pPr>
        <w:ind w:left="3989" w:hanging="180"/>
      </w:pPr>
    </w:lvl>
    <w:lvl w:ilvl="6" w:tplc="0409000F" w:tentative="1">
      <w:start w:val="1"/>
      <w:numFmt w:val="decimal"/>
      <w:lvlText w:val="%7."/>
      <w:lvlJc w:val="left"/>
      <w:pPr>
        <w:ind w:left="4709" w:hanging="360"/>
      </w:pPr>
    </w:lvl>
    <w:lvl w:ilvl="7" w:tplc="04090019" w:tentative="1">
      <w:start w:val="1"/>
      <w:numFmt w:val="lowerLetter"/>
      <w:lvlText w:val="%8."/>
      <w:lvlJc w:val="left"/>
      <w:pPr>
        <w:ind w:left="5429" w:hanging="360"/>
      </w:pPr>
    </w:lvl>
    <w:lvl w:ilvl="8" w:tplc="0409001B" w:tentative="1">
      <w:start w:val="1"/>
      <w:numFmt w:val="lowerRoman"/>
      <w:lvlText w:val="%9."/>
      <w:lvlJc w:val="right"/>
      <w:pPr>
        <w:ind w:left="6149" w:hanging="180"/>
      </w:pPr>
    </w:lvl>
  </w:abstractNum>
  <w:abstractNum w:abstractNumId="19" w15:restartNumberingAfterBreak="0">
    <w:nsid w:val="652D2B34"/>
    <w:multiLevelType w:val="hybridMultilevel"/>
    <w:tmpl w:val="3C22633C"/>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669B22AE"/>
    <w:multiLevelType w:val="hybridMultilevel"/>
    <w:tmpl w:val="3FB43284"/>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6F060FF9"/>
    <w:multiLevelType w:val="hybridMultilevel"/>
    <w:tmpl w:val="D6FC36BA"/>
    <w:lvl w:ilvl="0" w:tplc="04130017">
      <w:start w:val="1"/>
      <w:numFmt w:val="lowerLetter"/>
      <w:lvlText w:val="%1)"/>
      <w:lvlJc w:val="left"/>
      <w:pPr>
        <w:ind w:left="765" w:hanging="360"/>
      </w:pPr>
    </w:lvl>
    <w:lvl w:ilvl="1" w:tplc="04130019" w:tentative="1">
      <w:start w:val="1"/>
      <w:numFmt w:val="lowerLetter"/>
      <w:lvlText w:val="%2."/>
      <w:lvlJc w:val="left"/>
      <w:pPr>
        <w:ind w:left="1485" w:hanging="360"/>
      </w:pPr>
    </w:lvl>
    <w:lvl w:ilvl="2" w:tplc="0413001B" w:tentative="1">
      <w:start w:val="1"/>
      <w:numFmt w:val="lowerRoman"/>
      <w:lvlText w:val="%3."/>
      <w:lvlJc w:val="right"/>
      <w:pPr>
        <w:ind w:left="2205" w:hanging="180"/>
      </w:pPr>
    </w:lvl>
    <w:lvl w:ilvl="3" w:tplc="0413000F" w:tentative="1">
      <w:start w:val="1"/>
      <w:numFmt w:val="decimal"/>
      <w:lvlText w:val="%4."/>
      <w:lvlJc w:val="left"/>
      <w:pPr>
        <w:ind w:left="2925" w:hanging="360"/>
      </w:pPr>
    </w:lvl>
    <w:lvl w:ilvl="4" w:tplc="04130019" w:tentative="1">
      <w:start w:val="1"/>
      <w:numFmt w:val="lowerLetter"/>
      <w:lvlText w:val="%5."/>
      <w:lvlJc w:val="left"/>
      <w:pPr>
        <w:ind w:left="3645" w:hanging="360"/>
      </w:pPr>
    </w:lvl>
    <w:lvl w:ilvl="5" w:tplc="0413001B" w:tentative="1">
      <w:start w:val="1"/>
      <w:numFmt w:val="lowerRoman"/>
      <w:lvlText w:val="%6."/>
      <w:lvlJc w:val="right"/>
      <w:pPr>
        <w:ind w:left="4365" w:hanging="180"/>
      </w:pPr>
    </w:lvl>
    <w:lvl w:ilvl="6" w:tplc="0413000F" w:tentative="1">
      <w:start w:val="1"/>
      <w:numFmt w:val="decimal"/>
      <w:lvlText w:val="%7."/>
      <w:lvlJc w:val="left"/>
      <w:pPr>
        <w:ind w:left="5085" w:hanging="360"/>
      </w:pPr>
    </w:lvl>
    <w:lvl w:ilvl="7" w:tplc="04130019" w:tentative="1">
      <w:start w:val="1"/>
      <w:numFmt w:val="lowerLetter"/>
      <w:lvlText w:val="%8."/>
      <w:lvlJc w:val="left"/>
      <w:pPr>
        <w:ind w:left="5805" w:hanging="360"/>
      </w:pPr>
    </w:lvl>
    <w:lvl w:ilvl="8" w:tplc="0413001B" w:tentative="1">
      <w:start w:val="1"/>
      <w:numFmt w:val="lowerRoman"/>
      <w:lvlText w:val="%9."/>
      <w:lvlJc w:val="right"/>
      <w:pPr>
        <w:ind w:left="6525" w:hanging="180"/>
      </w:pPr>
    </w:lvl>
  </w:abstractNum>
  <w:abstractNum w:abstractNumId="22" w15:restartNumberingAfterBreak="0">
    <w:nsid w:val="71C56B44"/>
    <w:multiLevelType w:val="hybridMultilevel"/>
    <w:tmpl w:val="C366DB18"/>
    <w:lvl w:ilvl="0" w:tplc="B30EAF9C">
      <w:start w:val="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1F21353"/>
    <w:multiLevelType w:val="hybridMultilevel"/>
    <w:tmpl w:val="D8E696EC"/>
    <w:lvl w:ilvl="0" w:tplc="2296326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5CA1F03"/>
    <w:multiLevelType w:val="hybridMultilevel"/>
    <w:tmpl w:val="85E8B730"/>
    <w:lvl w:ilvl="0" w:tplc="50683E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93A7A7C"/>
    <w:multiLevelType w:val="hybridMultilevel"/>
    <w:tmpl w:val="60CAB4C0"/>
    <w:lvl w:ilvl="0" w:tplc="ABA8C88C">
      <w:start w:val="1"/>
      <w:numFmt w:val="bullet"/>
      <w:lvlText w:val=""/>
      <w:lvlJc w:val="left"/>
      <w:pPr>
        <w:ind w:left="1287" w:hanging="360"/>
      </w:pPr>
      <w:rPr>
        <w:rFonts w:ascii="Symbol" w:hAnsi="Symbol" w:hint="default"/>
        <w:spacing w:val="0"/>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6" w15:restartNumberingAfterBreak="0">
    <w:nsid w:val="7ED03910"/>
    <w:multiLevelType w:val="hybridMultilevel"/>
    <w:tmpl w:val="5B880656"/>
    <w:lvl w:ilvl="0" w:tplc="3FBED5E6">
      <w:start w:val="1"/>
      <w:numFmt w:val="lowerLetter"/>
      <w:lvlText w:val="(%1)"/>
      <w:lvlJc w:val="left"/>
      <w:pPr>
        <w:ind w:left="1287" w:hanging="360"/>
      </w:pPr>
      <w:rPr>
        <w:rFont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9"/>
  </w:num>
  <w:num w:numId="2">
    <w:abstractNumId w:val="26"/>
  </w:num>
  <w:num w:numId="3">
    <w:abstractNumId w:val="4"/>
  </w:num>
  <w:num w:numId="4">
    <w:abstractNumId w:val="10"/>
  </w:num>
  <w:num w:numId="5">
    <w:abstractNumId w:val="7"/>
  </w:num>
  <w:num w:numId="6">
    <w:abstractNumId w:val="6"/>
  </w:num>
  <w:num w:numId="7">
    <w:abstractNumId w:val="13"/>
  </w:num>
  <w:num w:numId="8">
    <w:abstractNumId w:val="25"/>
  </w:num>
  <w:num w:numId="9">
    <w:abstractNumId w:val="20"/>
  </w:num>
  <w:num w:numId="10">
    <w:abstractNumId w:val="21"/>
  </w:num>
  <w:num w:numId="11">
    <w:abstractNumId w:val="19"/>
  </w:num>
  <w:num w:numId="12">
    <w:abstractNumId w:val="2"/>
  </w:num>
  <w:num w:numId="13">
    <w:abstractNumId w:val="12"/>
  </w:num>
  <w:num w:numId="14">
    <w:abstractNumId w:val="0"/>
  </w:num>
  <w:num w:numId="15">
    <w:abstractNumId w:val="3"/>
  </w:num>
  <w:num w:numId="16">
    <w:abstractNumId w:val="8"/>
  </w:num>
  <w:num w:numId="17">
    <w:abstractNumId w:val="22"/>
  </w:num>
  <w:num w:numId="18">
    <w:abstractNumId w:val="14"/>
  </w:num>
  <w:num w:numId="19">
    <w:abstractNumId w:val="1"/>
  </w:num>
  <w:num w:numId="20">
    <w:abstractNumId w:val="17"/>
  </w:num>
  <w:num w:numId="21">
    <w:abstractNumId w:val="24"/>
  </w:num>
  <w:num w:numId="22">
    <w:abstractNumId w:val="5"/>
  </w:num>
  <w:num w:numId="23">
    <w:abstractNumId w:val="23"/>
  </w:num>
  <w:num w:numId="24">
    <w:abstractNumId w:val="16"/>
  </w:num>
  <w:num w:numId="25">
    <w:abstractNumId w:val="11"/>
  </w:num>
  <w:num w:numId="26">
    <w:abstractNumId w:val="18"/>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2CD"/>
    <w:rsid w:val="00010CF3"/>
    <w:rsid w:val="00011E27"/>
    <w:rsid w:val="00013F77"/>
    <w:rsid w:val="000148BC"/>
    <w:rsid w:val="00017B1C"/>
    <w:rsid w:val="00020DC0"/>
    <w:rsid w:val="00024AB8"/>
    <w:rsid w:val="00026E86"/>
    <w:rsid w:val="00030854"/>
    <w:rsid w:val="00036028"/>
    <w:rsid w:val="000412C4"/>
    <w:rsid w:val="00044642"/>
    <w:rsid w:val="000446B9"/>
    <w:rsid w:val="00047E21"/>
    <w:rsid w:val="00050E16"/>
    <w:rsid w:val="0005410A"/>
    <w:rsid w:val="000717FC"/>
    <w:rsid w:val="00085505"/>
    <w:rsid w:val="00086D25"/>
    <w:rsid w:val="000922B8"/>
    <w:rsid w:val="000B000D"/>
    <w:rsid w:val="000C4E25"/>
    <w:rsid w:val="000C7021"/>
    <w:rsid w:val="000C7C18"/>
    <w:rsid w:val="000D6BBC"/>
    <w:rsid w:val="000D7780"/>
    <w:rsid w:val="000E636A"/>
    <w:rsid w:val="000F2F11"/>
    <w:rsid w:val="00105929"/>
    <w:rsid w:val="00110C36"/>
    <w:rsid w:val="001131D5"/>
    <w:rsid w:val="001166FA"/>
    <w:rsid w:val="00117BCB"/>
    <w:rsid w:val="00141DB8"/>
    <w:rsid w:val="001452CD"/>
    <w:rsid w:val="0015326B"/>
    <w:rsid w:val="00172084"/>
    <w:rsid w:val="0017474A"/>
    <w:rsid w:val="001758C6"/>
    <w:rsid w:val="00182B99"/>
    <w:rsid w:val="001953FE"/>
    <w:rsid w:val="001B5A69"/>
    <w:rsid w:val="001C5902"/>
    <w:rsid w:val="001D6303"/>
    <w:rsid w:val="001E7F1A"/>
    <w:rsid w:val="001F5865"/>
    <w:rsid w:val="001F6E0E"/>
    <w:rsid w:val="00202C02"/>
    <w:rsid w:val="0021332C"/>
    <w:rsid w:val="00213982"/>
    <w:rsid w:val="002171D9"/>
    <w:rsid w:val="0022226B"/>
    <w:rsid w:val="002433AA"/>
    <w:rsid w:val="00243F64"/>
    <w:rsid w:val="0024416D"/>
    <w:rsid w:val="00247499"/>
    <w:rsid w:val="002476B7"/>
    <w:rsid w:val="0025163A"/>
    <w:rsid w:val="00271911"/>
    <w:rsid w:val="002800A0"/>
    <w:rsid w:val="002801B3"/>
    <w:rsid w:val="00281060"/>
    <w:rsid w:val="002940E8"/>
    <w:rsid w:val="00294751"/>
    <w:rsid w:val="002A3D34"/>
    <w:rsid w:val="002A6E50"/>
    <w:rsid w:val="002B29FF"/>
    <w:rsid w:val="002B4298"/>
    <w:rsid w:val="002C256A"/>
    <w:rsid w:val="002C759C"/>
    <w:rsid w:val="00305A7F"/>
    <w:rsid w:val="00310DCD"/>
    <w:rsid w:val="003152FE"/>
    <w:rsid w:val="00327436"/>
    <w:rsid w:val="00335389"/>
    <w:rsid w:val="00344BD6"/>
    <w:rsid w:val="0034520B"/>
    <w:rsid w:val="0035528D"/>
    <w:rsid w:val="00361821"/>
    <w:rsid w:val="00361E9E"/>
    <w:rsid w:val="003A5CE9"/>
    <w:rsid w:val="003C7FBE"/>
    <w:rsid w:val="003D227C"/>
    <w:rsid w:val="003D2B4D"/>
    <w:rsid w:val="003F0E0B"/>
    <w:rsid w:val="00414D0E"/>
    <w:rsid w:val="004332D9"/>
    <w:rsid w:val="0043383F"/>
    <w:rsid w:val="00444A4C"/>
    <w:rsid w:val="00444A88"/>
    <w:rsid w:val="004736B6"/>
    <w:rsid w:val="00474DA4"/>
    <w:rsid w:val="00476B4D"/>
    <w:rsid w:val="00480336"/>
    <w:rsid w:val="004805FA"/>
    <w:rsid w:val="004935D2"/>
    <w:rsid w:val="004964EA"/>
    <w:rsid w:val="0049744F"/>
    <w:rsid w:val="004A7293"/>
    <w:rsid w:val="004B1215"/>
    <w:rsid w:val="004D047D"/>
    <w:rsid w:val="004E17CC"/>
    <w:rsid w:val="004E64F0"/>
    <w:rsid w:val="004F1E9E"/>
    <w:rsid w:val="004F305A"/>
    <w:rsid w:val="00500F6A"/>
    <w:rsid w:val="00512164"/>
    <w:rsid w:val="00520297"/>
    <w:rsid w:val="00521A15"/>
    <w:rsid w:val="005244E3"/>
    <w:rsid w:val="005338F9"/>
    <w:rsid w:val="0054281C"/>
    <w:rsid w:val="00544581"/>
    <w:rsid w:val="0055268D"/>
    <w:rsid w:val="005604E7"/>
    <w:rsid w:val="005720B1"/>
    <w:rsid w:val="00576BE4"/>
    <w:rsid w:val="005A400A"/>
    <w:rsid w:val="005F7B92"/>
    <w:rsid w:val="00604D7A"/>
    <w:rsid w:val="00610ED0"/>
    <w:rsid w:val="00612379"/>
    <w:rsid w:val="006153B6"/>
    <w:rsid w:val="0061555F"/>
    <w:rsid w:val="00621302"/>
    <w:rsid w:val="00624E05"/>
    <w:rsid w:val="006306FB"/>
    <w:rsid w:val="00636CA6"/>
    <w:rsid w:val="00641200"/>
    <w:rsid w:val="006461C2"/>
    <w:rsid w:val="0066340C"/>
    <w:rsid w:val="00663C2B"/>
    <w:rsid w:val="006655D3"/>
    <w:rsid w:val="00667404"/>
    <w:rsid w:val="00675977"/>
    <w:rsid w:val="00682A40"/>
    <w:rsid w:val="00687EB4"/>
    <w:rsid w:val="00695C56"/>
    <w:rsid w:val="006A5CDE"/>
    <w:rsid w:val="006A644A"/>
    <w:rsid w:val="006B17D2"/>
    <w:rsid w:val="006B2C9E"/>
    <w:rsid w:val="006B5FEB"/>
    <w:rsid w:val="006C224E"/>
    <w:rsid w:val="006D780A"/>
    <w:rsid w:val="006F0F57"/>
    <w:rsid w:val="006F764C"/>
    <w:rsid w:val="00705FD6"/>
    <w:rsid w:val="0071271E"/>
    <w:rsid w:val="00723994"/>
    <w:rsid w:val="007256B2"/>
    <w:rsid w:val="00732DEC"/>
    <w:rsid w:val="00735BD5"/>
    <w:rsid w:val="0074236F"/>
    <w:rsid w:val="0075033F"/>
    <w:rsid w:val="00751613"/>
    <w:rsid w:val="007556F6"/>
    <w:rsid w:val="007567D0"/>
    <w:rsid w:val="00760EEF"/>
    <w:rsid w:val="00767C34"/>
    <w:rsid w:val="00777EE5"/>
    <w:rsid w:val="00783B50"/>
    <w:rsid w:val="0078442C"/>
    <w:rsid w:val="00784836"/>
    <w:rsid w:val="0079023E"/>
    <w:rsid w:val="007A1DC0"/>
    <w:rsid w:val="007A2854"/>
    <w:rsid w:val="007C1D92"/>
    <w:rsid w:val="007C4CB9"/>
    <w:rsid w:val="007D0B9D"/>
    <w:rsid w:val="007D19B0"/>
    <w:rsid w:val="007E182E"/>
    <w:rsid w:val="007F0BAB"/>
    <w:rsid w:val="007F498F"/>
    <w:rsid w:val="0080679D"/>
    <w:rsid w:val="008108B0"/>
    <w:rsid w:val="00811B20"/>
    <w:rsid w:val="00815D97"/>
    <w:rsid w:val="008211B5"/>
    <w:rsid w:val="0082296E"/>
    <w:rsid w:val="00824099"/>
    <w:rsid w:val="00846D7C"/>
    <w:rsid w:val="00860A1D"/>
    <w:rsid w:val="00862F48"/>
    <w:rsid w:val="00867AC1"/>
    <w:rsid w:val="00880B19"/>
    <w:rsid w:val="008869D3"/>
    <w:rsid w:val="00890DF8"/>
    <w:rsid w:val="008A743F"/>
    <w:rsid w:val="008B0240"/>
    <w:rsid w:val="008C0970"/>
    <w:rsid w:val="008D0BC5"/>
    <w:rsid w:val="008D27C1"/>
    <w:rsid w:val="008D2CF7"/>
    <w:rsid w:val="008D494A"/>
    <w:rsid w:val="00900C26"/>
    <w:rsid w:val="0090197F"/>
    <w:rsid w:val="00902E78"/>
    <w:rsid w:val="00906DDC"/>
    <w:rsid w:val="0092712B"/>
    <w:rsid w:val="00934E09"/>
    <w:rsid w:val="00936253"/>
    <w:rsid w:val="00940D46"/>
    <w:rsid w:val="00952196"/>
    <w:rsid w:val="00952DD4"/>
    <w:rsid w:val="0096384D"/>
    <w:rsid w:val="00965AE7"/>
    <w:rsid w:val="00970FED"/>
    <w:rsid w:val="00982120"/>
    <w:rsid w:val="0098385B"/>
    <w:rsid w:val="00992D82"/>
    <w:rsid w:val="00997029"/>
    <w:rsid w:val="009A7339"/>
    <w:rsid w:val="009B440E"/>
    <w:rsid w:val="009C011F"/>
    <w:rsid w:val="009D690D"/>
    <w:rsid w:val="009E65B6"/>
    <w:rsid w:val="009F01B5"/>
    <w:rsid w:val="009F6BC1"/>
    <w:rsid w:val="00A01EE0"/>
    <w:rsid w:val="00A2009F"/>
    <w:rsid w:val="00A24C10"/>
    <w:rsid w:val="00A31197"/>
    <w:rsid w:val="00A42AC3"/>
    <w:rsid w:val="00A430CF"/>
    <w:rsid w:val="00A45EA0"/>
    <w:rsid w:val="00A54309"/>
    <w:rsid w:val="00A56A1D"/>
    <w:rsid w:val="00A63EE8"/>
    <w:rsid w:val="00A6726D"/>
    <w:rsid w:val="00AA038C"/>
    <w:rsid w:val="00AB2B93"/>
    <w:rsid w:val="00AB42F9"/>
    <w:rsid w:val="00AB530F"/>
    <w:rsid w:val="00AB7E5B"/>
    <w:rsid w:val="00AC2883"/>
    <w:rsid w:val="00AC52C3"/>
    <w:rsid w:val="00AE0EF1"/>
    <w:rsid w:val="00AE2937"/>
    <w:rsid w:val="00AE43F4"/>
    <w:rsid w:val="00AF291C"/>
    <w:rsid w:val="00AF5AF4"/>
    <w:rsid w:val="00B00798"/>
    <w:rsid w:val="00B06E72"/>
    <w:rsid w:val="00B07301"/>
    <w:rsid w:val="00B11F3E"/>
    <w:rsid w:val="00B220B3"/>
    <w:rsid w:val="00B224DE"/>
    <w:rsid w:val="00B269A7"/>
    <w:rsid w:val="00B324D4"/>
    <w:rsid w:val="00B44ABD"/>
    <w:rsid w:val="00B46397"/>
    <w:rsid w:val="00B46575"/>
    <w:rsid w:val="00B4778E"/>
    <w:rsid w:val="00B61777"/>
    <w:rsid w:val="00B84BBD"/>
    <w:rsid w:val="00B921D3"/>
    <w:rsid w:val="00B9531B"/>
    <w:rsid w:val="00B977A8"/>
    <w:rsid w:val="00BA43FB"/>
    <w:rsid w:val="00BB3449"/>
    <w:rsid w:val="00BB5280"/>
    <w:rsid w:val="00BC127D"/>
    <w:rsid w:val="00BC1FE6"/>
    <w:rsid w:val="00C0001E"/>
    <w:rsid w:val="00C061B6"/>
    <w:rsid w:val="00C06B46"/>
    <w:rsid w:val="00C2446C"/>
    <w:rsid w:val="00C27C8F"/>
    <w:rsid w:val="00C36AE5"/>
    <w:rsid w:val="00C37857"/>
    <w:rsid w:val="00C41F17"/>
    <w:rsid w:val="00C527FA"/>
    <w:rsid w:val="00C5280D"/>
    <w:rsid w:val="00C53EB3"/>
    <w:rsid w:val="00C5791C"/>
    <w:rsid w:val="00C66290"/>
    <w:rsid w:val="00C72B7A"/>
    <w:rsid w:val="00C87796"/>
    <w:rsid w:val="00C973F2"/>
    <w:rsid w:val="00CA304C"/>
    <w:rsid w:val="00CA774A"/>
    <w:rsid w:val="00CC11B0"/>
    <w:rsid w:val="00CC2841"/>
    <w:rsid w:val="00CC6032"/>
    <w:rsid w:val="00CE1423"/>
    <w:rsid w:val="00CF1330"/>
    <w:rsid w:val="00CF7E36"/>
    <w:rsid w:val="00D06277"/>
    <w:rsid w:val="00D20A8C"/>
    <w:rsid w:val="00D36CFD"/>
    <w:rsid w:val="00D3708D"/>
    <w:rsid w:val="00D40426"/>
    <w:rsid w:val="00D44D0D"/>
    <w:rsid w:val="00D57C96"/>
    <w:rsid w:val="00D57D18"/>
    <w:rsid w:val="00D91203"/>
    <w:rsid w:val="00D95174"/>
    <w:rsid w:val="00DA1712"/>
    <w:rsid w:val="00DA4499"/>
    <w:rsid w:val="00DA4973"/>
    <w:rsid w:val="00DA6F36"/>
    <w:rsid w:val="00DB596E"/>
    <w:rsid w:val="00DB7773"/>
    <w:rsid w:val="00DC00EA"/>
    <w:rsid w:val="00DC3802"/>
    <w:rsid w:val="00DD3C90"/>
    <w:rsid w:val="00E02519"/>
    <w:rsid w:val="00E07003"/>
    <w:rsid w:val="00E07D87"/>
    <w:rsid w:val="00E11B99"/>
    <w:rsid w:val="00E24894"/>
    <w:rsid w:val="00E26D0C"/>
    <w:rsid w:val="00E32F7E"/>
    <w:rsid w:val="00E37F4E"/>
    <w:rsid w:val="00E5267B"/>
    <w:rsid w:val="00E60FB3"/>
    <w:rsid w:val="00E62864"/>
    <w:rsid w:val="00E72D49"/>
    <w:rsid w:val="00E7593C"/>
    <w:rsid w:val="00E7678A"/>
    <w:rsid w:val="00E83939"/>
    <w:rsid w:val="00E935F1"/>
    <w:rsid w:val="00E94A81"/>
    <w:rsid w:val="00EA1FFB"/>
    <w:rsid w:val="00EB048E"/>
    <w:rsid w:val="00EB4E9C"/>
    <w:rsid w:val="00EC481C"/>
    <w:rsid w:val="00EE1AFA"/>
    <w:rsid w:val="00EE34DF"/>
    <w:rsid w:val="00EF2F89"/>
    <w:rsid w:val="00F020CF"/>
    <w:rsid w:val="00F03E3B"/>
    <w:rsid w:val="00F03E98"/>
    <w:rsid w:val="00F120DC"/>
    <w:rsid w:val="00F1237A"/>
    <w:rsid w:val="00F22CBD"/>
    <w:rsid w:val="00F272F1"/>
    <w:rsid w:val="00F307FB"/>
    <w:rsid w:val="00F45372"/>
    <w:rsid w:val="00F560F7"/>
    <w:rsid w:val="00F6334D"/>
    <w:rsid w:val="00F6618C"/>
    <w:rsid w:val="00F9162A"/>
    <w:rsid w:val="00F96ADA"/>
    <w:rsid w:val="00FA49AB"/>
    <w:rsid w:val="00FE39C7"/>
    <w:rsid w:val="00FE6028"/>
    <w:rsid w:val="00FF4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203A23FC-2CA8-45A3-A733-C5C178476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uiPriority w:val="99"/>
    <w:rsid w:val="00AB530F"/>
    <w:pPr>
      <w:tabs>
        <w:tab w:val="left" w:pos="5387"/>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15326B"/>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rsid w:val="00D3708D"/>
  </w:style>
  <w:style w:type="character" w:styleId="EndnoteReference">
    <w:name w:val="endnote reference"/>
    <w:basedOn w:val="DefaultParagraphFont"/>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15326B"/>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qFormat/>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qFormat/>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qFormat/>
    <w:rsid w:val="00B07301"/>
    <w:pPr>
      <w:tabs>
        <w:tab w:val="right" w:leader="dot" w:pos="9639"/>
      </w:tabs>
      <w:contextualSpacing/>
      <w:jc w:val="center"/>
    </w:pPr>
    <w:rPr>
      <w:rFonts w:ascii="Arial" w:hAnsi="Arial"/>
      <w:caps/>
    </w:rPr>
  </w:style>
  <w:style w:type="paragraph" w:styleId="TOC5">
    <w:name w:val="toc 5"/>
    <w:next w:val="Normal"/>
    <w:autoRedefine/>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621302"/>
    <w:pPr>
      <w:spacing w:line="280" w:lineRule="atLeast"/>
    </w:pPr>
    <w:rPr>
      <w:rFonts w:ascii="Arial" w:hAnsi="Arial"/>
      <w:b/>
      <w:bCs/>
      <w:spacing w:val="10"/>
      <w:sz w:val="18"/>
    </w:rPr>
  </w:style>
  <w:style w:type="character" w:customStyle="1" w:styleId="FootnoteTextChar">
    <w:name w:val="Footnote Text Char"/>
    <w:basedOn w:val="DefaultParagraphFont"/>
    <w:link w:val="FootnoteText"/>
    <w:rsid w:val="001452CD"/>
    <w:rPr>
      <w:rFonts w:ascii="Arial" w:hAnsi="Arial"/>
      <w:sz w:val="16"/>
    </w:rPr>
  </w:style>
  <w:style w:type="paragraph" w:customStyle="1" w:styleId="Sessiontwp">
    <w:name w:val="Session_twp"/>
    <w:basedOn w:val="Normal"/>
    <w:next w:val="Normal"/>
    <w:qFormat/>
    <w:rsid w:val="0096384D"/>
    <w:rPr>
      <w:b/>
    </w:rPr>
  </w:style>
  <w:style w:type="paragraph" w:customStyle="1" w:styleId="Sessiontwpplacedate">
    <w:name w:val="Session_twp_place_date"/>
    <w:basedOn w:val="Normal"/>
    <w:next w:val="Normal"/>
    <w:qFormat/>
    <w:rsid w:val="0096384D"/>
  </w:style>
  <w:style w:type="character" w:customStyle="1" w:styleId="Heading1Char">
    <w:name w:val="Heading 1 Char"/>
    <w:basedOn w:val="DefaultParagraphFont"/>
    <w:link w:val="Heading1"/>
    <w:rsid w:val="0096384D"/>
    <w:rPr>
      <w:rFonts w:ascii="Arial" w:hAnsi="Arial"/>
      <w:caps/>
    </w:rPr>
  </w:style>
  <w:style w:type="paragraph" w:styleId="ListParagraph">
    <w:name w:val="List Paragraph"/>
    <w:basedOn w:val="Normal"/>
    <w:uiPriority w:val="34"/>
    <w:qFormat/>
    <w:rsid w:val="0096384D"/>
    <w:pPr>
      <w:ind w:left="720"/>
      <w:contextualSpacing/>
    </w:pPr>
    <w:rPr>
      <w:rFonts w:eastAsiaTheme="minorEastAsia"/>
    </w:rPr>
  </w:style>
  <w:style w:type="paragraph" w:styleId="BodyTextIndent">
    <w:name w:val="Body Text Indent"/>
    <w:basedOn w:val="Normal"/>
    <w:link w:val="BodyTextIndentChar"/>
    <w:rsid w:val="0096384D"/>
    <w:pPr>
      <w:spacing w:after="120"/>
      <w:ind w:left="283"/>
    </w:pPr>
    <w:rPr>
      <w:rFonts w:eastAsiaTheme="minorEastAsia"/>
    </w:rPr>
  </w:style>
  <w:style w:type="character" w:customStyle="1" w:styleId="BodyTextIndentChar">
    <w:name w:val="Body Text Indent Char"/>
    <w:basedOn w:val="DefaultParagraphFont"/>
    <w:link w:val="BodyTextIndent"/>
    <w:rsid w:val="0096384D"/>
    <w:rPr>
      <w:rFonts w:ascii="Arial" w:eastAsiaTheme="minorEastAsia" w:hAnsi="Arial"/>
    </w:rPr>
  </w:style>
  <w:style w:type="character" w:customStyle="1" w:styleId="HeaderChar">
    <w:name w:val="Header Char"/>
    <w:basedOn w:val="DefaultParagraphFont"/>
    <w:link w:val="Header"/>
    <w:rsid w:val="0096384D"/>
    <w:rPr>
      <w:rFonts w:ascii="Arial" w:hAnsi="Arial"/>
      <w:lang w:val="fr-FR"/>
    </w:rPr>
  </w:style>
  <w:style w:type="paragraph" w:customStyle="1" w:styleId="Style1">
    <w:name w:val="Style1"/>
    <w:basedOn w:val="Normal"/>
    <w:rsid w:val="0096384D"/>
    <w:pPr>
      <w:tabs>
        <w:tab w:val="decimal" w:pos="907"/>
        <w:tab w:val="left" w:pos="1077"/>
      </w:tabs>
    </w:pPr>
    <w:rPr>
      <w:rFonts w:ascii="Times New Roman" w:eastAsiaTheme="minorEastAsia" w:hAnsi="Times New Roman"/>
      <w:sz w:val="24"/>
      <w:szCs w:val="24"/>
      <w:lang w:eastAsia="ja-JP"/>
    </w:rPr>
  </w:style>
  <w:style w:type="table" w:customStyle="1" w:styleId="PlainTable41">
    <w:name w:val="Plain Table 41"/>
    <w:basedOn w:val="TableNormal"/>
    <w:uiPriority w:val="44"/>
    <w:rsid w:val="0096384D"/>
    <w:rPr>
      <w:rFonts w:asciiTheme="minorHAnsi" w:eastAsiaTheme="minorHAnsi" w:hAnsiTheme="minorHAnsi" w:cstheme="minorBidi"/>
      <w:sz w:val="22"/>
      <w:szCs w:val="22"/>
      <w:lang w:val="fr-FR"/>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unhideWhenUsed/>
    <w:rsid w:val="0096384D"/>
    <w:pPr>
      <w:spacing w:before="100" w:beforeAutospacing="1" w:after="100" w:afterAutospacing="1"/>
      <w:jc w:val="left"/>
    </w:pPr>
    <w:rPr>
      <w:rFonts w:ascii="Times New Roman" w:eastAsiaTheme="minorEastAsia" w:hAnsi="Times New Roman"/>
      <w:sz w:val="24"/>
      <w:szCs w:val="24"/>
      <w:lang w:eastAsia="ja-JP"/>
    </w:rPr>
  </w:style>
  <w:style w:type="paragraph" w:styleId="TOCHeading">
    <w:name w:val="TOC Heading"/>
    <w:basedOn w:val="Heading1"/>
    <w:next w:val="Normal"/>
    <w:uiPriority w:val="39"/>
    <w:semiHidden/>
    <w:unhideWhenUsed/>
    <w:qFormat/>
    <w:rsid w:val="0096384D"/>
    <w:pPr>
      <w:keepLines/>
      <w:spacing w:before="480" w:line="276" w:lineRule="auto"/>
      <w:jc w:val="left"/>
      <w:outlineLvl w:val="9"/>
    </w:pPr>
    <w:rPr>
      <w:rFonts w:asciiTheme="majorHAnsi" w:eastAsiaTheme="majorEastAsia" w:hAnsiTheme="majorHAnsi" w:cstheme="majorBidi"/>
      <w:b/>
      <w:bCs/>
      <w:caps w:val="0"/>
      <w:color w:val="365F91" w:themeColor="accent1" w:themeShade="BF"/>
      <w:sz w:val="28"/>
      <w:szCs w:val="28"/>
      <w:lang w:eastAsia="ja-JP"/>
    </w:rPr>
  </w:style>
  <w:style w:type="table" w:styleId="TableGrid">
    <w:name w:val="Table Grid"/>
    <w:basedOn w:val="TableNormal"/>
    <w:rsid w:val="008B0240"/>
    <w:pPr>
      <w:spacing w:line="240" w:lineRule="atLeast"/>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chnZchn1">
    <w:name w:val="Zchn Zchn1"/>
    <w:basedOn w:val="Normal"/>
    <w:rsid w:val="00D36CFD"/>
    <w:pPr>
      <w:spacing w:after="160" w:line="240" w:lineRule="exact"/>
      <w:jc w:val="left"/>
    </w:pPr>
    <w:rPr>
      <w:rFonts w:ascii="Verdana" w:eastAsia="PMingLiU" w:hAnsi="Verdana"/>
    </w:rPr>
  </w:style>
  <w:style w:type="character" w:customStyle="1" w:styleId="EndnoteTextChar">
    <w:name w:val="Endnote Text Char"/>
    <w:basedOn w:val="DefaultParagraphFont"/>
    <w:link w:val="EndnoteText"/>
    <w:rsid w:val="00C06B46"/>
    <w:rPr>
      <w:rFonts w:ascii="Arial" w:hAnsi="Arial"/>
    </w:rPr>
  </w:style>
  <w:style w:type="table" w:customStyle="1" w:styleId="TableGrid1">
    <w:name w:val="Table Grid1"/>
    <w:basedOn w:val="TableNormal"/>
    <w:next w:val="TableGrid"/>
    <w:rsid w:val="005244E3"/>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1737204">
      <w:bodyDiv w:val="1"/>
      <w:marLeft w:val="0"/>
      <w:marRight w:val="0"/>
      <w:marTop w:val="0"/>
      <w:marBottom w:val="0"/>
      <w:divBdr>
        <w:top w:val="none" w:sz="0" w:space="0" w:color="auto"/>
        <w:left w:val="none" w:sz="0" w:space="0" w:color="auto"/>
        <w:bottom w:val="none" w:sz="0" w:space="0" w:color="auto"/>
        <w:right w:val="none" w:sz="0" w:space="0" w:color="auto"/>
      </w:divBdr>
    </w:div>
    <w:div w:id="1000431748">
      <w:bodyDiv w:val="1"/>
      <w:marLeft w:val="0"/>
      <w:marRight w:val="0"/>
      <w:marTop w:val="0"/>
      <w:marBottom w:val="0"/>
      <w:divBdr>
        <w:top w:val="none" w:sz="0" w:space="0" w:color="auto"/>
        <w:left w:val="none" w:sz="0" w:space="0" w:color="auto"/>
        <w:bottom w:val="none" w:sz="0" w:space="0" w:color="auto"/>
        <w:right w:val="none" w:sz="0" w:space="0" w:color="auto"/>
      </w:divBdr>
    </w:div>
    <w:div w:id="17328439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s://samtools.github.io/hts-specs/VCFv4.2.pdf"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BMT\bmt_17\template\BMT_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9FB161-A095-4234-B4C3-7BEE11756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BMT_17.dotx</Template>
  <TotalTime>0</TotalTime>
  <Pages>8</Pages>
  <Words>2635</Words>
  <Characters>14606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BMT/17/10</vt:lpstr>
    </vt:vector>
  </TitlesOfParts>
  <Company>UPOV</Company>
  <LinksUpToDate>false</LinksUpToDate>
  <CharactersWithSpaces>17207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BMT/17/10</dc:title>
  <dc:creator>SANCHEZ-VIZCAINO GOMEZ Rosa Maria</dc:creator>
  <cp:lastModifiedBy>MAY Jessica</cp:lastModifiedBy>
  <cp:revision>26</cp:revision>
  <cp:lastPrinted>2018-08-22T09:01:00Z</cp:lastPrinted>
  <dcterms:created xsi:type="dcterms:W3CDTF">2018-09-10T14:23:00Z</dcterms:created>
  <dcterms:modified xsi:type="dcterms:W3CDTF">2018-09-11T06:48:00Z</dcterms:modified>
</cp:coreProperties>
</file>