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60FAB" w14:paraId="58D28DF3" w14:textId="77777777" w:rsidTr="00EB4E9C">
        <w:tc>
          <w:tcPr>
            <w:tcW w:w="6522" w:type="dxa"/>
          </w:tcPr>
          <w:p w14:paraId="58D28DF1" w14:textId="77777777" w:rsidR="00DC3802" w:rsidRPr="00160FAB" w:rsidRDefault="00DC3802" w:rsidP="00AC2883">
            <w:bookmarkStart w:id="0" w:name="_Hlk86155982"/>
            <w:r w:rsidRPr="00160FAB">
              <w:rPr>
                <w:lang w:val="en-US"/>
              </w:rPr>
              <w:drawing>
                <wp:inline distT="0" distB="0" distL="0" distR="0" wp14:anchorId="58D290ED" wp14:editId="58D290E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8D28DF2" w14:textId="7712B4AC" w:rsidR="00DC3802" w:rsidRPr="00160FAB" w:rsidRDefault="003779FD" w:rsidP="00AC2883">
            <w:pPr>
              <w:pStyle w:val="Lettrine"/>
            </w:pPr>
            <w:r w:rsidRPr="00160FAB">
              <w:t>G</w:t>
            </w:r>
          </w:p>
        </w:tc>
      </w:tr>
      <w:tr w:rsidR="003779FD" w:rsidRPr="00160FAB" w14:paraId="58D28DF6" w14:textId="77777777" w:rsidTr="00645CA8">
        <w:trPr>
          <w:trHeight w:val="219"/>
        </w:trPr>
        <w:tc>
          <w:tcPr>
            <w:tcW w:w="6522" w:type="dxa"/>
          </w:tcPr>
          <w:p w14:paraId="58D28DF4" w14:textId="7111B717" w:rsidR="003779FD" w:rsidRPr="00160FAB" w:rsidRDefault="003779FD" w:rsidP="003779FD">
            <w:pPr>
              <w:pStyle w:val="upove"/>
            </w:pPr>
            <w:r w:rsidRPr="00160FAB">
              <w:rPr>
                <w:rFonts w:cs="Arial"/>
                <w:szCs w:val="16"/>
              </w:rPr>
              <w:t>Internationaler Verband zum Schutz von Pflanzenzüchtungen</w:t>
            </w:r>
          </w:p>
        </w:tc>
        <w:tc>
          <w:tcPr>
            <w:tcW w:w="3117" w:type="dxa"/>
          </w:tcPr>
          <w:p w14:paraId="58D28DF5" w14:textId="77777777" w:rsidR="003779FD" w:rsidRPr="00160FAB" w:rsidRDefault="003779FD" w:rsidP="003779FD"/>
        </w:tc>
      </w:tr>
    </w:tbl>
    <w:p w14:paraId="58D28DF7" w14:textId="77777777" w:rsidR="00DC3802" w:rsidRPr="00160FAB" w:rsidRDefault="00DC3802" w:rsidP="00DC3802"/>
    <w:p w14:paraId="58D28DF8" w14:textId="77777777" w:rsidR="00D70E65" w:rsidRPr="00160FAB"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60FAB" w14:paraId="58D28DFE" w14:textId="77777777" w:rsidTr="00EB4E9C">
        <w:tc>
          <w:tcPr>
            <w:tcW w:w="6512" w:type="dxa"/>
          </w:tcPr>
          <w:p w14:paraId="58D28DF9" w14:textId="18E1AC30" w:rsidR="00EB4E9C" w:rsidRPr="00160FAB" w:rsidRDefault="008C7AFF" w:rsidP="00AC2883">
            <w:pPr>
              <w:pStyle w:val="Sessiontc"/>
              <w:spacing w:line="240" w:lineRule="auto"/>
            </w:pPr>
            <w:r w:rsidRPr="00160FAB">
              <w:t>Verwaltungs- und Rechtsausschuss</w:t>
            </w:r>
          </w:p>
          <w:p w14:paraId="715E2B86" w14:textId="77777777" w:rsidR="008C7AFF" w:rsidRPr="00160FAB" w:rsidRDefault="008C7AFF" w:rsidP="008C7AFF">
            <w:pPr>
              <w:pStyle w:val="Sessiontcplacedate"/>
            </w:pPr>
            <w:r w:rsidRPr="00160FAB">
              <w:t>Achtundsiebzigste Tagung</w:t>
            </w:r>
          </w:p>
          <w:p w14:paraId="58D28DFA" w14:textId="44B8B335" w:rsidR="00EB4E9C" w:rsidRPr="00160FAB" w:rsidRDefault="008C7AFF" w:rsidP="008C7AFF">
            <w:pPr>
              <w:pStyle w:val="Sessiontcplacedate"/>
              <w:rPr>
                <w:sz w:val="22"/>
              </w:rPr>
            </w:pPr>
            <w:r w:rsidRPr="00160FAB">
              <w:t>Genf, 27. Oktober 2021</w:t>
            </w:r>
          </w:p>
        </w:tc>
        <w:tc>
          <w:tcPr>
            <w:tcW w:w="3127" w:type="dxa"/>
          </w:tcPr>
          <w:p w14:paraId="58D28DFB" w14:textId="77777777" w:rsidR="00EB4E9C" w:rsidRPr="00160FAB" w:rsidRDefault="004F4D90" w:rsidP="003C7FBE">
            <w:pPr>
              <w:pStyle w:val="Doccode"/>
              <w:rPr>
                <w:noProof/>
                <w:lang w:val="de-DE"/>
              </w:rPr>
            </w:pPr>
            <w:r w:rsidRPr="00160FAB">
              <w:rPr>
                <w:noProof/>
                <w:lang w:val="de-DE"/>
              </w:rPr>
              <w:t>CAJ/78/INF/5</w:t>
            </w:r>
          </w:p>
          <w:p w14:paraId="58D28DFC" w14:textId="57F62CF2" w:rsidR="00EB4E9C" w:rsidRPr="00160FAB" w:rsidRDefault="00EB4E9C" w:rsidP="003C7FBE">
            <w:pPr>
              <w:pStyle w:val="Docoriginal"/>
            </w:pPr>
            <w:r w:rsidRPr="00160FAB">
              <w:t>Original:</w:t>
            </w:r>
            <w:r w:rsidR="009C40FE">
              <w:rPr>
                <w:b w:val="0"/>
                <w:spacing w:val="0"/>
              </w:rPr>
              <w:t xml:space="preserve"> </w:t>
            </w:r>
            <w:r w:rsidRPr="00160FAB">
              <w:rPr>
                <w:b w:val="0"/>
                <w:spacing w:val="0"/>
              </w:rPr>
              <w:t>Englis</w:t>
            </w:r>
            <w:r w:rsidR="003779FD" w:rsidRPr="00160FAB">
              <w:rPr>
                <w:b w:val="0"/>
                <w:spacing w:val="0"/>
              </w:rPr>
              <w:t>c</w:t>
            </w:r>
            <w:r w:rsidRPr="00160FAB">
              <w:rPr>
                <w:b w:val="0"/>
                <w:spacing w:val="0"/>
              </w:rPr>
              <w:t>h</w:t>
            </w:r>
          </w:p>
          <w:p w14:paraId="58D28DFD" w14:textId="6B35FA36" w:rsidR="00EB4E9C" w:rsidRPr="00160FAB" w:rsidRDefault="00EB4E9C" w:rsidP="00266300">
            <w:pPr>
              <w:pStyle w:val="Docoriginal"/>
            </w:pPr>
            <w:r w:rsidRPr="00160FAB">
              <w:t>Dat</w:t>
            </w:r>
            <w:r w:rsidR="003779FD" w:rsidRPr="00160FAB">
              <w:t>um</w:t>
            </w:r>
            <w:r w:rsidRPr="00160FAB">
              <w:t>:</w:t>
            </w:r>
            <w:r w:rsidR="009C40FE">
              <w:t xml:space="preserve"> </w:t>
            </w:r>
            <w:r w:rsidR="003779FD" w:rsidRPr="00160FAB">
              <w:rPr>
                <w:b w:val="0"/>
                <w:spacing w:val="0"/>
              </w:rPr>
              <w:t xml:space="preserve">19. </w:t>
            </w:r>
            <w:r w:rsidR="00D14394" w:rsidRPr="00160FAB">
              <w:rPr>
                <w:b w:val="0"/>
                <w:spacing w:val="0"/>
              </w:rPr>
              <w:t>O</w:t>
            </w:r>
            <w:r w:rsidR="003779FD" w:rsidRPr="00160FAB">
              <w:rPr>
                <w:b w:val="0"/>
                <w:spacing w:val="0"/>
              </w:rPr>
              <w:t>k</w:t>
            </w:r>
            <w:r w:rsidR="00D14394" w:rsidRPr="00160FAB">
              <w:rPr>
                <w:b w:val="0"/>
                <w:spacing w:val="0"/>
              </w:rPr>
              <w:t xml:space="preserve">tober </w:t>
            </w:r>
            <w:r w:rsidR="00E559F0" w:rsidRPr="00160FAB">
              <w:rPr>
                <w:b w:val="0"/>
                <w:spacing w:val="0"/>
              </w:rPr>
              <w:t>202</w:t>
            </w:r>
            <w:r w:rsidR="00783788" w:rsidRPr="00160FAB">
              <w:rPr>
                <w:b w:val="0"/>
                <w:spacing w:val="0"/>
              </w:rPr>
              <w:t>1</w:t>
            </w:r>
          </w:p>
        </w:tc>
      </w:tr>
    </w:tbl>
    <w:p w14:paraId="58D28DFF" w14:textId="26C7F0AF" w:rsidR="000D7780" w:rsidRPr="00160FAB" w:rsidRDefault="0008673C" w:rsidP="006A644A">
      <w:pPr>
        <w:pStyle w:val="Titleofdoc0"/>
      </w:pPr>
      <w:bookmarkStart w:id="1" w:name="TitleOfDoc"/>
      <w:bookmarkEnd w:id="1"/>
      <w:r w:rsidRPr="00160FAB">
        <w:t>MoleKularE VERFAHREN</w:t>
      </w:r>
    </w:p>
    <w:p w14:paraId="16DF8E26" w14:textId="77777777" w:rsidR="006A1155" w:rsidRPr="00160FAB" w:rsidRDefault="006A1155" w:rsidP="006A1155">
      <w:pPr>
        <w:pStyle w:val="preparedby1"/>
        <w:jc w:val="left"/>
      </w:pPr>
      <w:bookmarkStart w:id="2" w:name="Prepared"/>
      <w:bookmarkStart w:id="3" w:name="_Toc527366627"/>
      <w:bookmarkEnd w:id="2"/>
      <w:r w:rsidRPr="00160FAB">
        <w:t>Vom Verbandsbüro erstelltes Dokument</w:t>
      </w:r>
    </w:p>
    <w:p w14:paraId="195D1176" w14:textId="20E4D34A" w:rsidR="006A1155" w:rsidRPr="00160FAB" w:rsidRDefault="006A1155" w:rsidP="006A1155">
      <w:pPr>
        <w:pStyle w:val="Disclaimer"/>
        <w:rPr>
          <w:noProof/>
          <w:lang w:val="de-DE"/>
        </w:rPr>
      </w:pPr>
      <w:r w:rsidRPr="00160FAB">
        <w:rPr>
          <w:noProof/>
          <w:lang w:val="de-DE"/>
        </w:rPr>
        <w:t>Haftungsausschluss:</w:t>
      </w:r>
      <w:r w:rsidR="000817C9">
        <w:rPr>
          <w:noProof/>
          <w:lang w:val="de-DE"/>
        </w:rPr>
        <w:t xml:space="preserve"> </w:t>
      </w:r>
      <w:r w:rsidRPr="00160FAB">
        <w:rPr>
          <w:noProof/>
          <w:lang w:val="de-DE"/>
        </w:rPr>
        <w:t>dieses Dokument gibt nicht die Grundsätze oder eine Anleitung der UPOV wieder</w:t>
      </w:r>
    </w:p>
    <w:p w14:paraId="58D28E02" w14:textId="014BA821" w:rsidR="00D14394" w:rsidRPr="00160FAB" w:rsidRDefault="00387CDC" w:rsidP="00D14394">
      <w:pPr>
        <w:keepNext/>
        <w:outlineLvl w:val="0"/>
        <w:rPr>
          <w:caps/>
          <w:spacing w:val="-4"/>
          <w:lang w:eastAsia="ja-JP"/>
        </w:rPr>
      </w:pPr>
      <w:bookmarkStart w:id="4" w:name="_Toc75353365"/>
      <w:bookmarkStart w:id="5" w:name="_Toc85924901"/>
      <w:bookmarkEnd w:id="3"/>
      <w:r w:rsidRPr="00160FAB">
        <w:rPr>
          <w:snapToGrid w:val="0"/>
          <w:lang w:eastAsia="ja-JP"/>
        </w:rPr>
        <w:t>ZUSAMMENFASSUNG</w:t>
      </w:r>
      <w:bookmarkEnd w:id="4"/>
      <w:bookmarkEnd w:id="5"/>
    </w:p>
    <w:p w14:paraId="58D28E03" w14:textId="77777777" w:rsidR="00D14394" w:rsidRPr="00160FAB" w:rsidRDefault="00D14394" w:rsidP="00D14394">
      <w:pPr>
        <w:rPr>
          <w:rFonts w:eastAsiaTheme="minorEastAsia"/>
          <w:lang w:eastAsia="ja-JP"/>
        </w:rPr>
      </w:pPr>
    </w:p>
    <w:p w14:paraId="58D28E04" w14:textId="15688401" w:rsidR="00D14394" w:rsidRPr="00160FAB" w:rsidRDefault="00D14394" w:rsidP="00D14394">
      <w:r w:rsidRPr="00160FAB">
        <w:fldChar w:fldCharType="begin"/>
      </w:r>
      <w:r w:rsidRPr="00160FAB">
        <w:instrText xml:space="preserve"> AUTONUM  </w:instrText>
      </w:r>
      <w:r w:rsidRPr="00160FAB">
        <w:fldChar w:fldCharType="end"/>
      </w:r>
      <w:r w:rsidRPr="00160FAB">
        <w:tab/>
      </w:r>
      <w:r w:rsidR="002B0BDB" w:rsidRPr="001240AF">
        <w:t xml:space="preserve">Zweck dieses Dokuments ist es, über die Entwicklungen betreffend molekulare Verfahren </w:t>
      </w:r>
      <w:r w:rsidR="00E24C56" w:rsidRPr="001240AF">
        <w:t xml:space="preserve">seit der </w:t>
      </w:r>
      <w:r w:rsidR="009C40FE">
        <w:t>siebenund</w:t>
      </w:r>
      <w:r w:rsidR="00E24C56" w:rsidRPr="001240AF">
        <w:t xml:space="preserve">siebzigsten Tagung des Verwaltungs- und Rechtsausschusses (CAJ) </w:t>
      </w:r>
      <w:r w:rsidR="002B0BDB" w:rsidRPr="001240AF">
        <w:t>zu berichten</w:t>
      </w:r>
      <w:r w:rsidRPr="001240AF">
        <w:t>.</w:t>
      </w:r>
    </w:p>
    <w:p w14:paraId="58D28E05" w14:textId="77777777" w:rsidR="00D14394" w:rsidRPr="00160FAB" w:rsidRDefault="00D14394" w:rsidP="00D14394">
      <w:pPr>
        <w:rPr>
          <w:lang w:eastAsia="ja-JP"/>
        </w:rPr>
      </w:pPr>
    </w:p>
    <w:p w14:paraId="58D28E06" w14:textId="299C00B3" w:rsidR="00D14394" w:rsidRPr="00160FAB" w:rsidRDefault="00D14394" w:rsidP="00D14394">
      <w:pPr>
        <w:keepNext/>
        <w:keepLines/>
      </w:pPr>
      <w:r w:rsidRPr="00160FAB">
        <w:fldChar w:fldCharType="begin"/>
      </w:r>
      <w:r w:rsidRPr="00160FAB">
        <w:instrText xml:space="preserve"> AUTONUM  </w:instrText>
      </w:r>
      <w:r w:rsidRPr="00160FAB">
        <w:fldChar w:fldCharType="end"/>
      </w:r>
      <w:r w:rsidRPr="00160FAB">
        <w:tab/>
      </w:r>
      <w:r w:rsidR="00F05F56" w:rsidRPr="00F05F56">
        <w:t>In diesem Dokument werden folgende Abkürzungen verwendet</w:t>
      </w:r>
      <w:r w:rsidRPr="00160FAB">
        <w:t>:</w:t>
      </w:r>
    </w:p>
    <w:p w14:paraId="58D28E07" w14:textId="77777777" w:rsidR="00D14394" w:rsidRPr="00160FAB" w:rsidRDefault="00D14394" w:rsidP="00D14394">
      <w:pPr>
        <w:keepNext/>
        <w:keepLines/>
        <w:rPr>
          <w:sz w:val="16"/>
        </w:rPr>
      </w:pPr>
    </w:p>
    <w:p w14:paraId="58D28E08" w14:textId="1FC14FE6" w:rsidR="00D14394" w:rsidRPr="00160FAB" w:rsidRDefault="00D14394" w:rsidP="00482FC5">
      <w:pPr>
        <w:keepNext/>
        <w:keepLines/>
        <w:tabs>
          <w:tab w:val="left" w:pos="567"/>
        </w:tabs>
        <w:ind w:left="1701" w:hanging="1134"/>
        <w:jc w:val="left"/>
        <w:rPr>
          <w:sz w:val="18"/>
        </w:rPr>
      </w:pPr>
      <w:r w:rsidRPr="00160FAB">
        <w:rPr>
          <w:sz w:val="18"/>
        </w:rPr>
        <w:t>BMT:</w:t>
      </w:r>
      <w:r w:rsidRPr="00160FAB">
        <w:rPr>
          <w:sz w:val="18"/>
        </w:rPr>
        <w:tab/>
      </w:r>
      <w:r w:rsidR="00D93538" w:rsidRPr="00D93538">
        <w:rPr>
          <w:sz w:val="18"/>
        </w:rPr>
        <w:t>Arbeitsgruppe für biochemische und molekulare Verfahren und insbesondere für DNS-Profilierungsverfahren</w:t>
      </w:r>
      <w:r w:rsidRPr="00160FAB">
        <w:rPr>
          <w:sz w:val="18"/>
        </w:rPr>
        <w:t xml:space="preserve"> </w:t>
      </w:r>
    </w:p>
    <w:p w14:paraId="58D28E09" w14:textId="7E903122" w:rsidR="00D14394" w:rsidRPr="00160FAB" w:rsidRDefault="00D14394" w:rsidP="00482FC5">
      <w:pPr>
        <w:keepNext/>
        <w:keepLines/>
        <w:tabs>
          <w:tab w:val="left" w:pos="567"/>
        </w:tabs>
        <w:ind w:left="1701" w:hanging="1134"/>
        <w:jc w:val="left"/>
        <w:rPr>
          <w:b/>
          <w:bCs/>
          <w:sz w:val="18"/>
        </w:rPr>
      </w:pPr>
      <w:r w:rsidRPr="00160FAB">
        <w:rPr>
          <w:sz w:val="18"/>
        </w:rPr>
        <w:t>CAJ:</w:t>
      </w:r>
      <w:r w:rsidRPr="00160FAB">
        <w:rPr>
          <w:sz w:val="18"/>
        </w:rPr>
        <w:tab/>
      </w:r>
      <w:r w:rsidR="00825FD1" w:rsidRPr="00825FD1">
        <w:rPr>
          <w:bCs/>
          <w:sz w:val="18"/>
        </w:rPr>
        <w:t>Verwaltungs- und Rechtsausschuss</w:t>
      </w:r>
    </w:p>
    <w:p w14:paraId="58D28E0A" w14:textId="15AAED44" w:rsidR="00D14394" w:rsidRPr="00160FAB" w:rsidRDefault="00D14394" w:rsidP="00482FC5">
      <w:pPr>
        <w:keepNext/>
        <w:keepLines/>
        <w:tabs>
          <w:tab w:val="left" w:pos="567"/>
        </w:tabs>
        <w:ind w:left="1701" w:hanging="1134"/>
        <w:jc w:val="left"/>
        <w:rPr>
          <w:sz w:val="18"/>
        </w:rPr>
      </w:pPr>
      <w:r w:rsidRPr="00160FAB">
        <w:rPr>
          <w:sz w:val="18"/>
        </w:rPr>
        <w:t>TC:</w:t>
      </w:r>
      <w:r w:rsidRPr="00160FAB">
        <w:rPr>
          <w:sz w:val="18"/>
        </w:rPr>
        <w:tab/>
      </w:r>
      <w:r w:rsidR="00825FD1">
        <w:rPr>
          <w:sz w:val="18"/>
        </w:rPr>
        <w:t>Technischer Ausschuss</w:t>
      </w:r>
    </w:p>
    <w:p w14:paraId="58D28E0B" w14:textId="50B0BABC" w:rsidR="00D14394" w:rsidRPr="00160FAB" w:rsidRDefault="00D14394" w:rsidP="00482FC5">
      <w:pPr>
        <w:ind w:left="1701" w:hanging="1134"/>
        <w:jc w:val="left"/>
        <w:rPr>
          <w:rFonts w:eastAsia="PMingLiU" w:cs="Arial"/>
          <w:sz w:val="18"/>
          <w:szCs w:val="24"/>
        </w:rPr>
      </w:pPr>
      <w:r w:rsidRPr="00160FAB">
        <w:rPr>
          <w:rFonts w:eastAsia="PMingLiU" w:cs="Arial"/>
          <w:sz w:val="18"/>
          <w:szCs w:val="24"/>
        </w:rPr>
        <w:t>TWA:</w:t>
      </w:r>
      <w:r w:rsidRPr="00160FAB">
        <w:rPr>
          <w:rFonts w:eastAsia="PMingLiU" w:cs="Arial"/>
          <w:sz w:val="18"/>
          <w:szCs w:val="24"/>
        </w:rPr>
        <w:tab/>
      </w:r>
      <w:r w:rsidR="00880D0C" w:rsidRPr="00880D0C">
        <w:rPr>
          <w:rFonts w:eastAsia="PMingLiU" w:cs="Arial"/>
          <w:sz w:val="18"/>
          <w:szCs w:val="24"/>
        </w:rPr>
        <w:t>Technische Arbeitsgruppe für landwirtschaftliche Arten</w:t>
      </w:r>
    </w:p>
    <w:p w14:paraId="58D28E0C" w14:textId="04CC272A" w:rsidR="00D14394" w:rsidRPr="00160FAB" w:rsidRDefault="00D14394" w:rsidP="00482FC5">
      <w:pPr>
        <w:ind w:left="1701" w:hanging="1134"/>
        <w:jc w:val="left"/>
        <w:rPr>
          <w:rFonts w:eastAsia="PMingLiU" w:cs="Arial"/>
          <w:sz w:val="18"/>
          <w:szCs w:val="24"/>
        </w:rPr>
      </w:pPr>
      <w:r w:rsidRPr="00160FAB">
        <w:rPr>
          <w:rFonts w:eastAsia="PMingLiU" w:cs="Arial"/>
          <w:sz w:val="18"/>
          <w:szCs w:val="24"/>
        </w:rPr>
        <w:t>TWC:</w:t>
      </w:r>
      <w:r w:rsidRPr="00160FAB">
        <w:rPr>
          <w:rFonts w:eastAsia="PMingLiU" w:cs="Arial"/>
          <w:sz w:val="18"/>
          <w:szCs w:val="24"/>
        </w:rPr>
        <w:tab/>
      </w:r>
      <w:r w:rsidR="0086528A" w:rsidRPr="0086528A">
        <w:rPr>
          <w:rFonts w:eastAsia="PMingLiU" w:cs="Arial"/>
          <w:sz w:val="18"/>
          <w:szCs w:val="24"/>
        </w:rPr>
        <w:t>Technische Arbeitsgruppe für Automatisierung und Computerprogramme</w:t>
      </w:r>
    </w:p>
    <w:p w14:paraId="58D28E0D" w14:textId="7B72E947" w:rsidR="00D14394" w:rsidRPr="00160FAB" w:rsidRDefault="00D14394" w:rsidP="00482FC5">
      <w:pPr>
        <w:ind w:left="1701" w:hanging="1134"/>
        <w:jc w:val="left"/>
        <w:rPr>
          <w:rFonts w:eastAsia="PMingLiU" w:cs="Arial"/>
          <w:sz w:val="18"/>
          <w:szCs w:val="24"/>
        </w:rPr>
      </w:pPr>
      <w:r w:rsidRPr="00160FAB">
        <w:rPr>
          <w:rFonts w:eastAsia="PMingLiU" w:cs="Arial"/>
          <w:sz w:val="18"/>
          <w:szCs w:val="24"/>
        </w:rPr>
        <w:t xml:space="preserve">TWF: </w:t>
      </w:r>
      <w:r w:rsidRPr="00160FAB">
        <w:rPr>
          <w:rFonts w:eastAsia="PMingLiU" w:cs="Arial"/>
          <w:sz w:val="18"/>
          <w:szCs w:val="24"/>
        </w:rPr>
        <w:tab/>
      </w:r>
      <w:r w:rsidR="003A7690" w:rsidRPr="003A7690">
        <w:rPr>
          <w:rFonts w:eastAsia="PMingLiU" w:cs="Arial"/>
          <w:sz w:val="18"/>
          <w:szCs w:val="24"/>
        </w:rPr>
        <w:t>Technische Arbeitsgruppe für Obstarten</w:t>
      </w:r>
    </w:p>
    <w:p w14:paraId="58D28E0E" w14:textId="32394FB2" w:rsidR="00D14394" w:rsidRPr="00160FAB" w:rsidRDefault="00D14394" w:rsidP="00482FC5">
      <w:pPr>
        <w:ind w:left="1701" w:hanging="1134"/>
        <w:jc w:val="left"/>
        <w:rPr>
          <w:rFonts w:eastAsia="PMingLiU" w:cs="Arial"/>
          <w:sz w:val="18"/>
          <w:szCs w:val="24"/>
        </w:rPr>
      </w:pPr>
      <w:r w:rsidRPr="00160FAB">
        <w:rPr>
          <w:rFonts w:eastAsia="PMingLiU" w:cs="Arial"/>
          <w:sz w:val="18"/>
          <w:szCs w:val="24"/>
        </w:rPr>
        <w:t>TWO:</w:t>
      </w:r>
      <w:r w:rsidRPr="00160FAB">
        <w:rPr>
          <w:rFonts w:eastAsia="PMingLiU" w:cs="Arial"/>
          <w:sz w:val="18"/>
          <w:szCs w:val="24"/>
        </w:rPr>
        <w:tab/>
      </w:r>
      <w:r w:rsidR="007D68EA" w:rsidRPr="007D68EA">
        <w:rPr>
          <w:rFonts w:eastAsia="PMingLiU" w:cs="Arial"/>
          <w:sz w:val="18"/>
          <w:szCs w:val="24"/>
        </w:rPr>
        <w:t>Technische Arbeitsgruppe für Zierpflanzen und forstliche Baumarten</w:t>
      </w:r>
    </w:p>
    <w:p w14:paraId="58D28E0F" w14:textId="05274223" w:rsidR="00D14394" w:rsidRPr="00160FAB" w:rsidRDefault="00D14394" w:rsidP="00482FC5">
      <w:pPr>
        <w:keepNext/>
        <w:keepLines/>
        <w:ind w:left="1701" w:hanging="1134"/>
        <w:jc w:val="left"/>
        <w:rPr>
          <w:rFonts w:eastAsia="PMingLiU" w:cs="Arial"/>
          <w:sz w:val="18"/>
          <w:szCs w:val="24"/>
        </w:rPr>
      </w:pPr>
      <w:r w:rsidRPr="00160FAB">
        <w:rPr>
          <w:rFonts w:eastAsia="PMingLiU" w:cs="Arial"/>
          <w:sz w:val="18"/>
          <w:szCs w:val="24"/>
        </w:rPr>
        <w:t>TWP:</w:t>
      </w:r>
      <w:r w:rsidRPr="00160FAB">
        <w:rPr>
          <w:rFonts w:eastAsia="PMingLiU" w:cs="Arial"/>
          <w:sz w:val="18"/>
          <w:szCs w:val="24"/>
        </w:rPr>
        <w:tab/>
      </w:r>
      <w:r w:rsidR="004D1992" w:rsidRPr="004D1992">
        <w:rPr>
          <w:rFonts w:eastAsia="PMingLiU" w:cs="Arial"/>
          <w:sz w:val="18"/>
          <w:szCs w:val="24"/>
        </w:rPr>
        <w:t>Technische Arbeitsgruppe</w:t>
      </w:r>
      <w:r w:rsidR="004D1992">
        <w:rPr>
          <w:rFonts w:eastAsia="PMingLiU" w:cs="Arial"/>
          <w:sz w:val="18"/>
          <w:szCs w:val="24"/>
        </w:rPr>
        <w:t>n</w:t>
      </w:r>
    </w:p>
    <w:p w14:paraId="58D28E10" w14:textId="4FAA811E" w:rsidR="00D14394" w:rsidRPr="00160FAB" w:rsidRDefault="00D14394" w:rsidP="00482FC5">
      <w:pPr>
        <w:keepNext/>
        <w:keepLines/>
        <w:ind w:left="1701" w:hanging="1134"/>
        <w:jc w:val="left"/>
        <w:rPr>
          <w:rFonts w:eastAsia="PMingLiU" w:cs="Arial"/>
          <w:sz w:val="18"/>
          <w:szCs w:val="24"/>
        </w:rPr>
      </w:pPr>
      <w:r w:rsidRPr="00160FAB">
        <w:rPr>
          <w:rFonts w:eastAsia="PMingLiU" w:cs="Arial"/>
          <w:sz w:val="18"/>
          <w:szCs w:val="24"/>
        </w:rPr>
        <w:t>TWV:</w:t>
      </w:r>
      <w:r w:rsidRPr="00160FAB">
        <w:rPr>
          <w:rFonts w:eastAsia="PMingLiU" w:cs="Arial"/>
          <w:sz w:val="18"/>
          <w:szCs w:val="24"/>
        </w:rPr>
        <w:tab/>
      </w:r>
      <w:r w:rsidR="00F5204D" w:rsidRPr="00F5204D">
        <w:rPr>
          <w:rFonts w:eastAsia="PMingLiU" w:cs="Arial"/>
          <w:sz w:val="18"/>
          <w:szCs w:val="24"/>
        </w:rPr>
        <w:t>Technische Arbeitsgruppe für Gemüsearten</w:t>
      </w:r>
    </w:p>
    <w:p w14:paraId="58D28E11" w14:textId="53191DEC" w:rsidR="00D14394" w:rsidRPr="00160FAB" w:rsidRDefault="00D14394" w:rsidP="00482FC5">
      <w:pPr>
        <w:keepNext/>
        <w:keepLines/>
        <w:ind w:left="1701" w:hanging="1134"/>
        <w:jc w:val="left"/>
        <w:rPr>
          <w:rFonts w:eastAsia="PMingLiU" w:cs="Arial"/>
          <w:snapToGrid w:val="0"/>
          <w:sz w:val="18"/>
          <w:szCs w:val="24"/>
        </w:rPr>
      </w:pPr>
      <w:r w:rsidRPr="00160FAB">
        <w:rPr>
          <w:rFonts w:eastAsia="PMingLiU" w:cs="Arial"/>
          <w:sz w:val="18"/>
          <w:szCs w:val="24"/>
        </w:rPr>
        <w:t>OECD:</w:t>
      </w:r>
      <w:r w:rsidRPr="00160FAB">
        <w:rPr>
          <w:rFonts w:eastAsia="PMingLiU" w:cs="Arial"/>
          <w:sz w:val="18"/>
          <w:szCs w:val="24"/>
        </w:rPr>
        <w:tab/>
      </w:r>
      <w:r w:rsidR="001F49A8" w:rsidRPr="001F49A8">
        <w:rPr>
          <w:rFonts w:eastAsia="PMingLiU" w:cs="Arial"/>
          <w:snapToGrid w:val="0"/>
          <w:sz w:val="18"/>
          <w:szCs w:val="24"/>
        </w:rPr>
        <w:t xml:space="preserve">Organisation für </w:t>
      </w:r>
      <w:r w:rsidR="009C40FE">
        <w:rPr>
          <w:rFonts w:eastAsia="PMingLiU" w:cs="Arial"/>
          <w:snapToGrid w:val="0"/>
          <w:sz w:val="18"/>
          <w:szCs w:val="24"/>
        </w:rPr>
        <w:t>w</w:t>
      </w:r>
      <w:r w:rsidR="001F49A8" w:rsidRPr="001F49A8">
        <w:rPr>
          <w:rFonts w:eastAsia="PMingLiU" w:cs="Arial"/>
          <w:snapToGrid w:val="0"/>
          <w:sz w:val="18"/>
          <w:szCs w:val="24"/>
        </w:rPr>
        <w:t>irtschaftliche Zusammenarbeit und Entwicklung</w:t>
      </w:r>
    </w:p>
    <w:p w14:paraId="58D28E12" w14:textId="71972E28" w:rsidR="00D14394" w:rsidRPr="00160FAB" w:rsidRDefault="00D14394" w:rsidP="00482FC5">
      <w:pPr>
        <w:ind w:left="1701" w:hanging="1134"/>
        <w:jc w:val="left"/>
        <w:rPr>
          <w:rFonts w:cs="Arial"/>
          <w:snapToGrid w:val="0"/>
          <w:sz w:val="18"/>
          <w:szCs w:val="24"/>
          <w:lang w:eastAsia="ja-JP"/>
        </w:rPr>
      </w:pPr>
      <w:r w:rsidRPr="00160FAB">
        <w:rPr>
          <w:rFonts w:eastAsia="PMingLiU" w:cs="Arial"/>
          <w:snapToGrid w:val="0"/>
          <w:sz w:val="18"/>
          <w:szCs w:val="24"/>
          <w:lang w:eastAsia="fr-FR"/>
        </w:rPr>
        <w:t xml:space="preserve">ISTA: </w:t>
      </w:r>
      <w:r w:rsidRPr="00160FAB">
        <w:rPr>
          <w:rFonts w:eastAsia="PMingLiU" w:cs="Arial"/>
          <w:snapToGrid w:val="0"/>
          <w:sz w:val="18"/>
          <w:szCs w:val="24"/>
          <w:lang w:eastAsia="fr-FR"/>
        </w:rPr>
        <w:tab/>
      </w:r>
      <w:r w:rsidR="00A9244C" w:rsidRPr="00A9244C">
        <w:rPr>
          <w:rFonts w:eastAsia="PMingLiU" w:cs="Arial"/>
          <w:snapToGrid w:val="0"/>
          <w:sz w:val="18"/>
          <w:szCs w:val="24"/>
          <w:lang w:eastAsia="fr-FR"/>
        </w:rPr>
        <w:t>Internationale Vereinigung für Saatgutprüfung</w:t>
      </w:r>
    </w:p>
    <w:p w14:paraId="58D28E13" w14:textId="77777777" w:rsidR="00D14394" w:rsidRPr="00160FAB" w:rsidRDefault="00D14394" w:rsidP="00D14394">
      <w:pPr>
        <w:ind w:left="1701" w:hanging="1134"/>
        <w:rPr>
          <w:rFonts w:cs="Arial"/>
          <w:snapToGrid w:val="0"/>
          <w:sz w:val="18"/>
          <w:szCs w:val="24"/>
          <w:lang w:eastAsia="ja-JP"/>
        </w:rPr>
      </w:pPr>
    </w:p>
    <w:p w14:paraId="58D28E14" w14:textId="4981E6B8" w:rsidR="00D14394" w:rsidRPr="00160FAB" w:rsidRDefault="00D14394" w:rsidP="00D14394">
      <w:pPr>
        <w:keepNext/>
      </w:pPr>
      <w:r w:rsidRPr="00160FAB">
        <w:fldChar w:fldCharType="begin"/>
      </w:r>
      <w:r w:rsidRPr="00160FAB">
        <w:instrText xml:space="preserve"> AUTONUM  </w:instrText>
      </w:r>
      <w:r w:rsidRPr="00160FAB">
        <w:fldChar w:fldCharType="end"/>
      </w:r>
      <w:r w:rsidRPr="00160FAB">
        <w:tab/>
      </w:r>
      <w:r w:rsidR="00482FC5" w:rsidRPr="00482FC5">
        <w:t>Der Aufbau dieses Dokuments ist wie folgt</w:t>
      </w:r>
      <w:r w:rsidRPr="00160FAB">
        <w:t>:</w:t>
      </w:r>
    </w:p>
    <w:bookmarkStart w:id="6" w:name="_Toc460313637"/>
    <w:bookmarkStart w:id="7" w:name="_Toc410822402"/>
    <w:bookmarkStart w:id="8" w:name="_Toc410822806"/>
    <w:bookmarkStart w:id="9" w:name="_Toc410823313"/>
    <w:bookmarkStart w:id="10" w:name="_Toc410899581"/>
    <w:p w14:paraId="63C926C4" w14:textId="5BC1B06A" w:rsidR="006664CC" w:rsidRDefault="00D14394">
      <w:pPr>
        <w:pStyle w:val="TOC1"/>
        <w:rPr>
          <w:rFonts w:asciiTheme="minorHAnsi" w:eastAsiaTheme="minorEastAsia" w:hAnsiTheme="minorHAnsi" w:cstheme="minorBidi"/>
          <w:caps w:val="0"/>
          <w:noProof/>
          <w:sz w:val="24"/>
          <w:szCs w:val="24"/>
          <w:lang w:val="de-DE" w:eastAsia="de-DE"/>
        </w:rPr>
      </w:pPr>
      <w:r w:rsidRPr="00160FAB">
        <w:rPr>
          <w:rFonts w:eastAsiaTheme="minorEastAsia" w:cs="Arial"/>
          <w:bCs/>
          <w:noProof/>
          <w:sz w:val="18"/>
          <w:lang w:val="de-DE" w:eastAsia="ja-JP"/>
        </w:rPr>
        <w:fldChar w:fldCharType="begin"/>
      </w:r>
      <w:r w:rsidRPr="00160FAB">
        <w:rPr>
          <w:rFonts w:eastAsiaTheme="minorEastAsia" w:cs="Arial"/>
          <w:bCs/>
          <w:noProof/>
          <w:sz w:val="18"/>
          <w:lang w:val="de-DE" w:eastAsia="ja-JP"/>
        </w:rPr>
        <w:instrText xml:space="preserve"> TOC \o "1-2" \u </w:instrText>
      </w:r>
      <w:r w:rsidRPr="00160FAB">
        <w:rPr>
          <w:rFonts w:eastAsiaTheme="minorEastAsia" w:cs="Arial"/>
          <w:bCs/>
          <w:noProof/>
          <w:sz w:val="18"/>
          <w:lang w:val="de-DE" w:eastAsia="ja-JP"/>
        </w:rPr>
        <w:fldChar w:fldCharType="separate"/>
      </w:r>
      <w:r w:rsidR="006664CC" w:rsidRPr="009C40FE">
        <w:rPr>
          <w:noProof/>
          <w:snapToGrid w:val="0"/>
          <w:lang w:val="de-DE" w:eastAsia="ja-JP"/>
        </w:rPr>
        <w:t>ZUSAMMENFASSUNG</w:t>
      </w:r>
      <w:r w:rsidR="006664CC" w:rsidRPr="009C40FE">
        <w:rPr>
          <w:noProof/>
          <w:lang w:val="de-DE"/>
        </w:rPr>
        <w:tab/>
      </w:r>
      <w:r w:rsidR="006664CC">
        <w:rPr>
          <w:noProof/>
        </w:rPr>
        <w:fldChar w:fldCharType="begin"/>
      </w:r>
      <w:r w:rsidR="006664CC" w:rsidRPr="009C40FE">
        <w:rPr>
          <w:noProof/>
          <w:lang w:val="de-DE"/>
        </w:rPr>
        <w:instrText xml:space="preserve"> PAGEREF _Toc85924901 \h </w:instrText>
      </w:r>
      <w:r w:rsidR="006664CC">
        <w:rPr>
          <w:noProof/>
        </w:rPr>
      </w:r>
      <w:r w:rsidR="006664CC">
        <w:rPr>
          <w:noProof/>
        </w:rPr>
        <w:fldChar w:fldCharType="separate"/>
      </w:r>
      <w:r w:rsidR="00A7187D">
        <w:rPr>
          <w:noProof/>
          <w:lang w:val="de-DE"/>
        </w:rPr>
        <w:t>1</w:t>
      </w:r>
      <w:r w:rsidR="006664CC">
        <w:rPr>
          <w:noProof/>
        </w:rPr>
        <w:fldChar w:fldCharType="end"/>
      </w:r>
    </w:p>
    <w:p w14:paraId="36E11CEC" w14:textId="172FCD8F" w:rsidR="006664CC" w:rsidRDefault="006664CC">
      <w:pPr>
        <w:pStyle w:val="TOC1"/>
        <w:rPr>
          <w:rFonts w:asciiTheme="minorHAnsi" w:eastAsiaTheme="minorEastAsia" w:hAnsiTheme="minorHAnsi" w:cstheme="minorBidi"/>
          <w:caps w:val="0"/>
          <w:noProof/>
          <w:sz w:val="24"/>
          <w:szCs w:val="24"/>
          <w:lang w:val="de-DE" w:eastAsia="de-DE"/>
        </w:rPr>
      </w:pPr>
      <w:r w:rsidRPr="009C40FE">
        <w:rPr>
          <w:noProof/>
          <w:spacing w:val="-4"/>
          <w:lang w:val="de-DE" w:eastAsia="ja-JP"/>
        </w:rPr>
        <w:t>HINTERGRUND</w:t>
      </w:r>
      <w:r w:rsidRPr="009C40FE">
        <w:rPr>
          <w:noProof/>
          <w:lang w:val="de-DE"/>
        </w:rPr>
        <w:tab/>
      </w:r>
      <w:r>
        <w:rPr>
          <w:noProof/>
        </w:rPr>
        <w:fldChar w:fldCharType="begin"/>
      </w:r>
      <w:r w:rsidRPr="009C40FE">
        <w:rPr>
          <w:noProof/>
          <w:lang w:val="de-DE"/>
        </w:rPr>
        <w:instrText xml:space="preserve"> PAGEREF _Toc85924902 \h </w:instrText>
      </w:r>
      <w:r>
        <w:rPr>
          <w:noProof/>
        </w:rPr>
      </w:r>
      <w:r>
        <w:rPr>
          <w:noProof/>
        </w:rPr>
        <w:fldChar w:fldCharType="separate"/>
      </w:r>
      <w:r w:rsidR="00A7187D">
        <w:rPr>
          <w:noProof/>
          <w:lang w:val="de-DE"/>
        </w:rPr>
        <w:t>2</w:t>
      </w:r>
      <w:r>
        <w:rPr>
          <w:noProof/>
        </w:rPr>
        <w:fldChar w:fldCharType="end"/>
      </w:r>
    </w:p>
    <w:p w14:paraId="751F5CE7" w14:textId="7DAE06B3" w:rsidR="006664CC" w:rsidRDefault="006664CC">
      <w:pPr>
        <w:pStyle w:val="TOC1"/>
        <w:rPr>
          <w:rFonts w:asciiTheme="minorHAnsi" w:eastAsiaTheme="minorEastAsia" w:hAnsiTheme="minorHAnsi" w:cstheme="minorBidi"/>
          <w:caps w:val="0"/>
          <w:noProof/>
          <w:sz w:val="24"/>
          <w:szCs w:val="24"/>
          <w:lang w:val="de-DE" w:eastAsia="de-DE"/>
        </w:rPr>
      </w:pPr>
      <w:r w:rsidRPr="009C40FE">
        <w:rPr>
          <w:noProof/>
          <w:spacing w:val="-4"/>
          <w:lang w:val="de-DE" w:eastAsia="ja-JP"/>
        </w:rPr>
        <w:t>ÜBERPRÜFUNG DES DOKUMENTES UPOV/INF/17 „Richtlinien für die DNS-Profilierung: Auswahl molekularer Marker und Aufbau von Datenbanken (‚BMT Richtlinien‘)“</w:t>
      </w:r>
      <w:r w:rsidRPr="009C40FE">
        <w:rPr>
          <w:noProof/>
          <w:lang w:val="de-DE"/>
        </w:rPr>
        <w:tab/>
      </w:r>
      <w:r>
        <w:rPr>
          <w:noProof/>
        </w:rPr>
        <w:fldChar w:fldCharType="begin"/>
      </w:r>
      <w:r w:rsidRPr="009C40FE">
        <w:rPr>
          <w:noProof/>
          <w:lang w:val="de-DE"/>
        </w:rPr>
        <w:instrText xml:space="preserve"> PAGEREF _Toc85924903 \h </w:instrText>
      </w:r>
      <w:r>
        <w:rPr>
          <w:noProof/>
        </w:rPr>
      </w:r>
      <w:r>
        <w:rPr>
          <w:noProof/>
        </w:rPr>
        <w:fldChar w:fldCharType="separate"/>
      </w:r>
      <w:r w:rsidR="00A7187D">
        <w:rPr>
          <w:noProof/>
          <w:lang w:val="de-DE"/>
        </w:rPr>
        <w:t>2</w:t>
      </w:r>
      <w:r>
        <w:rPr>
          <w:noProof/>
        </w:rPr>
        <w:fldChar w:fldCharType="end"/>
      </w:r>
    </w:p>
    <w:p w14:paraId="4F3BFB95" w14:textId="03DBE704" w:rsidR="006664CC" w:rsidRDefault="006664CC">
      <w:pPr>
        <w:pStyle w:val="TOC1"/>
        <w:rPr>
          <w:rFonts w:asciiTheme="minorHAnsi" w:eastAsiaTheme="minorEastAsia" w:hAnsiTheme="minorHAnsi" w:cstheme="minorBidi"/>
          <w:caps w:val="0"/>
          <w:noProof/>
          <w:sz w:val="24"/>
          <w:szCs w:val="24"/>
          <w:lang w:val="de-DE" w:eastAsia="de-DE"/>
        </w:rPr>
      </w:pPr>
      <w:r w:rsidRPr="009C40FE">
        <w:rPr>
          <w:noProof/>
          <w:spacing w:val="-4"/>
          <w:lang w:val="de-DE" w:eastAsia="ja-JP"/>
        </w:rPr>
        <w:t>ZUSAMMENARBEIT ZWISCHEN INTERNATIONALEN ORGANISATIONEN</w:t>
      </w:r>
      <w:r w:rsidRPr="009C40FE">
        <w:rPr>
          <w:noProof/>
          <w:lang w:val="de-DE"/>
        </w:rPr>
        <w:tab/>
      </w:r>
      <w:r>
        <w:rPr>
          <w:noProof/>
        </w:rPr>
        <w:fldChar w:fldCharType="begin"/>
      </w:r>
      <w:r w:rsidRPr="009C40FE">
        <w:rPr>
          <w:noProof/>
          <w:lang w:val="de-DE"/>
        </w:rPr>
        <w:instrText xml:space="preserve"> PAGEREF _Toc85924904 \h </w:instrText>
      </w:r>
      <w:r>
        <w:rPr>
          <w:noProof/>
        </w:rPr>
      </w:r>
      <w:r>
        <w:rPr>
          <w:noProof/>
        </w:rPr>
        <w:fldChar w:fldCharType="separate"/>
      </w:r>
      <w:r w:rsidR="00A7187D">
        <w:rPr>
          <w:noProof/>
          <w:lang w:val="de-DE"/>
        </w:rPr>
        <w:t>2</w:t>
      </w:r>
      <w:r>
        <w:rPr>
          <w:noProof/>
        </w:rPr>
        <w:fldChar w:fldCharType="end"/>
      </w:r>
    </w:p>
    <w:p w14:paraId="4B2F7219" w14:textId="21022856" w:rsidR="006664CC" w:rsidRPr="00CF47B8" w:rsidRDefault="006664CC" w:rsidP="00CF47B8">
      <w:pPr>
        <w:pStyle w:val="TOC2"/>
        <w:rPr>
          <w:rFonts w:asciiTheme="minorHAnsi" w:eastAsiaTheme="minorEastAsia" w:hAnsiTheme="minorHAnsi" w:cstheme="minorBidi"/>
          <w:noProof/>
          <w:sz w:val="24"/>
          <w:szCs w:val="24"/>
          <w:lang w:val="de-DE" w:eastAsia="de-DE"/>
        </w:rPr>
      </w:pPr>
      <w:r w:rsidRPr="00CF47B8">
        <w:rPr>
          <w:rFonts w:eastAsiaTheme="minorEastAsia"/>
          <w:noProof/>
          <w:lang w:val="de-DE"/>
        </w:rPr>
        <w:t>Gemeinsames Dokument zur Erläuterung der wesentlichen Besonderheiten der Systeme von OECD, UPOV und ISTA</w:t>
      </w:r>
      <w:bookmarkStart w:id="11" w:name="_GoBack"/>
      <w:bookmarkEnd w:id="11"/>
      <w:r w:rsidRPr="00CF47B8">
        <w:rPr>
          <w:noProof/>
          <w:lang w:val="de-DE"/>
        </w:rPr>
        <w:tab/>
      </w:r>
      <w:r>
        <w:rPr>
          <w:noProof/>
        </w:rPr>
        <w:fldChar w:fldCharType="begin"/>
      </w:r>
      <w:r w:rsidRPr="00CF47B8">
        <w:rPr>
          <w:noProof/>
          <w:lang w:val="de-DE"/>
        </w:rPr>
        <w:instrText xml:space="preserve"> PAGEREF _Toc85924905 \h </w:instrText>
      </w:r>
      <w:r>
        <w:rPr>
          <w:noProof/>
        </w:rPr>
      </w:r>
      <w:r>
        <w:rPr>
          <w:noProof/>
        </w:rPr>
        <w:fldChar w:fldCharType="separate"/>
      </w:r>
      <w:r w:rsidR="00A7187D">
        <w:rPr>
          <w:noProof/>
          <w:lang w:val="de-DE"/>
        </w:rPr>
        <w:t>3</w:t>
      </w:r>
      <w:r>
        <w:rPr>
          <w:noProof/>
        </w:rPr>
        <w:fldChar w:fldCharType="end"/>
      </w:r>
    </w:p>
    <w:p w14:paraId="7639034B" w14:textId="1B869848" w:rsidR="006664CC" w:rsidRPr="00CF47B8" w:rsidRDefault="006664CC" w:rsidP="00CF47B8">
      <w:pPr>
        <w:pStyle w:val="TOC2"/>
        <w:rPr>
          <w:rFonts w:asciiTheme="minorHAnsi" w:eastAsiaTheme="minorEastAsia" w:hAnsiTheme="minorHAnsi" w:cstheme="minorBidi"/>
          <w:noProof/>
          <w:sz w:val="24"/>
          <w:szCs w:val="24"/>
          <w:lang w:val="de-DE" w:eastAsia="de-DE"/>
        </w:rPr>
      </w:pPr>
      <w:r w:rsidRPr="00CF47B8">
        <w:rPr>
          <w:rFonts w:eastAsiaTheme="minorEastAsia"/>
          <w:noProof/>
          <w:lang w:val="de-DE"/>
        </w:rPr>
        <w:t>Bestandsaufnahme zur Verwendung molekularer Markerverfahren nach Pflanze</w:t>
      </w:r>
      <w:r w:rsidRPr="00CF47B8">
        <w:rPr>
          <w:noProof/>
          <w:lang w:val="de-DE"/>
        </w:rPr>
        <w:tab/>
      </w:r>
      <w:r>
        <w:rPr>
          <w:noProof/>
        </w:rPr>
        <w:fldChar w:fldCharType="begin"/>
      </w:r>
      <w:r w:rsidRPr="00CF47B8">
        <w:rPr>
          <w:noProof/>
          <w:lang w:val="de-DE"/>
        </w:rPr>
        <w:instrText xml:space="preserve"> PAGEREF _Toc85924906 \h </w:instrText>
      </w:r>
      <w:r>
        <w:rPr>
          <w:noProof/>
        </w:rPr>
      </w:r>
      <w:r>
        <w:rPr>
          <w:noProof/>
        </w:rPr>
        <w:fldChar w:fldCharType="separate"/>
      </w:r>
      <w:r w:rsidR="00A7187D">
        <w:rPr>
          <w:noProof/>
          <w:lang w:val="de-DE"/>
        </w:rPr>
        <w:t>3</w:t>
      </w:r>
      <w:r>
        <w:rPr>
          <w:noProof/>
        </w:rPr>
        <w:fldChar w:fldCharType="end"/>
      </w:r>
    </w:p>
    <w:p w14:paraId="044048C3" w14:textId="56FAA1A7" w:rsidR="006664CC" w:rsidRPr="00CF47B8" w:rsidRDefault="006664CC" w:rsidP="00CF47B8">
      <w:pPr>
        <w:pStyle w:val="TOC2"/>
        <w:rPr>
          <w:rFonts w:asciiTheme="minorHAnsi" w:eastAsiaTheme="minorEastAsia" w:hAnsiTheme="minorHAnsi" w:cstheme="minorBidi"/>
          <w:noProof/>
          <w:sz w:val="24"/>
          <w:szCs w:val="24"/>
          <w:lang w:val="de-DE" w:eastAsia="de-DE"/>
        </w:rPr>
      </w:pPr>
      <w:r w:rsidRPr="00CF47B8">
        <w:rPr>
          <w:rFonts w:eastAsiaTheme="minorEastAsia"/>
          <w:noProof/>
          <w:lang w:val="de-DE"/>
        </w:rPr>
        <w:t>Listen möglicher gemeinsamer Initiativen mit der OECD und der ISTA hinsichtlich molekularer Verfahren</w:t>
      </w:r>
      <w:r w:rsidRPr="00CF47B8">
        <w:rPr>
          <w:noProof/>
          <w:lang w:val="de-DE"/>
        </w:rPr>
        <w:tab/>
      </w:r>
      <w:r>
        <w:rPr>
          <w:noProof/>
        </w:rPr>
        <w:fldChar w:fldCharType="begin"/>
      </w:r>
      <w:r w:rsidRPr="00CF47B8">
        <w:rPr>
          <w:noProof/>
          <w:lang w:val="de-DE"/>
        </w:rPr>
        <w:instrText xml:space="preserve"> PAGEREF _Toc85924907 \h </w:instrText>
      </w:r>
      <w:r>
        <w:rPr>
          <w:noProof/>
        </w:rPr>
      </w:r>
      <w:r>
        <w:rPr>
          <w:noProof/>
        </w:rPr>
        <w:fldChar w:fldCharType="separate"/>
      </w:r>
      <w:r w:rsidR="00A7187D">
        <w:rPr>
          <w:noProof/>
          <w:lang w:val="de-DE"/>
        </w:rPr>
        <w:t>4</w:t>
      </w:r>
      <w:r>
        <w:rPr>
          <w:noProof/>
        </w:rPr>
        <w:fldChar w:fldCharType="end"/>
      </w:r>
    </w:p>
    <w:p w14:paraId="313425B3" w14:textId="0D20AF5D" w:rsidR="006664CC" w:rsidRDefault="006664CC">
      <w:pPr>
        <w:pStyle w:val="TOC1"/>
        <w:rPr>
          <w:rFonts w:asciiTheme="minorHAnsi" w:eastAsiaTheme="minorEastAsia" w:hAnsiTheme="minorHAnsi" w:cstheme="minorBidi"/>
          <w:caps w:val="0"/>
          <w:noProof/>
          <w:sz w:val="24"/>
          <w:szCs w:val="24"/>
          <w:lang w:val="de-DE" w:eastAsia="de-DE"/>
        </w:rPr>
      </w:pPr>
      <w:r w:rsidRPr="00151C24">
        <w:rPr>
          <w:noProof/>
          <w:snapToGrid w:val="0"/>
          <w:lang w:val="de-DE"/>
        </w:rPr>
        <w:t>Sitzung zur Erleichterung der Zusammenarbeit im Hinblick auf die Verwendung molekularer Verfahren</w:t>
      </w:r>
      <w:r w:rsidRPr="009C40FE">
        <w:rPr>
          <w:noProof/>
          <w:lang w:val="de-DE"/>
        </w:rPr>
        <w:tab/>
      </w:r>
      <w:r>
        <w:rPr>
          <w:noProof/>
        </w:rPr>
        <w:fldChar w:fldCharType="begin"/>
      </w:r>
      <w:r w:rsidRPr="009C40FE">
        <w:rPr>
          <w:noProof/>
          <w:lang w:val="de-DE"/>
        </w:rPr>
        <w:instrText xml:space="preserve"> PAGEREF _Toc85924908 \h </w:instrText>
      </w:r>
      <w:r>
        <w:rPr>
          <w:noProof/>
        </w:rPr>
      </w:r>
      <w:r>
        <w:rPr>
          <w:noProof/>
        </w:rPr>
        <w:fldChar w:fldCharType="separate"/>
      </w:r>
      <w:r w:rsidR="00A7187D">
        <w:rPr>
          <w:noProof/>
          <w:lang w:val="de-DE"/>
        </w:rPr>
        <w:t>5</w:t>
      </w:r>
      <w:r>
        <w:rPr>
          <w:noProof/>
        </w:rPr>
        <w:fldChar w:fldCharType="end"/>
      </w:r>
    </w:p>
    <w:p w14:paraId="38971B18" w14:textId="68AFFB90" w:rsidR="006664CC" w:rsidRPr="00CF47B8" w:rsidRDefault="006664CC" w:rsidP="00CF47B8">
      <w:pPr>
        <w:pStyle w:val="TOC2"/>
        <w:rPr>
          <w:rFonts w:asciiTheme="minorHAnsi" w:eastAsiaTheme="minorEastAsia" w:hAnsiTheme="minorHAnsi" w:cstheme="minorBidi"/>
          <w:noProof/>
          <w:sz w:val="24"/>
          <w:szCs w:val="24"/>
          <w:lang w:val="de-DE" w:eastAsia="de-DE"/>
        </w:rPr>
      </w:pPr>
      <w:r w:rsidRPr="00CF47B8">
        <w:rPr>
          <w:noProof/>
          <w:lang w:val="de-DE"/>
        </w:rPr>
        <w:t>Entwicklungen bei den TWP und der BMT auf ihren Tagungen im Jahr in 2021</w:t>
      </w:r>
      <w:r w:rsidRPr="00CF47B8">
        <w:rPr>
          <w:noProof/>
          <w:lang w:val="de-DE"/>
        </w:rPr>
        <w:tab/>
      </w:r>
      <w:r>
        <w:rPr>
          <w:noProof/>
        </w:rPr>
        <w:fldChar w:fldCharType="begin"/>
      </w:r>
      <w:r w:rsidRPr="00CF47B8">
        <w:rPr>
          <w:noProof/>
          <w:lang w:val="de-DE"/>
        </w:rPr>
        <w:instrText xml:space="preserve"> PAGEREF _Toc85924909 \h </w:instrText>
      </w:r>
      <w:r>
        <w:rPr>
          <w:noProof/>
        </w:rPr>
      </w:r>
      <w:r>
        <w:rPr>
          <w:noProof/>
        </w:rPr>
        <w:fldChar w:fldCharType="separate"/>
      </w:r>
      <w:r w:rsidR="00A7187D">
        <w:rPr>
          <w:noProof/>
          <w:lang w:val="de-DE"/>
        </w:rPr>
        <w:t>5</w:t>
      </w:r>
      <w:r>
        <w:rPr>
          <w:noProof/>
        </w:rPr>
        <w:fldChar w:fldCharType="end"/>
      </w:r>
    </w:p>
    <w:p w14:paraId="17F7441C" w14:textId="77FBE079" w:rsidR="006664CC" w:rsidRDefault="006664CC">
      <w:pPr>
        <w:pStyle w:val="TOC1"/>
        <w:rPr>
          <w:rFonts w:asciiTheme="minorHAnsi" w:eastAsiaTheme="minorEastAsia" w:hAnsiTheme="minorHAnsi" w:cstheme="minorBidi"/>
          <w:caps w:val="0"/>
          <w:noProof/>
          <w:sz w:val="24"/>
          <w:szCs w:val="24"/>
          <w:lang w:val="de-DE" w:eastAsia="de-DE"/>
        </w:rPr>
      </w:pPr>
      <w:r w:rsidRPr="00151C24">
        <w:rPr>
          <w:noProof/>
          <w:lang w:val="de-DE"/>
        </w:rPr>
        <w:t>VERTRAULICHKEIT VON UND EIGENTUM AN MOLEKULAREN INFORMATIONEN</w:t>
      </w:r>
      <w:r w:rsidRPr="009C40FE">
        <w:rPr>
          <w:noProof/>
          <w:lang w:val="de-DE"/>
        </w:rPr>
        <w:tab/>
      </w:r>
      <w:r>
        <w:rPr>
          <w:noProof/>
        </w:rPr>
        <w:fldChar w:fldCharType="begin"/>
      </w:r>
      <w:r w:rsidRPr="009C40FE">
        <w:rPr>
          <w:noProof/>
          <w:lang w:val="de-DE"/>
        </w:rPr>
        <w:instrText xml:space="preserve"> PAGEREF _Toc85924910 \h </w:instrText>
      </w:r>
      <w:r>
        <w:rPr>
          <w:noProof/>
        </w:rPr>
      </w:r>
      <w:r>
        <w:rPr>
          <w:noProof/>
        </w:rPr>
        <w:fldChar w:fldCharType="separate"/>
      </w:r>
      <w:r w:rsidR="00A7187D">
        <w:rPr>
          <w:noProof/>
          <w:lang w:val="de-DE"/>
        </w:rPr>
        <w:t>6</w:t>
      </w:r>
      <w:r>
        <w:rPr>
          <w:noProof/>
        </w:rPr>
        <w:fldChar w:fldCharType="end"/>
      </w:r>
    </w:p>
    <w:p w14:paraId="58D28E1F" w14:textId="03FC983A" w:rsidR="00D14394" w:rsidRPr="00160FAB" w:rsidRDefault="00D14394" w:rsidP="0009538C">
      <w:pPr>
        <w:spacing w:before="120"/>
        <w:ind w:left="1123" w:hanging="1123"/>
        <w:rPr>
          <w:snapToGrid w:val="0"/>
          <w:szCs w:val="18"/>
          <w:lang w:eastAsia="ja-JP"/>
        </w:rPr>
      </w:pPr>
      <w:r w:rsidRPr="00160FAB">
        <w:fldChar w:fldCharType="end"/>
      </w:r>
      <w:bookmarkEnd w:id="6"/>
      <w:r w:rsidRPr="00160FAB">
        <w:rPr>
          <w:snapToGrid w:val="0"/>
          <w:szCs w:val="18"/>
          <w:lang w:eastAsia="ja-JP"/>
        </w:rPr>
        <w:t>AN</w:t>
      </w:r>
      <w:r w:rsidR="0018336D">
        <w:rPr>
          <w:snapToGrid w:val="0"/>
          <w:szCs w:val="18"/>
          <w:lang w:eastAsia="ja-JP"/>
        </w:rPr>
        <w:t>LAGE</w:t>
      </w:r>
      <w:r w:rsidRPr="00160FAB">
        <w:rPr>
          <w:snapToGrid w:val="0"/>
          <w:szCs w:val="18"/>
          <w:lang w:eastAsia="ja-JP"/>
        </w:rPr>
        <w:t xml:space="preserve"> I</w:t>
      </w:r>
      <w:r w:rsidRPr="00160FAB">
        <w:rPr>
          <w:snapToGrid w:val="0"/>
          <w:szCs w:val="18"/>
          <w:lang w:eastAsia="ja-JP"/>
        </w:rPr>
        <w:tab/>
      </w:r>
      <w:r w:rsidR="0030565D" w:rsidRPr="002A2A74">
        <w:t>ELEMENTE FÜR EINEN ENTWURF EINES GEMEINSAMEN DOKUMENTES ZUR ERLÄUTERUNG DER WESENTLICHEN BESONDERHEITEN DER SYSTEME DER OECD, UPOV UND ISTA</w:t>
      </w:r>
    </w:p>
    <w:p w14:paraId="58D28E20" w14:textId="747635DB" w:rsidR="00572304" w:rsidRPr="00160FAB" w:rsidRDefault="00572304" w:rsidP="0009538C">
      <w:pPr>
        <w:spacing w:before="120"/>
        <w:ind w:left="1123" w:hanging="1123"/>
        <w:rPr>
          <w:snapToGrid w:val="0"/>
          <w:szCs w:val="18"/>
          <w:lang w:eastAsia="ja-JP"/>
        </w:rPr>
      </w:pPr>
      <w:r w:rsidRPr="00160FAB">
        <w:rPr>
          <w:snapToGrid w:val="0"/>
          <w:szCs w:val="18"/>
          <w:lang w:eastAsia="ja-JP"/>
        </w:rPr>
        <w:t>AN</w:t>
      </w:r>
      <w:r w:rsidR="0018336D">
        <w:rPr>
          <w:snapToGrid w:val="0"/>
          <w:szCs w:val="18"/>
          <w:lang w:eastAsia="ja-JP"/>
        </w:rPr>
        <w:t>LAGE</w:t>
      </w:r>
      <w:r w:rsidRPr="00160FAB">
        <w:rPr>
          <w:snapToGrid w:val="0"/>
          <w:szCs w:val="18"/>
          <w:lang w:eastAsia="ja-JP"/>
        </w:rPr>
        <w:t xml:space="preserve"> II</w:t>
      </w:r>
      <w:r w:rsidR="0009538C" w:rsidRPr="00160FAB">
        <w:rPr>
          <w:snapToGrid w:val="0"/>
          <w:szCs w:val="18"/>
          <w:lang w:eastAsia="ja-JP"/>
        </w:rPr>
        <w:tab/>
      </w:r>
      <w:r w:rsidR="009522D1" w:rsidRPr="009522D1">
        <w:rPr>
          <w:snapToGrid w:val="0"/>
          <w:szCs w:val="18"/>
          <w:lang w:eastAsia="ja-JP"/>
        </w:rPr>
        <w:t>BEFRAGUNG ZUR VERWENDUNG MOLEKULARER MARKERVERFAHREN NACH PFLANZE</w:t>
      </w:r>
    </w:p>
    <w:p w14:paraId="58D28E21" w14:textId="77777777" w:rsidR="00572304" w:rsidRPr="00160FAB" w:rsidRDefault="00572304" w:rsidP="0009538C"/>
    <w:p w14:paraId="58D28E23" w14:textId="77777777" w:rsidR="00D14394" w:rsidRPr="00160FAB" w:rsidRDefault="00D14394" w:rsidP="0009538C"/>
    <w:p w14:paraId="58D28E24" w14:textId="79769EDC" w:rsidR="00D14394" w:rsidRPr="00160FAB" w:rsidRDefault="00247F9C" w:rsidP="00D14394">
      <w:pPr>
        <w:keepNext/>
        <w:outlineLvl w:val="0"/>
        <w:rPr>
          <w:caps/>
          <w:spacing w:val="-4"/>
          <w:lang w:eastAsia="ja-JP"/>
        </w:rPr>
      </w:pPr>
      <w:bookmarkStart w:id="12" w:name="_Toc85924902"/>
      <w:r>
        <w:rPr>
          <w:caps/>
          <w:spacing w:val="-4"/>
          <w:lang w:eastAsia="ja-JP"/>
        </w:rPr>
        <w:lastRenderedPageBreak/>
        <w:t>HINTERGRUND</w:t>
      </w:r>
      <w:bookmarkEnd w:id="12"/>
      <w:r w:rsidR="00D14394" w:rsidRPr="00160FAB">
        <w:rPr>
          <w:caps/>
          <w:spacing w:val="-4"/>
          <w:lang w:eastAsia="ja-JP"/>
        </w:rPr>
        <w:t xml:space="preserve"> </w:t>
      </w:r>
    </w:p>
    <w:p w14:paraId="58D28E25" w14:textId="77777777" w:rsidR="00D14394" w:rsidRPr="00160FAB" w:rsidRDefault="00D14394" w:rsidP="00D14394">
      <w:pPr>
        <w:keepNext/>
        <w:rPr>
          <w:lang w:eastAsia="ja-JP"/>
        </w:rPr>
      </w:pPr>
    </w:p>
    <w:p w14:paraId="58D28E26" w14:textId="7D603AA0" w:rsidR="00D14394" w:rsidRPr="00160FAB" w:rsidRDefault="00D14394" w:rsidP="008E521A">
      <w:pPr>
        <w:rPr>
          <w:rFonts w:cs="Arial"/>
        </w:rPr>
      </w:pPr>
      <w:r w:rsidRPr="00160FAB">
        <w:rPr>
          <w:rFonts w:cs="Arial"/>
        </w:rPr>
        <w:fldChar w:fldCharType="begin"/>
      </w:r>
      <w:r w:rsidRPr="00160FAB">
        <w:rPr>
          <w:rFonts w:cs="Arial"/>
        </w:rPr>
        <w:instrText xml:space="preserve"> AUTONUM  </w:instrText>
      </w:r>
      <w:r w:rsidRPr="00160FAB">
        <w:rPr>
          <w:rFonts w:cs="Arial"/>
        </w:rPr>
        <w:fldChar w:fldCharType="end"/>
      </w:r>
      <w:r w:rsidRPr="00160FAB">
        <w:rPr>
          <w:rFonts w:cs="Arial"/>
        </w:rPr>
        <w:tab/>
      </w:r>
      <w:r w:rsidR="00A44464" w:rsidRPr="00A44464">
        <w:rPr>
          <w:rFonts w:cs="Arial"/>
        </w:rPr>
        <w:t xml:space="preserve">Über die Entwicklungen der in diesem Dokument </w:t>
      </w:r>
      <w:r w:rsidR="00DF0537">
        <w:rPr>
          <w:rFonts w:cs="Arial"/>
        </w:rPr>
        <w:t xml:space="preserve">dargelegten </w:t>
      </w:r>
      <w:r w:rsidR="00DF0537" w:rsidRPr="00A44464">
        <w:rPr>
          <w:rFonts w:cs="Arial"/>
        </w:rPr>
        <w:t xml:space="preserve">Angelegenheiten </w:t>
      </w:r>
      <w:r w:rsidR="00A44464" w:rsidRPr="00A44464">
        <w:rPr>
          <w:rFonts w:cs="Arial"/>
        </w:rPr>
        <w:t xml:space="preserve">auf der </w:t>
      </w:r>
      <w:r w:rsidR="005A23AC">
        <w:rPr>
          <w:rFonts w:cs="Arial"/>
        </w:rPr>
        <w:t>sieben</w:t>
      </w:r>
      <w:r w:rsidR="00A44464" w:rsidRPr="00A44464">
        <w:rPr>
          <w:rFonts w:cs="Arial"/>
        </w:rPr>
        <w:t>undfünfzigsten Tagung des TC wird in Dokument</w:t>
      </w:r>
      <w:r w:rsidR="00A56EAF" w:rsidRPr="00A56EAF">
        <w:rPr>
          <w:rFonts w:cs="Arial"/>
        </w:rPr>
        <w:t xml:space="preserve"> CAJ/78/2 </w:t>
      </w:r>
      <w:r w:rsidR="005A23AC">
        <w:rPr>
          <w:rFonts w:cs="Arial"/>
        </w:rPr>
        <w:t>„</w:t>
      </w:r>
      <w:r w:rsidR="00A56EAF" w:rsidRPr="00A56EAF">
        <w:rPr>
          <w:rFonts w:cs="Arial"/>
        </w:rPr>
        <w:t>Bericht über die Entwicklungen im Technischen Ausschu</w:t>
      </w:r>
      <w:r w:rsidR="00C1118A">
        <w:rPr>
          <w:rFonts w:cs="Arial"/>
        </w:rPr>
        <w:t>ss</w:t>
      </w:r>
      <w:r w:rsidR="005A23AC">
        <w:rPr>
          <w:rFonts w:cs="Arial"/>
        </w:rPr>
        <w:t>“</w:t>
      </w:r>
      <w:r w:rsidR="00A56EAF" w:rsidRPr="00A56EAF">
        <w:rPr>
          <w:rFonts w:cs="Arial"/>
        </w:rPr>
        <w:t xml:space="preserve"> berichtet werden</w:t>
      </w:r>
      <w:r w:rsidRPr="00160FAB">
        <w:rPr>
          <w:rFonts w:cs="Arial"/>
        </w:rPr>
        <w:t xml:space="preserve">. </w:t>
      </w:r>
    </w:p>
    <w:p w14:paraId="58D28E27" w14:textId="77777777" w:rsidR="008E521A" w:rsidRPr="00160FAB" w:rsidRDefault="008E521A" w:rsidP="008E521A">
      <w:pPr>
        <w:rPr>
          <w:rFonts w:cs="Arial"/>
        </w:rPr>
      </w:pPr>
    </w:p>
    <w:p w14:paraId="58D28E28" w14:textId="77777777" w:rsidR="008E521A" w:rsidRPr="00160FAB" w:rsidRDefault="008E521A" w:rsidP="008E521A">
      <w:pPr>
        <w:rPr>
          <w:rFonts w:cs="Arial"/>
        </w:rPr>
      </w:pPr>
    </w:p>
    <w:p w14:paraId="58D28E29" w14:textId="77777777" w:rsidR="008E521A" w:rsidRPr="00160FAB" w:rsidRDefault="008E521A" w:rsidP="008E521A">
      <w:pPr>
        <w:rPr>
          <w:rFonts w:cs="Arial"/>
        </w:rPr>
      </w:pPr>
    </w:p>
    <w:p w14:paraId="58D28E2A" w14:textId="4C22B883" w:rsidR="00D14394" w:rsidRPr="00160FAB" w:rsidRDefault="00317B10" w:rsidP="00D14394">
      <w:pPr>
        <w:keepNext/>
        <w:outlineLvl w:val="0"/>
        <w:rPr>
          <w:caps/>
          <w:spacing w:val="-4"/>
          <w:lang w:eastAsia="ja-JP"/>
        </w:rPr>
      </w:pPr>
      <w:bookmarkStart w:id="13" w:name="_Toc85924903"/>
      <w:r w:rsidRPr="00317B10">
        <w:rPr>
          <w:caps/>
          <w:spacing w:val="-4"/>
          <w:lang w:eastAsia="ja-JP"/>
        </w:rPr>
        <w:t xml:space="preserve">ÜBERPRÜFUNG DES DOKUMENTES UPOV/INF/17 </w:t>
      </w:r>
      <w:r>
        <w:rPr>
          <w:caps/>
          <w:spacing w:val="-4"/>
          <w:lang w:eastAsia="ja-JP"/>
        </w:rPr>
        <w:t>„</w:t>
      </w:r>
      <w:r w:rsidR="00477CCA" w:rsidRPr="00477CCA">
        <w:rPr>
          <w:caps/>
          <w:spacing w:val="-4"/>
          <w:lang w:eastAsia="ja-JP"/>
        </w:rPr>
        <w:t>Richtlinien für die DNS-Profilierung: Auswahl molekularer Marker und Aufbau von Datenbanken (‚BMT Richtlinien</w:t>
      </w:r>
      <w:r w:rsidR="00477CCA">
        <w:rPr>
          <w:caps/>
          <w:spacing w:val="-4"/>
          <w:lang w:eastAsia="ja-JP"/>
        </w:rPr>
        <w:t>‘</w:t>
      </w:r>
      <w:r w:rsidRPr="00317B10">
        <w:rPr>
          <w:caps/>
          <w:spacing w:val="-4"/>
          <w:lang w:eastAsia="ja-JP"/>
        </w:rPr>
        <w:t>)</w:t>
      </w:r>
      <w:r>
        <w:rPr>
          <w:caps/>
          <w:spacing w:val="-4"/>
          <w:lang w:eastAsia="ja-JP"/>
        </w:rPr>
        <w:t>“</w:t>
      </w:r>
      <w:bookmarkEnd w:id="13"/>
    </w:p>
    <w:p w14:paraId="58D28E2B" w14:textId="77777777" w:rsidR="00D14394" w:rsidRPr="00160FAB" w:rsidRDefault="00D14394" w:rsidP="00D14394">
      <w:pPr>
        <w:keepNext/>
        <w:rPr>
          <w:lang w:eastAsia="ja-JP"/>
        </w:rPr>
      </w:pPr>
    </w:p>
    <w:p w14:paraId="58D28E2C" w14:textId="059DC081" w:rsidR="00D14394" w:rsidRPr="00AB1370" w:rsidRDefault="00D14394" w:rsidP="00D14394">
      <w:pPr>
        <w:keepNext/>
        <w:rPr>
          <w:rFonts w:eastAsiaTheme="minorEastAsia"/>
          <w:lang w:eastAsia="ja-JP"/>
        </w:rPr>
      </w:pPr>
      <w:r w:rsidRPr="00160FAB">
        <w:fldChar w:fldCharType="begin"/>
      </w:r>
      <w:r w:rsidRPr="00160FAB">
        <w:instrText xml:space="preserve"> AUTONUM  </w:instrText>
      </w:r>
      <w:r w:rsidRPr="00160FAB">
        <w:fldChar w:fldCharType="end"/>
      </w:r>
      <w:r w:rsidRPr="00160FAB">
        <w:tab/>
      </w:r>
      <w:r w:rsidR="0076203E" w:rsidRPr="001240AF">
        <w:rPr>
          <w:rFonts w:eastAsiaTheme="minorEastAsia"/>
          <w:lang w:eastAsia="ja-JP"/>
        </w:rPr>
        <w:t>Der Hintergrund zu dieser Angelegenheit ist in Dokument</w:t>
      </w:r>
      <w:r w:rsidRPr="001240AF">
        <w:rPr>
          <w:rFonts w:eastAsiaTheme="minorEastAsia"/>
          <w:lang w:eastAsia="ja-JP"/>
        </w:rPr>
        <w:t xml:space="preserve"> CAJ</w:t>
      </w:r>
      <w:r w:rsidRPr="001240AF">
        <w:rPr>
          <w:lang w:eastAsia="ja-JP"/>
        </w:rPr>
        <w:t>/75</w:t>
      </w:r>
      <w:r w:rsidRPr="00160FAB">
        <w:rPr>
          <w:lang w:eastAsia="ja-JP"/>
        </w:rPr>
        <w:t xml:space="preserve">/11 </w:t>
      </w:r>
      <w:r w:rsidR="001F4B30">
        <w:rPr>
          <w:lang w:eastAsia="ja-JP"/>
        </w:rPr>
        <w:t>„</w:t>
      </w:r>
      <w:r w:rsidR="001F4B30" w:rsidRPr="00BD6A76">
        <w:rPr>
          <w:lang w:eastAsia="ja-JP"/>
        </w:rPr>
        <w:t>Molekulare Verfahren</w:t>
      </w:r>
      <w:r w:rsidR="001F4B30">
        <w:rPr>
          <w:lang w:eastAsia="ja-JP"/>
        </w:rPr>
        <w:t>“</w:t>
      </w:r>
      <w:r w:rsidRPr="00160FAB">
        <w:rPr>
          <w:lang w:eastAsia="ja-JP"/>
        </w:rPr>
        <w:t xml:space="preserve">, </w:t>
      </w:r>
      <w:r w:rsidR="001F4B30">
        <w:rPr>
          <w:lang w:eastAsia="ja-JP"/>
        </w:rPr>
        <w:t>Abschnitte</w:t>
      </w:r>
      <w:r w:rsidRPr="00160FAB">
        <w:rPr>
          <w:lang w:eastAsia="ja-JP"/>
        </w:rPr>
        <w:t> 31 </w:t>
      </w:r>
      <w:r w:rsidR="001F4B30" w:rsidRPr="00AB1370">
        <w:rPr>
          <w:lang w:eastAsia="ja-JP"/>
        </w:rPr>
        <w:t>bis</w:t>
      </w:r>
      <w:r w:rsidRPr="00AB1370">
        <w:rPr>
          <w:lang w:eastAsia="ja-JP"/>
        </w:rPr>
        <w:t xml:space="preserve"> 34</w:t>
      </w:r>
      <w:r w:rsidR="009C40FE">
        <w:rPr>
          <w:lang w:eastAsia="ja-JP"/>
        </w:rPr>
        <w:t>,</w:t>
      </w:r>
      <w:r w:rsidR="00B4048F" w:rsidRPr="00AB1370">
        <w:rPr>
          <w:lang w:eastAsia="ja-JP"/>
        </w:rPr>
        <w:t xml:space="preserve"> </w:t>
      </w:r>
      <w:r w:rsidR="003C19A2" w:rsidRPr="00AB1370">
        <w:rPr>
          <w:lang w:eastAsia="ja-JP"/>
        </w:rPr>
        <w:t>dargelegt</w:t>
      </w:r>
      <w:r w:rsidRPr="00AB1370">
        <w:rPr>
          <w:rFonts w:eastAsiaTheme="minorEastAsia"/>
          <w:lang w:eastAsia="ja-JP"/>
        </w:rPr>
        <w:t>.</w:t>
      </w:r>
    </w:p>
    <w:p w14:paraId="58D28E2D" w14:textId="77777777" w:rsidR="000744B3" w:rsidRPr="00AB1370" w:rsidRDefault="000744B3" w:rsidP="00D14394">
      <w:pPr>
        <w:keepNext/>
        <w:rPr>
          <w:rFonts w:eastAsiaTheme="minorEastAsia"/>
          <w:lang w:eastAsia="ja-JP"/>
        </w:rPr>
      </w:pPr>
    </w:p>
    <w:p w14:paraId="58D28E2E" w14:textId="6103ABA2" w:rsidR="000744B3" w:rsidRPr="00160FAB" w:rsidRDefault="000744B3" w:rsidP="000744B3">
      <w:pPr>
        <w:rPr>
          <w:rFonts w:eastAsia="MS Mincho"/>
        </w:rPr>
      </w:pPr>
      <w:r w:rsidRPr="00AB1370">
        <w:rPr>
          <w:rFonts w:eastAsia="MS Mincho"/>
        </w:rPr>
        <w:fldChar w:fldCharType="begin"/>
      </w:r>
      <w:r w:rsidRPr="00AB1370">
        <w:rPr>
          <w:rFonts w:eastAsia="MS Mincho"/>
        </w:rPr>
        <w:instrText xml:space="preserve"> AUTONUM  </w:instrText>
      </w:r>
      <w:r w:rsidRPr="00AB1370">
        <w:rPr>
          <w:rFonts w:eastAsia="MS Mincho"/>
        </w:rPr>
        <w:fldChar w:fldCharType="end"/>
      </w:r>
      <w:r w:rsidRPr="00AB1370">
        <w:rPr>
          <w:rFonts w:eastAsia="MS Mincho"/>
        </w:rPr>
        <w:tab/>
      </w:r>
      <w:r w:rsidR="00253912">
        <w:rPr>
          <w:rFonts w:eastAsia="MS Mincho"/>
        </w:rPr>
        <w:t xml:space="preserve">Über </w:t>
      </w:r>
      <w:r w:rsidR="00880E2A" w:rsidRPr="00AB1370">
        <w:rPr>
          <w:rFonts w:eastAsia="MS Mincho"/>
        </w:rPr>
        <w:t>Angelegenheiten betreffend die Billigung des Dokuments UPOV/IN</w:t>
      </w:r>
      <w:r w:rsidR="00CF47B8">
        <w:rPr>
          <w:rFonts w:eastAsia="MS Mincho"/>
        </w:rPr>
        <w:t>F/17/1 „Richtlinien für die DNS</w:t>
      </w:r>
      <w:r w:rsidR="00CF47B8">
        <w:rPr>
          <w:rFonts w:eastAsia="MS Mincho"/>
        </w:rPr>
        <w:noBreakHyphen/>
      </w:r>
      <w:r w:rsidR="00880E2A" w:rsidRPr="00AB1370">
        <w:rPr>
          <w:rFonts w:eastAsia="MS Mincho"/>
        </w:rPr>
        <w:t xml:space="preserve">Profilierung: </w:t>
      </w:r>
      <w:r w:rsidR="00742B03" w:rsidRPr="00AB1370">
        <w:rPr>
          <w:rFonts w:eastAsia="MS Mincho"/>
        </w:rPr>
        <w:t>Auswahl molekularer Marker</w:t>
      </w:r>
      <w:r w:rsidR="00880E2A" w:rsidRPr="00AB1370">
        <w:rPr>
          <w:rFonts w:eastAsia="MS Mincho"/>
        </w:rPr>
        <w:t xml:space="preserve"> und Aufbau von Datenbanken (</w:t>
      </w:r>
      <w:r w:rsidR="0058254C" w:rsidRPr="00AB1370">
        <w:rPr>
          <w:rFonts w:eastAsia="MS Mincho"/>
        </w:rPr>
        <w:t>‚</w:t>
      </w:r>
      <w:r w:rsidR="00880E2A" w:rsidRPr="00AB1370">
        <w:rPr>
          <w:rFonts w:eastAsia="MS Mincho"/>
        </w:rPr>
        <w:t>BMT-Richtlinien</w:t>
      </w:r>
      <w:r w:rsidR="0058254C" w:rsidRPr="00AB1370">
        <w:rPr>
          <w:rFonts w:eastAsia="MS Mincho"/>
        </w:rPr>
        <w:t>‘</w:t>
      </w:r>
      <w:r w:rsidR="00880E2A" w:rsidRPr="00AB1370">
        <w:rPr>
          <w:rFonts w:eastAsia="MS Mincho"/>
        </w:rPr>
        <w:t>)</w:t>
      </w:r>
      <w:r w:rsidR="0058254C" w:rsidRPr="00AB1370">
        <w:rPr>
          <w:rFonts w:eastAsia="MS Mincho"/>
        </w:rPr>
        <w:t>“</w:t>
      </w:r>
      <w:r w:rsidR="00880E2A" w:rsidRPr="00AB1370">
        <w:rPr>
          <w:rFonts w:eastAsia="MS Mincho"/>
        </w:rPr>
        <w:t xml:space="preserve"> auf der Grundlage des Wortlauts </w:t>
      </w:r>
      <w:r w:rsidR="00213D09" w:rsidRPr="00AB1370">
        <w:rPr>
          <w:rFonts w:eastAsia="MS Mincho"/>
        </w:rPr>
        <w:t>in</w:t>
      </w:r>
      <w:r w:rsidR="00880E2A" w:rsidRPr="00AB1370">
        <w:rPr>
          <w:rFonts w:eastAsia="MS Mincho"/>
        </w:rPr>
        <w:t xml:space="preserve"> Dokument UPOV/INF/17/1 Draft 6 </w:t>
      </w:r>
      <w:r w:rsidR="003804D2" w:rsidRPr="00AB1370">
        <w:rPr>
          <w:rFonts w:eastAsia="MS Mincho"/>
        </w:rPr>
        <w:t xml:space="preserve">durch den CAJ </w:t>
      </w:r>
      <w:r w:rsidR="009C40FE">
        <w:rPr>
          <w:rFonts w:eastAsia="MS Mincho"/>
        </w:rPr>
        <w:t>wird</w:t>
      </w:r>
      <w:r w:rsidR="003804D2" w:rsidRPr="00AB1370">
        <w:rPr>
          <w:rFonts w:eastAsia="MS Mincho"/>
        </w:rPr>
        <w:t xml:space="preserve"> </w:t>
      </w:r>
      <w:r w:rsidR="00CF47B8">
        <w:rPr>
          <w:rFonts w:eastAsia="MS Mincho"/>
        </w:rPr>
        <w:t>in Dokument CAJ/78/3 </w:t>
      </w:r>
      <w:r w:rsidR="00880E2A" w:rsidRPr="00AB1370">
        <w:rPr>
          <w:rFonts w:eastAsia="MS Mincho"/>
        </w:rPr>
        <w:t xml:space="preserve">Rev. </w:t>
      </w:r>
      <w:r w:rsidR="00417044" w:rsidRPr="00AB1370">
        <w:rPr>
          <w:rFonts w:eastAsia="MS Mincho"/>
        </w:rPr>
        <w:t>„</w:t>
      </w:r>
      <w:r w:rsidR="00880E2A" w:rsidRPr="00AB1370">
        <w:rPr>
          <w:rFonts w:eastAsia="MS Mincho"/>
        </w:rPr>
        <w:t>Ausarbeitung von Anleitung und Informationsmaterial</w:t>
      </w:r>
      <w:r w:rsidR="00417044" w:rsidRPr="00AB1370">
        <w:rPr>
          <w:rFonts w:eastAsia="MS Mincho"/>
        </w:rPr>
        <w:t>“</w:t>
      </w:r>
      <w:r w:rsidR="00880E2A" w:rsidRPr="00AB1370">
        <w:rPr>
          <w:rFonts w:eastAsia="MS Mincho"/>
        </w:rPr>
        <w:t xml:space="preserve"> (vergleiche Absätze 12 bis 13) und Dokument CAJ/78/12 </w:t>
      </w:r>
      <w:r w:rsidR="00417044" w:rsidRPr="00AB1370">
        <w:rPr>
          <w:rFonts w:eastAsia="MS Mincho"/>
        </w:rPr>
        <w:t>„</w:t>
      </w:r>
      <w:r w:rsidR="00880E2A" w:rsidRPr="00AB1370">
        <w:rPr>
          <w:rFonts w:eastAsia="MS Mincho"/>
        </w:rPr>
        <w:t>Ergebnis der Prüfung von Dokumenten auf dem Schriftweg</w:t>
      </w:r>
      <w:r w:rsidR="00417044" w:rsidRPr="00AB1370">
        <w:rPr>
          <w:rFonts w:eastAsia="MS Mincho"/>
        </w:rPr>
        <w:t>“</w:t>
      </w:r>
      <w:r w:rsidR="00880E2A" w:rsidRPr="00AB1370">
        <w:rPr>
          <w:rFonts w:eastAsia="MS Mincho"/>
        </w:rPr>
        <w:t xml:space="preserve"> (vergleiche Absätze 14 und 35) </w:t>
      </w:r>
      <w:r w:rsidR="003C19A2" w:rsidRPr="00AB1370">
        <w:rPr>
          <w:rFonts w:eastAsia="MS Mincho"/>
        </w:rPr>
        <w:t>berichtet</w:t>
      </w:r>
      <w:r w:rsidRPr="00AB1370">
        <w:rPr>
          <w:rFonts w:eastAsia="MS Mincho"/>
        </w:rPr>
        <w:t>.</w:t>
      </w:r>
    </w:p>
    <w:p w14:paraId="58D28E2F" w14:textId="77777777" w:rsidR="000744B3" w:rsidRPr="00160FAB" w:rsidRDefault="000744B3" w:rsidP="000744B3">
      <w:pPr>
        <w:rPr>
          <w:rFonts w:eastAsia="MS Mincho"/>
        </w:rPr>
      </w:pPr>
    </w:p>
    <w:p w14:paraId="58D28E30" w14:textId="47937950" w:rsidR="000744B3" w:rsidRPr="00160FAB" w:rsidRDefault="000744B3" w:rsidP="000744B3">
      <w:pPr>
        <w:rPr>
          <w:rFonts w:eastAsia="MS Mincho"/>
        </w:rPr>
      </w:pPr>
      <w:r w:rsidRPr="00160FAB">
        <w:rPr>
          <w:rFonts w:eastAsia="MS Mincho"/>
        </w:rPr>
        <w:fldChar w:fldCharType="begin"/>
      </w:r>
      <w:r w:rsidRPr="00160FAB">
        <w:rPr>
          <w:rFonts w:eastAsia="MS Mincho"/>
        </w:rPr>
        <w:instrText xml:space="preserve"> AUTONUM  </w:instrText>
      </w:r>
      <w:r w:rsidRPr="00160FAB">
        <w:rPr>
          <w:rFonts w:eastAsia="MS Mincho"/>
        </w:rPr>
        <w:fldChar w:fldCharType="end"/>
      </w:r>
      <w:r w:rsidRPr="00160FAB">
        <w:rPr>
          <w:rFonts w:eastAsia="MS Mincho"/>
        </w:rPr>
        <w:tab/>
      </w:r>
      <w:r w:rsidR="003804D2" w:rsidRPr="003804D2">
        <w:rPr>
          <w:rFonts w:eastAsia="MS Mincho"/>
        </w:rPr>
        <w:t xml:space="preserve">Der CAJ wird ersucht, die Annahme des Dokuments UPOV/INF/17/1 </w:t>
      </w:r>
      <w:r w:rsidR="00162370">
        <w:rPr>
          <w:rFonts w:eastAsia="MS Mincho"/>
        </w:rPr>
        <w:t>„</w:t>
      </w:r>
      <w:r w:rsidR="00CF47B8">
        <w:rPr>
          <w:rFonts w:eastAsia="MS Mincho"/>
        </w:rPr>
        <w:t>Richtlinien für die DNS</w:t>
      </w:r>
      <w:r w:rsidR="00CF47B8">
        <w:rPr>
          <w:rFonts w:eastAsia="MS Mincho"/>
        </w:rPr>
        <w:noBreakHyphen/>
      </w:r>
      <w:r w:rsidR="00162370" w:rsidRPr="00880E2A">
        <w:rPr>
          <w:rFonts w:eastAsia="MS Mincho"/>
        </w:rPr>
        <w:t xml:space="preserve">Profilierung: </w:t>
      </w:r>
      <w:r w:rsidR="00612AE2">
        <w:rPr>
          <w:rFonts w:eastAsia="MS Mincho"/>
        </w:rPr>
        <w:t>Auswahl molekularer Marker</w:t>
      </w:r>
      <w:r w:rsidR="00612AE2" w:rsidRPr="00880E2A">
        <w:rPr>
          <w:rFonts w:eastAsia="MS Mincho"/>
        </w:rPr>
        <w:t xml:space="preserve"> </w:t>
      </w:r>
      <w:r w:rsidR="00162370" w:rsidRPr="00880E2A">
        <w:rPr>
          <w:rFonts w:eastAsia="MS Mincho"/>
        </w:rPr>
        <w:t>und Aufbau von Datenbanken (</w:t>
      </w:r>
      <w:r w:rsidR="00162370">
        <w:rPr>
          <w:rFonts w:eastAsia="MS Mincho"/>
        </w:rPr>
        <w:t>‚</w:t>
      </w:r>
      <w:r w:rsidR="00162370" w:rsidRPr="00880E2A">
        <w:rPr>
          <w:rFonts w:eastAsia="MS Mincho"/>
        </w:rPr>
        <w:t>BMT-Richtlinien</w:t>
      </w:r>
      <w:r w:rsidR="00162370">
        <w:rPr>
          <w:rFonts w:eastAsia="MS Mincho"/>
        </w:rPr>
        <w:t>‘</w:t>
      </w:r>
      <w:r w:rsidR="00162370" w:rsidRPr="00880E2A">
        <w:rPr>
          <w:rFonts w:eastAsia="MS Mincho"/>
        </w:rPr>
        <w:t>)</w:t>
      </w:r>
      <w:r w:rsidR="00162370">
        <w:rPr>
          <w:rFonts w:eastAsia="MS Mincho"/>
        </w:rPr>
        <w:t>“</w:t>
      </w:r>
      <w:r w:rsidR="003804D2" w:rsidRPr="003804D2">
        <w:rPr>
          <w:rFonts w:eastAsia="MS Mincho"/>
        </w:rPr>
        <w:t xml:space="preserve"> auf der Grundlage des Wortlauts in Dokument UPOV/INF/17/1 Draft 6 (vergleiche Dokument C/55/12 </w:t>
      </w:r>
      <w:r w:rsidR="007118B4">
        <w:rPr>
          <w:rFonts w:eastAsia="MS Mincho"/>
        </w:rPr>
        <w:t>„</w:t>
      </w:r>
      <w:r w:rsidR="003804D2" w:rsidRPr="003804D2">
        <w:rPr>
          <w:rFonts w:eastAsia="MS Mincho"/>
        </w:rPr>
        <w:t>Ergebnis der Prüfung von Dokumenten auf dem Schriftweg</w:t>
      </w:r>
      <w:r w:rsidR="007118B4">
        <w:rPr>
          <w:rFonts w:eastAsia="MS Mincho"/>
        </w:rPr>
        <w:t>“</w:t>
      </w:r>
      <w:r w:rsidR="003804D2" w:rsidRPr="003804D2">
        <w:rPr>
          <w:rFonts w:eastAsia="MS Mincho"/>
        </w:rPr>
        <w:t>, Absätze 18 und 32</w:t>
      </w:r>
      <w:r w:rsidRPr="00160FAB">
        <w:rPr>
          <w:rFonts w:eastAsia="MS Mincho"/>
        </w:rPr>
        <w:t>)</w:t>
      </w:r>
      <w:r w:rsidR="003804D2" w:rsidRPr="003804D2">
        <w:rPr>
          <w:rFonts w:eastAsia="MS Mincho"/>
        </w:rPr>
        <w:t xml:space="preserve"> durch den Rat am 21. September 2021 auf dem Schriftweg zur Kenntnis zu nehmen</w:t>
      </w:r>
      <w:r w:rsidRPr="00160FAB">
        <w:rPr>
          <w:rFonts w:eastAsia="MS Mincho"/>
        </w:rPr>
        <w:t>.</w:t>
      </w:r>
    </w:p>
    <w:bookmarkEnd w:id="7"/>
    <w:bookmarkEnd w:id="8"/>
    <w:bookmarkEnd w:id="9"/>
    <w:bookmarkEnd w:id="10"/>
    <w:p w14:paraId="58D28E31" w14:textId="77777777" w:rsidR="00D14394" w:rsidRPr="00160FAB" w:rsidRDefault="00D14394" w:rsidP="008E521A"/>
    <w:p w14:paraId="58D28E32" w14:textId="77777777" w:rsidR="00D5236F" w:rsidRPr="00160FAB" w:rsidRDefault="00D5236F" w:rsidP="008E521A"/>
    <w:p w14:paraId="58D28E33" w14:textId="77777777" w:rsidR="00D14394" w:rsidRPr="00160FAB" w:rsidRDefault="00D14394" w:rsidP="008E521A"/>
    <w:p w14:paraId="58D28E34" w14:textId="0DCEAAA2" w:rsidR="00D14394" w:rsidRPr="00160FAB" w:rsidRDefault="000E5F8C" w:rsidP="00D14394">
      <w:pPr>
        <w:keepNext/>
        <w:outlineLvl w:val="0"/>
        <w:rPr>
          <w:caps/>
          <w:spacing w:val="-4"/>
          <w:lang w:eastAsia="ja-JP"/>
        </w:rPr>
      </w:pPr>
      <w:bookmarkStart w:id="14" w:name="_Toc85924904"/>
      <w:r w:rsidRPr="000E5F8C">
        <w:rPr>
          <w:caps/>
          <w:spacing w:val="-4"/>
          <w:lang w:eastAsia="ja-JP"/>
        </w:rPr>
        <w:t>ZUSAMMENARBEIT ZWISCHEN INTERNATIONALEN ORGANISATIONEN</w:t>
      </w:r>
      <w:bookmarkEnd w:id="14"/>
    </w:p>
    <w:p w14:paraId="58D28E35" w14:textId="77777777" w:rsidR="00D14394" w:rsidRPr="00160FAB" w:rsidRDefault="00D14394" w:rsidP="00D14394">
      <w:pPr>
        <w:keepNext/>
        <w:rPr>
          <w:lang w:eastAsia="ja-JP"/>
        </w:rPr>
      </w:pPr>
    </w:p>
    <w:p w14:paraId="58D28E36" w14:textId="74E2945C" w:rsidR="00D14394" w:rsidRPr="00014BA6" w:rsidRDefault="00D14394" w:rsidP="00D14394">
      <w:pPr>
        <w:keepNext/>
        <w:rPr>
          <w:rFonts w:eastAsiaTheme="minorEastAsia"/>
          <w:lang w:eastAsia="ja-JP"/>
        </w:rPr>
      </w:pPr>
      <w:r w:rsidRPr="00014BA6">
        <w:fldChar w:fldCharType="begin"/>
      </w:r>
      <w:r w:rsidRPr="00014BA6">
        <w:instrText xml:space="preserve"> AUTONUM  </w:instrText>
      </w:r>
      <w:r w:rsidRPr="00014BA6">
        <w:fldChar w:fldCharType="end"/>
      </w:r>
      <w:r w:rsidRPr="00014BA6">
        <w:tab/>
      </w:r>
      <w:r w:rsidR="000E5F8C" w:rsidRPr="00014BA6">
        <w:rPr>
          <w:rFonts w:eastAsiaTheme="minorEastAsia"/>
          <w:lang w:eastAsia="ja-JP"/>
        </w:rPr>
        <w:t>Der Hintergrund zu dieser Angelegenheit ist in Dokument</w:t>
      </w:r>
      <w:r w:rsidRPr="00014BA6">
        <w:rPr>
          <w:rFonts w:eastAsiaTheme="minorEastAsia"/>
          <w:lang w:eastAsia="ja-JP"/>
        </w:rPr>
        <w:t xml:space="preserve"> CAJ</w:t>
      </w:r>
      <w:r w:rsidRPr="00014BA6">
        <w:rPr>
          <w:lang w:eastAsia="ja-JP"/>
        </w:rPr>
        <w:t xml:space="preserve">/76/INF/3 </w:t>
      </w:r>
      <w:r w:rsidR="000E5F8C" w:rsidRPr="00014BA6">
        <w:rPr>
          <w:lang w:eastAsia="ja-JP"/>
        </w:rPr>
        <w:t>„Molekulare Verfahren“</w:t>
      </w:r>
      <w:r w:rsidR="00106C29" w:rsidRPr="00014BA6">
        <w:rPr>
          <w:lang w:eastAsia="ja-JP"/>
        </w:rPr>
        <w:t xml:space="preserve"> dargelegt</w:t>
      </w:r>
      <w:r w:rsidRPr="00014BA6">
        <w:rPr>
          <w:rFonts w:eastAsiaTheme="minorEastAsia"/>
          <w:lang w:eastAsia="ja-JP"/>
        </w:rPr>
        <w:t>.</w:t>
      </w:r>
    </w:p>
    <w:p w14:paraId="58D28E37" w14:textId="77777777" w:rsidR="00D14394" w:rsidRPr="00014BA6" w:rsidRDefault="00D14394" w:rsidP="00D14394">
      <w:pPr>
        <w:rPr>
          <w:rFonts w:eastAsiaTheme="minorEastAsia"/>
          <w:lang w:eastAsia="ja-JP"/>
        </w:rPr>
      </w:pPr>
    </w:p>
    <w:p w14:paraId="58D28E38" w14:textId="3F1543EA" w:rsidR="00D14394" w:rsidRPr="00014BA6" w:rsidRDefault="00D14394" w:rsidP="00D14394">
      <w:r w:rsidRPr="00014BA6">
        <w:fldChar w:fldCharType="begin"/>
      </w:r>
      <w:r w:rsidRPr="00014BA6">
        <w:instrText xml:space="preserve"> AUTONUM  </w:instrText>
      </w:r>
      <w:r w:rsidRPr="00014BA6">
        <w:fldChar w:fldCharType="end"/>
      </w:r>
      <w:r w:rsidRPr="00014BA6">
        <w:tab/>
      </w:r>
      <w:r w:rsidR="001675AC" w:rsidRPr="00014BA6">
        <w:t xml:space="preserve">Der CAJ nahm auf seiner fünfundsiebzigsten Tagung zur Kenntnis, </w:t>
      </w:r>
      <w:r w:rsidR="002203F4" w:rsidRPr="00014BA6">
        <w:t>dass</w:t>
      </w:r>
      <w:r w:rsidR="009C40FE">
        <w:t xml:space="preserve"> der TC vereinbart hatte, dass </w:t>
      </w:r>
      <w:r w:rsidR="002203F4" w:rsidRPr="00014BA6">
        <w:t xml:space="preserve">UPOV und OECD Fortschritte bei den zuvor vom TC vereinbarten Angelegenheiten </w:t>
      </w:r>
      <w:r w:rsidR="00253912">
        <w:t>erzielen</w:t>
      </w:r>
      <w:r w:rsidR="009C40FE">
        <w:t xml:space="preserve"> sollten</w:t>
      </w:r>
      <w:r w:rsidR="002203F4" w:rsidRPr="00014BA6">
        <w:t xml:space="preserve">, </w:t>
      </w:r>
      <w:r w:rsidR="001675AC" w:rsidRPr="00014BA6">
        <w:t>wie in Dokument CAJ/75/13, Anlage, Absatz 46</w:t>
      </w:r>
      <w:r w:rsidR="00F21849" w:rsidRPr="00014BA6">
        <w:rPr>
          <w:vertAlign w:val="superscript"/>
        </w:rPr>
        <w:footnoteReference w:id="2"/>
      </w:r>
      <w:r w:rsidR="001675AC" w:rsidRPr="00014BA6">
        <w:t>, dargelegt, nämlich</w:t>
      </w:r>
      <w:r w:rsidRPr="00014BA6">
        <w:t>:</w:t>
      </w:r>
    </w:p>
    <w:p w14:paraId="58D28E39" w14:textId="77777777" w:rsidR="00D14394" w:rsidRPr="00014BA6" w:rsidRDefault="00D14394" w:rsidP="00D14394">
      <w:pPr>
        <w:rPr>
          <w:rFonts w:eastAsiaTheme="minorEastAsia"/>
          <w:lang w:eastAsia="ja-JP"/>
        </w:rPr>
      </w:pPr>
    </w:p>
    <w:p w14:paraId="58D28E3A" w14:textId="07C3F24E" w:rsidR="00D14394" w:rsidRPr="00014BA6" w:rsidRDefault="00D14394" w:rsidP="00D14394">
      <w:pPr>
        <w:ind w:firstLine="567"/>
        <w:rPr>
          <w:rFonts w:eastAsiaTheme="minorEastAsia"/>
          <w:lang w:eastAsia="ja-JP"/>
        </w:rPr>
      </w:pPr>
      <w:r w:rsidRPr="00014BA6">
        <w:rPr>
          <w:rFonts w:eastAsiaTheme="minorEastAsia"/>
          <w:lang w:eastAsia="ja-JP"/>
        </w:rPr>
        <w:t>a)</w:t>
      </w:r>
      <w:r w:rsidRPr="00014BA6">
        <w:rPr>
          <w:rFonts w:eastAsiaTheme="minorEastAsia"/>
          <w:lang w:eastAsia="ja-JP"/>
        </w:rPr>
        <w:tab/>
        <w:t xml:space="preserve"> </w:t>
      </w:r>
      <w:r w:rsidR="00FF77AF" w:rsidRPr="00014BA6">
        <w:rPr>
          <w:rFonts w:eastAsiaTheme="minorEastAsia"/>
          <w:lang w:eastAsia="ja-JP"/>
        </w:rPr>
        <w:t>ein gemeinsames Dokument zur Erläuterung der wesentlichen Besonderheiten der Systeme von OECD, UPOV und ISTA zu erarbeiten</w:t>
      </w:r>
      <w:r w:rsidRPr="00014BA6">
        <w:rPr>
          <w:rFonts w:eastAsiaTheme="minorEastAsia"/>
          <w:lang w:eastAsia="ja-JP"/>
        </w:rPr>
        <w:t xml:space="preserve">; </w:t>
      </w:r>
    </w:p>
    <w:p w14:paraId="58D28E3B" w14:textId="77777777" w:rsidR="00D14394" w:rsidRPr="00014BA6" w:rsidRDefault="00D14394" w:rsidP="00D14394">
      <w:pPr>
        <w:ind w:firstLine="567"/>
        <w:rPr>
          <w:rFonts w:eastAsiaTheme="minorEastAsia"/>
          <w:lang w:eastAsia="ja-JP"/>
        </w:rPr>
      </w:pPr>
    </w:p>
    <w:p w14:paraId="58D28E3C" w14:textId="34451E2D" w:rsidR="00D14394" w:rsidRPr="00014BA6" w:rsidRDefault="00D14394" w:rsidP="00D14394">
      <w:pPr>
        <w:ind w:firstLine="567"/>
        <w:rPr>
          <w:rFonts w:eastAsiaTheme="minorEastAsia"/>
          <w:lang w:eastAsia="ja-JP"/>
        </w:rPr>
      </w:pPr>
      <w:r w:rsidRPr="00014BA6">
        <w:rPr>
          <w:rFonts w:eastAsiaTheme="minorEastAsia"/>
          <w:lang w:eastAsia="ja-JP"/>
        </w:rPr>
        <w:t>b)</w:t>
      </w:r>
      <w:r w:rsidRPr="00014BA6">
        <w:rPr>
          <w:rFonts w:eastAsiaTheme="minorEastAsia"/>
          <w:lang w:eastAsia="ja-JP"/>
        </w:rPr>
        <w:tab/>
      </w:r>
      <w:r w:rsidR="00F143CE" w:rsidRPr="00014BA6">
        <w:t>vorbehaltlich der Billigung durch den Rat und in Abstimmung mit OECD und ISTA eine Bestandsaufnahme zur Verwendung molekularer Markerverfahren nach Pflanze im Hinblick auf die Ausarbeitung eines gemeinsamen Dokuments von OECD, UPOV und ISTA mit diesen Informationen in einem ähnlichen Format wie das UPOV-Dokument UPOV/INF/16, „Austauschbare Software“, zu erarbeiten; und</w:t>
      </w:r>
      <w:r w:rsidRPr="00014BA6">
        <w:rPr>
          <w:rFonts w:eastAsiaTheme="minorEastAsia"/>
          <w:lang w:eastAsia="ja-JP"/>
        </w:rPr>
        <w:t xml:space="preserve"> </w:t>
      </w:r>
    </w:p>
    <w:p w14:paraId="58D28E3D" w14:textId="77777777" w:rsidR="00D14394" w:rsidRPr="00014BA6" w:rsidRDefault="00D14394" w:rsidP="00D14394">
      <w:pPr>
        <w:ind w:firstLine="567"/>
        <w:rPr>
          <w:rFonts w:eastAsiaTheme="minorEastAsia"/>
          <w:lang w:eastAsia="ja-JP"/>
        </w:rPr>
      </w:pPr>
    </w:p>
    <w:p w14:paraId="58D28E3E" w14:textId="6A0B6688" w:rsidR="00D14394" w:rsidRPr="00014BA6" w:rsidRDefault="00D14394" w:rsidP="00D14394">
      <w:pPr>
        <w:ind w:firstLine="567"/>
        <w:rPr>
          <w:rFonts w:eastAsiaTheme="minorEastAsia"/>
          <w:lang w:eastAsia="ja-JP"/>
        </w:rPr>
      </w:pPr>
      <w:r w:rsidRPr="00014BA6">
        <w:rPr>
          <w:rFonts w:eastAsiaTheme="minorEastAsia"/>
          <w:lang w:eastAsia="ja-JP"/>
        </w:rPr>
        <w:t>c)</w:t>
      </w:r>
      <w:r w:rsidRPr="00014BA6">
        <w:rPr>
          <w:rFonts w:eastAsiaTheme="minorEastAsia"/>
          <w:lang w:eastAsia="ja-JP"/>
        </w:rPr>
        <w:tab/>
      </w:r>
      <w:r w:rsidR="002874C3" w:rsidRPr="00014BA6">
        <w:rPr>
          <w:rFonts w:eastAsiaTheme="minorEastAsia"/>
          <w:lang w:eastAsia="ja-JP"/>
        </w:rPr>
        <w:t>dass die BMT Listen möglicher gemeinsamer Initiativen mit der OECD und der ISTA hinsichtlich molekularer Verfahren zur Prüfung durch den TC erstell</w:t>
      </w:r>
      <w:r w:rsidR="009C40FE">
        <w:rPr>
          <w:rFonts w:eastAsiaTheme="minorEastAsia"/>
          <w:lang w:eastAsia="ja-JP"/>
        </w:rPr>
        <w:t>en solle</w:t>
      </w:r>
      <w:r w:rsidR="00977FC8">
        <w:rPr>
          <w:rFonts w:eastAsiaTheme="minorEastAsia"/>
          <w:lang w:eastAsia="ja-JP"/>
        </w:rPr>
        <w:t>.</w:t>
      </w:r>
      <w:r w:rsidRPr="00014BA6">
        <w:rPr>
          <w:rFonts w:eastAsiaTheme="minorEastAsia"/>
          <w:lang w:eastAsia="ja-JP"/>
        </w:rPr>
        <w:t xml:space="preserve"> </w:t>
      </w:r>
    </w:p>
    <w:p w14:paraId="58D28E3F" w14:textId="77777777" w:rsidR="00D14394" w:rsidRPr="00014BA6" w:rsidRDefault="00D14394" w:rsidP="00D14394">
      <w:pPr>
        <w:rPr>
          <w:rFonts w:eastAsiaTheme="minorEastAsia"/>
          <w:lang w:eastAsia="ja-JP"/>
        </w:rPr>
      </w:pPr>
    </w:p>
    <w:p w14:paraId="58D28E40" w14:textId="54983A7E" w:rsidR="00D14394" w:rsidRPr="00014BA6" w:rsidRDefault="00D14394" w:rsidP="00D14394">
      <w:pPr>
        <w:rPr>
          <w:rFonts w:eastAsiaTheme="minorEastAsia"/>
          <w:lang w:eastAsia="ja-JP"/>
        </w:rPr>
      </w:pPr>
      <w:r w:rsidRPr="00014BA6">
        <w:rPr>
          <w:rFonts w:eastAsiaTheme="minorEastAsia"/>
          <w:lang w:eastAsia="ja-JP"/>
        </w:rPr>
        <w:fldChar w:fldCharType="begin"/>
      </w:r>
      <w:r w:rsidRPr="00014BA6">
        <w:rPr>
          <w:rFonts w:eastAsiaTheme="minorEastAsia"/>
          <w:lang w:eastAsia="ja-JP"/>
        </w:rPr>
        <w:instrText xml:space="preserve"> AUTONUM  </w:instrText>
      </w:r>
      <w:r w:rsidRPr="00014BA6">
        <w:rPr>
          <w:rFonts w:eastAsiaTheme="minorEastAsia"/>
          <w:lang w:eastAsia="ja-JP"/>
        </w:rPr>
        <w:fldChar w:fldCharType="end"/>
      </w:r>
      <w:r w:rsidRPr="00014BA6">
        <w:rPr>
          <w:rFonts w:eastAsiaTheme="minorEastAsia"/>
          <w:lang w:eastAsia="ja-JP"/>
        </w:rPr>
        <w:tab/>
      </w:r>
      <w:r w:rsidR="0020124E" w:rsidRPr="00014BA6">
        <w:rPr>
          <w:rFonts w:eastAsiaTheme="minorEastAsia"/>
          <w:lang w:eastAsia="ja-JP"/>
        </w:rPr>
        <w:t>Der TC vereinbarte auf seiner vierundfünfzigsten Tagung, die ISTA zu ersuchen, den Initiativen beizutreten, sobald sie dazu in der Lage sei</w:t>
      </w:r>
      <w:r w:rsidRPr="00014BA6">
        <w:rPr>
          <w:rFonts w:eastAsiaTheme="minorEastAsia"/>
          <w:lang w:eastAsia="ja-JP"/>
        </w:rPr>
        <w:t xml:space="preserve">. </w:t>
      </w:r>
    </w:p>
    <w:p w14:paraId="58D28E41" w14:textId="77777777" w:rsidR="00D14394" w:rsidRPr="00014BA6" w:rsidRDefault="00D14394" w:rsidP="00D14394">
      <w:pPr>
        <w:rPr>
          <w:rFonts w:eastAsiaTheme="minorEastAsia"/>
          <w:lang w:eastAsia="ja-JP"/>
        </w:rPr>
      </w:pPr>
    </w:p>
    <w:p w14:paraId="58D28E42" w14:textId="130A1930" w:rsidR="00382EFF" w:rsidRDefault="00D14394" w:rsidP="00D14394">
      <w:pPr>
        <w:rPr>
          <w:rFonts w:eastAsiaTheme="minorEastAsia"/>
          <w:lang w:eastAsia="ja-JP"/>
        </w:rPr>
      </w:pPr>
      <w:r w:rsidRPr="00014BA6">
        <w:rPr>
          <w:rFonts w:eastAsiaTheme="minorEastAsia"/>
          <w:lang w:eastAsia="ja-JP"/>
        </w:rPr>
        <w:fldChar w:fldCharType="begin"/>
      </w:r>
      <w:r w:rsidRPr="00014BA6">
        <w:rPr>
          <w:rFonts w:eastAsiaTheme="minorEastAsia"/>
          <w:lang w:eastAsia="ja-JP"/>
        </w:rPr>
        <w:instrText xml:space="preserve"> AUTONUM  </w:instrText>
      </w:r>
      <w:r w:rsidRPr="00014BA6">
        <w:rPr>
          <w:rFonts w:eastAsiaTheme="minorEastAsia"/>
          <w:lang w:eastAsia="ja-JP"/>
        </w:rPr>
        <w:fldChar w:fldCharType="end"/>
      </w:r>
      <w:r w:rsidRPr="00014BA6">
        <w:rPr>
          <w:rFonts w:eastAsiaTheme="minorEastAsia"/>
          <w:lang w:eastAsia="ja-JP"/>
        </w:rPr>
        <w:tab/>
      </w:r>
      <w:r w:rsidR="001C0D2B" w:rsidRPr="00014BA6">
        <w:rPr>
          <w:rFonts w:eastAsiaTheme="minorEastAsia"/>
          <w:lang w:eastAsia="ja-JP"/>
        </w:rPr>
        <w:t xml:space="preserve">Die Entwicklungen </w:t>
      </w:r>
      <w:r w:rsidR="00A5474D" w:rsidRPr="00014BA6">
        <w:rPr>
          <w:rFonts w:eastAsiaTheme="minorEastAsia"/>
          <w:lang w:eastAsia="ja-JP"/>
        </w:rPr>
        <w:t>im Zusammenhang mit den vorstehend genannten Angelegenheiten</w:t>
      </w:r>
      <w:r w:rsidR="001C0D2B" w:rsidRPr="00014BA6">
        <w:rPr>
          <w:rFonts w:eastAsiaTheme="minorEastAsia"/>
          <w:lang w:eastAsia="ja-JP"/>
        </w:rPr>
        <w:t xml:space="preserve"> werden in den folgenden Abschnitten </w:t>
      </w:r>
      <w:r w:rsidR="00A5474D" w:rsidRPr="00014BA6">
        <w:rPr>
          <w:rFonts w:eastAsiaTheme="minorEastAsia"/>
          <w:lang w:eastAsia="ja-JP"/>
        </w:rPr>
        <w:t>dargelegt</w:t>
      </w:r>
      <w:r w:rsidRPr="00014BA6">
        <w:rPr>
          <w:rFonts w:eastAsiaTheme="minorEastAsia"/>
          <w:lang w:eastAsia="ja-JP"/>
        </w:rPr>
        <w:t>.</w:t>
      </w:r>
    </w:p>
    <w:p w14:paraId="057514F7" w14:textId="77777777" w:rsidR="00382EFF" w:rsidRDefault="00382EFF">
      <w:pPr>
        <w:jc w:val="left"/>
        <w:rPr>
          <w:rFonts w:eastAsiaTheme="minorEastAsia"/>
          <w:lang w:eastAsia="ja-JP"/>
        </w:rPr>
      </w:pPr>
      <w:r>
        <w:rPr>
          <w:rFonts w:eastAsiaTheme="minorEastAsia"/>
          <w:lang w:eastAsia="ja-JP"/>
        </w:rPr>
        <w:br w:type="page"/>
      </w:r>
    </w:p>
    <w:p w14:paraId="58D28E45" w14:textId="72A6DEC7" w:rsidR="00733267" w:rsidRPr="009C40FE" w:rsidRDefault="005972B8" w:rsidP="00382EFF">
      <w:pPr>
        <w:pStyle w:val="Heading2"/>
        <w:rPr>
          <w:rFonts w:eastAsiaTheme="minorEastAsia"/>
          <w:noProof/>
          <w:lang w:val="de-DE"/>
        </w:rPr>
      </w:pPr>
      <w:bookmarkStart w:id="15" w:name="_Toc85924905"/>
      <w:r w:rsidRPr="009C40FE">
        <w:rPr>
          <w:rFonts w:eastAsiaTheme="minorEastAsia"/>
          <w:noProof/>
          <w:lang w:val="de-DE"/>
        </w:rPr>
        <w:lastRenderedPageBreak/>
        <w:t>Gemeinsames Dokument zur Erläuterung der wesentlichen Besonderheiten der Systeme von OECD, UPOV und ISTA</w:t>
      </w:r>
      <w:bookmarkEnd w:id="15"/>
    </w:p>
    <w:p w14:paraId="58D28E46" w14:textId="77777777" w:rsidR="00733267" w:rsidRPr="00160FAB" w:rsidRDefault="00733267" w:rsidP="00733267"/>
    <w:p w14:paraId="58D28E47" w14:textId="50CE1F38" w:rsidR="00733267" w:rsidRPr="009C40FE" w:rsidRDefault="00755FA8" w:rsidP="00382EFF">
      <w:pPr>
        <w:pStyle w:val="Heading3"/>
        <w:rPr>
          <w:noProof/>
          <w:lang w:val="de-DE"/>
        </w:rPr>
      </w:pPr>
      <w:bookmarkStart w:id="16" w:name="_Toc53597266"/>
      <w:r w:rsidRPr="009C40FE">
        <w:rPr>
          <w:noProof/>
          <w:lang w:val="de-DE"/>
        </w:rPr>
        <w:t>Hintergrun</w:t>
      </w:r>
      <w:r w:rsidR="00733267" w:rsidRPr="009C40FE">
        <w:rPr>
          <w:noProof/>
          <w:lang w:val="de-DE"/>
        </w:rPr>
        <w:t>d</w:t>
      </w:r>
      <w:bookmarkEnd w:id="16"/>
    </w:p>
    <w:p w14:paraId="58D28E48" w14:textId="77777777" w:rsidR="00733267" w:rsidRPr="00160FAB" w:rsidRDefault="00733267" w:rsidP="00733267"/>
    <w:p w14:paraId="58D28E49" w14:textId="63A9D982" w:rsidR="00733267" w:rsidRPr="00977FC8" w:rsidRDefault="00733267" w:rsidP="00733267">
      <w:pPr>
        <w:keepNext/>
        <w:rPr>
          <w:rFonts w:eastAsiaTheme="minorEastAsia"/>
          <w:iCs/>
        </w:rPr>
      </w:pPr>
      <w:r w:rsidRPr="00977FC8">
        <w:rPr>
          <w:rFonts w:eastAsiaTheme="minorEastAsia"/>
        </w:rPr>
        <w:fldChar w:fldCharType="begin"/>
      </w:r>
      <w:r w:rsidRPr="00977FC8">
        <w:rPr>
          <w:rFonts w:eastAsiaTheme="minorEastAsia"/>
        </w:rPr>
        <w:instrText xml:space="preserve"> AUTONUM  </w:instrText>
      </w:r>
      <w:r w:rsidRPr="00977FC8">
        <w:rPr>
          <w:rFonts w:eastAsiaTheme="minorEastAsia"/>
        </w:rPr>
        <w:fldChar w:fldCharType="end"/>
      </w:r>
      <w:r w:rsidRPr="00977FC8">
        <w:rPr>
          <w:rFonts w:eastAsiaTheme="minorEastAsia"/>
        </w:rPr>
        <w:tab/>
      </w:r>
      <w:r w:rsidR="005B394E" w:rsidRPr="00977FC8">
        <w:rPr>
          <w:rFonts w:eastAsiaTheme="minorEastAsia"/>
        </w:rPr>
        <w:t xml:space="preserve">Der TC stimmte auf seiner fünfundfünfzigsten Tagung der BMT auf ihrer achtzehnten Tagung zu, dass einschlägige Elemente der Weltsaatgutpartnerschaft und die FAQ zur Verwendung molekularer Verfahren bei der DUS-Prüfung für das Verbandsbüro eine geeignete Grundlage wären, </w:t>
      </w:r>
      <w:r w:rsidR="00CE5174" w:rsidRPr="00977FC8">
        <w:rPr>
          <w:rFonts w:eastAsiaTheme="minorEastAsia"/>
        </w:rPr>
        <w:t>in</w:t>
      </w:r>
      <w:r w:rsidR="00B825A8" w:rsidRPr="00977FC8">
        <w:rPr>
          <w:rFonts w:eastAsiaTheme="minorEastAsia"/>
        </w:rPr>
        <w:t xml:space="preserve"> </w:t>
      </w:r>
      <w:r w:rsidR="00CE5174" w:rsidRPr="00977FC8">
        <w:rPr>
          <w:rFonts w:eastAsiaTheme="minorEastAsia"/>
        </w:rPr>
        <w:t>Ab</w:t>
      </w:r>
      <w:r w:rsidR="00666A8B" w:rsidRPr="00977FC8">
        <w:rPr>
          <w:rFonts w:eastAsiaTheme="minorEastAsia"/>
        </w:rPr>
        <w:t>stimmung</w:t>
      </w:r>
      <w:r w:rsidR="00B825A8" w:rsidRPr="00977FC8">
        <w:rPr>
          <w:rFonts w:eastAsiaTheme="minorEastAsia"/>
        </w:rPr>
        <w:t xml:space="preserve"> mit der OECD</w:t>
      </w:r>
      <w:r w:rsidR="009F569C" w:rsidRPr="00977FC8">
        <w:rPr>
          <w:rFonts w:eastAsiaTheme="minorEastAsia"/>
        </w:rPr>
        <w:t xml:space="preserve"> </w:t>
      </w:r>
      <w:r w:rsidR="005B394E" w:rsidRPr="00977FC8">
        <w:rPr>
          <w:rFonts w:eastAsiaTheme="minorEastAsia"/>
        </w:rPr>
        <w:t>ein</w:t>
      </w:r>
      <w:r w:rsidR="009F569C" w:rsidRPr="00977FC8">
        <w:rPr>
          <w:rFonts w:eastAsiaTheme="minorEastAsia"/>
        </w:rPr>
        <w:t xml:space="preserve">en Entwurf eines </w:t>
      </w:r>
      <w:r w:rsidR="00E510F9" w:rsidRPr="00977FC8">
        <w:rPr>
          <w:rFonts w:eastAsiaTheme="minorEastAsia"/>
        </w:rPr>
        <w:t xml:space="preserve">gemeinsamen </w:t>
      </w:r>
      <w:r w:rsidR="009F569C" w:rsidRPr="00977FC8">
        <w:rPr>
          <w:rFonts w:eastAsiaTheme="minorEastAsia"/>
        </w:rPr>
        <w:t>Dokuments</w:t>
      </w:r>
      <w:r w:rsidR="005B394E" w:rsidRPr="00977FC8">
        <w:rPr>
          <w:rFonts w:eastAsiaTheme="minorEastAsia"/>
        </w:rPr>
        <w:t xml:space="preserve"> zu erarbeiten, das die wesentlichen Besonderheiten der Systeme von OECD, UPOV und ISTA erläutert (vergleiche Dokument TC/55/25 „Bericht“, Absatz 182)</w:t>
      </w:r>
      <w:r w:rsidRPr="00977FC8">
        <w:rPr>
          <w:rFonts w:eastAsiaTheme="minorEastAsia"/>
        </w:rPr>
        <w:t>.</w:t>
      </w:r>
      <w:r w:rsidRPr="00977FC8">
        <w:rPr>
          <w:rFonts w:eastAsiaTheme="minorEastAsia"/>
          <w:iCs/>
        </w:rPr>
        <w:t xml:space="preserve"> </w:t>
      </w:r>
    </w:p>
    <w:p w14:paraId="58D28E4A" w14:textId="77777777" w:rsidR="00733267" w:rsidRPr="00977FC8" w:rsidRDefault="00733267" w:rsidP="00733267">
      <w:pPr>
        <w:rPr>
          <w:rFonts w:eastAsiaTheme="minorEastAsia"/>
        </w:rPr>
      </w:pPr>
    </w:p>
    <w:p w14:paraId="58D28E4B" w14:textId="390D7A73" w:rsidR="00733267" w:rsidRPr="00977FC8" w:rsidRDefault="009B740C" w:rsidP="00382EFF">
      <w:pPr>
        <w:pStyle w:val="Heading3"/>
        <w:rPr>
          <w:rFonts w:eastAsiaTheme="minorEastAsia"/>
          <w:noProof/>
          <w:lang w:val="de-DE"/>
        </w:rPr>
      </w:pPr>
      <w:bookmarkStart w:id="17" w:name="_Toc53597267"/>
      <w:r w:rsidRPr="00977FC8">
        <w:rPr>
          <w:rFonts w:eastAsiaTheme="minorEastAsia"/>
          <w:noProof/>
          <w:lang w:val="de-DE"/>
        </w:rPr>
        <w:t>Entwurf eines gemeinsamen Dokument</w:t>
      </w:r>
      <w:bookmarkEnd w:id="17"/>
      <w:r w:rsidRPr="00977FC8">
        <w:rPr>
          <w:rFonts w:eastAsiaTheme="minorEastAsia"/>
          <w:noProof/>
          <w:lang w:val="de-DE"/>
        </w:rPr>
        <w:t>s</w:t>
      </w:r>
    </w:p>
    <w:p w14:paraId="58D28E4C" w14:textId="77777777" w:rsidR="00733267" w:rsidRPr="00977FC8" w:rsidRDefault="00733267" w:rsidP="00733267">
      <w:pPr>
        <w:keepNext/>
        <w:rPr>
          <w:rFonts w:eastAsiaTheme="minorEastAsia"/>
        </w:rPr>
      </w:pPr>
    </w:p>
    <w:p w14:paraId="58D28E4D" w14:textId="255BD890" w:rsidR="00733267" w:rsidRPr="00977FC8" w:rsidRDefault="00733267" w:rsidP="00733267">
      <w:pPr>
        <w:keepNext/>
        <w:rPr>
          <w:rFonts w:eastAsiaTheme="minorEastAsia"/>
        </w:rPr>
      </w:pPr>
      <w:r w:rsidRPr="00977FC8">
        <w:rPr>
          <w:rFonts w:eastAsiaTheme="minorEastAsia"/>
        </w:rPr>
        <w:fldChar w:fldCharType="begin"/>
      </w:r>
      <w:r w:rsidRPr="00977FC8">
        <w:rPr>
          <w:rFonts w:eastAsiaTheme="minorEastAsia"/>
        </w:rPr>
        <w:instrText xml:space="preserve"> AUTONUM  </w:instrText>
      </w:r>
      <w:r w:rsidRPr="00977FC8">
        <w:rPr>
          <w:rFonts w:eastAsiaTheme="minorEastAsia"/>
        </w:rPr>
        <w:fldChar w:fldCharType="end"/>
      </w:r>
      <w:r w:rsidRPr="00977FC8">
        <w:rPr>
          <w:rFonts w:eastAsiaTheme="minorEastAsia"/>
        </w:rPr>
        <w:tab/>
      </w:r>
      <w:r w:rsidR="00C97962" w:rsidRPr="00977FC8">
        <w:rPr>
          <w:spacing w:val="-2"/>
        </w:rPr>
        <w:t>Der TC nahm auf seiner sechsundfünfzigsten Tagung die Entwicklungen bezüglich eines gemeinsamen Dokuments zur Kenntnis, das die wesentlichen Besonderheiten der Systeme der OECD, der UPOV und der ISTA erläutert, mit dem Ziel, einen Entwurf eines gemeinsamen Dokuments zur Prüfung durch den TC auf seiner siebenundfünfzigsten Tagung vorzuschlagen (vergleiche Dokument TC/56/23 „Bericht“, Absätze 50 und 51)</w:t>
      </w:r>
      <w:r w:rsidR="007E07ED" w:rsidRPr="00977FC8">
        <w:rPr>
          <w:spacing w:val="-2"/>
        </w:rPr>
        <w:t>.</w:t>
      </w:r>
    </w:p>
    <w:p w14:paraId="58D28E4E" w14:textId="77777777" w:rsidR="0027540F" w:rsidRPr="00977FC8" w:rsidRDefault="0027540F" w:rsidP="00733267">
      <w:pPr>
        <w:rPr>
          <w:rFonts w:eastAsiaTheme="minorEastAsia"/>
        </w:rPr>
      </w:pPr>
    </w:p>
    <w:p w14:paraId="58D28E4F" w14:textId="4EBC1AFB" w:rsidR="007E07ED" w:rsidRPr="00977FC8" w:rsidRDefault="007E07ED" w:rsidP="007E07ED">
      <w:pPr>
        <w:rPr>
          <w:rFonts w:eastAsiaTheme="minorEastAsia"/>
        </w:rPr>
      </w:pPr>
      <w:r w:rsidRPr="00977FC8">
        <w:fldChar w:fldCharType="begin"/>
      </w:r>
      <w:r w:rsidRPr="00977FC8">
        <w:instrText xml:space="preserve"> AUTONUM  </w:instrText>
      </w:r>
      <w:r w:rsidRPr="00977FC8">
        <w:fldChar w:fldCharType="end"/>
      </w:r>
      <w:r w:rsidRPr="00977FC8">
        <w:tab/>
      </w:r>
      <w:r w:rsidR="0033071F" w:rsidRPr="00977FC8">
        <w:t>Der TC nahm zur Kenntnis, dass das gemeinsame Dokument Informationen über den Stand molekularer Verfahren für die Zwecke jeder Organisation bereitstellen würde.</w:t>
      </w:r>
      <w:r w:rsidR="00E510F9" w:rsidRPr="00977FC8">
        <w:t xml:space="preserve"> </w:t>
      </w:r>
      <w:r w:rsidR="004562FC" w:rsidRPr="00977FC8">
        <w:rPr>
          <w:rFonts w:eastAsiaTheme="minorEastAsia"/>
        </w:rPr>
        <w:t>Die Elemente eines Entwurfs eines gemeinsamen Dokuments sind in Anlage I dieses Dokuments dargelegt</w:t>
      </w:r>
      <w:r w:rsidRPr="00977FC8">
        <w:rPr>
          <w:rFonts w:eastAsiaTheme="minorEastAsia"/>
        </w:rPr>
        <w:t>.</w:t>
      </w:r>
    </w:p>
    <w:p w14:paraId="58D28E50" w14:textId="77777777" w:rsidR="007E07ED" w:rsidRPr="00977FC8" w:rsidRDefault="007E07ED" w:rsidP="00733267">
      <w:pPr>
        <w:rPr>
          <w:rFonts w:eastAsiaTheme="minorEastAsia"/>
        </w:rPr>
      </w:pPr>
    </w:p>
    <w:p w14:paraId="58D28E51" w14:textId="43970773" w:rsidR="0027540F" w:rsidRPr="00160FAB" w:rsidRDefault="0027540F" w:rsidP="0027540F">
      <w:pPr>
        <w:keepNext/>
      </w:pPr>
      <w:r w:rsidRPr="00977FC8">
        <w:fldChar w:fldCharType="begin"/>
      </w:r>
      <w:r w:rsidRPr="00977FC8">
        <w:instrText xml:space="preserve"> AUTONUM  </w:instrText>
      </w:r>
      <w:r w:rsidRPr="00977FC8">
        <w:fldChar w:fldCharType="end"/>
      </w:r>
      <w:r w:rsidRPr="00977FC8">
        <w:tab/>
      </w:r>
      <w:r w:rsidR="007E666E" w:rsidRPr="00977FC8">
        <w:t xml:space="preserve">Ein </w:t>
      </w:r>
      <w:r w:rsidR="00D64AAB" w:rsidRPr="00977FC8">
        <w:t>Entwurf eines gemeinsamen Dokuments zur Erläuterung der wesentlichen Besonderheiten der Systeme von OECD, UPOV und ISTA</w:t>
      </w:r>
      <w:r w:rsidR="007E666E" w:rsidRPr="00977FC8">
        <w:t xml:space="preserve"> wird dem TC auf seiner siebenundfünfzigsten Tagung zur Prüfung vorgelegt</w:t>
      </w:r>
      <w:r w:rsidR="009C40FE" w:rsidRPr="00977FC8">
        <w:t xml:space="preserve"> werden</w:t>
      </w:r>
      <w:r w:rsidR="007E666E" w:rsidRPr="00977FC8">
        <w:t>. Vorbehaltlich der Billigung des Entwurfs des gemeinsamen Dokuments durch den TC wird der TC ersucht werden, das Verbandsbüro zu ersuchen, die OECD und ISTA entsprechend zu unterrichten</w:t>
      </w:r>
      <w:r w:rsidRPr="00977FC8">
        <w:t>.</w:t>
      </w:r>
    </w:p>
    <w:p w14:paraId="58D28E52" w14:textId="77777777" w:rsidR="00D14394" w:rsidRPr="00160FAB" w:rsidRDefault="00D14394" w:rsidP="008E521A">
      <w:pPr>
        <w:rPr>
          <w:rFonts w:eastAsiaTheme="minorEastAsia"/>
        </w:rPr>
      </w:pPr>
    </w:p>
    <w:p w14:paraId="58D28E53" w14:textId="77777777" w:rsidR="007E07ED" w:rsidRPr="00160FAB" w:rsidRDefault="007E07ED" w:rsidP="008E521A">
      <w:pPr>
        <w:rPr>
          <w:rFonts w:eastAsiaTheme="minorEastAsia"/>
        </w:rPr>
      </w:pPr>
    </w:p>
    <w:p w14:paraId="58D28E54" w14:textId="7AF6BF4D" w:rsidR="00D14394" w:rsidRPr="009C40FE" w:rsidRDefault="00D66782" w:rsidP="00382EFF">
      <w:pPr>
        <w:pStyle w:val="Heading2"/>
        <w:rPr>
          <w:rFonts w:eastAsiaTheme="minorEastAsia"/>
          <w:noProof/>
          <w:lang w:val="de-DE"/>
        </w:rPr>
      </w:pPr>
      <w:bookmarkStart w:id="18" w:name="_Toc15295343"/>
      <w:bookmarkStart w:id="19" w:name="_Toc22564623"/>
      <w:bookmarkStart w:id="20" w:name="_Toc27663377"/>
      <w:bookmarkStart w:id="21" w:name="_Toc53597262"/>
      <w:bookmarkStart w:id="22" w:name="_Toc85924906"/>
      <w:r w:rsidRPr="009C40FE">
        <w:rPr>
          <w:rFonts w:eastAsiaTheme="minorEastAsia"/>
          <w:noProof/>
          <w:lang w:val="de-DE"/>
        </w:rPr>
        <w:t xml:space="preserve">Bestandsaufnahme </w:t>
      </w:r>
      <w:r w:rsidR="009C40FE">
        <w:rPr>
          <w:rFonts w:eastAsiaTheme="minorEastAsia"/>
          <w:noProof/>
          <w:lang w:val="de-DE"/>
        </w:rPr>
        <w:t>der</w:t>
      </w:r>
      <w:r w:rsidRPr="009C40FE">
        <w:rPr>
          <w:rFonts w:eastAsiaTheme="minorEastAsia"/>
          <w:noProof/>
          <w:lang w:val="de-DE"/>
        </w:rPr>
        <w:t xml:space="preserve"> Verwendung molekularer Markerverfahren nach Pflanze</w:t>
      </w:r>
      <w:bookmarkEnd w:id="18"/>
      <w:bookmarkEnd w:id="19"/>
      <w:bookmarkEnd w:id="20"/>
      <w:bookmarkEnd w:id="21"/>
      <w:bookmarkEnd w:id="22"/>
    </w:p>
    <w:p w14:paraId="58D28E55" w14:textId="77777777" w:rsidR="00D14394" w:rsidRPr="00014BA6" w:rsidRDefault="00D14394" w:rsidP="00D14394">
      <w:pPr>
        <w:rPr>
          <w:rFonts w:eastAsiaTheme="minorEastAsia"/>
        </w:rPr>
      </w:pPr>
      <w:bookmarkStart w:id="23" w:name="_Toc15295342"/>
      <w:bookmarkStart w:id="24" w:name="_Toc22564625"/>
      <w:bookmarkStart w:id="25" w:name="_Toc27663379"/>
    </w:p>
    <w:p w14:paraId="58D28E56" w14:textId="309AEE5F" w:rsidR="00346604" w:rsidRPr="002212B0" w:rsidRDefault="00D66782" w:rsidP="00382EFF">
      <w:pPr>
        <w:pStyle w:val="Heading3"/>
        <w:rPr>
          <w:noProof/>
          <w:lang w:val="de-DE"/>
        </w:rPr>
      </w:pPr>
      <w:r w:rsidRPr="002212B0">
        <w:rPr>
          <w:noProof/>
          <w:lang w:val="de-DE"/>
        </w:rPr>
        <w:t>Hintergrund</w:t>
      </w:r>
    </w:p>
    <w:p w14:paraId="58D28E57" w14:textId="77777777" w:rsidR="00D14394" w:rsidRPr="00014BA6" w:rsidRDefault="00D14394" w:rsidP="00D14394"/>
    <w:p w14:paraId="58D28E58" w14:textId="656DEDAA" w:rsidR="007E07ED" w:rsidRPr="00014BA6" w:rsidRDefault="00D14394" w:rsidP="007E07ED">
      <w:pPr>
        <w:keepLines/>
      </w:pPr>
      <w:r w:rsidRPr="00014BA6">
        <w:fldChar w:fldCharType="begin"/>
      </w:r>
      <w:r w:rsidRPr="00014BA6">
        <w:instrText xml:space="preserve"> AUTONUM  </w:instrText>
      </w:r>
      <w:r w:rsidRPr="00014BA6">
        <w:fldChar w:fldCharType="end"/>
      </w:r>
      <w:r w:rsidRPr="00014BA6">
        <w:tab/>
      </w:r>
      <w:r w:rsidR="00AF0B28" w:rsidRPr="00014BA6">
        <w:t xml:space="preserve">Der TC vereinbarte, dass ein Rundschreiben herausgegeben werden sollte, in dem Verbandsmitglieder ersucht würden, eine Befragung als Grundlage für die Erstellung einer Bestandsaufnahme </w:t>
      </w:r>
      <w:r w:rsidR="009C40FE">
        <w:t>der</w:t>
      </w:r>
      <w:r w:rsidR="00AF0B28" w:rsidRPr="00014BA6">
        <w:t xml:space="preserve"> Verwendung molekularer Markerverfahren nach Pflanze in Abstimmung mit der OECD durchzuführen</w:t>
      </w:r>
      <w:r w:rsidRPr="00014BA6">
        <w:t>.</w:t>
      </w:r>
      <w:r w:rsidR="000817C9" w:rsidRPr="00014BA6">
        <w:t xml:space="preserve"> </w:t>
      </w:r>
    </w:p>
    <w:p w14:paraId="58D28E59" w14:textId="77777777" w:rsidR="00346604" w:rsidRPr="00014BA6" w:rsidRDefault="00346604" w:rsidP="007E07ED">
      <w:pPr>
        <w:keepLines/>
      </w:pPr>
    </w:p>
    <w:p w14:paraId="58D28E5A" w14:textId="73B0BA8E" w:rsidR="00346604" w:rsidRPr="009C40FE" w:rsidRDefault="00C75907" w:rsidP="00382EFF">
      <w:pPr>
        <w:pStyle w:val="Heading3"/>
        <w:rPr>
          <w:noProof/>
          <w:lang w:val="de-DE"/>
        </w:rPr>
      </w:pPr>
      <w:r w:rsidRPr="009C40FE">
        <w:rPr>
          <w:noProof/>
          <w:lang w:val="de-DE"/>
        </w:rPr>
        <w:t xml:space="preserve">Ergebnisse der </w:t>
      </w:r>
      <w:r w:rsidR="008177D7" w:rsidRPr="009C40FE">
        <w:rPr>
          <w:noProof/>
          <w:lang w:val="de-DE"/>
        </w:rPr>
        <w:t>Befragung</w:t>
      </w:r>
    </w:p>
    <w:p w14:paraId="58D28E5B" w14:textId="77777777" w:rsidR="00346604" w:rsidRPr="00014BA6" w:rsidRDefault="00346604" w:rsidP="00D14394"/>
    <w:p w14:paraId="58D28E5C" w14:textId="48032198" w:rsidR="00D14394" w:rsidRPr="00014BA6" w:rsidRDefault="00F251E0" w:rsidP="00D14394">
      <w:r w:rsidRPr="00014BA6">
        <w:fldChar w:fldCharType="begin"/>
      </w:r>
      <w:r w:rsidRPr="00014BA6">
        <w:instrText xml:space="preserve"> AUTONUM  </w:instrText>
      </w:r>
      <w:r w:rsidRPr="00014BA6">
        <w:fldChar w:fldCharType="end"/>
      </w:r>
      <w:r w:rsidRPr="00014BA6">
        <w:tab/>
      </w:r>
      <w:r w:rsidR="00AF051F" w:rsidRPr="00014BA6">
        <w:t>Das UPOV-Büro konsultierte die OECD-Saatgutsysteme bezüglich der Organisation der Befragung und möglicher nächster Schritte</w:t>
      </w:r>
      <w:r w:rsidR="00923D81" w:rsidRPr="00014BA6">
        <w:t>.</w:t>
      </w:r>
    </w:p>
    <w:p w14:paraId="58D28E5D" w14:textId="77777777" w:rsidR="00D14394" w:rsidRPr="00014BA6" w:rsidRDefault="00D14394" w:rsidP="00D14394"/>
    <w:p w14:paraId="58D28E5E" w14:textId="7B4B792C" w:rsidR="00923D81" w:rsidRPr="00014BA6" w:rsidRDefault="00923D81" w:rsidP="00923D81">
      <w:r w:rsidRPr="00014BA6">
        <w:fldChar w:fldCharType="begin"/>
      </w:r>
      <w:r w:rsidRPr="00014BA6">
        <w:instrText xml:space="preserve"> AUTONUM  </w:instrText>
      </w:r>
      <w:r w:rsidRPr="00014BA6">
        <w:fldChar w:fldCharType="end"/>
      </w:r>
      <w:r w:rsidRPr="00014BA6">
        <w:tab/>
      </w:r>
      <w:r w:rsidR="0089651C" w:rsidRPr="00014BA6">
        <w:t>Nach Rücksprache mit der OECD gab das Verbandsbüro am 16. O</w:t>
      </w:r>
      <w:r w:rsidR="00CF47B8">
        <w:t>ktober 2020 das Rundschreiben E</w:t>
      </w:r>
      <w:r w:rsidR="00CF47B8">
        <w:noBreakHyphen/>
      </w:r>
      <w:r w:rsidR="0089651C" w:rsidRPr="00014BA6">
        <w:t>20/189 heraus, in dem Mitglieder ersucht wurden, bis zum 15. Dezember 2020 eine Befragung zur Verwendung molekularer Markerverfahren durchzuführen</w:t>
      </w:r>
      <w:r w:rsidRPr="00014BA6">
        <w:t>.</w:t>
      </w:r>
      <w:r w:rsidR="000817C9" w:rsidRPr="00014BA6">
        <w:t xml:space="preserve"> </w:t>
      </w:r>
    </w:p>
    <w:p w14:paraId="58D28E5F" w14:textId="77777777" w:rsidR="00923D81" w:rsidRPr="00014BA6" w:rsidRDefault="00923D81" w:rsidP="00923D81"/>
    <w:p w14:paraId="58D28E60" w14:textId="6D1AFD60" w:rsidR="00923D81" w:rsidRPr="00014BA6" w:rsidRDefault="00923D81" w:rsidP="00923D81">
      <w:r w:rsidRPr="00014BA6">
        <w:fldChar w:fldCharType="begin"/>
      </w:r>
      <w:r w:rsidRPr="00014BA6">
        <w:instrText xml:space="preserve"> AUTONUM  </w:instrText>
      </w:r>
      <w:r w:rsidRPr="00014BA6">
        <w:fldChar w:fldCharType="end"/>
      </w:r>
      <w:r w:rsidRPr="00014BA6">
        <w:tab/>
      </w:r>
      <w:r w:rsidR="002B642C" w:rsidRPr="00014BA6">
        <w:t>In Beantwortung des Rundschreibens E-20/189 stellten die folgenden 23 Verbandsmitglieder Informationen über die Verwendung molekularer Markerverfahren bereit</w:t>
      </w:r>
      <w:r w:rsidRPr="00014BA6">
        <w:t>:</w:t>
      </w:r>
    </w:p>
    <w:p w14:paraId="58D28E61" w14:textId="77777777" w:rsidR="00923D81" w:rsidRPr="00014BA6" w:rsidRDefault="00923D81" w:rsidP="00923D81"/>
    <w:tbl>
      <w:tblPr>
        <w:tblStyle w:val="TableGrid"/>
        <w:tblW w:w="0" w:type="auto"/>
        <w:tblLook w:val="04A0" w:firstRow="1" w:lastRow="0" w:firstColumn="1" w:lastColumn="0" w:noHBand="0" w:noVBand="1"/>
      </w:tblPr>
      <w:tblGrid>
        <w:gridCol w:w="4814"/>
        <w:gridCol w:w="4815"/>
      </w:tblGrid>
      <w:tr w:rsidR="00144509" w:rsidRPr="00014BA6" w14:paraId="58D28E64" w14:textId="77777777" w:rsidTr="007C231A">
        <w:tc>
          <w:tcPr>
            <w:tcW w:w="4814" w:type="dxa"/>
          </w:tcPr>
          <w:p w14:paraId="58D28E62" w14:textId="5C22A850" w:rsidR="00144509" w:rsidRPr="00014BA6" w:rsidRDefault="00144509" w:rsidP="00144509">
            <w:pPr>
              <w:rPr>
                <w:sz w:val="20"/>
                <w:szCs w:val="20"/>
              </w:rPr>
            </w:pPr>
            <w:r w:rsidRPr="00014BA6">
              <w:rPr>
                <w:sz w:val="20"/>
                <w:szCs w:val="20"/>
              </w:rPr>
              <w:t>Australien</w:t>
            </w:r>
          </w:p>
        </w:tc>
        <w:tc>
          <w:tcPr>
            <w:tcW w:w="4815" w:type="dxa"/>
          </w:tcPr>
          <w:p w14:paraId="58D28E63" w14:textId="6CFF9E7F" w:rsidR="00144509" w:rsidRPr="00014BA6" w:rsidRDefault="00144509" w:rsidP="00144509">
            <w:pPr>
              <w:rPr>
                <w:sz w:val="20"/>
                <w:szCs w:val="20"/>
              </w:rPr>
            </w:pPr>
            <w:r w:rsidRPr="00014BA6">
              <w:rPr>
                <w:sz w:val="20"/>
                <w:szCs w:val="20"/>
              </w:rPr>
              <w:t>Mexiko</w:t>
            </w:r>
          </w:p>
        </w:tc>
      </w:tr>
      <w:tr w:rsidR="00144509" w:rsidRPr="00014BA6" w14:paraId="58D28E67" w14:textId="77777777" w:rsidTr="007C231A">
        <w:tc>
          <w:tcPr>
            <w:tcW w:w="4814" w:type="dxa"/>
          </w:tcPr>
          <w:p w14:paraId="58D28E65" w14:textId="60D38490" w:rsidR="00144509" w:rsidRPr="00014BA6" w:rsidRDefault="00144509" w:rsidP="00144509">
            <w:pPr>
              <w:rPr>
                <w:sz w:val="20"/>
                <w:szCs w:val="20"/>
              </w:rPr>
            </w:pPr>
            <w:r w:rsidRPr="00014BA6">
              <w:rPr>
                <w:sz w:val="20"/>
                <w:szCs w:val="20"/>
              </w:rPr>
              <w:t>Belgien</w:t>
            </w:r>
          </w:p>
        </w:tc>
        <w:tc>
          <w:tcPr>
            <w:tcW w:w="4815" w:type="dxa"/>
          </w:tcPr>
          <w:p w14:paraId="58D28E66" w14:textId="4182B4E5" w:rsidR="00144509" w:rsidRPr="00014BA6" w:rsidRDefault="00144509" w:rsidP="00144509">
            <w:pPr>
              <w:rPr>
                <w:sz w:val="20"/>
                <w:szCs w:val="20"/>
              </w:rPr>
            </w:pPr>
            <w:r w:rsidRPr="00014BA6">
              <w:rPr>
                <w:sz w:val="20"/>
                <w:szCs w:val="20"/>
              </w:rPr>
              <w:t>Niederlande</w:t>
            </w:r>
          </w:p>
        </w:tc>
      </w:tr>
      <w:tr w:rsidR="00144509" w:rsidRPr="00014BA6" w14:paraId="58D28E6A" w14:textId="77777777" w:rsidTr="007C231A">
        <w:tc>
          <w:tcPr>
            <w:tcW w:w="4814" w:type="dxa"/>
          </w:tcPr>
          <w:p w14:paraId="58D28E68" w14:textId="360D57F8" w:rsidR="00144509" w:rsidRPr="00014BA6" w:rsidRDefault="00144509" w:rsidP="00144509">
            <w:pPr>
              <w:rPr>
                <w:sz w:val="20"/>
                <w:szCs w:val="20"/>
              </w:rPr>
            </w:pPr>
            <w:r w:rsidRPr="00014BA6">
              <w:rPr>
                <w:sz w:val="20"/>
                <w:szCs w:val="20"/>
              </w:rPr>
              <w:t>Brasilien</w:t>
            </w:r>
          </w:p>
        </w:tc>
        <w:tc>
          <w:tcPr>
            <w:tcW w:w="4815" w:type="dxa"/>
          </w:tcPr>
          <w:p w14:paraId="58D28E69" w14:textId="178B5627" w:rsidR="00144509" w:rsidRPr="00014BA6" w:rsidRDefault="00144509" w:rsidP="00144509">
            <w:pPr>
              <w:rPr>
                <w:sz w:val="20"/>
                <w:szCs w:val="20"/>
              </w:rPr>
            </w:pPr>
            <w:r w:rsidRPr="00014BA6">
              <w:rPr>
                <w:sz w:val="20"/>
                <w:szCs w:val="20"/>
              </w:rPr>
              <w:t>Norwegen</w:t>
            </w:r>
          </w:p>
        </w:tc>
      </w:tr>
      <w:tr w:rsidR="00144509" w:rsidRPr="00014BA6" w14:paraId="58D28E6D" w14:textId="77777777" w:rsidTr="007C231A">
        <w:tc>
          <w:tcPr>
            <w:tcW w:w="4814" w:type="dxa"/>
          </w:tcPr>
          <w:p w14:paraId="58D28E6B" w14:textId="35E176B1" w:rsidR="00144509" w:rsidRPr="00014BA6" w:rsidRDefault="00144509" w:rsidP="00144509">
            <w:pPr>
              <w:rPr>
                <w:sz w:val="20"/>
                <w:szCs w:val="20"/>
              </w:rPr>
            </w:pPr>
            <w:r w:rsidRPr="00014BA6">
              <w:rPr>
                <w:sz w:val="20"/>
                <w:szCs w:val="20"/>
              </w:rPr>
              <w:t>China</w:t>
            </w:r>
          </w:p>
        </w:tc>
        <w:tc>
          <w:tcPr>
            <w:tcW w:w="4815" w:type="dxa"/>
          </w:tcPr>
          <w:p w14:paraId="58D28E6C" w14:textId="1CFA5A4C" w:rsidR="00144509" w:rsidRPr="00014BA6" w:rsidRDefault="00144509" w:rsidP="00144509">
            <w:pPr>
              <w:rPr>
                <w:sz w:val="20"/>
                <w:szCs w:val="20"/>
              </w:rPr>
            </w:pPr>
            <w:r w:rsidRPr="00014BA6">
              <w:rPr>
                <w:sz w:val="20"/>
                <w:szCs w:val="20"/>
              </w:rPr>
              <w:t>Panama</w:t>
            </w:r>
          </w:p>
        </w:tc>
      </w:tr>
      <w:tr w:rsidR="00144509" w:rsidRPr="00014BA6" w14:paraId="58D28E70" w14:textId="77777777" w:rsidTr="007C231A">
        <w:tc>
          <w:tcPr>
            <w:tcW w:w="4814" w:type="dxa"/>
          </w:tcPr>
          <w:p w14:paraId="58D28E6E" w14:textId="40EF8628" w:rsidR="00144509" w:rsidRPr="00014BA6" w:rsidRDefault="00144509" w:rsidP="00144509">
            <w:pPr>
              <w:rPr>
                <w:sz w:val="20"/>
                <w:szCs w:val="20"/>
              </w:rPr>
            </w:pPr>
            <w:r w:rsidRPr="00014BA6">
              <w:rPr>
                <w:sz w:val="20"/>
                <w:szCs w:val="20"/>
              </w:rPr>
              <w:t>Deutschland</w:t>
            </w:r>
          </w:p>
        </w:tc>
        <w:tc>
          <w:tcPr>
            <w:tcW w:w="4815" w:type="dxa"/>
          </w:tcPr>
          <w:p w14:paraId="58D28E6F" w14:textId="085DE38F" w:rsidR="00144509" w:rsidRPr="00014BA6" w:rsidRDefault="00144509" w:rsidP="00144509">
            <w:pPr>
              <w:rPr>
                <w:sz w:val="20"/>
                <w:szCs w:val="20"/>
              </w:rPr>
            </w:pPr>
            <w:r w:rsidRPr="00014BA6">
              <w:rPr>
                <w:sz w:val="20"/>
                <w:szCs w:val="20"/>
              </w:rPr>
              <w:t>Rumänien</w:t>
            </w:r>
          </w:p>
        </w:tc>
      </w:tr>
      <w:tr w:rsidR="00144509" w:rsidRPr="00014BA6" w14:paraId="58D28E73" w14:textId="77777777" w:rsidTr="007C231A">
        <w:tc>
          <w:tcPr>
            <w:tcW w:w="4814" w:type="dxa"/>
          </w:tcPr>
          <w:p w14:paraId="58D28E71" w14:textId="475B37E6" w:rsidR="00144509" w:rsidRPr="00014BA6" w:rsidRDefault="00144509" w:rsidP="00144509">
            <w:pPr>
              <w:rPr>
                <w:sz w:val="20"/>
                <w:szCs w:val="20"/>
              </w:rPr>
            </w:pPr>
            <w:r w:rsidRPr="00014BA6">
              <w:rPr>
                <w:sz w:val="20"/>
                <w:szCs w:val="20"/>
              </w:rPr>
              <w:t>Estland</w:t>
            </w:r>
          </w:p>
        </w:tc>
        <w:tc>
          <w:tcPr>
            <w:tcW w:w="4815" w:type="dxa"/>
          </w:tcPr>
          <w:p w14:paraId="58D28E72" w14:textId="67C53949" w:rsidR="00144509" w:rsidRPr="00014BA6" w:rsidRDefault="00144509" w:rsidP="00144509">
            <w:pPr>
              <w:rPr>
                <w:sz w:val="20"/>
                <w:szCs w:val="20"/>
              </w:rPr>
            </w:pPr>
            <w:r w:rsidRPr="00014BA6">
              <w:rPr>
                <w:sz w:val="20"/>
                <w:szCs w:val="20"/>
              </w:rPr>
              <w:t>Slowakei</w:t>
            </w:r>
          </w:p>
        </w:tc>
      </w:tr>
      <w:tr w:rsidR="00144509" w:rsidRPr="00014BA6" w14:paraId="58D28E76" w14:textId="77777777" w:rsidTr="007C231A">
        <w:tc>
          <w:tcPr>
            <w:tcW w:w="4814" w:type="dxa"/>
          </w:tcPr>
          <w:p w14:paraId="58D28E74" w14:textId="18F70396" w:rsidR="00144509" w:rsidRPr="00014BA6" w:rsidRDefault="00144509" w:rsidP="00144509">
            <w:pPr>
              <w:rPr>
                <w:sz w:val="20"/>
                <w:szCs w:val="20"/>
              </w:rPr>
            </w:pPr>
            <w:r w:rsidRPr="00014BA6">
              <w:rPr>
                <w:sz w:val="20"/>
                <w:szCs w:val="20"/>
              </w:rPr>
              <w:t>Europäische Union</w:t>
            </w:r>
          </w:p>
        </w:tc>
        <w:tc>
          <w:tcPr>
            <w:tcW w:w="4815" w:type="dxa"/>
          </w:tcPr>
          <w:p w14:paraId="58D28E75" w14:textId="639ED1F6" w:rsidR="00144509" w:rsidRPr="00014BA6" w:rsidRDefault="00144509" w:rsidP="00144509">
            <w:pPr>
              <w:rPr>
                <w:sz w:val="20"/>
                <w:szCs w:val="20"/>
              </w:rPr>
            </w:pPr>
            <w:r w:rsidRPr="00014BA6">
              <w:rPr>
                <w:sz w:val="20"/>
                <w:szCs w:val="20"/>
              </w:rPr>
              <w:t>Spanien</w:t>
            </w:r>
          </w:p>
        </w:tc>
      </w:tr>
      <w:tr w:rsidR="00144509" w:rsidRPr="00014BA6" w14:paraId="58D28E79" w14:textId="77777777" w:rsidTr="007C231A">
        <w:tc>
          <w:tcPr>
            <w:tcW w:w="4814" w:type="dxa"/>
          </w:tcPr>
          <w:p w14:paraId="58D28E77" w14:textId="48FC00FF" w:rsidR="00144509" w:rsidRPr="00014BA6" w:rsidRDefault="00144509" w:rsidP="00144509">
            <w:pPr>
              <w:rPr>
                <w:sz w:val="20"/>
                <w:szCs w:val="20"/>
              </w:rPr>
            </w:pPr>
            <w:r w:rsidRPr="00014BA6">
              <w:rPr>
                <w:sz w:val="20"/>
                <w:szCs w:val="20"/>
              </w:rPr>
              <w:t>Frankreich</w:t>
            </w:r>
          </w:p>
        </w:tc>
        <w:tc>
          <w:tcPr>
            <w:tcW w:w="4815" w:type="dxa"/>
          </w:tcPr>
          <w:p w14:paraId="58D28E78" w14:textId="6C047D30" w:rsidR="00144509" w:rsidRPr="00014BA6" w:rsidRDefault="00144509" w:rsidP="00144509">
            <w:pPr>
              <w:rPr>
                <w:sz w:val="20"/>
                <w:szCs w:val="20"/>
              </w:rPr>
            </w:pPr>
            <w:r w:rsidRPr="00014BA6">
              <w:rPr>
                <w:sz w:val="20"/>
                <w:szCs w:val="20"/>
              </w:rPr>
              <w:t>Tschechische Republik</w:t>
            </w:r>
          </w:p>
        </w:tc>
      </w:tr>
      <w:tr w:rsidR="00144509" w:rsidRPr="00014BA6" w14:paraId="58D28E7C" w14:textId="77777777" w:rsidTr="007C231A">
        <w:tc>
          <w:tcPr>
            <w:tcW w:w="4814" w:type="dxa"/>
          </w:tcPr>
          <w:p w14:paraId="58D28E7A" w14:textId="4FD8E20E" w:rsidR="00144509" w:rsidRPr="00014BA6" w:rsidRDefault="00144509" w:rsidP="00144509">
            <w:pPr>
              <w:rPr>
                <w:sz w:val="20"/>
                <w:szCs w:val="20"/>
              </w:rPr>
            </w:pPr>
            <w:r w:rsidRPr="00014BA6">
              <w:rPr>
                <w:sz w:val="20"/>
                <w:szCs w:val="20"/>
              </w:rPr>
              <w:t>Israel</w:t>
            </w:r>
          </w:p>
        </w:tc>
        <w:tc>
          <w:tcPr>
            <w:tcW w:w="4815" w:type="dxa"/>
          </w:tcPr>
          <w:p w14:paraId="58D28E7B" w14:textId="18CFC4B1" w:rsidR="00144509" w:rsidRPr="00014BA6" w:rsidRDefault="00144509" w:rsidP="00144509">
            <w:pPr>
              <w:rPr>
                <w:sz w:val="20"/>
                <w:szCs w:val="20"/>
              </w:rPr>
            </w:pPr>
            <w:r w:rsidRPr="00014BA6">
              <w:rPr>
                <w:sz w:val="20"/>
                <w:szCs w:val="20"/>
              </w:rPr>
              <w:t>Ukraine</w:t>
            </w:r>
          </w:p>
        </w:tc>
      </w:tr>
      <w:tr w:rsidR="00144509" w:rsidRPr="00014BA6" w14:paraId="58D28E7F" w14:textId="77777777" w:rsidTr="007C231A">
        <w:tc>
          <w:tcPr>
            <w:tcW w:w="4814" w:type="dxa"/>
          </w:tcPr>
          <w:p w14:paraId="58D28E7D" w14:textId="6A33093B" w:rsidR="00144509" w:rsidRPr="00014BA6" w:rsidRDefault="00144509" w:rsidP="00144509">
            <w:pPr>
              <w:rPr>
                <w:sz w:val="20"/>
                <w:szCs w:val="20"/>
              </w:rPr>
            </w:pPr>
            <w:r w:rsidRPr="00014BA6">
              <w:rPr>
                <w:sz w:val="20"/>
                <w:szCs w:val="20"/>
              </w:rPr>
              <w:t>Japan</w:t>
            </w:r>
          </w:p>
        </w:tc>
        <w:tc>
          <w:tcPr>
            <w:tcW w:w="4815" w:type="dxa"/>
          </w:tcPr>
          <w:p w14:paraId="58D28E7E" w14:textId="76D7E955" w:rsidR="00144509" w:rsidRPr="00014BA6" w:rsidRDefault="00144509" w:rsidP="00144509">
            <w:pPr>
              <w:rPr>
                <w:sz w:val="20"/>
                <w:szCs w:val="20"/>
              </w:rPr>
            </w:pPr>
            <w:r w:rsidRPr="00014BA6">
              <w:rPr>
                <w:sz w:val="20"/>
                <w:szCs w:val="20"/>
              </w:rPr>
              <w:t>Vereinigtes Königreich</w:t>
            </w:r>
          </w:p>
        </w:tc>
      </w:tr>
      <w:tr w:rsidR="00144509" w:rsidRPr="00014BA6" w14:paraId="58D28E82" w14:textId="77777777" w:rsidTr="007C231A">
        <w:tc>
          <w:tcPr>
            <w:tcW w:w="4814" w:type="dxa"/>
          </w:tcPr>
          <w:p w14:paraId="58D28E80" w14:textId="5147E54B" w:rsidR="00144509" w:rsidRPr="00014BA6" w:rsidRDefault="00144509" w:rsidP="00144509">
            <w:pPr>
              <w:rPr>
                <w:sz w:val="20"/>
                <w:szCs w:val="20"/>
              </w:rPr>
            </w:pPr>
            <w:r w:rsidRPr="00014BA6">
              <w:rPr>
                <w:sz w:val="20"/>
                <w:szCs w:val="20"/>
              </w:rPr>
              <w:t>Jordanien</w:t>
            </w:r>
          </w:p>
        </w:tc>
        <w:tc>
          <w:tcPr>
            <w:tcW w:w="4815" w:type="dxa"/>
          </w:tcPr>
          <w:p w14:paraId="58D28E81" w14:textId="4517B8AD" w:rsidR="00144509" w:rsidRPr="00014BA6" w:rsidRDefault="00144509" w:rsidP="00144509">
            <w:pPr>
              <w:rPr>
                <w:sz w:val="20"/>
                <w:szCs w:val="20"/>
              </w:rPr>
            </w:pPr>
            <w:r w:rsidRPr="00014BA6">
              <w:rPr>
                <w:sz w:val="20"/>
                <w:szCs w:val="20"/>
              </w:rPr>
              <w:t>Vereinigte Staaten von Amerika</w:t>
            </w:r>
          </w:p>
        </w:tc>
      </w:tr>
      <w:tr w:rsidR="00144509" w:rsidRPr="00014BA6" w14:paraId="58D28E85" w14:textId="77777777" w:rsidTr="007C231A">
        <w:tc>
          <w:tcPr>
            <w:tcW w:w="4814" w:type="dxa"/>
          </w:tcPr>
          <w:p w14:paraId="58D28E83" w14:textId="42D3C639" w:rsidR="00144509" w:rsidRPr="00014BA6" w:rsidRDefault="00144509" w:rsidP="00144509">
            <w:pPr>
              <w:rPr>
                <w:sz w:val="20"/>
                <w:szCs w:val="20"/>
              </w:rPr>
            </w:pPr>
            <w:r w:rsidRPr="00014BA6">
              <w:rPr>
                <w:sz w:val="20"/>
                <w:szCs w:val="20"/>
              </w:rPr>
              <w:t>Litauen</w:t>
            </w:r>
          </w:p>
        </w:tc>
        <w:tc>
          <w:tcPr>
            <w:tcW w:w="4815" w:type="dxa"/>
          </w:tcPr>
          <w:p w14:paraId="58D28E84" w14:textId="77777777" w:rsidR="00144509" w:rsidRPr="00014BA6" w:rsidRDefault="00144509" w:rsidP="00144509">
            <w:pPr>
              <w:rPr>
                <w:sz w:val="20"/>
                <w:szCs w:val="20"/>
              </w:rPr>
            </w:pPr>
          </w:p>
        </w:tc>
      </w:tr>
    </w:tbl>
    <w:p w14:paraId="58D28E86" w14:textId="77777777" w:rsidR="00923D81" w:rsidRPr="00014BA6" w:rsidRDefault="00923D81" w:rsidP="00923D81"/>
    <w:p w14:paraId="3C5224F8" w14:textId="254EA4C0" w:rsidR="000F19E0" w:rsidRDefault="00923D81" w:rsidP="000F19E0">
      <w:r w:rsidRPr="00014BA6">
        <w:lastRenderedPageBreak/>
        <w:fldChar w:fldCharType="begin"/>
      </w:r>
      <w:r w:rsidRPr="00014BA6">
        <w:instrText xml:space="preserve"> AUTONUM  </w:instrText>
      </w:r>
      <w:r w:rsidRPr="00014BA6">
        <w:fldChar w:fldCharType="end"/>
      </w:r>
      <w:r w:rsidRPr="00014BA6">
        <w:tab/>
      </w:r>
      <w:r w:rsidR="000F19E0" w:rsidRPr="00014BA6">
        <w:t xml:space="preserve">Die Ergebnisse der Befragung sind in Anlage I des Dokuments TC/57/8 </w:t>
      </w:r>
      <w:r w:rsidR="00EF0C97" w:rsidRPr="00014BA6">
        <w:t>dargelegt</w:t>
      </w:r>
      <w:r w:rsidR="000F19E0" w:rsidRPr="00014BA6">
        <w:t>, wie in Anlage II dieses Dokuments wiedergegeben</w:t>
      </w:r>
      <w:r w:rsidR="000F19E0">
        <w:t>.</w:t>
      </w:r>
      <w:r w:rsidR="000817C9">
        <w:t xml:space="preserve"> </w:t>
      </w:r>
    </w:p>
    <w:p w14:paraId="366104C1" w14:textId="77777777" w:rsidR="000F19E0" w:rsidRDefault="000F19E0" w:rsidP="000F19E0"/>
    <w:p w14:paraId="43001E9B" w14:textId="192DC512" w:rsidR="000F19E0" w:rsidRPr="002C0FD9" w:rsidRDefault="005B089C" w:rsidP="000F19E0">
      <w:r w:rsidRPr="002C0FD9">
        <w:fldChar w:fldCharType="begin"/>
      </w:r>
      <w:r w:rsidRPr="002C0FD9">
        <w:instrText xml:space="preserve"> AUTONUM  </w:instrText>
      </w:r>
      <w:r w:rsidRPr="002C0FD9">
        <w:fldChar w:fldCharType="end"/>
      </w:r>
      <w:r w:rsidRPr="002C0FD9">
        <w:tab/>
      </w:r>
      <w:r w:rsidR="000F19E0" w:rsidRPr="002C0FD9">
        <w:t xml:space="preserve">Der TC wird auf seiner siebenundfünfzigsten Tagung im Jahr 2021 ersucht werden, das Verbandsbüro zu ersuchen, die OECD über das Ergebnis der </w:t>
      </w:r>
      <w:r w:rsidR="00A8311B" w:rsidRPr="002C0FD9">
        <w:t>Befragung</w:t>
      </w:r>
      <w:r w:rsidR="000F19E0" w:rsidRPr="002C0FD9">
        <w:t xml:space="preserve"> zu </w:t>
      </w:r>
      <w:r w:rsidR="00EE68C2" w:rsidRPr="002C0FD9">
        <w:t>unterrichten</w:t>
      </w:r>
      <w:r w:rsidR="000F19E0" w:rsidRPr="002C0FD9">
        <w:t xml:space="preserve"> und dem TC auf seiner achtundfünfzigsten Tagung über die Entwicklungen zu berichten. </w:t>
      </w:r>
    </w:p>
    <w:p w14:paraId="76A2E683" w14:textId="77777777" w:rsidR="000F19E0" w:rsidRPr="002C0FD9" w:rsidRDefault="000F19E0" w:rsidP="000F19E0"/>
    <w:p w14:paraId="58D28E8B" w14:textId="53CB3BC5" w:rsidR="000A1F3B" w:rsidRPr="002C0FD9" w:rsidRDefault="000B2CE0" w:rsidP="000F19E0">
      <w:r w:rsidRPr="002C0FD9">
        <w:fldChar w:fldCharType="begin"/>
      </w:r>
      <w:r w:rsidRPr="002C0FD9">
        <w:instrText xml:space="preserve"> AUTONUM  </w:instrText>
      </w:r>
      <w:r w:rsidRPr="002C0FD9">
        <w:fldChar w:fldCharType="end"/>
      </w:r>
      <w:r w:rsidR="000F19E0" w:rsidRPr="002C0FD9">
        <w:tab/>
        <w:t xml:space="preserve">Der TC wird ersucht werden, die in Beantwortung des Rundschreibens E-21/122 vom 23. August 2021 zu Dokument TC/57/8 </w:t>
      </w:r>
      <w:r w:rsidR="00F90A24" w:rsidRPr="002C0FD9">
        <w:t>„</w:t>
      </w:r>
      <w:r w:rsidR="000F19E0" w:rsidRPr="002C0FD9">
        <w:t>Molekulare Verfahren</w:t>
      </w:r>
      <w:r w:rsidR="00F90A24" w:rsidRPr="002C0FD9">
        <w:t>“</w:t>
      </w:r>
      <w:r w:rsidR="000F19E0" w:rsidRPr="002C0FD9">
        <w:t xml:space="preserve"> eingegangenen Bemerkungen zur Kenntnis zu nehmen, die nicht zu einer Überarbeitung der Dokumente geführt haben (</w:t>
      </w:r>
      <w:r w:rsidR="00E510F9">
        <w:t>vergleiche</w:t>
      </w:r>
      <w:r w:rsidR="00E510F9" w:rsidRPr="002C0FD9">
        <w:t xml:space="preserve"> </w:t>
      </w:r>
      <w:r w:rsidR="000F19E0" w:rsidRPr="002C0FD9">
        <w:t xml:space="preserve">Dokument TC/57/14 </w:t>
      </w:r>
      <w:r w:rsidR="00E510F9">
        <w:t>„</w:t>
      </w:r>
      <w:r w:rsidR="000F19E0" w:rsidRPr="002C0FD9">
        <w:t>Ergebnis der Prüfung von Dokumenten auf dem Schriftweg</w:t>
      </w:r>
      <w:r w:rsidR="00E510F9">
        <w:t>“</w:t>
      </w:r>
      <w:r w:rsidR="000F19E0" w:rsidRPr="002C0FD9">
        <w:t>, Absatz 25</w:t>
      </w:r>
      <w:r w:rsidR="00E81852" w:rsidRPr="002C0FD9">
        <w:t>).</w:t>
      </w:r>
    </w:p>
    <w:p w14:paraId="58D28E8C" w14:textId="4C6050C5" w:rsidR="00733267" w:rsidRDefault="00733267" w:rsidP="00733267"/>
    <w:p w14:paraId="2607776D" w14:textId="77777777" w:rsidR="00CF47B8" w:rsidRPr="002C0FD9" w:rsidRDefault="00CF47B8" w:rsidP="00733267"/>
    <w:p w14:paraId="58D28E8D" w14:textId="1EAC4CD3" w:rsidR="00733267" w:rsidRPr="002212B0" w:rsidRDefault="00105EAC" w:rsidP="00382EFF">
      <w:pPr>
        <w:pStyle w:val="Heading2"/>
        <w:rPr>
          <w:rFonts w:eastAsiaTheme="minorEastAsia"/>
          <w:noProof/>
          <w:lang w:val="de-DE"/>
        </w:rPr>
      </w:pPr>
      <w:bookmarkStart w:id="26" w:name="_Toc85924907"/>
      <w:r w:rsidRPr="002212B0">
        <w:rPr>
          <w:rFonts w:eastAsiaTheme="minorEastAsia"/>
          <w:noProof/>
          <w:lang w:val="de-DE"/>
        </w:rPr>
        <w:t>Listen möglicher gemeinsamer Initiativen mit der OECD und der ISTA hinsichtlich molekularer Verfahren</w:t>
      </w:r>
      <w:bookmarkEnd w:id="26"/>
    </w:p>
    <w:p w14:paraId="58D28E8E" w14:textId="77777777" w:rsidR="00733267" w:rsidRPr="002C0FD9" w:rsidRDefault="00733267" w:rsidP="00733267">
      <w:pPr>
        <w:keepNext/>
      </w:pPr>
    </w:p>
    <w:p w14:paraId="58D28E8F" w14:textId="16F1E5F9" w:rsidR="00733267" w:rsidRPr="002212B0" w:rsidRDefault="00D66782" w:rsidP="00382EFF">
      <w:pPr>
        <w:pStyle w:val="Heading3"/>
        <w:rPr>
          <w:noProof/>
          <w:lang w:val="de-DE"/>
        </w:rPr>
      </w:pPr>
      <w:r w:rsidRPr="002212B0">
        <w:rPr>
          <w:noProof/>
          <w:lang w:val="de-DE"/>
        </w:rPr>
        <w:t>Hintergrund</w:t>
      </w:r>
    </w:p>
    <w:p w14:paraId="58D28E90" w14:textId="77777777" w:rsidR="00733267" w:rsidRPr="002C0FD9" w:rsidRDefault="00733267" w:rsidP="00733267">
      <w:pPr>
        <w:keepNext/>
      </w:pPr>
    </w:p>
    <w:p w14:paraId="58D28E91" w14:textId="0954F9E1" w:rsidR="00733267" w:rsidRPr="00160FAB" w:rsidRDefault="00D57F41" w:rsidP="00733267">
      <w:pPr>
        <w:keepNext/>
      </w:pPr>
      <w:r w:rsidRPr="002C0FD9">
        <w:fldChar w:fldCharType="begin"/>
      </w:r>
      <w:r w:rsidRPr="002C0FD9">
        <w:instrText xml:space="preserve"> AUTONUM  </w:instrText>
      </w:r>
      <w:r w:rsidRPr="002C0FD9">
        <w:fldChar w:fldCharType="end"/>
      </w:r>
      <w:r w:rsidR="00733267" w:rsidRPr="002C0FD9">
        <w:tab/>
      </w:r>
      <w:r w:rsidR="005B089C" w:rsidRPr="002C0FD9">
        <w:t>Die BMT prüfte auf ihrer achtzehnten Tagung</w:t>
      </w:r>
      <w:r w:rsidR="00E200DB" w:rsidRPr="002C0FD9">
        <w:rPr>
          <w:rStyle w:val="FootnoteReference"/>
          <w:rFonts w:eastAsiaTheme="minorEastAsia"/>
        </w:rPr>
        <w:footnoteReference w:id="3"/>
      </w:r>
      <w:r w:rsidR="005B089C" w:rsidRPr="002C0FD9">
        <w:t xml:space="preserve"> das Dokument BMT/18/4 </w:t>
      </w:r>
      <w:r w:rsidR="0041730B" w:rsidRPr="002C0FD9">
        <w:rPr>
          <w:i/>
          <w:iCs/>
        </w:rPr>
        <w:t>„</w:t>
      </w:r>
      <w:r w:rsidR="0041730B" w:rsidRPr="002C0FD9">
        <w:rPr>
          <w:rFonts w:eastAsiaTheme="minorEastAsia"/>
          <w:i/>
          <w:iCs/>
          <w:lang w:eastAsia="ja-JP"/>
        </w:rPr>
        <w:t>Cooperation between International Organizations“</w:t>
      </w:r>
      <w:r w:rsidR="0041730B" w:rsidRPr="002C0FD9">
        <w:t xml:space="preserve"> </w:t>
      </w:r>
      <w:r w:rsidR="005B089C" w:rsidRPr="002C0FD9">
        <w:t xml:space="preserve">und das </w:t>
      </w:r>
      <w:r w:rsidR="00E510F9">
        <w:t>Gesuch</w:t>
      </w:r>
      <w:r w:rsidR="00E510F9" w:rsidRPr="002C0FD9">
        <w:t xml:space="preserve"> </w:t>
      </w:r>
      <w:r w:rsidR="00CE51E4" w:rsidRPr="002C0FD9">
        <w:t xml:space="preserve">um Erstellung von </w:t>
      </w:r>
      <w:r w:rsidR="005B089C" w:rsidRPr="002C0FD9">
        <w:t xml:space="preserve">Listen möglicher gemeinsamer Initiativen mit der OECD und der ISTA </w:t>
      </w:r>
      <w:r w:rsidR="00904692" w:rsidRPr="002C0FD9">
        <w:t>hinsichtlich</w:t>
      </w:r>
      <w:r w:rsidR="005B089C" w:rsidRPr="002C0FD9">
        <w:t xml:space="preserve"> molekulare</w:t>
      </w:r>
      <w:r w:rsidR="00904692" w:rsidRPr="002C0FD9">
        <w:t>r</w:t>
      </w:r>
      <w:r w:rsidR="005B089C" w:rsidRPr="002C0FD9">
        <w:t xml:space="preserve"> Verfahren.</w:t>
      </w:r>
      <w:r w:rsidR="000817C9" w:rsidRPr="002C0FD9">
        <w:t xml:space="preserve"> </w:t>
      </w:r>
      <w:r w:rsidR="002A34EA" w:rsidRPr="002C0FD9">
        <w:t>Die BMT vereinbarte vorzuschlagen, gemeinsame Arbeitstagungen mit der ISTA und der OECD künftig zu wiederholen</w:t>
      </w:r>
      <w:r w:rsidR="005B089C" w:rsidRPr="002C0FD9">
        <w:t xml:space="preserve">. </w:t>
      </w:r>
      <w:r w:rsidR="00011C5E" w:rsidRPr="002C0FD9">
        <w:t>Die BMT vereinbarte, eine gemeinsame Initiative vorzuschlagen, bei der jede Organisation die anderen über die Verwendung molekularer Marker bei ihrer Arbeit informiert</w:t>
      </w:r>
      <w:r w:rsidR="005B089C" w:rsidRPr="002C0FD9">
        <w:t xml:space="preserve"> (vergleiche</w:t>
      </w:r>
      <w:r w:rsidR="005B089C" w:rsidRPr="005B089C">
        <w:t xml:space="preserve"> Dokument BMT/18/21 </w:t>
      </w:r>
      <w:r w:rsidR="00124251" w:rsidRPr="00124251">
        <w:rPr>
          <w:i/>
          <w:iCs/>
        </w:rPr>
        <w:t>„Report“</w:t>
      </w:r>
      <w:r w:rsidR="005B089C" w:rsidRPr="005B089C">
        <w:t>, Absatz 34)</w:t>
      </w:r>
      <w:r w:rsidR="00733267" w:rsidRPr="00160FAB">
        <w:t xml:space="preserve">. </w:t>
      </w:r>
    </w:p>
    <w:p w14:paraId="58D28E92" w14:textId="77777777" w:rsidR="00733267" w:rsidRPr="002212B0" w:rsidRDefault="00733267" w:rsidP="00382EFF">
      <w:pPr>
        <w:pStyle w:val="Heading3"/>
        <w:rPr>
          <w:rFonts w:eastAsiaTheme="minorEastAsia"/>
          <w:noProof/>
          <w:lang w:val="de-DE"/>
        </w:rPr>
      </w:pPr>
    </w:p>
    <w:p w14:paraId="58D28E93" w14:textId="6B28BBB5" w:rsidR="00733267" w:rsidRPr="00160FAB" w:rsidRDefault="00733267" w:rsidP="00733267">
      <w:pPr>
        <w:keepNext/>
      </w:pPr>
      <w:r w:rsidRPr="00160FAB">
        <w:fldChar w:fldCharType="begin"/>
      </w:r>
      <w:r w:rsidRPr="00160FAB">
        <w:instrText xml:space="preserve"> AUTONUM  </w:instrText>
      </w:r>
      <w:r w:rsidRPr="00160FAB">
        <w:fldChar w:fldCharType="end"/>
      </w:r>
      <w:r w:rsidRPr="00160FAB">
        <w:tab/>
      </w:r>
      <w:r w:rsidR="00352AC0" w:rsidRPr="00352AC0">
        <w:t>Der TC prüfte auf seiner fünfundfünfzigsten Tagung</w:t>
      </w:r>
      <w:r w:rsidR="00AD5B4D" w:rsidRPr="007E07ED">
        <w:rPr>
          <w:rStyle w:val="FootnoteReference"/>
          <w:rFonts w:eastAsiaTheme="minorEastAsia"/>
        </w:rPr>
        <w:footnoteReference w:id="4"/>
      </w:r>
      <w:r w:rsidR="00352AC0" w:rsidRPr="00352AC0">
        <w:t xml:space="preserve"> mögliche gemeinsame Initiativen mit der OECD und der ISTA </w:t>
      </w:r>
      <w:r w:rsidR="009657CC">
        <w:t>hinsichtlich</w:t>
      </w:r>
      <w:r w:rsidR="00DC3262">
        <w:t xml:space="preserve"> molekulare</w:t>
      </w:r>
      <w:r w:rsidR="009657CC">
        <w:t>r</w:t>
      </w:r>
      <w:r w:rsidR="00DC3262">
        <w:t xml:space="preserve"> Verfahren</w:t>
      </w:r>
      <w:r w:rsidR="00352AC0" w:rsidRPr="00352AC0">
        <w:t xml:space="preserve"> und </w:t>
      </w:r>
      <w:r w:rsidR="00CC559B" w:rsidRPr="00CC559B">
        <w:t>stimmte dem Vorschlag der BMT auf ihrer achtzehnten Tagung zu, gemeinsame Arbeitstagungen künftig zu wiederholen</w:t>
      </w:r>
      <w:r w:rsidR="00352AC0" w:rsidRPr="00352AC0">
        <w:t xml:space="preserve"> (vergleiche Dokument TC/55/25 </w:t>
      </w:r>
      <w:r w:rsidR="00BE6B94">
        <w:t>„</w:t>
      </w:r>
      <w:r w:rsidR="00352AC0" w:rsidRPr="00352AC0">
        <w:t>Bericht</w:t>
      </w:r>
      <w:r w:rsidR="00BE6B94">
        <w:t>“</w:t>
      </w:r>
      <w:r w:rsidR="00352AC0" w:rsidRPr="00352AC0">
        <w:t>, Absätze 189 bis 191)</w:t>
      </w:r>
      <w:r w:rsidRPr="00160FAB">
        <w:t>.</w:t>
      </w:r>
      <w:r w:rsidR="000817C9">
        <w:t xml:space="preserve"> </w:t>
      </w:r>
    </w:p>
    <w:p w14:paraId="58D28E94" w14:textId="77777777" w:rsidR="00733267" w:rsidRPr="00160FAB" w:rsidRDefault="00733267" w:rsidP="00733267">
      <w:pPr>
        <w:keepNext/>
      </w:pPr>
    </w:p>
    <w:p w14:paraId="58D28E95" w14:textId="0001AEF7" w:rsidR="00733267" w:rsidRPr="00160FAB" w:rsidRDefault="00733267" w:rsidP="00733267">
      <w:pPr>
        <w:keepNext/>
      </w:pPr>
      <w:r w:rsidRPr="00160FAB">
        <w:fldChar w:fldCharType="begin"/>
      </w:r>
      <w:r w:rsidRPr="00160FAB">
        <w:instrText xml:space="preserve"> AUTONUM  </w:instrText>
      </w:r>
      <w:r w:rsidRPr="00160FAB">
        <w:fldChar w:fldCharType="end"/>
      </w:r>
      <w:r w:rsidRPr="00160FAB">
        <w:tab/>
      </w:r>
      <w:r w:rsidR="007F31FF" w:rsidRPr="007F31FF">
        <w:t xml:space="preserve">Der TC </w:t>
      </w:r>
      <w:r w:rsidR="00EA66C9">
        <w:t>stimmte</w:t>
      </w:r>
      <w:r w:rsidR="007F31FF" w:rsidRPr="007F31FF">
        <w:t xml:space="preserve"> der BMT</w:t>
      </w:r>
      <w:r w:rsidR="00EA66C9">
        <w:t xml:space="preserve"> zu</w:t>
      </w:r>
      <w:r w:rsidR="007F31FF" w:rsidRPr="007F31FF">
        <w:t xml:space="preserve">, eine gemeinsame Initiative vorzuschlagen, </w:t>
      </w:r>
      <w:r w:rsidR="00CC559B" w:rsidRPr="00011C5E">
        <w:t>bei der jede Organisation die anderen über die Verwendung molekularer Marker bei ihrer Arbeit informiert</w:t>
      </w:r>
      <w:r w:rsidRPr="00160FAB">
        <w:rPr>
          <w:iCs/>
          <w:lang w:eastAsia="ja-JP"/>
        </w:rPr>
        <w:t>.</w:t>
      </w:r>
    </w:p>
    <w:p w14:paraId="58D28E96" w14:textId="77777777" w:rsidR="00733267" w:rsidRPr="00160FAB" w:rsidRDefault="00733267" w:rsidP="00733267"/>
    <w:p w14:paraId="58D28E97" w14:textId="00B77BE2" w:rsidR="00733267" w:rsidRPr="00160FAB" w:rsidRDefault="00733267" w:rsidP="00733267">
      <w:r w:rsidRPr="00160FAB">
        <w:fldChar w:fldCharType="begin"/>
      </w:r>
      <w:r w:rsidRPr="00160FAB">
        <w:instrText xml:space="preserve"> AUTONUM  </w:instrText>
      </w:r>
      <w:r w:rsidRPr="00160FAB">
        <w:fldChar w:fldCharType="end"/>
      </w:r>
      <w:r w:rsidRPr="00160FAB">
        <w:tab/>
      </w:r>
      <w:r w:rsidR="005D114E" w:rsidRPr="005D114E">
        <w:t xml:space="preserve">Der TC nahm zur Kenntnis, </w:t>
      </w:r>
      <w:r w:rsidR="0096147A">
        <w:t>dass</w:t>
      </w:r>
      <w:r w:rsidR="005D114E" w:rsidRPr="005D114E">
        <w:t xml:space="preserve"> es in der UPOV keine </w:t>
      </w:r>
      <w:r w:rsidR="007D4A88" w:rsidRPr="007D4A88">
        <w:t xml:space="preserve">Begriffsbestimmungen </w:t>
      </w:r>
      <w:r w:rsidR="005D114E" w:rsidRPr="005D114E">
        <w:t>für biochemische und molekulare Verfahren gebe.</w:t>
      </w:r>
      <w:r w:rsidR="000817C9">
        <w:t xml:space="preserve"> </w:t>
      </w:r>
      <w:r w:rsidR="005D114E" w:rsidRPr="005D114E">
        <w:t xml:space="preserve">Der TC vereinbarte, </w:t>
      </w:r>
      <w:r w:rsidR="0096147A">
        <w:t>dass</w:t>
      </w:r>
      <w:r w:rsidR="005D114E" w:rsidRPr="005D114E">
        <w:t xml:space="preserve"> Informationen aus der </w:t>
      </w:r>
      <w:r w:rsidR="008177D7">
        <w:t>Befragung</w:t>
      </w:r>
      <w:r w:rsidR="005D114E" w:rsidRPr="005D114E">
        <w:t xml:space="preserve"> </w:t>
      </w:r>
      <w:r w:rsidR="00F0013A">
        <w:t>zu den</w:t>
      </w:r>
      <w:r w:rsidR="005D114E" w:rsidRPr="005D114E">
        <w:t xml:space="preserve"> Verfahren </w:t>
      </w:r>
      <w:r w:rsidR="00587E43">
        <w:t>dazu</w:t>
      </w:r>
      <w:r w:rsidR="005D114E" w:rsidRPr="005D114E">
        <w:t xml:space="preserve"> beitragen könnten, </w:t>
      </w:r>
      <w:r w:rsidR="00212874" w:rsidRPr="00212874">
        <w:t>Verfahren zu klären, die als biochemisch oder molekular gelten</w:t>
      </w:r>
      <w:r w:rsidRPr="00160FAB">
        <w:t>.</w:t>
      </w:r>
      <w:r w:rsidR="000817C9">
        <w:t xml:space="preserve"> </w:t>
      </w:r>
    </w:p>
    <w:p w14:paraId="58D28E98" w14:textId="77777777" w:rsidR="00733267" w:rsidRPr="00160FAB" w:rsidRDefault="00733267" w:rsidP="00733267"/>
    <w:p w14:paraId="58D28E99" w14:textId="76FEBD21" w:rsidR="00733267" w:rsidRPr="00160FAB" w:rsidRDefault="00733267" w:rsidP="00733267">
      <w:r w:rsidRPr="00160FAB">
        <w:fldChar w:fldCharType="begin"/>
      </w:r>
      <w:r w:rsidRPr="00160FAB">
        <w:instrText xml:space="preserve"> AUTONUM  </w:instrText>
      </w:r>
      <w:r w:rsidRPr="00160FAB">
        <w:fldChar w:fldCharType="end"/>
      </w:r>
      <w:r w:rsidRPr="00160FAB">
        <w:tab/>
      </w:r>
      <w:r w:rsidR="005D114E" w:rsidRPr="005D114E">
        <w:t xml:space="preserve">Die folgenden gemeinsamen Arbeitstagungen </w:t>
      </w:r>
      <w:r w:rsidR="00587E43">
        <w:t xml:space="preserve">von </w:t>
      </w:r>
      <w:r w:rsidR="00587E43" w:rsidRPr="005D114E">
        <w:t>UPOV</w:t>
      </w:r>
      <w:r w:rsidR="00587E43">
        <w:t xml:space="preserve">, </w:t>
      </w:r>
      <w:r w:rsidR="00587E43" w:rsidRPr="005D114E">
        <w:t>OECD</w:t>
      </w:r>
      <w:r w:rsidR="00587E43">
        <w:t xml:space="preserve"> und </w:t>
      </w:r>
      <w:r w:rsidR="00587E43" w:rsidRPr="005D114E">
        <w:t>ISTA</w:t>
      </w:r>
      <w:r w:rsidR="00587E43">
        <w:t xml:space="preserve"> </w:t>
      </w:r>
      <w:r w:rsidR="005D114E" w:rsidRPr="005D114E">
        <w:t xml:space="preserve">über molekulare Verfahren wurden </w:t>
      </w:r>
      <w:r w:rsidR="00033CBB">
        <w:t>organisiert</w:t>
      </w:r>
      <w:r w:rsidRPr="00160FAB">
        <w:t>:</w:t>
      </w:r>
    </w:p>
    <w:p w14:paraId="58D28E9A" w14:textId="77777777" w:rsidR="00733267" w:rsidRPr="00160FAB" w:rsidRDefault="00733267" w:rsidP="00733267"/>
    <w:p w14:paraId="4BD8F427" w14:textId="3768B83F" w:rsidR="005D114E" w:rsidRDefault="00733267" w:rsidP="005D114E">
      <w:pPr>
        <w:tabs>
          <w:tab w:val="left" w:pos="1134"/>
        </w:tabs>
        <w:ind w:left="1134" w:hanging="567"/>
      </w:pPr>
      <w:r w:rsidRPr="00160FAB">
        <w:t>a)</w:t>
      </w:r>
      <w:r w:rsidRPr="00160FAB">
        <w:tab/>
      </w:r>
      <w:r w:rsidR="005D114E">
        <w:t xml:space="preserve">von der UPOV </w:t>
      </w:r>
      <w:r w:rsidR="00E2221C">
        <w:t xml:space="preserve">ausgerichtet </w:t>
      </w:r>
      <w:r w:rsidR="005D114E">
        <w:t xml:space="preserve">und </w:t>
      </w:r>
      <w:r w:rsidR="00A96840">
        <w:t xml:space="preserve">am 12. November 2014 </w:t>
      </w:r>
      <w:r w:rsidR="005D114E">
        <w:t>in Seoul, Republik Korea, in Verbindung mit der vierzehnten Tagung der BMT abgehalten;</w:t>
      </w:r>
    </w:p>
    <w:p w14:paraId="5D1B6BA9" w14:textId="47711144" w:rsidR="005D114E" w:rsidRDefault="005D114E" w:rsidP="005D114E">
      <w:pPr>
        <w:tabs>
          <w:tab w:val="left" w:pos="1134"/>
        </w:tabs>
        <w:ind w:left="1134" w:hanging="567"/>
      </w:pPr>
      <w:r>
        <w:t xml:space="preserve">b) </w:t>
      </w:r>
      <w:r>
        <w:tab/>
        <w:t xml:space="preserve">von der OECD </w:t>
      </w:r>
      <w:r w:rsidR="00721091">
        <w:t xml:space="preserve">ausgerichtet </w:t>
      </w:r>
      <w:r>
        <w:t>und am 8. Juni 2016 in Paris, Frankreich, vor der Jahrestagung der OECD-Saatgutsysteme abgehalten</w:t>
      </w:r>
    </w:p>
    <w:p w14:paraId="58D28E9D" w14:textId="755D39FC" w:rsidR="00733267" w:rsidRPr="00160FAB" w:rsidRDefault="005D114E" w:rsidP="005D114E">
      <w:pPr>
        <w:tabs>
          <w:tab w:val="left" w:pos="1134"/>
        </w:tabs>
        <w:ind w:left="1134" w:hanging="567"/>
      </w:pPr>
      <w:r>
        <w:t xml:space="preserve">c) </w:t>
      </w:r>
      <w:r>
        <w:tab/>
        <w:t xml:space="preserve">von der ISTA </w:t>
      </w:r>
      <w:r w:rsidR="00721091">
        <w:t xml:space="preserve">ausgerichtet </w:t>
      </w:r>
      <w:r>
        <w:t>und am 29. Juni 2019 in Hyderabad, Indien, in Verbindung mit dem ISTA-Kongress 2019 abgehalten</w:t>
      </w:r>
      <w:r w:rsidR="00733267" w:rsidRPr="00160FAB">
        <w:t>.</w:t>
      </w:r>
    </w:p>
    <w:p w14:paraId="58D28E9E" w14:textId="77777777" w:rsidR="00346604" w:rsidRPr="009C40FE" w:rsidRDefault="00346604" w:rsidP="00382EFF">
      <w:pPr>
        <w:pStyle w:val="Heading3"/>
        <w:rPr>
          <w:noProof/>
          <w:highlight w:val="cyan"/>
          <w:lang w:val="de-DE"/>
        </w:rPr>
      </w:pPr>
    </w:p>
    <w:p w14:paraId="58D28E9F" w14:textId="0C914101" w:rsidR="00346604" w:rsidRPr="002212B0" w:rsidRDefault="00EB76FF" w:rsidP="00382EFF">
      <w:pPr>
        <w:pStyle w:val="Heading3"/>
        <w:rPr>
          <w:noProof/>
          <w:highlight w:val="cyan"/>
          <w:lang w:val="de-DE"/>
        </w:rPr>
      </w:pPr>
      <w:r w:rsidRPr="002212B0">
        <w:rPr>
          <w:noProof/>
          <w:lang w:val="de-DE"/>
        </w:rPr>
        <w:t>Mögliche Themen für eine künftige gemeinsame Arbeitstagung von UPOV, OECD und ISTA</w:t>
      </w:r>
    </w:p>
    <w:p w14:paraId="58D28EA0" w14:textId="77777777" w:rsidR="00733267" w:rsidRPr="00160FAB" w:rsidRDefault="00733267" w:rsidP="00733267">
      <w:pPr>
        <w:rPr>
          <w:highlight w:val="cyan"/>
        </w:rPr>
      </w:pPr>
    </w:p>
    <w:p w14:paraId="351C1E93" w14:textId="1795EFCE" w:rsidR="00382EFF" w:rsidRDefault="00DD6975" w:rsidP="008D127C">
      <w:r w:rsidRPr="00160FAB">
        <w:fldChar w:fldCharType="begin"/>
      </w:r>
      <w:r w:rsidRPr="00160FAB">
        <w:instrText xml:space="preserve"> AUTONUM  </w:instrText>
      </w:r>
      <w:r w:rsidRPr="00160FAB">
        <w:fldChar w:fldCharType="end"/>
      </w:r>
      <w:r w:rsidRPr="00160FAB">
        <w:tab/>
      </w:r>
      <w:r w:rsidR="008D127C">
        <w:t xml:space="preserve">Der TC vereinbarte auf seiner sechsundfünfzigsten Tagung, </w:t>
      </w:r>
      <w:r w:rsidR="0096147A">
        <w:t>dass</w:t>
      </w:r>
      <w:r w:rsidR="008D127C">
        <w:t xml:space="preserve"> in naher Zukunft eine weitere gemeinsame Arbeitstagung von OECD, UPOV und ISTA über molekulare Verfahren veranstaltet werden sollte. Der TC vereinbarte, </w:t>
      </w:r>
      <w:r w:rsidR="0096147A">
        <w:t>dass</w:t>
      </w:r>
      <w:r w:rsidR="008D127C">
        <w:t xml:space="preserve"> eine gemeinsame Arbeitstagung von OECD, UPOV und ISTA über molekulare Verfahren eine Gelegenheit </w:t>
      </w:r>
      <w:r w:rsidR="00CE7741">
        <w:t>zur Erörterung der</w:t>
      </w:r>
      <w:r w:rsidR="00F82D59">
        <w:t xml:space="preserve"> </w:t>
      </w:r>
      <w:r w:rsidR="00B361A8">
        <w:t>in den</w:t>
      </w:r>
      <w:r w:rsidR="008D127C">
        <w:t xml:space="preserve"> molekularen Verfahren verwendeten </w:t>
      </w:r>
      <w:r w:rsidR="00B361A8">
        <w:t>Begriffsbestimmungen</w:t>
      </w:r>
      <w:r w:rsidR="008D127C">
        <w:t xml:space="preserve"> im Hinblick auf ihre Harmonisierung </w:t>
      </w:r>
      <w:r w:rsidR="00BB3B91">
        <w:t>bieten würde</w:t>
      </w:r>
      <w:r w:rsidR="008D127C">
        <w:t>.</w:t>
      </w:r>
    </w:p>
    <w:p w14:paraId="6E1D7C50" w14:textId="0CB736F1" w:rsidR="00382EFF" w:rsidRDefault="00382EFF">
      <w:pPr>
        <w:jc w:val="left"/>
      </w:pPr>
    </w:p>
    <w:p w14:paraId="58D28EA3" w14:textId="289A9BAD" w:rsidR="00DE3A86" w:rsidRPr="00160FAB" w:rsidRDefault="00F7729D" w:rsidP="00CF47B8">
      <w:pPr>
        <w:keepNext/>
      </w:pPr>
      <w:r w:rsidRPr="00FC712E">
        <w:lastRenderedPageBreak/>
        <w:fldChar w:fldCharType="begin"/>
      </w:r>
      <w:r w:rsidRPr="00FC712E">
        <w:instrText xml:space="preserve"> AUTONUM  </w:instrText>
      </w:r>
      <w:r w:rsidRPr="00FC712E">
        <w:fldChar w:fldCharType="end"/>
      </w:r>
      <w:r w:rsidRPr="00FC712E">
        <w:tab/>
      </w:r>
      <w:r w:rsidR="008D127C">
        <w:t>Die BMT nahm auf ihrer zwanzigsten Tagung</w:t>
      </w:r>
      <w:r w:rsidR="0093182D">
        <w:rPr>
          <w:rStyle w:val="FootnoteReference"/>
        </w:rPr>
        <w:footnoteReference w:id="5"/>
      </w:r>
      <w:r w:rsidR="008D127C">
        <w:t xml:space="preserve"> zur Kenntnis, </w:t>
      </w:r>
      <w:r w:rsidR="0096147A">
        <w:t>dass</w:t>
      </w:r>
      <w:r w:rsidR="008D127C">
        <w:t xml:space="preserve"> auf ihrer zwanzigsten Tagung eine </w:t>
      </w:r>
      <w:r w:rsidR="001B13C7">
        <w:t>Umfrage</w:t>
      </w:r>
      <w:r w:rsidR="008D127C">
        <w:t xml:space="preserve"> durchgeführt worden sei, um folgende Informationen von den Teilnehmern zu erhalten</w:t>
      </w:r>
      <w:r w:rsidR="00DE3A86" w:rsidRPr="00160FAB">
        <w:t>:</w:t>
      </w:r>
    </w:p>
    <w:p w14:paraId="58D28EA4" w14:textId="77777777" w:rsidR="00DE3A86" w:rsidRPr="00160FAB" w:rsidRDefault="00DE3A86" w:rsidP="00CF47B8">
      <w:pPr>
        <w:keepNext/>
      </w:pPr>
    </w:p>
    <w:p w14:paraId="58D28EA5" w14:textId="1AAD4D77" w:rsidR="00DE3A86" w:rsidRPr="00160FAB" w:rsidRDefault="00F82D59" w:rsidP="00DE3A86">
      <w:pPr>
        <w:pStyle w:val="ListParagraph"/>
        <w:numPr>
          <w:ilvl w:val="0"/>
          <w:numId w:val="5"/>
        </w:numPr>
        <w:ind w:left="851" w:hanging="284"/>
      </w:pPr>
      <w:r>
        <w:t>Was</w:t>
      </w:r>
      <w:r w:rsidRPr="008D127C">
        <w:t xml:space="preserve"> </w:t>
      </w:r>
      <w:r w:rsidR="008D127C" w:rsidRPr="008D127C">
        <w:t>sind die Bereiche gemeinsame</w:t>
      </w:r>
      <w:r w:rsidR="00E41F1A">
        <w:t>n</w:t>
      </w:r>
      <w:r w:rsidR="008D127C" w:rsidRPr="008D127C">
        <w:t xml:space="preserve"> Interesse</w:t>
      </w:r>
      <w:r w:rsidR="00E41F1A">
        <w:t>s</w:t>
      </w:r>
      <w:r w:rsidR="008D127C" w:rsidRPr="008D127C">
        <w:t xml:space="preserve"> zwischen UPOV, OECD und ISTA bezüglich der Verwendung </w:t>
      </w:r>
      <w:r>
        <w:t>von</w:t>
      </w:r>
      <w:r w:rsidRPr="008D127C">
        <w:t xml:space="preserve"> </w:t>
      </w:r>
      <w:r w:rsidR="008D127C" w:rsidRPr="008D127C">
        <w:t>BMT</w:t>
      </w:r>
      <w:r w:rsidR="00DE3A86" w:rsidRPr="00160FAB">
        <w:t>?</w:t>
      </w:r>
    </w:p>
    <w:p w14:paraId="58D28EA6" w14:textId="735EECF3" w:rsidR="00DE3A86" w:rsidRPr="00160FAB" w:rsidRDefault="008D127C" w:rsidP="00DE3A86">
      <w:pPr>
        <w:pStyle w:val="ListParagraph"/>
        <w:numPr>
          <w:ilvl w:val="0"/>
          <w:numId w:val="5"/>
        </w:numPr>
        <w:ind w:left="851" w:hanging="284"/>
      </w:pPr>
      <w:r w:rsidRPr="008D127C">
        <w:t xml:space="preserve">Was wären geeignete Themen für eine gemeinsame </w:t>
      </w:r>
      <w:r w:rsidR="00053483">
        <w:t>Arbeitstagung von OECD, UPOV und ISTA</w:t>
      </w:r>
      <w:r w:rsidRPr="008D127C">
        <w:t xml:space="preserve"> über BMT</w:t>
      </w:r>
      <w:r w:rsidR="00DE3A86" w:rsidRPr="00160FAB">
        <w:t>?</w:t>
      </w:r>
    </w:p>
    <w:p w14:paraId="58D28EA7" w14:textId="77777777" w:rsidR="00DE3A86" w:rsidRPr="00160FAB" w:rsidRDefault="00DE3A86" w:rsidP="00DE3A86"/>
    <w:p w14:paraId="58D28EA8" w14:textId="63B38625" w:rsidR="00DE3A86" w:rsidRPr="00160FAB" w:rsidRDefault="00DE3A86" w:rsidP="00DE3A86">
      <w:r w:rsidRPr="00160FAB">
        <w:fldChar w:fldCharType="begin"/>
      </w:r>
      <w:r w:rsidRPr="00160FAB">
        <w:instrText xml:space="preserve"> AUTONUM  </w:instrText>
      </w:r>
      <w:r w:rsidRPr="00160FAB">
        <w:fldChar w:fldCharType="end"/>
      </w:r>
      <w:r w:rsidRPr="00160FAB">
        <w:tab/>
      </w:r>
      <w:r w:rsidR="00F7729D" w:rsidRPr="00F7729D">
        <w:t xml:space="preserve">Die BMT prüfte die Antworten auf die </w:t>
      </w:r>
      <w:r w:rsidR="00363AC4">
        <w:t>Umfrage</w:t>
      </w:r>
      <w:r w:rsidR="00F7729D" w:rsidRPr="00F7729D">
        <w:t xml:space="preserve"> und vereinbarte, die möglichen Themen für eine künftige gemeinsame </w:t>
      </w:r>
      <w:r w:rsidR="00363AC4">
        <w:t>Arbeitstagung von OECD, UPOV und ISTA</w:t>
      </w:r>
      <w:r w:rsidR="00F7729D" w:rsidRPr="00F7729D">
        <w:t xml:space="preserve"> vorzuschlagen</w:t>
      </w:r>
      <w:r w:rsidRPr="00160FAB">
        <w:t>.</w:t>
      </w:r>
    </w:p>
    <w:p w14:paraId="58D28EA9" w14:textId="77777777" w:rsidR="00733267" w:rsidRPr="00160FAB" w:rsidRDefault="00733267" w:rsidP="00733267"/>
    <w:p w14:paraId="58D28EAA" w14:textId="4F90CEA7" w:rsidR="00DD6975" w:rsidRPr="00160FAB" w:rsidRDefault="00733267" w:rsidP="00DD6975">
      <w:r w:rsidRPr="00160FAB">
        <w:fldChar w:fldCharType="begin"/>
      </w:r>
      <w:r w:rsidRPr="00160FAB">
        <w:instrText xml:space="preserve"> AUTONUM  </w:instrText>
      </w:r>
      <w:r w:rsidRPr="00160FAB">
        <w:fldChar w:fldCharType="end"/>
      </w:r>
      <w:r w:rsidRPr="00160FAB">
        <w:tab/>
      </w:r>
      <w:r w:rsidR="00363AC4">
        <w:t>Auf der Grundlage</w:t>
      </w:r>
      <w:r w:rsidR="00F44F57" w:rsidRPr="00F44F57">
        <w:t xml:space="preserve"> der Vorschläge der BMT auf ihrer zwanzigsten Tagung</w:t>
      </w:r>
      <w:r w:rsidR="00377CDC">
        <w:rPr>
          <w:rStyle w:val="FootnoteReference"/>
        </w:rPr>
        <w:footnoteReference w:id="6"/>
      </w:r>
      <w:r w:rsidR="00F44F57" w:rsidRPr="00F44F57">
        <w:t xml:space="preserve"> wird der TC auf seiner siebenundfünfzigsten Tagung ersucht werden, folgende mögliche Themen für eine künftige gemeinsame Arbeitstagung von UPOV</w:t>
      </w:r>
      <w:r w:rsidR="00F44F57">
        <w:t xml:space="preserve">, </w:t>
      </w:r>
      <w:r w:rsidR="00F44F57" w:rsidRPr="00F44F57">
        <w:t>OECD</w:t>
      </w:r>
      <w:r w:rsidR="000817C9">
        <w:t xml:space="preserve"> </w:t>
      </w:r>
      <w:r w:rsidR="00F44F57">
        <w:t xml:space="preserve">und </w:t>
      </w:r>
      <w:r w:rsidR="00F44F57" w:rsidRPr="00F44F57">
        <w:t>ISTA zu prüfen</w:t>
      </w:r>
      <w:r w:rsidR="00DD6975" w:rsidRPr="00160FAB">
        <w:t>:</w:t>
      </w:r>
    </w:p>
    <w:p w14:paraId="58D28EAB" w14:textId="77777777" w:rsidR="00DD6975" w:rsidRPr="00160FAB" w:rsidRDefault="00DD6975" w:rsidP="00DD6975"/>
    <w:p w14:paraId="58D28EAC" w14:textId="011C4EA7" w:rsidR="00DD6975" w:rsidRPr="00160FAB" w:rsidRDefault="00DD6975" w:rsidP="00B16E1F">
      <w:pPr>
        <w:ind w:left="1134" w:hanging="574"/>
      </w:pPr>
      <w:r w:rsidRPr="00160FAB">
        <w:t>i)</w:t>
      </w:r>
      <w:r w:rsidRPr="00160FAB">
        <w:tab/>
      </w:r>
      <w:r w:rsidR="00F44F57" w:rsidRPr="00F44F57">
        <w:t xml:space="preserve">Bereitstellung von Informationen über die </w:t>
      </w:r>
      <w:r w:rsidR="00377CDC">
        <w:t>Verwendung</w:t>
      </w:r>
      <w:r w:rsidR="00F44F57" w:rsidRPr="00F44F57">
        <w:t xml:space="preserve"> molekularer Verfahren in jeder Organisation</w:t>
      </w:r>
      <w:r w:rsidRPr="00160FAB">
        <w:t>;</w:t>
      </w:r>
    </w:p>
    <w:p w14:paraId="58D28EAD" w14:textId="05819A83" w:rsidR="00DD6975" w:rsidRPr="00160FAB" w:rsidRDefault="00DD6975" w:rsidP="00DD6975">
      <w:r w:rsidRPr="00160FAB">
        <w:tab/>
        <w:t>ii)</w:t>
      </w:r>
      <w:r w:rsidRPr="00160FAB">
        <w:tab/>
      </w:r>
      <w:r w:rsidR="00B16E1F">
        <w:t>V</w:t>
      </w:r>
      <w:r w:rsidR="00B16E1F" w:rsidRPr="00B16E1F">
        <w:t xml:space="preserve">erfahren für die </w:t>
      </w:r>
      <w:r w:rsidR="00F82D59">
        <w:t>Billigung</w:t>
      </w:r>
      <w:r w:rsidR="00F82D59" w:rsidRPr="00B16E1F">
        <w:t xml:space="preserve"> </w:t>
      </w:r>
      <w:r w:rsidR="00B16E1F" w:rsidRPr="00B16E1F">
        <w:t>biochemischer und molekularer Verfahren in jeder Organisation; und</w:t>
      </w:r>
    </w:p>
    <w:p w14:paraId="58D28EAE" w14:textId="16B9218A" w:rsidR="00DD6975" w:rsidRPr="00160FAB" w:rsidRDefault="00DD6975" w:rsidP="00DD6975">
      <w:r w:rsidRPr="00160FAB">
        <w:tab/>
        <w:t>iii)</w:t>
      </w:r>
      <w:r w:rsidRPr="00160FAB">
        <w:tab/>
      </w:r>
      <w:r w:rsidR="00B16E1F" w:rsidRPr="00B16E1F">
        <w:t xml:space="preserve">Möglichkeiten zur Harmonisierung der </w:t>
      </w:r>
      <w:r w:rsidR="008C4DC7">
        <w:t>Verfahren</w:t>
      </w:r>
      <w:r w:rsidR="00B16E1F" w:rsidRPr="00B16E1F">
        <w:t xml:space="preserve"> zwischen UPOV, OECD und ISTA</w:t>
      </w:r>
      <w:r w:rsidRPr="00160FAB">
        <w:t>.</w:t>
      </w:r>
    </w:p>
    <w:p w14:paraId="58D28EAF" w14:textId="77777777" w:rsidR="00DD6975" w:rsidRPr="00160FAB" w:rsidRDefault="00DD6975" w:rsidP="00DD6975"/>
    <w:p w14:paraId="58D28EB0" w14:textId="77777777" w:rsidR="00D14394" w:rsidRPr="00160FAB" w:rsidRDefault="00D14394" w:rsidP="00D14394">
      <w:bookmarkStart w:id="27" w:name="_Toc53597268"/>
      <w:bookmarkEnd w:id="23"/>
      <w:bookmarkEnd w:id="24"/>
      <w:bookmarkEnd w:id="25"/>
    </w:p>
    <w:p w14:paraId="58D28EB1" w14:textId="77777777" w:rsidR="000E52A6" w:rsidRPr="00160FAB" w:rsidRDefault="000E52A6" w:rsidP="00D14394"/>
    <w:p w14:paraId="58D28EB2" w14:textId="4E266E12" w:rsidR="00D14394" w:rsidRPr="00160FAB" w:rsidRDefault="0090457A" w:rsidP="00D14394">
      <w:pPr>
        <w:pStyle w:val="Heading1"/>
        <w:rPr>
          <w:noProof/>
          <w:snapToGrid w:val="0"/>
          <w:lang w:val="de-DE"/>
        </w:rPr>
      </w:pPr>
      <w:bookmarkStart w:id="28" w:name="_Toc85924908"/>
      <w:bookmarkEnd w:id="27"/>
      <w:r w:rsidRPr="0090457A">
        <w:rPr>
          <w:noProof/>
          <w:snapToGrid w:val="0"/>
          <w:lang w:val="de-DE"/>
        </w:rPr>
        <w:t>Sitzung zur Erleichterung der Zusammenarbeit im Hinblick auf die Verwendung molekularer Verfahren</w:t>
      </w:r>
      <w:bookmarkEnd w:id="28"/>
    </w:p>
    <w:p w14:paraId="58D28EB3" w14:textId="77777777" w:rsidR="00D14394" w:rsidRPr="00160FAB" w:rsidRDefault="00D14394" w:rsidP="00D14394">
      <w:pPr>
        <w:keepNext/>
        <w:rPr>
          <w:rFonts w:cs="Arial"/>
          <w:iCs/>
        </w:rPr>
      </w:pPr>
    </w:p>
    <w:p w14:paraId="58D28EB4" w14:textId="03DAAF7F" w:rsidR="00D14394" w:rsidRPr="00160FAB" w:rsidRDefault="00D14394" w:rsidP="00D14394">
      <w:pPr>
        <w:keepNext/>
        <w:rPr>
          <w:rFonts w:eastAsiaTheme="minorEastAsia"/>
          <w:lang w:eastAsia="ja-JP"/>
        </w:rPr>
      </w:pPr>
      <w:r w:rsidRPr="00160FAB">
        <w:fldChar w:fldCharType="begin"/>
      </w:r>
      <w:r w:rsidRPr="00160FAB">
        <w:instrText xml:space="preserve"> AUTONUM  </w:instrText>
      </w:r>
      <w:r w:rsidRPr="00160FAB">
        <w:fldChar w:fldCharType="end"/>
      </w:r>
      <w:r w:rsidRPr="00160FAB">
        <w:tab/>
      </w:r>
      <w:r w:rsidR="0016216F">
        <w:rPr>
          <w:rFonts w:eastAsiaTheme="minorEastAsia"/>
          <w:lang w:eastAsia="ja-JP"/>
        </w:rPr>
        <w:t>Der Hintergrund</w:t>
      </w:r>
      <w:r w:rsidR="00A27107" w:rsidRPr="00A27107">
        <w:rPr>
          <w:rFonts w:eastAsiaTheme="minorEastAsia"/>
          <w:lang w:eastAsia="ja-JP"/>
        </w:rPr>
        <w:t xml:space="preserve"> zu dieser Angelegenheit </w:t>
      </w:r>
      <w:r w:rsidR="007B50A8">
        <w:rPr>
          <w:rFonts w:eastAsiaTheme="minorEastAsia"/>
          <w:lang w:eastAsia="ja-JP"/>
        </w:rPr>
        <w:t>ist</w:t>
      </w:r>
      <w:r w:rsidR="00A27107" w:rsidRPr="00A27107">
        <w:rPr>
          <w:rFonts w:eastAsiaTheme="minorEastAsia"/>
          <w:lang w:eastAsia="ja-JP"/>
        </w:rPr>
        <w:t xml:space="preserve"> in Dokument CAJ/76/INF/3 „Molekulare Verfahren</w:t>
      </w:r>
      <w:r w:rsidR="00A27107">
        <w:rPr>
          <w:rFonts w:eastAsiaTheme="minorEastAsia"/>
          <w:lang w:eastAsia="ja-JP"/>
        </w:rPr>
        <w:t>“</w:t>
      </w:r>
      <w:r w:rsidR="00A27107" w:rsidRPr="00A27107">
        <w:rPr>
          <w:rFonts w:eastAsiaTheme="minorEastAsia"/>
          <w:lang w:eastAsia="ja-JP"/>
        </w:rPr>
        <w:t>, dargelegt</w:t>
      </w:r>
      <w:r w:rsidRPr="00160FAB">
        <w:rPr>
          <w:rFonts w:eastAsiaTheme="minorEastAsia"/>
          <w:lang w:eastAsia="ja-JP"/>
        </w:rPr>
        <w:t>.</w:t>
      </w:r>
    </w:p>
    <w:p w14:paraId="58D28EB5" w14:textId="77777777" w:rsidR="00D14394" w:rsidRPr="00160FAB" w:rsidRDefault="00D14394" w:rsidP="00D14394"/>
    <w:p w14:paraId="58D28EB6" w14:textId="77777777" w:rsidR="008E521A" w:rsidRPr="00160FAB" w:rsidRDefault="008E521A" w:rsidP="00D14394"/>
    <w:p w14:paraId="58D28EB7" w14:textId="310DDE31" w:rsidR="00D14394" w:rsidRPr="002212B0" w:rsidRDefault="009B2D0A" w:rsidP="00382EFF">
      <w:pPr>
        <w:pStyle w:val="Heading2"/>
        <w:rPr>
          <w:noProof/>
          <w:lang w:val="de-DE"/>
        </w:rPr>
      </w:pPr>
      <w:bookmarkStart w:id="29" w:name="_Toc53597270"/>
      <w:bookmarkStart w:id="30" w:name="_Toc85924909"/>
      <w:r w:rsidRPr="002212B0">
        <w:rPr>
          <w:noProof/>
          <w:lang w:val="de-DE"/>
        </w:rPr>
        <w:t>Entwicklungen bei den TWP und der BMT auf ihren Tagungen im Jahr</w:t>
      </w:r>
      <w:r w:rsidR="00D14394" w:rsidRPr="002212B0">
        <w:rPr>
          <w:noProof/>
          <w:lang w:val="de-DE"/>
        </w:rPr>
        <w:t xml:space="preserve"> 202</w:t>
      </w:r>
      <w:bookmarkEnd w:id="29"/>
      <w:r w:rsidR="007F7D6E" w:rsidRPr="002212B0">
        <w:rPr>
          <w:noProof/>
          <w:lang w:val="de-DE"/>
        </w:rPr>
        <w:t>1</w:t>
      </w:r>
      <w:bookmarkEnd w:id="30"/>
    </w:p>
    <w:p w14:paraId="58D28EB8" w14:textId="77777777" w:rsidR="00D14394" w:rsidRPr="00160FAB" w:rsidRDefault="00D14394" w:rsidP="00D14394"/>
    <w:p w14:paraId="58D28EB9" w14:textId="6911AF7B" w:rsidR="007F7D6E" w:rsidRPr="002212B0" w:rsidRDefault="009B2D0A" w:rsidP="00382EFF">
      <w:pPr>
        <w:pStyle w:val="Heading3"/>
        <w:rPr>
          <w:noProof/>
          <w:lang w:val="de-DE"/>
        </w:rPr>
      </w:pPr>
      <w:bookmarkStart w:id="31" w:name="_Toc84415959"/>
      <w:r w:rsidRPr="002212B0">
        <w:rPr>
          <w:noProof/>
          <w:lang w:val="de-DE"/>
        </w:rPr>
        <w:t>Technische Arbeitsgruppen</w:t>
      </w:r>
      <w:r w:rsidR="007F7D6E" w:rsidRPr="002212B0">
        <w:rPr>
          <w:noProof/>
          <w:lang w:val="de-DE"/>
        </w:rPr>
        <w:t xml:space="preserve"> (TWP)</w:t>
      </w:r>
      <w:bookmarkEnd w:id="31"/>
    </w:p>
    <w:p w14:paraId="58D28EBA" w14:textId="77777777" w:rsidR="007F7D6E" w:rsidRPr="00160FAB" w:rsidRDefault="007F7D6E" w:rsidP="007F7D6E">
      <w:pPr>
        <w:keepNext/>
      </w:pPr>
    </w:p>
    <w:p w14:paraId="05002316" w14:textId="0D00B8F8" w:rsidR="007473BA" w:rsidRDefault="007F7D6E" w:rsidP="007473BA">
      <w:r w:rsidRPr="00160FAB">
        <w:fldChar w:fldCharType="begin"/>
      </w:r>
      <w:r w:rsidRPr="00160FAB">
        <w:instrText xml:space="preserve"> AUTONUM  </w:instrText>
      </w:r>
      <w:r w:rsidRPr="00160FAB">
        <w:fldChar w:fldCharType="end"/>
      </w:r>
      <w:r w:rsidRPr="00160FAB">
        <w:tab/>
      </w:r>
      <w:r w:rsidR="007473BA">
        <w:t xml:space="preserve">Die TWP nahmen auf ihren Tagungen </w:t>
      </w:r>
      <w:r w:rsidR="00F43174">
        <w:t>im Jahr</w:t>
      </w:r>
      <w:r w:rsidR="007473BA">
        <w:t xml:space="preserve"> 2021 die von Teilnehmern der neunzehnten Tagung der BMT erteilten Informationen über ihre </w:t>
      </w:r>
      <w:r w:rsidR="00FF2290">
        <w:t>Arbeit an biochemischen und molekularen Verfahren</w:t>
      </w:r>
      <w:r w:rsidR="007473BA">
        <w:t xml:space="preserve"> und Bereiche für die Zusammenarbeit zur Kenntnis, wie in Anlage I des Dokuments TWP/5/7 wiedergegeben (siehe Dokumente TWV/55/16 </w:t>
      </w:r>
      <w:r w:rsidR="00E3794C" w:rsidRPr="00E3794C">
        <w:rPr>
          <w:i/>
          <w:iCs/>
        </w:rPr>
        <w:t>„</w:t>
      </w:r>
      <w:r w:rsidR="00E3794C">
        <w:rPr>
          <w:i/>
          <w:iCs/>
        </w:rPr>
        <w:t>Report</w:t>
      </w:r>
      <w:r w:rsidR="00E3794C" w:rsidRPr="00E3794C">
        <w:rPr>
          <w:i/>
          <w:iCs/>
        </w:rPr>
        <w:t>“</w:t>
      </w:r>
      <w:r w:rsidR="007473BA">
        <w:t xml:space="preserve">, Absätze 48 und 49; TWO/53/10 </w:t>
      </w:r>
      <w:r w:rsidR="00E3794C" w:rsidRPr="00E3794C">
        <w:rPr>
          <w:i/>
          <w:iCs/>
        </w:rPr>
        <w:t>„</w:t>
      </w:r>
      <w:r w:rsidR="00E3794C">
        <w:rPr>
          <w:i/>
          <w:iCs/>
        </w:rPr>
        <w:t>Report</w:t>
      </w:r>
      <w:r w:rsidR="00E3794C" w:rsidRPr="00E3794C">
        <w:rPr>
          <w:i/>
          <w:iCs/>
        </w:rPr>
        <w:t>“</w:t>
      </w:r>
      <w:r w:rsidR="007473BA">
        <w:t xml:space="preserve">, Absatz 57; TWA/50/9 </w:t>
      </w:r>
      <w:r w:rsidR="00E3794C" w:rsidRPr="00E3794C">
        <w:rPr>
          <w:i/>
          <w:iCs/>
        </w:rPr>
        <w:t>„</w:t>
      </w:r>
      <w:r w:rsidR="00E3794C">
        <w:rPr>
          <w:i/>
          <w:iCs/>
        </w:rPr>
        <w:t>Report</w:t>
      </w:r>
      <w:r w:rsidR="00E3794C" w:rsidRPr="00E3794C">
        <w:rPr>
          <w:i/>
          <w:iCs/>
        </w:rPr>
        <w:t>“</w:t>
      </w:r>
      <w:r w:rsidR="007473BA">
        <w:t xml:space="preserve">, Absätze 85 und 86; TWF/52/10 </w:t>
      </w:r>
      <w:r w:rsidR="00E3794C" w:rsidRPr="00E3794C">
        <w:rPr>
          <w:i/>
          <w:iCs/>
        </w:rPr>
        <w:t>„</w:t>
      </w:r>
      <w:r w:rsidR="00E3794C">
        <w:rPr>
          <w:i/>
          <w:iCs/>
        </w:rPr>
        <w:t>Report</w:t>
      </w:r>
      <w:r w:rsidR="00E3794C" w:rsidRPr="00E3794C">
        <w:rPr>
          <w:i/>
          <w:iCs/>
        </w:rPr>
        <w:t>“</w:t>
      </w:r>
      <w:r w:rsidR="007473BA">
        <w:t xml:space="preserve">, Absätze 10 und 11; und TWC/39/9 </w:t>
      </w:r>
      <w:r w:rsidR="00E3794C" w:rsidRPr="00E3794C">
        <w:rPr>
          <w:i/>
          <w:iCs/>
        </w:rPr>
        <w:t>„</w:t>
      </w:r>
      <w:r w:rsidR="00E3794C">
        <w:rPr>
          <w:i/>
          <w:iCs/>
        </w:rPr>
        <w:t>Report</w:t>
      </w:r>
      <w:r w:rsidR="00E3794C" w:rsidRPr="00E3794C">
        <w:rPr>
          <w:i/>
          <w:iCs/>
        </w:rPr>
        <w:t>“</w:t>
      </w:r>
      <w:r w:rsidR="007473BA">
        <w:t>, Absatz 70).</w:t>
      </w:r>
    </w:p>
    <w:p w14:paraId="714EB138" w14:textId="77777777" w:rsidR="007473BA" w:rsidRDefault="007473BA" w:rsidP="007473BA"/>
    <w:p w14:paraId="72F1B451" w14:textId="3F493418" w:rsidR="007473BA" w:rsidRDefault="00DF5F7A" w:rsidP="007473BA">
      <w:r w:rsidRPr="00FC712E">
        <w:fldChar w:fldCharType="begin"/>
      </w:r>
      <w:r w:rsidRPr="00FC712E">
        <w:instrText xml:space="preserve"> AUTONUM  </w:instrText>
      </w:r>
      <w:r w:rsidRPr="00FC712E">
        <w:fldChar w:fldCharType="end"/>
      </w:r>
      <w:r w:rsidRPr="00FC712E">
        <w:tab/>
      </w:r>
      <w:r w:rsidR="007473BA">
        <w:t xml:space="preserve">Die TWV bildete auf ihrer fünfundfünfzigsten Tagung eine Diskussionsgruppe, die es den Teilnehmern ermöglichen sollte, Informationen über ihre </w:t>
      </w:r>
      <w:r w:rsidR="00FF2290">
        <w:t>Arbeit an biochemischen und molekularen Verfahren</w:t>
      </w:r>
      <w:r w:rsidR="007473BA">
        <w:t xml:space="preserve"> auszutauschen und Bereiche für die Zusammenarbeit zu </w:t>
      </w:r>
      <w:r w:rsidR="001B6914">
        <w:t>sondieren</w:t>
      </w:r>
      <w:r w:rsidR="007473BA">
        <w:t>.</w:t>
      </w:r>
      <w:r w:rsidR="000817C9">
        <w:t xml:space="preserve"> </w:t>
      </w:r>
      <w:r w:rsidR="007473BA">
        <w:t>In der Diskussionsgruppe wurden die Sorten Tomate, Salat und Paprika erörtert.</w:t>
      </w:r>
    </w:p>
    <w:p w14:paraId="3D9F74BF" w14:textId="77777777" w:rsidR="007473BA" w:rsidRDefault="007473BA" w:rsidP="007473BA"/>
    <w:p w14:paraId="294E9DD4" w14:textId="744129EF" w:rsidR="007473BA" w:rsidRDefault="00E07587" w:rsidP="007473BA">
      <w:r w:rsidRPr="00FC712E">
        <w:fldChar w:fldCharType="begin"/>
      </w:r>
      <w:r w:rsidRPr="00FC712E">
        <w:instrText xml:space="preserve"> AUTONUM  </w:instrText>
      </w:r>
      <w:r w:rsidRPr="00FC712E">
        <w:fldChar w:fldCharType="end"/>
      </w:r>
      <w:r w:rsidRPr="00FC712E">
        <w:tab/>
      </w:r>
      <w:r w:rsidR="007473BA">
        <w:t>Die TWA hielt auf ihrer fünfzigsten Tagung eine Erörterungs</w:t>
      </w:r>
      <w:r w:rsidR="0013754E">
        <w:t>sitz</w:t>
      </w:r>
      <w:r w:rsidR="007473BA">
        <w:t xml:space="preserve">ung ab, um es den Teilnehmern zu ermöglichen, Informationen über ihre </w:t>
      </w:r>
      <w:r w:rsidR="00FF2290">
        <w:t>Arbeit an biochemischen und molekularen Verfahren</w:t>
      </w:r>
      <w:r w:rsidR="007473BA">
        <w:t xml:space="preserve"> auszutauschen und mögliche Bereiche für die Zusammenarbeit bei Sojabohne, Kartoffel, Raps, Hanf, </w:t>
      </w:r>
      <w:r w:rsidR="008E520B">
        <w:t>Ackerbohne</w:t>
      </w:r>
      <w:r w:rsidR="007473BA">
        <w:t xml:space="preserve"> und Weizen zu </w:t>
      </w:r>
      <w:r w:rsidR="00F37838">
        <w:t>sondieren</w:t>
      </w:r>
      <w:r w:rsidR="007473BA">
        <w:t>.</w:t>
      </w:r>
      <w:r w:rsidR="000817C9">
        <w:t xml:space="preserve"> </w:t>
      </w:r>
      <w:r w:rsidR="007473BA">
        <w:t>Die TWA vereinbarte</w:t>
      </w:r>
      <w:r w:rsidR="007473BA" w:rsidRPr="00B35547">
        <w:t xml:space="preserve">, auf ihrer einundfünfzigsten Tagung </w:t>
      </w:r>
      <w:r w:rsidR="00F43174" w:rsidRPr="00B35547">
        <w:t>im Jahr</w:t>
      </w:r>
      <w:r w:rsidR="007473BA" w:rsidRPr="00B35547">
        <w:t xml:space="preserve"> 2022 um </w:t>
      </w:r>
      <w:r w:rsidR="00B44DFD" w:rsidRPr="00B35547">
        <w:t>Referate</w:t>
      </w:r>
      <w:r w:rsidR="007473BA" w:rsidRPr="00B35547">
        <w:t xml:space="preserve"> über biochemische und molekulare Verfahren bei den verschiedenen erörterten Pflanzen zu ersuchen.</w:t>
      </w:r>
    </w:p>
    <w:p w14:paraId="48098AB5" w14:textId="77777777" w:rsidR="007473BA" w:rsidRDefault="007473BA" w:rsidP="007473BA"/>
    <w:p w14:paraId="58D28EC1" w14:textId="02F29A28" w:rsidR="007F7D6E" w:rsidRPr="00160FAB" w:rsidRDefault="00397BAD" w:rsidP="007473BA">
      <w:r w:rsidRPr="00FA4478">
        <w:fldChar w:fldCharType="begin"/>
      </w:r>
      <w:r w:rsidRPr="00FA4478">
        <w:instrText xml:space="preserve"> AUTONUM  </w:instrText>
      </w:r>
      <w:r w:rsidRPr="00FA4478">
        <w:fldChar w:fldCharType="end"/>
      </w:r>
      <w:r w:rsidRPr="00FA4478">
        <w:tab/>
      </w:r>
      <w:r w:rsidR="007473BA">
        <w:t xml:space="preserve">Die TWF hielt auf ihrer dreiundfünfzigsten Tagung eine </w:t>
      </w:r>
      <w:r w:rsidR="00B95168">
        <w:t>Erörterungssitzung</w:t>
      </w:r>
      <w:r w:rsidR="007473BA">
        <w:t xml:space="preserve"> ab, um es den Teilnehmern zu ermöglichen, Informationen über ihre </w:t>
      </w:r>
      <w:r w:rsidR="00FF2290">
        <w:t>Arbeit an biochemischen und molekularen Verfahren</w:t>
      </w:r>
      <w:r w:rsidR="007473BA">
        <w:t xml:space="preserve"> auszutauschen und Bereiche für die Zusammenarbeit bei Apfel, Erdbeere und Pfirsich zu </w:t>
      </w:r>
      <w:r w:rsidR="00B62C94">
        <w:t>sondieren</w:t>
      </w:r>
      <w:r w:rsidR="007473BA">
        <w:t xml:space="preserve">. Die TWF vereinbarte, die Sachverständigen aus der Europäischen Union und Frankreich </w:t>
      </w:r>
      <w:r w:rsidR="001B6914">
        <w:t>zu ersuchen</w:t>
      </w:r>
      <w:r w:rsidR="007473BA">
        <w:t xml:space="preserve">, auf ihrer dreiundfünfzigsten Tagung Referate über </w:t>
      </w:r>
      <w:r w:rsidR="000B7CCA">
        <w:t>die Verwendung</w:t>
      </w:r>
      <w:r w:rsidR="007473BA">
        <w:t xml:space="preserve"> molekularer Verfahren bei der DUS-Prüfung von Apfelsorten zu halten</w:t>
      </w:r>
      <w:r w:rsidR="007F7D6E" w:rsidRPr="00160FAB">
        <w:t>.</w:t>
      </w:r>
    </w:p>
    <w:p w14:paraId="58D28EC2" w14:textId="77777777" w:rsidR="007F7D6E" w:rsidRPr="00160FAB" w:rsidRDefault="007F7D6E" w:rsidP="007F7D6E"/>
    <w:p w14:paraId="73D20B72" w14:textId="468EF180" w:rsidR="00382EFF" w:rsidRDefault="00382EFF">
      <w:pPr>
        <w:jc w:val="left"/>
        <w:rPr>
          <w:i/>
        </w:rPr>
      </w:pPr>
      <w:bookmarkStart w:id="32" w:name="_Toc84415960"/>
    </w:p>
    <w:p w14:paraId="58D28EC3" w14:textId="41018EDA" w:rsidR="007F7D6E" w:rsidRPr="002212B0" w:rsidRDefault="00C1511D" w:rsidP="00CF47B8">
      <w:pPr>
        <w:pStyle w:val="Heading3"/>
        <w:rPr>
          <w:noProof/>
          <w:lang w:val="de-DE"/>
        </w:rPr>
      </w:pPr>
      <w:r w:rsidRPr="002212B0">
        <w:rPr>
          <w:noProof/>
          <w:lang w:val="de-DE"/>
        </w:rPr>
        <w:lastRenderedPageBreak/>
        <w:t>Arbeitsgruppe für biochemische und molekulare Verfahren und insbesondere für DNS-Profilierungsverfahren</w:t>
      </w:r>
      <w:r w:rsidR="007F7D6E" w:rsidRPr="002212B0">
        <w:rPr>
          <w:noProof/>
          <w:lang w:val="de-DE"/>
        </w:rPr>
        <w:t xml:space="preserve"> (BMT)</w:t>
      </w:r>
      <w:bookmarkEnd w:id="32"/>
    </w:p>
    <w:p w14:paraId="58D28EC4" w14:textId="77777777" w:rsidR="007F7D6E" w:rsidRPr="00160FAB" w:rsidRDefault="007F7D6E" w:rsidP="00CF47B8">
      <w:pPr>
        <w:keepNext/>
      </w:pPr>
    </w:p>
    <w:p w14:paraId="58D28EC5" w14:textId="19E90402" w:rsidR="007F7D6E" w:rsidRPr="00160FAB" w:rsidRDefault="007F7D6E" w:rsidP="007F7D6E">
      <w:r w:rsidRPr="00160FAB">
        <w:fldChar w:fldCharType="begin"/>
      </w:r>
      <w:r w:rsidRPr="00160FAB">
        <w:instrText xml:space="preserve"> AUTONUM  </w:instrText>
      </w:r>
      <w:r w:rsidRPr="00160FAB">
        <w:fldChar w:fldCharType="end"/>
      </w:r>
      <w:r w:rsidRPr="00160FAB">
        <w:tab/>
      </w:r>
      <w:r w:rsidR="00397BAD" w:rsidRPr="00397BAD">
        <w:t xml:space="preserve">Die BMT prüfte auf ihrer zwanzigsten Tagung das Dokument BMT/20/6 </w:t>
      </w:r>
      <w:r w:rsidR="00DB0128" w:rsidRPr="0018481C">
        <w:rPr>
          <w:i/>
          <w:iCs/>
        </w:rPr>
        <w:t>„</w:t>
      </w:r>
      <w:r w:rsidR="0018481C" w:rsidRPr="0018481C">
        <w:rPr>
          <w:i/>
          <w:iCs/>
        </w:rPr>
        <w:t>Session to facilitate cooperation“</w:t>
      </w:r>
      <w:r w:rsidR="0018481C">
        <w:t xml:space="preserve"> </w:t>
      </w:r>
      <w:r w:rsidR="00397BAD" w:rsidRPr="00397BAD">
        <w:t xml:space="preserve">(vergleiche Dokument BMT/20/12 </w:t>
      </w:r>
      <w:r w:rsidR="0013754E" w:rsidRPr="0013754E">
        <w:rPr>
          <w:i/>
          <w:iCs/>
        </w:rPr>
        <w:t>„Report“</w:t>
      </w:r>
      <w:r w:rsidR="00397BAD" w:rsidRPr="00397BAD">
        <w:t>, Absätze 28 bis 35</w:t>
      </w:r>
      <w:r w:rsidRPr="00160FAB">
        <w:t>).</w:t>
      </w:r>
    </w:p>
    <w:p w14:paraId="58D28EC6" w14:textId="77777777" w:rsidR="007F7D6E" w:rsidRPr="00160FAB" w:rsidRDefault="007F7D6E" w:rsidP="007F7D6E"/>
    <w:p w14:paraId="58D28EC7" w14:textId="6E88D6E6" w:rsidR="007F7D6E" w:rsidRPr="00160FAB" w:rsidRDefault="007F7D6E" w:rsidP="007F7D6E">
      <w:r w:rsidRPr="00160FAB">
        <w:fldChar w:fldCharType="begin"/>
      </w:r>
      <w:r w:rsidRPr="00160FAB">
        <w:instrText xml:space="preserve"> AUTONUM  </w:instrText>
      </w:r>
      <w:r w:rsidRPr="00160FAB">
        <w:fldChar w:fldCharType="end"/>
      </w:r>
      <w:r w:rsidRPr="00160FAB">
        <w:tab/>
      </w:r>
      <w:r w:rsidR="00397BAD" w:rsidRPr="00397BAD">
        <w:t xml:space="preserve">Die BMT erinnerte an die von Teilnehmern auf der neunzehnten Tagung der BMT erteilten Informationen über ihre </w:t>
      </w:r>
      <w:r w:rsidR="00FF2290">
        <w:t>Arbeit an biochemischen und molekularen Verfahren</w:t>
      </w:r>
      <w:r w:rsidR="00397BAD" w:rsidRPr="00397BAD">
        <w:t xml:space="preserve"> und über Bereiche für die Zusammenarbeit, wie in der </w:t>
      </w:r>
      <w:r w:rsidR="00FF2290">
        <w:t>Anlage von Dokument</w:t>
      </w:r>
      <w:r w:rsidR="00397BAD" w:rsidRPr="00397BAD">
        <w:t xml:space="preserve"> BMT/20/6 wiedergegeben</w:t>
      </w:r>
      <w:r w:rsidRPr="00160FAB">
        <w:t>.</w:t>
      </w:r>
    </w:p>
    <w:p w14:paraId="58D28EC8" w14:textId="77777777" w:rsidR="007F7D6E" w:rsidRPr="00160FAB" w:rsidRDefault="007F7D6E" w:rsidP="007F7D6E"/>
    <w:p w14:paraId="58D28EC9" w14:textId="4AAF1230" w:rsidR="007F7D6E" w:rsidRPr="00160FAB" w:rsidRDefault="007F7D6E" w:rsidP="007F7D6E">
      <w:r w:rsidRPr="00160FAB">
        <w:fldChar w:fldCharType="begin"/>
      </w:r>
      <w:r w:rsidRPr="00160FAB">
        <w:instrText xml:space="preserve"> AUTONUM  </w:instrText>
      </w:r>
      <w:r w:rsidRPr="00160FAB">
        <w:fldChar w:fldCharType="end"/>
      </w:r>
      <w:r w:rsidRPr="00160FAB">
        <w:tab/>
      </w:r>
      <w:r w:rsidR="00D91BD7" w:rsidRPr="00D91BD7">
        <w:t xml:space="preserve">Die BMT nahm die Informationen über die Diskussionsgruppen, die auf den Tagungen der Technischen Arbeitsgruppen </w:t>
      </w:r>
      <w:r w:rsidR="00F43174">
        <w:t>im Jahr</w:t>
      </w:r>
      <w:r w:rsidR="00D91BD7" w:rsidRPr="00D91BD7">
        <w:t xml:space="preserve"> 2021 gebildet worden waren, um es den Teilnehmern zu ermöglichen, Informationen über ihre </w:t>
      </w:r>
      <w:r w:rsidR="00FF2290">
        <w:t>Arbeit an biochemischen und molekularen Verfahren</w:t>
      </w:r>
      <w:r w:rsidR="00D91BD7" w:rsidRPr="00D91BD7">
        <w:t xml:space="preserve"> auszutauschen und Bereiche für die Zusammenarbeit zu </w:t>
      </w:r>
      <w:r w:rsidR="001B6914">
        <w:t>sondieren</w:t>
      </w:r>
      <w:r w:rsidR="00B941A6">
        <w:t xml:space="preserve">, </w:t>
      </w:r>
      <w:r w:rsidR="00B941A6" w:rsidRPr="00D91BD7">
        <w:t>zur Kenntnis</w:t>
      </w:r>
      <w:r w:rsidRPr="00160FAB">
        <w:t>.</w:t>
      </w:r>
    </w:p>
    <w:p w14:paraId="58D28ECA" w14:textId="77777777" w:rsidR="007F7D6E" w:rsidRPr="00160FAB" w:rsidRDefault="007F7D6E" w:rsidP="007F7D6E"/>
    <w:p w14:paraId="58D28ECB" w14:textId="3EA380BD" w:rsidR="007F7D6E" w:rsidRPr="00160FAB" w:rsidRDefault="007F7D6E" w:rsidP="007F7D6E">
      <w:r w:rsidRPr="00160FAB">
        <w:fldChar w:fldCharType="begin"/>
      </w:r>
      <w:r w:rsidRPr="00160FAB">
        <w:instrText xml:space="preserve"> AUTONUM  </w:instrText>
      </w:r>
      <w:r w:rsidRPr="00160FAB">
        <w:fldChar w:fldCharType="end"/>
      </w:r>
      <w:r w:rsidRPr="00160FAB">
        <w:tab/>
      </w:r>
      <w:r w:rsidR="00D91BD7" w:rsidRPr="00D91BD7">
        <w:t xml:space="preserve">Die BMT hielt eine </w:t>
      </w:r>
      <w:r w:rsidR="00B941A6">
        <w:t>Erörterungssitzung</w:t>
      </w:r>
      <w:r w:rsidR="00D91BD7" w:rsidRPr="00D91BD7">
        <w:t xml:space="preserve"> ab, um es den Teilnehmern zu ermöglichen, Informationen über ihre </w:t>
      </w:r>
      <w:r w:rsidR="00FF2290">
        <w:t>Arbeit an biochemischen und molekularen Verfahren</w:t>
      </w:r>
      <w:r w:rsidR="00D91BD7" w:rsidRPr="00D91BD7">
        <w:t xml:space="preserve"> auszutauschen und mögliche Bereiche für eine Zusammenarbeit zu </w:t>
      </w:r>
      <w:r w:rsidR="001B6914">
        <w:t>sondieren</w:t>
      </w:r>
      <w:r w:rsidRPr="00160FAB">
        <w:t>.</w:t>
      </w:r>
      <w:r w:rsidR="000817C9">
        <w:t xml:space="preserve"> </w:t>
      </w:r>
    </w:p>
    <w:p w14:paraId="58D28ECC" w14:textId="77777777" w:rsidR="007F7D6E" w:rsidRPr="00160FAB" w:rsidRDefault="007F7D6E" w:rsidP="007F7D6E"/>
    <w:p w14:paraId="58D28ECD" w14:textId="50084105" w:rsidR="007F7D6E" w:rsidRPr="00160FAB" w:rsidRDefault="007F7D6E" w:rsidP="007F7D6E">
      <w:r w:rsidRPr="00160FAB">
        <w:fldChar w:fldCharType="begin"/>
      </w:r>
      <w:r w:rsidRPr="00160FAB">
        <w:instrText xml:space="preserve"> AUTONUM  </w:instrText>
      </w:r>
      <w:r w:rsidRPr="00160FAB">
        <w:fldChar w:fldCharType="end"/>
      </w:r>
      <w:r w:rsidRPr="00160FAB">
        <w:tab/>
      </w:r>
      <w:r w:rsidR="00D91BD7" w:rsidRPr="00D91BD7">
        <w:t>Die BMT prüfte, ob die UPOV die Harmonisierung und Zusammenarbeit zwischen Mitgliedern</w:t>
      </w:r>
      <w:r w:rsidR="00F76FFA">
        <w:t xml:space="preserve"> unterstützen sollte</w:t>
      </w:r>
      <w:r w:rsidR="00D91BD7" w:rsidRPr="00D91BD7">
        <w:t>, die bereits molekulare Marker bei der DUS-Prüfung verwende</w:t>
      </w:r>
      <w:r w:rsidR="00CF47B8">
        <w:t>n, oder anderen UPOV</w:t>
      </w:r>
      <w:r w:rsidR="00CF47B8">
        <w:noBreakHyphen/>
      </w:r>
      <w:r w:rsidR="00D91BD7" w:rsidRPr="00D91BD7">
        <w:t xml:space="preserve">Mitgliedern Informationen oder </w:t>
      </w:r>
      <w:r w:rsidR="002572DF" w:rsidRPr="003E5C6C">
        <w:rPr>
          <w:noProof w:val="0"/>
        </w:rPr>
        <w:t>Dienstleistungen der BMT</w:t>
      </w:r>
      <w:r w:rsidR="00D91BD7" w:rsidRPr="00D91BD7">
        <w:t xml:space="preserve"> zur Verfügung stellen könnte</w:t>
      </w:r>
      <w:r w:rsidRPr="00160FAB">
        <w:t>.</w:t>
      </w:r>
    </w:p>
    <w:p w14:paraId="58D28ECE" w14:textId="77777777" w:rsidR="007F7D6E" w:rsidRPr="00160FAB" w:rsidRDefault="007F7D6E" w:rsidP="007F7D6E"/>
    <w:p w14:paraId="58D28ECF" w14:textId="25694437" w:rsidR="007F7D6E" w:rsidRPr="00160FAB" w:rsidRDefault="007F7D6E" w:rsidP="007F7D6E">
      <w:r w:rsidRPr="00160FAB">
        <w:fldChar w:fldCharType="begin"/>
      </w:r>
      <w:r w:rsidRPr="00160FAB">
        <w:instrText xml:space="preserve"> AUTONUM  </w:instrText>
      </w:r>
      <w:r w:rsidRPr="00160FAB">
        <w:fldChar w:fldCharType="end"/>
      </w:r>
      <w:r w:rsidRPr="00160FAB">
        <w:tab/>
      </w:r>
      <w:r w:rsidR="00D91BD7" w:rsidRPr="00D91BD7">
        <w:t>Die BMT vereinbarte, da</w:t>
      </w:r>
      <w:r w:rsidR="00C14708">
        <w:t>ss</w:t>
      </w:r>
      <w:r w:rsidR="00D91BD7" w:rsidRPr="00D91BD7">
        <w:t xml:space="preserve"> Informationen über die Verwendung molekularer Marker nach Pflanze wichtig seien, um die Zusammenarbeit zwischen UPOV-Mitgliedern zu fördern, und vereinbarte vorzuschlagen, </w:t>
      </w:r>
      <w:r w:rsidR="0096147A">
        <w:t>dass</w:t>
      </w:r>
      <w:r w:rsidR="00D91BD7" w:rsidRPr="00D91BD7">
        <w:t xml:space="preserve"> die </w:t>
      </w:r>
      <w:r w:rsidR="008177D7">
        <w:t>Befragung</w:t>
      </w:r>
      <w:r w:rsidR="00D91BD7" w:rsidRPr="00D91BD7">
        <w:t xml:space="preserve"> </w:t>
      </w:r>
      <w:r w:rsidR="00E55BC9">
        <w:t>zur</w:t>
      </w:r>
      <w:r w:rsidR="00D91BD7" w:rsidRPr="00D91BD7">
        <w:t xml:space="preserve"> Verwendung molekularer Marker fortgesetzt werde, um Informationen von einer größeren Anzahl </w:t>
      </w:r>
      <w:r w:rsidR="00E55BC9">
        <w:t xml:space="preserve">von </w:t>
      </w:r>
      <w:r w:rsidR="00D91BD7" w:rsidRPr="00D91BD7">
        <w:t>UPOV-Mitglieder</w:t>
      </w:r>
      <w:r w:rsidR="00E55BC9">
        <w:t>n</w:t>
      </w:r>
      <w:r w:rsidR="00D91BD7" w:rsidRPr="00D91BD7">
        <w:t xml:space="preserve"> zu erhalten</w:t>
      </w:r>
      <w:r w:rsidRPr="00160FAB">
        <w:t xml:space="preserve">. </w:t>
      </w:r>
    </w:p>
    <w:p w14:paraId="58D28ED0" w14:textId="77777777" w:rsidR="007F7D6E" w:rsidRPr="00160FAB" w:rsidRDefault="007F7D6E" w:rsidP="007F7D6E"/>
    <w:p w14:paraId="58D28ED1" w14:textId="456B9DF5" w:rsidR="007F7D6E" w:rsidRPr="00160FAB" w:rsidRDefault="007F7D6E" w:rsidP="007F7D6E">
      <w:r w:rsidRPr="00160FAB">
        <w:fldChar w:fldCharType="begin"/>
      </w:r>
      <w:r w:rsidRPr="00160FAB">
        <w:instrText xml:space="preserve"> AUTONUM  </w:instrText>
      </w:r>
      <w:r w:rsidRPr="00160FAB">
        <w:fldChar w:fldCharType="end"/>
      </w:r>
      <w:r w:rsidRPr="00160FAB">
        <w:tab/>
      </w:r>
      <w:r w:rsidR="00D37B7D" w:rsidRPr="00D37B7D">
        <w:t>Die BMT vereinbarte, da</w:t>
      </w:r>
      <w:r w:rsidR="00C14708">
        <w:t>ss</w:t>
      </w:r>
      <w:r w:rsidR="00D37B7D" w:rsidRPr="00D37B7D">
        <w:t xml:space="preserve"> es </w:t>
      </w:r>
      <w:r w:rsidR="002F570E">
        <w:t>zweckmäßig</w:t>
      </w:r>
      <w:r w:rsidR="00D37B7D" w:rsidRPr="00D37B7D">
        <w:t xml:space="preserve"> wäre, die </w:t>
      </w:r>
      <w:r w:rsidR="008B01B9" w:rsidRPr="003E5C6C">
        <w:rPr>
          <w:noProof w:val="0"/>
        </w:rPr>
        <w:t xml:space="preserve">Gründe </w:t>
      </w:r>
      <w:r w:rsidR="0073614D" w:rsidRPr="0073614D">
        <w:rPr>
          <w:noProof w:val="0"/>
        </w:rPr>
        <w:t xml:space="preserve">für die Nichtbeantwortung der ersten </w:t>
      </w:r>
      <w:r w:rsidR="0073614D">
        <w:rPr>
          <w:noProof w:val="0"/>
        </w:rPr>
        <w:t>Befragung</w:t>
      </w:r>
      <w:r w:rsidR="0073614D" w:rsidRPr="0073614D">
        <w:rPr>
          <w:noProof w:val="0"/>
        </w:rPr>
        <w:t xml:space="preserve"> zu </w:t>
      </w:r>
      <w:r w:rsidR="00F0773E">
        <w:rPr>
          <w:noProof w:val="0"/>
        </w:rPr>
        <w:t>erfragen</w:t>
      </w:r>
      <w:r w:rsidR="00D37B7D" w:rsidRPr="00D37B7D">
        <w:t>.</w:t>
      </w:r>
      <w:r w:rsidR="000817C9">
        <w:t xml:space="preserve"> </w:t>
      </w:r>
      <w:r w:rsidR="00D37B7D" w:rsidRPr="00D37B7D">
        <w:t>Der TC wird auf seiner siebenundfünfzigsten Tagung ersucht werden</w:t>
      </w:r>
      <w:r w:rsidRPr="00160FAB">
        <w:t xml:space="preserve">: </w:t>
      </w:r>
    </w:p>
    <w:p w14:paraId="58D28ED2" w14:textId="77777777" w:rsidR="007F7D6E" w:rsidRPr="00160FAB" w:rsidRDefault="007F7D6E" w:rsidP="007F7D6E"/>
    <w:p w14:paraId="512FADC7" w14:textId="02F00F7E" w:rsidR="00D37B7D" w:rsidRDefault="007F7D6E" w:rsidP="00D37B7D">
      <w:pPr>
        <w:ind w:left="567"/>
      </w:pPr>
      <w:r w:rsidRPr="00160FAB">
        <w:t>a)</w:t>
      </w:r>
      <w:r w:rsidRPr="00160FAB">
        <w:tab/>
      </w:r>
      <w:r w:rsidR="00D37B7D">
        <w:t xml:space="preserve">zu prüfen, ob die </w:t>
      </w:r>
      <w:r w:rsidR="008177D7">
        <w:t>Befragung</w:t>
      </w:r>
      <w:r w:rsidR="00D37B7D">
        <w:t xml:space="preserve"> </w:t>
      </w:r>
      <w:r w:rsidR="006C1D3E">
        <w:t>zur</w:t>
      </w:r>
      <w:r w:rsidR="00D37B7D">
        <w:t xml:space="preserve"> Verwendung molekularer Marker fortgesetzt werden soll, um Informationen von einer größeren Zahl von UPOV-Mitgliedern zu erhalten, und</w:t>
      </w:r>
    </w:p>
    <w:p w14:paraId="2D2A79D2" w14:textId="77777777" w:rsidR="00D37B7D" w:rsidRDefault="00D37B7D" w:rsidP="00D37B7D">
      <w:pPr>
        <w:ind w:left="567"/>
      </w:pPr>
    </w:p>
    <w:p w14:paraId="58D28ED5" w14:textId="6B0E99BE" w:rsidR="007F7D6E" w:rsidRPr="00160FAB" w:rsidRDefault="00D37B7D" w:rsidP="00D37B7D">
      <w:pPr>
        <w:ind w:left="567"/>
      </w:pPr>
      <w:r>
        <w:t xml:space="preserve">b) die Gründe dafür zu </w:t>
      </w:r>
      <w:r w:rsidR="00196389">
        <w:t>untersuchen</w:t>
      </w:r>
      <w:r>
        <w:t xml:space="preserve">, </w:t>
      </w:r>
      <w:r w:rsidR="004213B7">
        <w:t>warum</w:t>
      </w:r>
      <w:r>
        <w:t xml:space="preserve"> Verbandsmitglieder auf die erste Befragung nicht geantwortet haben</w:t>
      </w:r>
      <w:r w:rsidR="007F7D6E" w:rsidRPr="00160FAB">
        <w:t>.</w:t>
      </w:r>
    </w:p>
    <w:p w14:paraId="58D28ED6" w14:textId="77777777" w:rsidR="007F7D6E" w:rsidRPr="00160FAB" w:rsidRDefault="007F7D6E" w:rsidP="007F7D6E"/>
    <w:p w14:paraId="58D28ED7" w14:textId="0F4C9F33" w:rsidR="007F7D6E" w:rsidRPr="00160FAB" w:rsidRDefault="007F7D6E" w:rsidP="007F7D6E">
      <w:r w:rsidRPr="00160FAB">
        <w:fldChar w:fldCharType="begin"/>
      </w:r>
      <w:r w:rsidRPr="00160FAB">
        <w:instrText xml:space="preserve"> AUTONUM  </w:instrText>
      </w:r>
      <w:r w:rsidRPr="00160FAB">
        <w:fldChar w:fldCharType="end"/>
      </w:r>
      <w:r w:rsidRPr="00160FAB">
        <w:tab/>
      </w:r>
      <w:r w:rsidR="00C14708" w:rsidRPr="00C14708">
        <w:t>Die BMT vereinbarte, da</w:t>
      </w:r>
      <w:r w:rsidR="00C14708">
        <w:t>ss</w:t>
      </w:r>
      <w:r w:rsidR="00C14708" w:rsidRPr="00C14708">
        <w:t xml:space="preserve"> die Möglichkeit, während der Tagungen Diskussionsgruppen zu bilden, beibehalten werden sollte</w:t>
      </w:r>
      <w:r w:rsidRPr="00160FAB">
        <w:t>.</w:t>
      </w:r>
    </w:p>
    <w:p w14:paraId="58D28ED8" w14:textId="77777777" w:rsidR="007F7D6E" w:rsidRPr="00160FAB" w:rsidRDefault="007F7D6E" w:rsidP="008E521A"/>
    <w:p w14:paraId="58D28ED9" w14:textId="77777777" w:rsidR="00733267" w:rsidRPr="00160FAB" w:rsidRDefault="00733267" w:rsidP="008E521A"/>
    <w:p w14:paraId="58D28EDA" w14:textId="77777777" w:rsidR="00733267" w:rsidRPr="00160FAB" w:rsidRDefault="00733267" w:rsidP="008E521A"/>
    <w:p w14:paraId="58D28EDB" w14:textId="1C43638F" w:rsidR="00733267" w:rsidRPr="00160FAB" w:rsidRDefault="00E86800" w:rsidP="00733267">
      <w:pPr>
        <w:pStyle w:val="Heading1"/>
        <w:rPr>
          <w:noProof/>
          <w:lang w:val="de-DE"/>
        </w:rPr>
      </w:pPr>
      <w:bookmarkStart w:id="33" w:name="_Toc85924910"/>
      <w:r w:rsidRPr="00E86800">
        <w:rPr>
          <w:noProof/>
          <w:lang w:val="de-DE"/>
        </w:rPr>
        <w:t xml:space="preserve">VERTRAULICHKEIT </w:t>
      </w:r>
      <w:r>
        <w:rPr>
          <w:noProof/>
          <w:lang w:val="de-DE"/>
        </w:rPr>
        <w:t xml:space="preserve">VON </w:t>
      </w:r>
      <w:r w:rsidRPr="00E86800">
        <w:rPr>
          <w:noProof/>
          <w:lang w:val="de-DE"/>
        </w:rPr>
        <w:t>UND EIGENTUM AN MOLEKULAREN INFORMATIONEN</w:t>
      </w:r>
      <w:bookmarkEnd w:id="33"/>
    </w:p>
    <w:p w14:paraId="58D28EDC" w14:textId="77777777" w:rsidR="00733267" w:rsidRPr="00160FAB" w:rsidRDefault="00733267" w:rsidP="00733267"/>
    <w:p w14:paraId="58D28EDD" w14:textId="6D69B654" w:rsidR="00733267" w:rsidRPr="00160FAB" w:rsidRDefault="00733267" w:rsidP="00733267">
      <w:r w:rsidRPr="00160FAB">
        <w:fldChar w:fldCharType="begin"/>
      </w:r>
      <w:r w:rsidRPr="00160FAB">
        <w:instrText xml:space="preserve"> AUTONUM  </w:instrText>
      </w:r>
      <w:r w:rsidRPr="00160FAB">
        <w:fldChar w:fldCharType="end"/>
      </w:r>
      <w:r w:rsidRPr="00160FAB">
        <w:tab/>
      </w:r>
      <w:r w:rsidR="00C14708" w:rsidRPr="00C14708">
        <w:t xml:space="preserve">Die TWP und die BMT hörten auf ihren Tagungen </w:t>
      </w:r>
      <w:r w:rsidR="00F43174">
        <w:t>im Jahr</w:t>
      </w:r>
      <w:r w:rsidR="00C14708" w:rsidRPr="00C14708">
        <w:t xml:space="preserve"> 2021 ein Referat über </w:t>
      </w:r>
      <w:r w:rsidR="001530C7" w:rsidRPr="001530C7">
        <w:rPr>
          <w:i/>
          <w:iCs/>
        </w:rPr>
        <w:t>„Confidentiality &amp; Ownership of Molecular Information“</w:t>
      </w:r>
      <w:r w:rsidR="001530C7">
        <w:t xml:space="preserve"> (</w:t>
      </w:r>
      <w:r w:rsidR="00C14708" w:rsidRPr="00C14708">
        <w:t xml:space="preserve">Vertraulichkeit </w:t>
      </w:r>
      <w:r w:rsidR="002C4926">
        <w:t xml:space="preserve">von </w:t>
      </w:r>
      <w:r w:rsidR="00C14708" w:rsidRPr="00C14708">
        <w:t>und Eigentum an molekularen Informationen</w:t>
      </w:r>
      <w:r w:rsidR="001530C7">
        <w:t>)</w:t>
      </w:r>
      <w:r w:rsidR="00C14708" w:rsidRPr="00C14708">
        <w:t xml:space="preserve"> von einem Sachverständigen im </w:t>
      </w:r>
      <w:r w:rsidR="00960D04">
        <w:t>Auftrag</w:t>
      </w:r>
      <w:r w:rsidR="00C14708" w:rsidRPr="00C14708">
        <w:t xml:space="preserve"> des Afrikanischen Saatguthandelsverbandes (AFSTA), der Saatgutvereinigung für Asien und den Pazifik (APSA), der Internationalen Gemeinschaft der Züchter vegetativ vermehrbarer </w:t>
      </w:r>
      <w:r w:rsidR="00DF3547" w:rsidRPr="003E5C6C">
        <w:rPr>
          <w:noProof w:val="0"/>
        </w:rPr>
        <w:t>Zier- und Obst</w:t>
      </w:r>
      <w:r w:rsidR="00DF3547">
        <w:rPr>
          <w:noProof w:val="0"/>
        </w:rPr>
        <w:t>p</w:t>
      </w:r>
      <w:r w:rsidR="00DF3547" w:rsidRPr="003E5C6C">
        <w:rPr>
          <w:noProof w:val="0"/>
        </w:rPr>
        <w:t>flanzen</w:t>
      </w:r>
      <w:r w:rsidR="00C14708" w:rsidRPr="00C14708">
        <w:t xml:space="preserve"> (CIOPORA), </w:t>
      </w:r>
      <w:r w:rsidR="008B43E4">
        <w:t xml:space="preserve">von </w:t>
      </w:r>
      <w:r w:rsidR="00C14708" w:rsidRPr="00C14708">
        <w:t>CropLife International, Euroseeds, des Internationalen Saatgutverbandes (ISF) un</w:t>
      </w:r>
      <w:r w:rsidR="00BA5D21">
        <w:t>d der</w:t>
      </w:r>
      <w:r w:rsidR="00C14708" w:rsidRPr="00C14708">
        <w:t xml:space="preserve"> </w:t>
      </w:r>
      <w:r w:rsidR="00BA5D21" w:rsidRPr="00370255">
        <w:rPr>
          <w:rFonts w:cs="Arial"/>
          <w:i/>
          <w:iCs/>
          <w:noProof w:val="0"/>
        </w:rPr>
        <w:t>Seed Association of the Americas</w:t>
      </w:r>
      <w:r w:rsidR="00C14708" w:rsidRPr="00C14708">
        <w:t xml:space="preserve"> (SAA).</w:t>
      </w:r>
      <w:r w:rsidR="000817C9">
        <w:t xml:space="preserve"> </w:t>
      </w:r>
      <w:r w:rsidR="00C14708" w:rsidRPr="00C14708">
        <w:t xml:space="preserve">Eine </w:t>
      </w:r>
      <w:r w:rsidR="00283B43">
        <w:t>Abschrift</w:t>
      </w:r>
      <w:r w:rsidR="00C14708" w:rsidRPr="00C14708">
        <w:t xml:space="preserve"> de</w:t>
      </w:r>
      <w:r w:rsidR="00283B43">
        <w:t>s</w:t>
      </w:r>
      <w:r w:rsidR="00C14708" w:rsidRPr="00C14708">
        <w:t xml:space="preserve"> </w:t>
      </w:r>
      <w:r w:rsidR="00283B43">
        <w:t>Referats</w:t>
      </w:r>
      <w:r w:rsidR="00C14708" w:rsidRPr="00C14708">
        <w:t xml:space="preserve"> ist in Dokument TWV/55/4 enthalten (vergleiche Dokumente TWV/55/16 </w:t>
      </w:r>
      <w:r w:rsidR="002B3FC1" w:rsidRPr="002B3FC1">
        <w:rPr>
          <w:i/>
          <w:iCs/>
        </w:rPr>
        <w:t>„Report“</w:t>
      </w:r>
      <w:r w:rsidR="00C14708" w:rsidRPr="00C14708">
        <w:t xml:space="preserve">, Absätze 56 bis 61; TWO/53/10 </w:t>
      </w:r>
      <w:r w:rsidR="002B3FC1" w:rsidRPr="002B3FC1">
        <w:rPr>
          <w:i/>
          <w:iCs/>
        </w:rPr>
        <w:t>„Report“</w:t>
      </w:r>
      <w:r w:rsidR="00C14708" w:rsidRPr="00C14708">
        <w:t xml:space="preserve">, Absätze 62 bis 64; TWA/50/9 </w:t>
      </w:r>
      <w:r w:rsidR="002B3FC1" w:rsidRPr="002B3FC1">
        <w:rPr>
          <w:i/>
          <w:iCs/>
        </w:rPr>
        <w:t>„Report“</w:t>
      </w:r>
      <w:r w:rsidR="00C14708" w:rsidRPr="00C14708">
        <w:t xml:space="preserve">, Absätze 91 bis 93; TWF/52/10 </w:t>
      </w:r>
      <w:r w:rsidR="002B3FC1" w:rsidRPr="002B3FC1">
        <w:rPr>
          <w:i/>
          <w:iCs/>
        </w:rPr>
        <w:t>„Report“</w:t>
      </w:r>
      <w:r w:rsidR="00C14708" w:rsidRPr="00C14708">
        <w:t xml:space="preserve">, Absätze 16 und 17; und BMT/20/12 </w:t>
      </w:r>
      <w:r w:rsidR="002B3FC1" w:rsidRPr="002B3FC1">
        <w:rPr>
          <w:i/>
          <w:iCs/>
        </w:rPr>
        <w:t>„Report“</w:t>
      </w:r>
      <w:r w:rsidR="00C14708" w:rsidRPr="00C14708">
        <w:t>, Absätze 25 bis 27</w:t>
      </w:r>
      <w:r w:rsidRPr="00160FAB">
        <w:t>).</w:t>
      </w:r>
    </w:p>
    <w:p w14:paraId="58D28EDE" w14:textId="77777777" w:rsidR="00733267" w:rsidRPr="00160FAB" w:rsidRDefault="00733267" w:rsidP="00733267"/>
    <w:p w14:paraId="58D28EDF" w14:textId="757C5ABD" w:rsidR="00733267" w:rsidRPr="00160FAB" w:rsidRDefault="00733267" w:rsidP="00733267">
      <w:r w:rsidRPr="00160FAB">
        <w:fldChar w:fldCharType="begin"/>
      </w:r>
      <w:r w:rsidRPr="00160FAB">
        <w:instrText xml:space="preserve"> AUTONUM  </w:instrText>
      </w:r>
      <w:r w:rsidRPr="00160FAB">
        <w:fldChar w:fldCharType="end"/>
      </w:r>
      <w:r w:rsidRPr="00160FAB">
        <w:tab/>
      </w:r>
      <w:r w:rsidR="00C14708" w:rsidRPr="00C14708">
        <w:t>Die TWV, die TWO und die TWA prüften den Vorschlag, das Dokument TGP/5, Abschnitt 3: Musterantragsformblatt, zu überarbeiten, um ein</w:t>
      </w:r>
      <w:r w:rsidR="00376C08">
        <w:t>en Antrag auf</w:t>
      </w:r>
      <w:r w:rsidR="00C14708" w:rsidRPr="00C14708">
        <w:t xml:space="preserve"> Vertraulichkeit </w:t>
      </w:r>
      <w:r w:rsidR="00376C08">
        <w:t xml:space="preserve">von </w:t>
      </w:r>
      <w:r w:rsidR="00C14708" w:rsidRPr="00C14708">
        <w:t>molekulare</w:t>
      </w:r>
      <w:r w:rsidR="00376C08">
        <w:t>n</w:t>
      </w:r>
      <w:r w:rsidR="00C14708" w:rsidRPr="00C14708">
        <w:t xml:space="preserve"> Informationen über Kandidatensorten wie folgt aufzunehmen</w:t>
      </w:r>
      <w:r w:rsidRPr="00160FAB">
        <w:t>:</w:t>
      </w:r>
    </w:p>
    <w:p w14:paraId="58D28EE0" w14:textId="77777777" w:rsidR="00733267" w:rsidRPr="00160FAB" w:rsidRDefault="00733267" w:rsidP="00733267">
      <w:pPr>
        <w:ind w:left="567" w:right="567"/>
      </w:pPr>
    </w:p>
    <w:p w14:paraId="58D28EE1" w14:textId="0AA22998" w:rsidR="00733267" w:rsidRPr="00160FAB" w:rsidRDefault="00F0773E" w:rsidP="00733267">
      <w:pPr>
        <w:ind w:left="567" w:right="567"/>
        <w:rPr>
          <w:i/>
        </w:rPr>
      </w:pPr>
      <w:r>
        <w:t>„</w:t>
      </w:r>
      <w:r w:rsidR="00043CD1" w:rsidRPr="007A0627">
        <w:rPr>
          <w:i/>
        </w:rPr>
        <w:t>Wir beantragen, da</w:t>
      </w:r>
      <w:r w:rsidR="00043CD1">
        <w:rPr>
          <w:i/>
        </w:rPr>
        <w:t>ss</w:t>
      </w:r>
      <w:r w:rsidR="00043CD1" w:rsidRPr="007A0627">
        <w:rPr>
          <w:i/>
        </w:rPr>
        <w:t xml:space="preserve"> die molekularen Informationen bezüglich der Sorte vertraulich bleiben und der Austausch </w:t>
      </w:r>
      <w:r w:rsidR="00043CD1">
        <w:rPr>
          <w:i/>
        </w:rPr>
        <w:t>mit einem anderen</w:t>
      </w:r>
      <w:r w:rsidR="00043CD1" w:rsidRPr="007A0627">
        <w:rPr>
          <w:i/>
        </w:rPr>
        <w:t xml:space="preserve"> UPOV-Mitglied oder ein</w:t>
      </w:r>
      <w:r w:rsidR="00043CD1">
        <w:rPr>
          <w:i/>
        </w:rPr>
        <w:t>em</w:t>
      </w:r>
      <w:r w:rsidR="00043CD1" w:rsidRPr="007A0627">
        <w:rPr>
          <w:i/>
        </w:rPr>
        <w:t xml:space="preserve"> Prüfungsamt der Zustimmung des Antragstellers </w:t>
      </w:r>
      <w:r w:rsidR="00043CD1">
        <w:rPr>
          <w:i/>
        </w:rPr>
        <w:t>unterliegt.</w:t>
      </w:r>
      <w:r>
        <w:rPr>
          <w:i/>
        </w:rPr>
        <w:t>“</w:t>
      </w:r>
    </w:p>
    <w:p w14:paraId="58D28EE2" w14:textId="77777777" w:rsidR="00733267" w:rsidRPr="00160FAB" w:rsidRDefault="00733267" w:rsidP="00733267"/>
    <w:p w14:paraId="58D28EE3" w14:textId="70569940" w:rsidR="00733267" w:rsidRPr="00160FAB" w:rsidRDefault="00733267" w:rsidP="00733267">
      <w:r w:rsidRPr="00160FAB">
        <w:lastRenderedPageBreak/>
        <w:fldChar w:fldCharType="begin"/>
      </w:r>
      <w:r w:rsidRPr="00160FAB">
        <w:instrText xml:space="preserve"> AUTONUM  </w:instrText>
      </w:r>
      <w:r w:rsidRPr="00160FAB">
        <w:fldChar w:fldCharType="end"/>
      </w:r>
      <w:r w:rsidRPr="00160FAB">
        <w:tab/>
      </w:r>
      <w:r w:rsidR="00A80C48" w:rsidRPr="00A80C48">
        <w:t xml:space="preserve">Die TWV nahm zur Kenntnis, </w:t>
      </w:r>
      <w:r w:rsidR="0096147A">
        <w:t>dass</w:t>
      </w:r>
      <w:r w:rsidR="00A80C48" w:rsidRPr="00A80C48">
        <w:t xml:space="preserve"> einige Behörden Datenbanken mit molekularen Informationen </w:t>
      </w:r>
      <w:r w:rsidR="00043CD1">
        <w:t>erstellten</w:t>
      </w:r>
      <w:r w:rsidR="00A80C48" w:rsidRPr="00A80C48">
        <w:t xml:space="preserve"> und diese Informationen für die Auswahl ähnlicher Sorten und die Organisation der Anbauprüfung verwendeten</w:t>
      </w:r>
      <w:r w:rsidRPr="00160FAB">
        <w:t xml:space="preserve">. </w:t>
      </w:r>
    </w:p>
    <w:p w14:paraId="58D28EE4" w14:textId="77777777" w:rsidR="00733267" w:rsidRPr="00160FAB" w:rsidRDefault="00733267" w:rsidP="00733267"/>
    <w:p w14:paraId="58D28EE5" w14:textId="3C24D0E7" w:rsidR="00733267" w:rsidRPr="00160FAB" w:rsidRDefault="00733267" w:rsidP="00733267">
      <w:r w:rsidRPr="00160FAB">
        <w:fldChar w:fldCharType="begin"/>
      </w:r>
      <w:r w:rsidRPr="00160FAB">
        <w:instrText xml:space="preserve"> AUTONUM  </w:instrText>
      </w:r>
      <w:r w:rsidRPr="00160FAB">
        <w:fldChar w:fldCharType="end"/>
      </w:r>
      <w:r w:rsidRPr="00160FAB">
        <w:tab/>
      </w:r>
      <w:r w:rsidR="00BB27B0" w:rsidRPr="00FA6163">
        <w:t xml:space="preserve">Die TWV vereinbarte, um Informationen darüber zu ersuchen, ob der Vorschlag </w:t>
      </w:r>
      <w:r w:rsidR="00BB27B0">
        <w:t xml:space="preserve">verhindern </w:t>
      </w:r>
      <w:r w:rsidR="00BB27B0" w:rsidRPr="00FA6163">
        <w:t xml:space="preserve">könnte, </w:t>
      </w:r>
      <w:r w:rsidR="00BB27B0">
        <w:t xml:space="preserve">dass </w:t>
      </w:r>
      <w:r w:rsidR="00BB27B0" w:rsidRPr="00FA6163">
        <w:t xml:space="preserve">die Behörde, die einen Antrag erhält, molekulare Informationen über die Kandidatensorte für DUS-Zwecke </w:t>
      </w:r>
      <w:r w:rsidR="00BB27B0">
        <w:t>erhält</w:t>
      </w:r>
      <w:r w:rsidR="00BB27B0" w:rsidRPr="00FA6163">
        <w:t>, und ob der Vorschlag lediglich darauf abziele</w:t>
      </w:r>
      <w:r w:rsidR="00BB27B0">
        <w:t xml:space="preserve"> zu verhindern</w:t>
      </w:r>
      <w:r w:rsidR="00BB27B0" w:rsidRPr="00FA6163">
        <w:t xml:space="preserve">, </w:t>
      </w:r>
      <w:r w:rsidR="00BB27B0">
        <w:t xml:space="preserve">dass </w:t>
      </w:r>
      <w:r w:rsidR="00BB27B0" w:rsidRPr="00FA6163">
        <w:t xml:space="preserve">die </w:t>
      </w:r>
      <w:r w:rsidR="00BB27B0">
        <w:t>empfangende</w:t>
      </w:r>
      <w:r w:rsidR="00BB27B0" w:rsidRPr="00FA6163">
        <w:t xml:space="preserve"> Behörde molekulare Informationen über die Sorte ohne Zustimmung des Antragstellers an andere Behörden </w:t>
      </w:r>
      <w:r w:rsidR="00BB27B0">
        <w:t>weitergibt</w:t>
      </w:r>
      <w:r w:rsidR="00A80C48">
        <w:t>.</w:t>
      </w:r>
    </w:p>
    <w:p w14:paraId="58D28EE6" w14:textId="77777777" w:rsidR="00733267" w:rsidRPr="00160FAB" w:rsidRDefault="00733267" w:rsidP="00733267"/>
    <w:p w14:paraId="58D28EE7" w14:textId="0A225343" w:rsidR="00733267" w:rsidRPr="00160FAB" w:rsidRDefault="00733267" w:rsidP="00733267">
      <w:r w:rsidRPr="00160FAB">
        <w:fldChar w:fldCharType="begin"/>
      </w:r>
      <w:r w:rsidRPr="00160FAB">
        <w:instrText xml:space="preserve"> AUTONUM  </w:instrText>
      </w:r>
      <w:r w:rsidRPr="00160FAB">
        <w:fldChar w:fldCharType="end"/>
      </w:r>
      <w:r w:rsidRPr="00160FAB">
        <w:tab/>
      </w:r>
      <w:r w:rsidR="00DE4554" w:rsidRPr="00DE4554">
        <w:t xml:space="preserve">Die TWV </w:t>
      </w:r>
      <w:r w:rsidR="00C0647E">
        <w:t>nahm zur Kenntnis</w:t>
      </w:r>
      <w:r w:rsidR="00DE4554" w:rsidRPr="00DE4554">
        <w:t xml:space="preserve">, </w:t>
      </w:r>
      <w:r w:rsidR="0096147A">
        <w:t>dass</w:t>
      </w:r>
      <w:r w:rsidR="00DE4554" w:rsidRPr="00DE4554">
        <w:t xml:space="preserve"> eine weitere Erörterung mit den Züchtern erforderlich sei</w:t>
      </w:r>
      <w:r w:rsidR="00BB27B0">
        <w:t>n werde</w:t>
      </w:r>
      <w:r w:rsidR="00DE4554" w:rsidRPr="00DE4554">
        <w:t xml:space="preserve">, um eine pragmatische Lösung zu finden, die </w:t>
      </w:r>
      <w:r w:rsidR="00E178D5">
        <w:t>die</w:t>
      </w:r>
      <w:r w:rsidR="00DE4554" w:rsidRPr="00DE4554">
        <w:t xml:space="preserve"> Bedenken der Züchter </w:t>
      </w:r>
      <w:r w:rsidR="00BB27B0">
        <w:t>berücksichtigt</w:t>
      </w:r>
      <w:r w:rsidR="00DE4554" w:rsidRPr="00DE4554">
        <w:t xml:space="preserve">, </w:t>
      </w:r>
      <w:r w:rsidR="00A37965" w:rsidRPr="0002751B">
        <w:t xml:space="preserve">aber gleichzeitig unnötigen Verwaltungsaufwand für die Behörden </w:t>
      </w:r>
      <w:r w:rsidR="00A37965">
        <w:t>vermeidet</w:t>
      </w:r>
      <w:r w:rsidRPr="00160FAB">
        <w:t>.</w:t>
      </w:r>
    </w:p>
    <w:p w14:paraId="58D28EE8" w14:textId="77777777" w:rsidR="00733267" w:rsidRPr="00160FAB" w:rsidRDefault="00733267" w:rsidP="00733267"/>
    <w:p w14:paraId="58D28EE9" w14:textId="4F0B156D" w:rsidR="00733267" w:rsidRPr="00160FAB" w:rsidRDefault="00733267" w:rsidP="00733267">
      <w:r w:rsidRPr="00160FAB">
        <w:fldChar w:fldCharType="begin"/>
      </w:r>
      <w:r w:rsidRPr="00160FAB">
        <w:instrText xml:space="preserve"> AUTONUM  </w:instrText>
      </w:r>
      <w:r w:rsidRPr="00160FAB">
        <w:fldChar w:fldCharType="end"/>
      </w:r>
      <w:r w:rsidRPr="00160FAB">
        <w:tab/>
      </w:r>
      <w:r w:rsidR="00DE4554" w:rsidRPr="00DE4554">
        <w:t xml:space="preserve">Die TWV </w:t>
      </w:r>
      <w:r w:rsidR="00C0647E">
        <w:t>nahm zur Kenntnis</w:t>
      </w:r>
      <w:r w:rsidR="00DE4554" w:rsidRPr="00DE4554">
        <w:t xml:space="preserve">, </w:t>
      </w:r>
      <w:r w:rsidR="0096147A">
        <w:t>dass</w:t>
      </w:r>
      <w:r w:rsidR="00DE4554" w:rsidRPr="00DE4554">
        <w:t xml:space="preserve"> </w:t>
      </w:r>
      <w:r w:rsidR="00285B13">
        <w:t>das gleiche</w:t>
      </w:r>
      <w:r w:rsidR="00DE4554" w:rsidRPr="00DE4554">
        <w:t xml:space="preserve"> Referat für andere</w:t>
      </w:r>
      <w:r w:rsidR="00CF47B8">
        <w:t xml:space="preserve"> TWP auf ihren Tagungen im Jahr </w:t>
      </w:r>
      <w:r w:rsidR="00DE4554" w:rsidRPr="00DE4554">
        <w:t xml:space="preserve">2021 </w:t>
      </w:r>
      <w:r w:rsidR="00C0647E">
        <w:t>geplant</w:t>
      </w:r>
      <w:r w:rsidR="00C0647E" w:rsidRPr="00DE4554">
        <w:t xml:space="preserve"> </w:t>
      </w:r>
      <w:r w:rsidR="00DE4554" w:rsidRPr="00DE4554">
        <w:t>sei, was eine weitere Prüfung des Vorschlags ermöglichen werde</w:t>
      </w:r>
      <w:r w:rsidRPr="00160FAB">
        <w:t>.</w:t>
      </w:r>
    </w:p>
    <w:p w14:paraId="58D28EEA" w14:textId="77777777" w:rsidR="00733267" w:rsidRPr="00160FAB" w:rsidRDefault="00733267" w:rsidP="00733267"/>
    <w:p w14:paraId="58D28EEB" w14:textId="416F8638" w:rsidR="00733267" w:rsidRPr="00160FAB" w:rsidRDefault="00733267" w:rsidP="00733267">
      <w:r w:rsidRPr="00160FAB">
        <w:fldChar w:fldCharType="begin"/>
      </w:r>
      <w:r w:rsidRPr="00160FAB">
        <w:instrText xml:space="preserve"> AUTONUM  </w:instrText>
      </w:r>
      <w:r w:rsidRPr="00160FAB">
        <w:fldChar w:fldCharType="end"/>
      </w:r>
      <w:r w:rsidRPr="00160FAB">
        <w:tab/>
      </w:r>
      <w:r w:rsidR="00DE4554" w:rsidRPr="00DE4554">
        <w:t xml:space="preserve">Die TWO vereinbarte, </w:t>
      </w:r>
      <w:r w:rsidR="0096147A">
        <w:t>dass</w:t>
      </w:r>
      <w:r w:rsidR="00DE4554" w:rsidRPr="00DE4554">
        <w:t xml:space="preserve"> weitere Erörterungen erforderlich seien, um eine geeignete Lösung zu finden, die die Bedenken der Züchter </w:t>
      </w:r>
      <w:r w:rsidR="008D21E7">
        <w:t xml:space="preserve">berücksichtigt, aber </w:t>
      </w:r>
      <w:r w:rsidR="00DE4554" w:rsidRPr="00DE4554">
        <w:t>gleichzeitig unnötigen Verwaltungsaufwand für die Behörden vermeidet</w:t>
      </w:r>
      <w:r w:rsidRPr="00160FAB">
        <w:t>.</w:t>
      </w:r>
    </w:p>
    <w:p w14:paraId="58D28EEC" w14:textId="77777777" w:rsidR="00733267" w:rsidRPr="00160FAB" w:rsidRDefault="00733267" w:rsidP="00733267">
      <w:pPr>
        <w:jc w:val="left"/>
      </w:pPr>
    </w:p>
    <w:p w14:paraId="58D28EED" w14:textId="680205CD" w:rsidR="00733267" w:rsidRPr="00160FAB" w:rsidRDefault="00733267" w:rsidP="00733267">
      <w:r w:rsidRPr="00160FAB">
        <w:fldChar w:fldCharType="begin"/>
      </w:r>
      <w:r w:rsidRPr="00160FAB">
        <w:instrText xml:space="preserve"> AUTONUM  </w:instrText>
      </w:r>
      <w:r w:rsidRPr="00160FAB">
        <w:fldChar w:fldCharType="end"/>
      </w:r>
      <w:r w:rsidRPr="00160FAB">
        <w:tab/>
      </w:r>
      <w:r w:rsidR="008354AD" w:rsidRPr="00590C76">
        <w:t xml:space="preserve">Die TWA nahm die Bedeutung der Vertraulichkeit </w:t>
      </w:r>
      <w:r w:rsidR="008354AD">
        <w:t xml:space="preserve">von </w:t>
      </w:r>
      <w:r w:rsidR="008354AD" w:rsidRPr="00590C76">
        <w:t>molekulare</w:t>
      </w:r>
      <w:r w:rsidR="008354AD">
        <w:t>n</w:t>
      </w:r>
      <w:r w:rsidR="008354AD" w:rsidRPr="00590C76">
        <w:t xml:space="preserve"> Informationen für Züchter zur Kenntnis und vereinbarte, da</w:t>
      </w:r>
      <w:r w:rsidR="008354AD">
        <w:t>ss</w:t>
      </w:r>
      <w:r w:rsidR="008354AD" w:rsidRPr="00590C76">
        <w:t xml:space="preserve"> weitere Erörterungen zu diesem Thema erforderlich seien.</w:t>
      </w:r>
      <w:r w:rsidR="008354AD">
        <w:t xml:space="preserve"> </w:t>
      </w:r>
      <w:r w:rsidR="008354AD" w:rsidRPr="00590C76">
        <w:t>Die TWA nahm zur Kenntnis, da</w:t>
      </w:r>
      <w:r w:rsidR="008354AD">
        <w:t>ss</w:t>
      </w:r>
      <w:r w:rsidR="008354AD" w:rsidRPr="00590C76">
        <w:t xml:space="preserve"> die Vertraulichkeit </w:t>
      </w:r>
      <w:r w:rsidR="008354AD">
        <w:t xml:space="preserve">von </w:t>
      </w:r>
      <w:r w:rsidR="008354AD" w:rsidRPr="00590C76">
        <w:t>molekulare</w:t>
      </w:r>
      <w:r w:rsidR="008354AD">
        <w:t>n</w:t>
      </w:r>
      <w:r w:rsidR="008354AD" w:rsidRPr="00590C76">
        <w:t xml:space="preserve"> Informationen in verschiedenen UPOV-Mitgliedern Gegenstand von </w:t>
      </w:r>
      <w:r w:rsidR="008354AD" w:rsidRPr="00B16BF5">
        <w:t>Rechtsvorschriften</w:t>
      </w:r>
      <w:r w:rsidR="008354AD" w:rsidRPr="00590C76">
        <w:t xml:space="preserve"> sein könnte, und vereinbarte, um Referate auf ihrer einundfünfzigsten Tagung zu ersuchen.</w:t>
      </w:r>
      <w:r w:rsidR="008354AD">
        <w:t xml:space="preserve"> </w:t>
      </w:r>
      <w:r w:rsidR="008354AD" w:rsidRPr="00590C76">
        <w:t>Die TWA nahm die Interessenbekundung Argentiniens zur Kenntnis, auf der einundfünfzigsten Tagung der TWA ein Referat zu diesem Thema zu halten</w:t>
      </w:r>
      <w:r w:rsidRPr="00160FAB">
        <w:t>.</w:t>
      </w:r>
    </w:p>
    <w:p w14:paraId="58D28EEE" w14:textId="77777777" w:rsidR="00733267" w:rsidRPr="00160FAB" w:rsidRDefault="00733267" w:rsidP="00733267"/>
    <w:p w14:paraId="58D28EEF" w14:textId="7A0042F4" w:rsidR="00733267" w:rsidRPr="00160FAB" w:rsidRDefault="00733267" w:rsidP="00733267">
      <w:pPr>
        <w:rPr>
          <w:rFonts w:cs="Arial"/>
          <w:i/>
          <w:snapToGrid w:val="0"/>
        </w:rPr>
      </w:pPr>
      <w:r w:rsidRPr="00160FAB">
        <w:fldChar w:fldCharType="begin"/>
      </w:r>
      <w:r w:rsidRPr="00160FAB">
        <w:instrText xml:space="preserve"> AUTONUM  </w:instrText>
      </w:r>
      <w:r w:rsidRPr="00160FAB">
        <w:fldChar w:fldCharType="end"/>
      </w:r>
      <w:r w:rsidRPr="00160FAB">
        <w:tab/>
      </w:r>
      <w:r w:rsidR="0096147A" w:rsidRPr="0096147A">
        <w:t xml:space="preserve">Die TWF nahm zur Kenntnis, </w:t>
      </w:r>
      <w:r w:rsidR="0096147A">
        <w:t>dass</w:t>
      </w:r>
      <w:r w:rsidR="0096147A" w:rsidRPr="0096147A">
        <w:t xml:space="preserve"> die Frage der Vertraulichkeit</w:t>
      </w:r>
      <w:r w:rsidR="008354AD">
        <w:t xml:space="preserve"> von</w:t>
      </w:r>
      <w:r w:rsidR="0096147A" w:rsidRPr="0096147A">
        <w:t xml:space="preserve"> und des Eigentums an molekularen Informationen im Obstsektor nicht im Detail geprüft worden sei, und vereinbarte, </w:t>
      </w:r>
      <w:r w:rsidR="0096147A">
        <w:t>dass</w:t>
      </w:r>
      <w:r w:rsidR="0096147A" w:rsidRPr="0096147A">
        <w:t xml:space="preserve"> weitere Erörterungen erforderlich seien. Die TWF vereinbarte, unter dem Tagesordnungspunkt </w:t>
      </w:r>
      <w:r w:rsidR="00320143">
        <w:t>„</w:t>
      </w:r>
      <w:r w:rsidR="0096147A" w:rsidRPr="0096147A">
        <w:t>Referat über die Verwendung molekularer Verfahren bei der DUS-Prüfung</w:t>
      </w:r>
      <w:r w:rsidR="00320143">
        <w:t>“</w:t>
      </w:r>
      <w:r w:rsidR="0096147A" w:rsidRPr="0096147A">
        <w:t xml:space="preserve"> auf ihrer dreiundfünfzigsten Tagung um Referate von Mitgliedern und Beobachtern zu diesem Thema zu ersuchen</w:t>
      </w:r>
      <w:r w:rsidRPr="00160FAB">
        <w:t>.</w:t>
      </w:r>
    </w:p>
    <w:p w14:paraId="58D28EF0" w14:textId="77777777" w:rsidR="00733267" w:rsidRPr="00160FAB" w:rsidRDefault="00733267" w:rsidP="00733267">
      <w:pPr>
        <w:jc w:val="left"/>
      </w:pPr>
    </w:p>
    <w:p w14:paraId="58D28EF1" w14:textId="70D2F216" w:rsidR="00733267" w:rsidRPr="00160FAB" w:rsidRDefault="00733267" w:rsidP="00733267">
      <w:pPr>
        <w:rPr>
          <w:rFonts w:cs="Arial"/>
          <w:iCs/>
        </w:rPr>
      </w:pPr>
      <w:r w:rsidRPr="00160FAB">
        <w:rPr>
          <w:rFonts w:cs="Arial"/>
          <w:iCs/>
        </w:rPr>
        <w:fldChar w:fldCharType="begin"/>
      </w:r>
      <w:r w:rsidRPr="00160FAB">
        <w:rPr>
          <w:rFonts w:cs="Arial"/>
          <w:iCs/>
        </w:rPr>
        <w:instrText xml:space="preserve"> AUTONUM  </w:instrText>
      </w:r>
      <w:r w:rsidRPr="00160FAB">
        <w:rPr>
          <w:rFonts w:cs="Arial"/>
          <w:iCs/>
        </w:rPr>
        <w:fldChar w:fldCharType="end"/>
      </w:r>
      <w:r w:rsidRPr="00160FAB">
        <w:rPr>
          <w:rFonts w:cs="Arial"/>
          <w:iCs/>
        </w:rPr>
        <w:tab/>
      </w:r>
      <w:r w:rsidR="0096147A" w:rsidRPr="0096147A">
        <w:rPr>
          <w:rFonts w:cs="Arial"/>
          <w:iCs/>
        </w:rPr>
        <w:t xml:space="preserve">Die BMT nahm zur Kenntnis, </w:t>
      </w:r>
      <w:r w:rsidR="0096147A">
        <w:rPr>
          <w:rFonts w:cs="Arial"/>
          <w:iCs/>
        </w:rPr>
        <w:t>dass</w:t>
      </w:r>
      <w:r w:rsidR="0096147A" w:rsidRPr="0096147A">
        <w:rPr>
          <w:rFonts w:cs="Arial"/>
          <w:iCs/>
        </w:rPr>
        <w:t xml:space="preserve"> in den Technischen Arbeitsgruppen auf ihren Tagungen </w:t>
      </w:r>
      <w:r w:rsidR="00F43174">
        <w:rPr>
          <w:rFonts w:cs="Arial"/>
          <w:iCs/>
        </w:rPr>
        <w:t>im Jahr</w:t>
      </w:r>
      <w:r w:rsidR="0096147A" w:rsidRPr="0096147A">
        <w:rPr>
          <w:rFonts w:cs="Arial"/>
          <w:iCs/>
        </w:rPr>
        <w:t xml:space="preserve"> 2021 Erörterungen über Vertraulichkeit</w:t>
      </w:r>
      <w:r w:rsidR="00E738B6">
        <w:rPr>
          <w:rFonts w:cs="Arial"/>
          <w:iCs/>
        </w:rPr>
        <w:t xml:space="preserve"> von</w:t>
      </w:r>
      <w:r w:rsidR="0096147A" w:rsidRPr="0096147A">
        <w:rPr>
          <w:rFonts w:cs="Arial"/>
          <w:iCs/>
        </w:rPr>
        <w:t xml:space="preserve">, Eigentum </w:t>
      </w:r>
      <w:r w:rsidR="00E738B6">
        <w:rPr>
          <w:rFonts w:cs="Arial"/>
          <w:iCs/>
        </w:rPr>
        <w:t xml:space="preserve">an </w:t>
      </w:r>
      <w:r w:rsidR="0096147A" w:rsidRPr="0096147A">
        <w:rPr>
          <w:rFonts w:cs="Arial"/>
          <w:iCs/>
        </w:rPr>
        <w:t>und Zugang zu molekularen Daten stattgefunden hätten.</w:t>
      </w:r>
      <w:r w:rsidR="000817C9">
        <w:rPr>
          <w:rFonts w:cs="Arial"/>
          <w:iCs/>
        </w:rPr>
        <w:t xml:space="preserve"> </w:t>
      </w:r>
      <w:r w:rsidR="0096147A" w:rsidRPr="0096147A">
        <w:rPr>
          <w:rFonts w:cs="Arial"/>
          <w:iCs/>
        </w:rPr>
        <w:t xml:space="preserve">Die BMT nahm zur Kenntnis, </w:t>
      </w:r>
      <w:r w:rsidR="0096147A">
        <w:rPr>
          <w:rFonts w:cs="Arial"/>
          <w:iCs/>
        </w:rPr>
        <w:t>dass</w:t>
      </w:r>
      <w:r w:rsidR="0096147A" w:rsidRPr="0096147A">
        <w:rPr>
          <w:rFonts w:cs="Arial"/>
          <w:iCs/>
        </w:rPr>
        <w:t xml:space="preserve"> die TWP zu weiteren Erörterungen </w:t>
      </w:r>
      <w:r w:rsidR="00E738B6">
        <w:rPr>
          <w:rFonts w:cs="Arial"/>
          <w:iCs/>
        </w:rPr>
        <w:t>zu</w:t>
      </w:r>
      <w:r w:rsidR="0096147A" w:rsidRPr="0096147A">
        <w:rPr>
          <w:rFonts w:cs="Arial"/>
          <w:iCs/>
        </w:rPr>
        <w:t xml:space="preserve"> diese</w:t>
      </w:r>
      <w:r w:rsidR="00E738B6">
        <w:rPr>
          <w:rFonts w:cs="Arial"/>
          <w:iCs/>
        </w:rPr>
        <w:t>m</w:t>
      </w:r>
      <w:r w:rsidR="0096147A" w:rsidRPr="0096147A">
        <w:rPr>
          <w:rFonts w:cs="Arial"/>
          <w:iCs/>
        </w:rPr>
        <w:t xml:space="preserve"> Thema für ihre nächsten Tagungen </w:t>
      </w:r>
      <w:r w:rsidR="00E738B6">
        <w:rPr>
          <w:rFonts w:cs="Arial"/>
          <w:iCs/>
        </w:rPr>
        <w:t>ersucht</w:t>
      </w:r>
      <w:r w:rsidR="0096147A" w:rsidRPr="0096147A">
        <w:rPr>
          <w:rFonts w:cs="Arial"/>
          <w:iCs/>
        </w:rPr>
        <w:t xml:space="preserve"> hätten</w:t>
      </w:r>
      <w:r w:rsidRPr="00160FAB">
        <w:rPr>
          <w:rFonts w:cs="Arial"/>
          <w:iCs/>
        </w:rPr>
        <w:t>.</w:t>
      </w:r>
    </w:p>
    <w:p w14:paraId="58D28EF2" w14:textId="77777777" w:rsidR="00733267" w:rsidRPr="00160FAB" w:rsidRDefault="00733267" w:rsidP="00733267">
      <w:pPr>
        <w:rPr>
          <w:rFonts w:cs="Arial"/>
          <w:iCs/>
        </w:rPr>
      </w:pPr>
    </w:p>
    <w:p w14:paraId="58D28EF3" w14:textId="7C114910" w:rsidR="00733267" w:rsidRPr="00160FAB" w:rsidRDefault="00733267" w:rsidP="00733267">
      <w:pPr>
        <w:rPr>
          <w:rFonts w:cs="Arial"/>
          <w:iCs/>
        </w:rPr>
      </w:pPr>
      <w:r w:rsidRPr="00160FAB">
        <w:rPr>
          <w:rFonts w:cs="Arial"/>
          <w:iCs/>
        </w:rPr>
        <w:fldChar w:fldCharType="begin"/>
      </w:r>
      <w:r w:rsidRPr="00160FAB">
        <w:rPr>
          <w:rFonts w:cs="Arial"/>
          <w:iCs/>
        </w:rPr>
        <w:instrText xml:space="preserve"> AUTONUM  </w:instrText>
      </w:r>
      <w:r w:rsidRPr="00160FAB">
        <w:rPr>
          <w:rFonts w:cs="Arial"/>
          <w:iCs/>
        </w:rPr>
        <w:fldChar w:fldCharType="end"/>
      </w:r>
      <w:r w:rsidRPr="00160FAB">
        <w:rPr>
          <w:rFonts w:cs="Arial"/>
          <w:iCs/>
        </w:rPr>
        <w:tab/>
      </w:r>
      <w:r w:rsidR="0096147A" w:rsidRPr="0096147A">
        <w:rPr>
          <w:rFonts w:cs="Arial"/>
          <w:iCs/>
        </w:rPr>
        <w:t xml:space="preserve">Die BMT vereinbarte, um Referate über die derzeitigen Praktiken bezüglich der Vertraulichkeit </w:t>
      </w:r>
      <w:r w:rsidR="00E738B6">
        <w:rPr>
          <w:rFonts w:cs="Arial"/>
          <w:iCs/>
        </w:rPr>
        <w:t xml:space="preserve">von </w:t>
      </w:r>
      <w:r w:rsidR="0096147A" w:rsidRPr="0096147A">
        <w:rPr>
          <w:rFonts w:cs="Arial"/>
          <w:iCs/>
        </w:rPr>
        <w:t>und des Zugangs zu molekularen Daten zu ersuchen, die auf der ersten Tagung der TWM gehalten werden sollen.</w:t>
      </w:r>
      <w:r w:rsidR="000817C9">
        <w:rPr>
          <w:rFonts w:cs="Arial"/>
          <w:iCs/>
        </w:rPr>
        <w:t xml:space="preserve"> </w:t>
      </w:r>
      <w:r w:rsidR="0096147A" w:rsidRPr="0096147A">
        <w:rPr>
          <w:rFonts w:cs="Arial"/>
          <w:iCs/>
        </w:rPr>
        <w:t xml:space="preserve">Die BMT vereinbarte, </w:t>
      </w:r>
      <w:r w:rsidR="0096147A">
        <w:rPr>
          <w:rFonts w:cs="Arial"/>
          <w:iCs/>
        </w:rPr>
        <w:t>dass</w:t>
      </w:r>
      <w:r w:rsidR="0096147A" w:rsidRPr="0096147A">
        <w:rPr>
          <w:rFonts w:cs="Arial"/>
          <w:iCs/>
        </w:rPr>
        <w:t xml:space="preserve"> die derzeitigen Praktiken bei UPOV-Mitgliedern und Beobachtern eine geeignete Grundlage für weitere Erörterungen zu diesem Thema bilden könnten</w:t>
      </w:r>
      <w:r w:rsidRPr="00160FAB">
        <w:rPr>
          <w:rFonts w:cs="Arial"/>
          <w:iCs/>
        </w:rPr>
        <w:t xml:space="preserve">. </w:t>
      </w:r>
    </w:p>
    <w:p w14:paraId="58D28EF4" w14:textId="77777777" w:rsidR="00733267" w:rsidRPr="00160FAB" w:rsidRDefault="00733267" w:rsidP="008E521A"/>
    <w:p w14:paraId="58D28EF5" w14:textId="77777777" w:rsidR="00D14394" w:rsidRPr="00160FAB" w:rsidRDefault="00D14394" w:rsidP="00D14394"/>
    <w:p w14:paraId="58D28EF6" w14:textId="719FD60F" w:rsidR="00D14394" w:rsidRPr="00160FAB" w:rsidRDefault="00D14394" w:rsidP="00595E41">
      <w:pPr>
        <w:jc w:val="right"/>
      </w:pPr>
      <w:r w:rsidRPr="00160FAB">
        <w:t>[</w:t>
      </w:r>
      <w:r w:rsidR="00C92A45">
        <w:t>Anlagen folgen</w:t>
      </w:r>
      <w:r w:rsidRPr="00160FAB">
        <w:t>]</w:t>
      </w:r>
    </w:p>
    <w:p w14:paraId="58D28EF7" w14:textId="77777777" w:rsidR="000E52A6" w:rsidRPr="00160FAB" w:rsidRDefault="000E52A6" w:rsidP="00595E41">
      <w:pPr>
        <w:ind w:right="500"/>
        <w:sectPr w:rsidR="000E52A6" w:rsidRPr="00160FAB" w:rsidSect="0004198B">
          <w:headerReference w:type="default" r:id="rId9"/>
          <w:pgSz w:w="11907" w:h="16840" w:code="9"/>
          <w:pgMar w:top="510" w:right="1134" w:bottom="1134" w:left="1134" w:header="510" w:footer="680" w:gutter="0"/>
          <w:pgNumType w:start="1"/>
          <w:cols w:space="720"/>
          <w:titlePg/>
        </w:sectPr>
      </w:pPr>
    </w:p>
    <w:p w14:paraId="58D28EF8" w14:textId="1EDC4EB6" w:rsidR="007E07ED" w:rsidRPr="00160FAB" w:rsidRDefault="002A2A74" w:rsidP="007E07ED">
      <w:r w:rsidRPr="002A2A74">
        <w:lastRenderedPageBreak/>
        <w:t>ELEMENTE FÜR EINEN ENTWURF EINES GEMEINSAMEN DOKUMENTES ZUR ERLÄUTERUNG DER WESENTLICHEN BESONDERHEITEN DER SYSTEME DER OECD, UPOV UND ISTA</w:t>
      </w:r>
    </w:p>
    <w:p w14:paraId="58D28EF9" w14:textId="77777777" w:rsidR="007E07ED" w:rsidRPr="00160FAB" w:rsidRDefault="007E07ED" w:rsidP="007E07ED"/>
    <w:p w14:paraId="58D28EFA" w14:textId="2ADB808A" w:rsidR="007E07ED" w:rsidRPr="00160FAB" w:rsidRDefault="009C7A7A" w:rsidP="007E07ED">
      <w:pPr>
        <w:rPr>
          <w:bCs/>
          <w:u w:val="single"/>
        </w:rPr>
      </w:pPr>
      <w:r w:rsidRPr="00BD6A76">
        <w:rPr>
          <w:bCs/>
          <w:u w:val="single"/>
        </w:rPr>
        <w:t>Organisation für wirtschaftliche Zusammenarbeit und Entwicklung (OECD</w:t>
      </w:r>
      <w:r w:rsidR="007E07ED" w:rsidRPr="00160FAB">
        <w:rPr>
          <w:bCs/>
          <w:u w:val="single"/>
        </w:rPr>
        <w:t>)</w:t>
      </w:r>
    </w:p>
    <w:p w14:paraId="58D28EFB" w14:textId="77777777" w:rsidR="007E07ED" w:rsidRPr="00160FAB" w:rsidRDefault="007E07ED" w:rsidP="007E07ED"/>
    <w:p w14:paraId="58D28EFC" w14:textId="2F9A4A58" w:rsidR="007E07ED" w:rsidRPr="00160FAB" w:rsidRDefault="005D7044" w:rsidP="007E07ED">
      <w:pPr>
        <w:spacing w:before="91"/>
        <w:rPr>
          <w:i/>
        </w:rPr>
      </w:pPr>
      <w:r w:rsidRPr="00BD6A76">
        <w:rPr>
          <w:i/>
        </w:rPr>
        <w:t>Was sind die Saatgutsysteme der OECD</w:t>
      </w:r>
      <w:r w:rsidR="007E07ED" w:rsidRPr="00160FAB">
        <w:rPr>
          <w:i/>
        </w:rPr>
        <w:t>?</w:t>
      </w:r>
    </w:p>
    <w:p w14:paraId="58D28EFD" w14:textId="77777777" w:rsidR="007E07ED" w:rsidRPr="00160FAB" w:rsidRDefault="007E07ED" w:rsidP="007E07ED">
      <w:pPr>
        <w:spacing w:before="4"/>
        <w:rPr>
          <w:b/>
        </w:rPr>
      </w:pPr>
    </w:p>
    <w:p w14:paraId="58D28EFE" w14:textId="3D7EF377" w:rsidR="007E07ED" w:rsidRPr="00160FAB" w:rsidRDefault="00167265" w:rsidP="007E07ED">
      <w:pPr>
        <w:widowControl w:val="0"/>
        <w:tabs>
          <w:tab w:val="left" w:pos="1125"/>
          <w:tab w:val="left" w:pos="1126"/>
        </w:tabs>
        <w:autoSpaceDE w:val="0"/>
        <w:autoSpaceDN w:val="0"/>
        <w:spacing w:before="1"/>
        <w:ind w:right="214"/>
        <w:rPr>
          <w:rFonts w:cs="Arial"/>
          <w:lang w:eastAsia="en-GB" w:bidi="en-GB"/>
        </w:rPr>
      </w:pPr>
      <w:r w:rsidRPr="00BD6A76">
        <w:rPr>
          <w:rFonts w:cs="Arial"/>
          <w:lang w:eastAsia="en-GB" w:bidi="en-GB"/>
        </w:rPr>
        <w:t>Die OECD-Saatgutsysteme schaffen einen internationalen Rahmen für die Zertifizierung von landwirtschaftlichem Sortensaatgut, das in den internationalen Verkehr gebracht wird. Die Saatgutsysteme wurden 1958 aufgrund einer Kombination von auslösenden Faktoren gegründet, zu denen ein schnell wachsender Saatguthandel, die europaweite Harmonisierung von Vorschriften, die Entwicklung der Nebensaison-Erzeugung, die Saatzucht und das Produktionspotential großer Exportstaaten in Amerika (Nord- und Südkontinent) und Europa und die Unterstützung durch die</w:t>
      </w:r>
      <w:r w:rsidR="00CF47B8">
        <w:rPr>
          <w:rFonts w:cs="Arial"/>
          <w:lang w:eastAsia="en-GB" w:bidi="en-GB"/>
        </w:rPr>
        <w:t xml:space="preserve"> Privatwirtschaft gehörten. Die </w:t>
      </w:r>
      <w:r w:rsidRPr="00BD6A76">
        <w:rPr>
          <w:rFonts w:cs="Arial"/>
          <w:lang w:eastAsia="en-GB" w:bidi="en-GB"/>
        </w:rPr>
        <w:t>Mitgliedschaft in den Saatgutsystemen ist freiwillig, und die Beteiligung schwankt. Es gibt sieben landwirtschaftliche Saatgutsysteme</w:t>
      </w:r>
      <w:r w:rsidR="007E07ED" w:rsidRPr="00160FAB">
        <w:rPr>
          <w:rFonts w:cs="Arial"/>
          <w:lang w:eastAsia="en-GB" w:bidi="en-GB"/>
        </w:rPr>
        <w:t>.</w:t>
      </w:r>
    </w:p>
    <w:p w14:paraId="58D28EFF" w14:textId="77777777" w:rsidR="007E07ED" w:rsidRPr="00160FAB" w:rsidRDefault="007E07ED" w:rsidP="007E07ED">
      <w:pPr>
        <w:spacing w:before="3"/>
        <w:rPr>
          <w:rFonts w:cs="Arial"/>
        </w:rPr>
      </w:pPr>
    </w:p>
    <w:p w14:paraId="58D28F00" w14:textId="40A978B5" w:rsidR="007E07ED" w:rsidRPr="00160FAB" w:rsidRDefault="00E25ED7" w:rsidP="007E07ED">
      <w:pPr>
        <w:rPr>
          <w:i/>
        </w:rPr>
      </w:pPr>
      <w:bookmarkStart w:id="34" w:name="Participating_countries"/>
      <w:bookmarkEnd w:id="34"/>
      <w:r w:rsidRPr="00BD6A76">
        <w:rPr>
          <w:i/>
        </w:rPr>
        <w:t>Teilnehmerländer</w:t>
      </w:r>
    </w:p>
    <w:p w14:paraId="58D28F01" w14:textId="77777777" w:rsidR="007E07ED" w:rsidRPr="00160FAB" w:rsidRDefault="007E07ED" w:rsidP="007E07ED">
      <w:pPr>
        <w:spacing w:before="4"/>
        <w:rPr>
          <w:rFonts w:cs="Arial"/>
          <w:b/>
        </w:rPr>
      </w:pPr>
    </w:p>
    <w:p w14:paraId="58D28F02" w14:textId="428AD9CC" w:rsidR="007E07ED" w:rsidRPr="00160FAB" w:rsidRDefault="00315EA2" w:rsidP="007E07ED">
      <w:pPr>
        <w:widowControl w:val="0"/>
        <w:tabs>
          <w:tab w:val="left" w:pos="567"/>
        </w:tabs>
        <w:autoSpaceDE w:val="0"/>
        <w:autoSpaceDN w:val="0"/>
        <w:spacing w:before="1"/>
        <w:ind w:right="216"/>
        <w:rPr>
          <w:rFonts w:cs="Arial"/>
          <w:lang w:eastAsia="en-GB" w:bidi="en-GB"/>
        </w:rPr>
      </w:pPr>
      <w:r w:rsidRPr="00315EA2">
        <w:rPr>
          <w:rFonts w:cs="Arial"/>
          <w:lang w:eastAsia="en-GB" w:bidi="en-GB"/>
        </w:rPr>
        <w:t>59 Länder aus Europa, Nord- und Südamerika, Afrika, dem Nahen Osten, Asien und Ozeanien nehmen derzeit an den Saatgutsystemen der OECD teil</w:t>
      </w:r>
      <w:r w:rsidR="007E07ED" w:rsidRPr="00160FAB">
        <w:rPr>
          <w:rFonts w:cs="Arial"/>
          <w:lang w:eastAsia="en-GB" w:bidi="en-GB"/>
        </w:rPr>
        <w:t>:</w:t>
      </w:r>
    </w:p>
    <w:p w14:paraId="58D28F03" w14:textId="77777777" w:rsidR="007E07ED" w:rsidRPr="00160FAB" w:rsidRDefault="007E07ED" w:rsidP="007E07ED">
      <w:pPr>
        <w:spacing w:before="5"/>
        <w:rPr>
          <w:sz w:val="21"/>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9C5DDE" w:rsidRPr="00160FAB" w14:paraId="58D28F08" w14:textId="77777777" w:rsidTr="007C231A">
        <w:trPr>
          <w:trHeight w:val="257"/>
        </w:trPr>
        <w:tc>
          <w:tcPr>
            <w:tcW w:w="2482" w:type="dxa"/>
            <w:tcBorders>
              <w:top w:val="single" w:sz="4" w:space="0" w:color="000000"/>
            </w:tcBorders>
            <w:shd w:val="clear" w:color="auto" w:fill="DBE5F1"/>
          </w:tcPr>
          <w:p w14:paraId="58D28F04" w14:textId="0337FC06" w:rsidR="009C5DDE" w:rsidRPr="00160FAB" w:rsidRDefault="009C5DDE" w:rsidP="009C5DDE">
            <w:pPr>
              <w:widowControl w:val="0"/>
              <w:autoSpaceDE w:val="0"/>
              <w:autoSpaceDN w:val="0"/>
              <w:spacing w:before="34" w:line="208" w:lineRule="exact"/>
              <w:jc w:val="left"/>
              <w:rPr>
                <w:rFonts w:ascii="Trebuchet MS" w:eastAsia="Trebuchet MS" w:hAnsi="Trebuchet MS" w:cs="Trebuchet MS"/>
                <w:sz w:val="18"/>
                <w:szCs w:val="22"/>
                <w:lang w:eastAsia="en-GB" w:bidi="en-GB"/>
              </w:rPr>
            </w:pPr>
            <w:r w:rsidRPr="00BD6A76">
              <w:rPr>
                <w:rFonts w:ascii="Trebuchet MS" w:hAnsi="Trebuchet MS"/>
                <w:sz w:val="18"/>
                <w:szCs w:val="18"/>
              </w:rPr>
              <w:t>ÄGYPTEN</w:t>
            </w:r>
          </w:p>
        </w:tc>
        <w:tc>
          <w:tcPr>
            <w:tcW w:w="1438" w:type="dxa"/>
            <w:tcBorders>
              <w:top w:val="single" w:sz="4" w:space="0" w:color="000000"/>
            </w:tcBorders>
          </w:tcPr>
          <w:p w14:paraId="58D28F05" w14:textId="541DEC15" w:rsidR="009C5DDE" w:rsidRPr="00160FAB" w:rsidRDefault="009C5DDE" w:rsidP="009C5DDE">
            <w:pPr>
              <w:widowControl w:val="0"/>
              <w:autoSpaceDE w:val="0"/>
              <w:autoSpaceDN w:val="0"/>
              <w:spacing w:before="34"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tcBorders>
              <w:top w:val="single" w:sz="8" w:space="0" w:color="000000"/>
            </w:tcBorders>
            <w:shd w:val="clear" w:color="auto" w:fill="DBE5F1"/>
          </w:tcPr>
          <w:p w14:paraId="58D28F06" w14:textId="597C00DF" w:rsidR="009C5DDE" w:rsidRPr="00160FAB" w:rsidRDefault="009C5DDE" w:rsidP="009C5DDE">
            <w:pPr>
              <w:widowControl w:val="0"/>
              <w:autoSpaceDE w:val="0"/>
              <w:autoSpaceDN w:val="0"/>
              <w:spacing w:before="29"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MOLDAU</w:t>
            </w:r>
          </w:p>
        </w:tc>
        <w:tc>
          <w:tcPr>
            <w:tcW w:w="1143" w:type="dxa"/>
            <w:tcBorders>
              <w:top w:val="single" w:sz="8" w:space="0" w:color="000000"/>
            </w:tcBorders>
          </w:tcPr>
          <w:p w14:paraId="58D28F07" w14:textId="4D0759AD" w:rsidR="009C5DDE" w:rsidRPr="00160FAB" w:rsidRDefault="009C5DDE" w:rsidP="009C5DDE">
            <w:pPr>
              <w:widowControl w:val="0"/>
              <w:autoSpaceDE w:val="0"/>
              <w:autoSpaceDN w:val="0"/>
              <w:spacing w:before="29"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r>
      <w:tr w:rsidR="009C5DDE" w:rsidRPr="00160FAB" w14:paraId="58D28F0D" w14:textId="77777777" w:rsidTr="007C231A">
        <w:trPr>
          <w:trHeight w:val="248"/>
        </w:trPr>
        <w:tc>
          <w:tcPr>
            <w:tcW w:w="2482" w:type="dxa"/>
            <w:shd w:val="clear" w:color="auto" w:fill="DBE5F1"/>
          </w:tcPr>
          <w:p w14:paraId="58D28F09" w14:textId="09D875DC"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ALBANIEN</w:t>
            </w:r>
          </w:p>
        </w:tc>
        <w:tc>
          <w:tcPr>
            <w:tcW w:w="1438" w:type="dxa"/>
          </w:tcPr>
          <w:p w14:paraId="58D28F0A" w14:textId="16E5B12B"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58D28F0B" w14:textId="40CD4B33"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NEUSEELAND</w:t>
            </w:r>
          </w:p>
        </w:tc>
        <w:tc>
          <w:tcPr>
            <w:tcW w:w="1143" w:type="dxa"/>
          </w:tcPr>
          <w:p w14:paraId="58D28F0C" w14:textId="6398C7C4"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r>
      <w:tr w:rsidR="009C5DDE" w:rsidRPr="00160FAB" w14:paraId="58D28F12" w14:textId="77777777" w:rsidTr="007C231A">
        <w:trPr>
          <w:trHeight w:val="249"/>
        </w:trPr>
        <w:tc>
          <w:tcPr>
            <w:tcW w:w="2482" w:type="dxa"/>
            <w:shd w:val="clear" w:color="auto" w:fill="DBE5F1"/>
          </w:tcPr>
          <w:p w14:paraId="58D28F0E" w14:textId="67A7424F"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ARGENTINIEN</w:t>
            </w:r>
          </w:p>
        </w:tc>
        <w:tc>
          <w:tcPr>
            <w:tcW w:w="1438" w:type="dxa"/>
          </w:tcPr>
          <w:p w14:paraId="58D28F0F" w14:textId="3D373469"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58D28F10" w14:textId="3AE3A124"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NIEDERLANDE</w:t>
            </w:r>
          </w:p>
        </w:tc>
        <w:tc>
          <w:tcPr>
            <w:tcW w:w="1143" w:type="dxa"/>
          </w:tcPr>
          <w:p w14:paraId="58D28F11" w14:textId="0DFD0AAB"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r>
      <w:tr w:rsidR="009C5DDE" w:rsidRPr="00160FAB" w14:paraId="58D28F17" w14:textId="77777777" w:rsidTr="007C231A">
        <w:trPr>
          <w:trHeight w:val="249"/>
        </w:trPr>
        <w:tc>
          <w:tcPr>
            <w:tcW w:w="2482" w:type="dxa"/>
            <w:shd w:val="clear" w:color="auto" w:fill="DBE5F1"/>
          </w:tcPr>
          <w:p w14:paraId="58D28F13" w14:textId="520F5777"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AUSTRALIEN</w:t>
            </w:r>
          </w:p>
        </w:tc>
        <w:tc>
          <w:tcPr>
            <w:tcW w:w="1438" w:type="dxa"/>
          </w:tcPr>
          <w:p w14:paraId="58D28F14" w14:textId="2FD3EAED"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8D28F15" w14:textId="13CF41A6"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NORWEGEN</w:t>
            </w:r>
          </w:p>
        </w:tc>
        <w:tc>
          <w:tcPr>
            <w:tcW w:w="1143" w:type="dxa"/>
          </w:tcPr>
          <w:p w14:paraId="58D28F16" w14:textId="1EEC5134"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r>
      <w:tr w:rsidR="009C5DDE" w:rsidRPr="00160FAB" w14:paraId="58D28F1C" w14:textId="77777777" w:rsidTr="007C231A">
        <w:trPr>
          <w:trHeight w:val="248"/>
        </w:trPr>
        <w:tc>
          <w:tcPr>
            <w:tcW w:w="2482" w:type="dxa"/>
            <w:shd w:val="clear" w:color="auto" w:fill="DBE5F1"/>
          </w:tcPr>
          <w:p w14:paraId="58D28F18" w14:textId="3CCFD8BC" w:rsidR="009C5DDE" w:rsidRPr="00160FAB" w:rsidRDefault="009C5DDE" w:rsidP="009C5DDE">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BD6A76">
              <w:rPr>
                <w:rFonts w:ascii="Trebuchet MS" w:hAnsi="Trebuchet MS"/>
                <w:sz w:val="18"/>
                <w:szCs w:val="18"/>
              </w:rPr>
              <w:t>BELGIEN</w:t>
            </w:r>
          </w:p>
        </w:tc>
        <w:tc>
          <w:tcPr>
            <w:tcW w:w="1438" w:type="dxa"/>
          </w:tcPr>
          <w:p w14:paraId="58D28F19" w14:textId="6B0CC4CC" w:rsidR="009C5DDE" w:rsidRPr="00160FAB" w:rsidRDefault="009C5DDE" w:rsidP="009C5DDE">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8D28F1A" w14:textId="49E71381" w:rsidR="009C5DDE" w:rsidRPr="00160FAB" w:rsidRDefault="009C5DDE" w:rsidP="009C5DDE">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ÖSTERREICH</w:t>
            </w:r>
          </w:p>
        </w:tc>
        <w:tc>
          <w:tcPr>
            <w:tcW w:w="1143" w:type="dxa"/>
          </w:tcPr>
          <w:p w14:paraId="58D28F1B" w14:textId="0BF00BBC" w:rsidR="009C5DDE" w:rsidRPr="00160FAB" w:rsidRDefault="009C5DDE" w:rsidP="009C5DDE">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r>
      <w:tr w:rsidR="009C5DDE" w:rsidRPr="00160FAB" w14:paraId="58D28F21" w14:textId="77777777" w:rsidTr="007C231A">
        <w:trPr>
          <w:trHeight w:val="248"/>
        </w:trPr>
        <w:tc>
          <w:tcPr>
            <w:tcW w:w="2482" w:type="dxa"/>
            <w:shd w:val="clear" w:color="auto" w:fill="DBE5F1"/>
          </w:tcPr>
          <w:p w14:paraId="58D28F1D" w14:textId="23C0A5F0"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BOLIVIEN</w:t>
            </w:r>
          </w:p>
        </w:tc>
        <w:tc>
          <w:tcPr>
            <w:tcW w:w="1438" w:type="dxa"/>
          </w:tcPr>
          <w:p w14:paraId="58D28F1E" w14:textId="1E086493"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58D28F1F" w14:textId="0AA75FF3"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POLEN</w:t>
            </w:r>
          </w:p>
        </w:tc>
        <w:tc>
          <w:tcPr>
            <w:tcW w:w="1143" w:type="dxa"/>
          </w:tcPr>
          <w:p w14:paraId="58D28F20" w14:textId="18C17C6C"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r>
      <w:tr w:rsidR="009C5DDE" w:rsidRPr="00160FAB" w14:paraId="58D28F26" w14:textId="77777777" w:rsidTr="007C231A">
        <w:trPr>
          <w:trHeight w:val="249"/>
        </w:trPr>
        <w:tc>
          <w:tcPr>
            <w:tcW w:w="2482" w:type="dxa"/>
            <w:shd w:val="clear" w:color="auto" w:fill="DBE5F1"/>
          </w:tcPr>
          <w:p w14:paraId="58D28F22" w14:textId="059E0831"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BRASILIEN</w:t>
            </w:r>
          </w:p>
        </w:tc>
        <w:tc>
          <w:tcPr>
            <w:tcW w:w="1438" w:type="dxa"/>
          </w:tcPr>
          <w:p w14:paraId="58D28F23" w14:textId="78AD1493"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58D28F24" w14:textId="1EDD3267"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PORTUGAL</w:t>
            </w:r>
          </w:p>
        </w:tc>
        <w:tc>
          <w:tcPr>
            <w:tcW w:w="1143" w:type="dxa"/>
          </w:tcPr>
          <w:p w14:paraId="58D28F25" w14:textId="79267D91"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r>
      <w:tr w:rsidR="009C5DDE" w:rsidRPr="00160FAB" w14:paraId="58D28F2B" w14:textId="77777777" w:rsidTr="007C231A">
        <w:trPr>
          <w:trHeight w:val="249"/>
        </w:trPr>
        <w:tc>
          <w:tcPr>
            <w:tcW w:w="2482" w:type="dxa"/>
            <w:shd w:val="clear" w:color="auto" w:fill="DBE5F1"/>
          </w:tcPr>
          <w:p w14:paraId="58D28F27" w14:textId="1A519082"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BULGARIEN</w:t>
            </w:r>
          </w:p>
        </w:tc>
        <w:tc>
          <w:tcPr>
            <w:tcW w:w="1438" w:type="dxa"/>
          </w:tcPr>
          <w:p w14:paraId="58D28F28" w14:textId="104E16D0"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58D28F29" w14:textId="440DBFCB"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RUMÄNIEN</w:t>
            </w:r>
          </w:p>
        </w:tc>
        <w:tc>
          <w:tcPr>
            <w:tcW w:w="1143" w:type="dxa"/>
          </w:tcPr>
          <w:p w14:paraId="58D28F2A" w14:textId="79049566"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Cs w:val="22"/>
                <w:lang w:eastAsia="en-GB" w:bidi="en-GB"/>
              </w:rPr>
              <w:t>(2)</w:t>
            </w:r>
          </w:p>
        </w:tc>
      </w:tr>
      <w:tr w:rsidR="009C5DDE" w:rsidRPr="00160FAB" w14:paraId="58D28F30" w14:textId="77777777" w:rsidTr="007C231A">
        <w:trPr>
          <w:trHeight w:val="248"/>
        </w:trPr>
        <w:tc>
          <w:tcPr>
            <w:tcW w:w="2482" w:type="dxa"/>
            <w:shd w:val="clear" w:color="auto" w:fill="DBE5F1"/>
          </w:tcPr>
          <w:p w14:paraId="58D28F2C" w14:textId="5BB0EE47" w:rsidR="009C5DDE" w:rsidRPr="00160FAB" w:rsidRDefault="009C5DDE" w:rsidP="009C5DDE">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BD6A76">
              <w:rPr>
                <w:rFonts w:ascii="Trebuchet MS" w:hAnsi="Trebuchet MS"/>
                <w:sz w:val="18"/>
                <w:szCs w:val="18"/>
              </w:rPr>
              <w:t>CHILE</w:t>
            </w:r>
          </w:p>
        </w:tc>
        <w:tc>
          <w:tcPr>
            <w:tcW w:w="1438" w:type="dxa"/>
          </w:tcPr>
          <w:p w14:paraId="58D28F2D" w14:textId="1ED97FA8" w:rsidR="009C5DDE" w:rsidRPr="00160FAB" w:rsidRDefault="009C5DDE" w:rsidP="009C5DDE">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8D28F2E" w14:textId="3206B279" w:rsidR="009C5DDE" w:rsidRPr="00160FAB" w:rsidRDefault="009C5DDE" w:rsidP="009C5DDE">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RUSSISCHE FÖDERATION</w:t>
            </w:r>
          </w:p>
        </w:tc>
        <w:tc>
          <w:tcPr>
            <w:tcW w:w="1143" w:type="dxa"/>
          </w:tcPr>
          <w:p w14:paraId="58D28F2F" w14:textId="15CD4F9C" w:rsidR="009C5DDE" w:rsidRPr="00160FAB" w:rsidRDefault="009C5DDE" w:rsidP="009C5DDE">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BD6A76">
              <w:rPr>
                <w:rFonts w:ascii="Trebuchet MS" w:eastAsia="Trebuchet MS" w:hAnsi="Trebuchet MS" w:cs="Trebuchet MS"/>
                <w:szCs w:val="22"/>
                <w:lang w:eastAsia="en-GB" w:bidi="en-GB"/>
              </w:rPr>
              <w:t>(2)</w:t>
            </w:r>
          </w:p>
        </w:tc>
      </w:tr>
      <w:tr w:rsidR="009C5DDE" w:rsidRPr="00160FAB" w14:paraId="58D28F35" w14:textId="77777777" w:rsidTr="007C231A">
        <w:trPr>
          <w:trHeight w:val="260"/>
        </w:trPr>
        <w:tc>
          <w:tcPr>
            <w:tcW w:w="2482" w:type="dxa"/>
            <w:shd w:val="clear" w:color="auto" w:fill="DBE5F1"/>
          </w:tcPr>
          <w:p w14:paraId="58D28F31" w14:textId="24373D90"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DÄNEMARK</w:t>
            </w:r>
          </w:p>
        </w:tc>
        <w:tc>
          <w:tcPr>
            <w:tcW w:w="1438" w:type="dxa"/>
          </w:tcPr>
          <w:p w14:paraId="58D28F32" w14:textId="4BBB3713"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8D28F33" w14:textId="32ACBCFD"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SCHWEDEN</w:t>
            </w:r>
          </w:p>
        </w:tc>
        <w:tc>
          <w:tcPr>
            <w:tcW w:w="1143" w:type="dxa"/>
          </w:tcPr>
          <w:p w14:paraId="58D28F34" w14:textId="194012B4" w:rsidR="009C5DDE" w:rsidRPr="00160FAB" w:rsidRDefault="009C5DDE" w:rsidP="009C5DDE">
            <w:pPr>
              <w:widowControl w:val="0"/>
              <w:autoSpaceDE w:val="0"/>
              <w:autoSpaceDN w:val="0"/>
              <w:spacing w:before="19" w:line="221" w:lineRule="exact"/>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(1)</w:t>
            </w:r>
          </w:p>
        </w:tc>
      </w:tr>
      <w:tr w:rsidR="009C5DDE" w:rsidRPr="00160FAB" w14:paraId="58D28F3A" w14:textId="77777777" w:rsidTr="007C231A">
        <w:trPr>
          <w:trHeight w:val="272"/>
        </w:trPr>
        <w:tc>
          <w:tcPr>
            <w:tcW w:w="2482" w:type="dxa"/>
            <w:shd w:val="clear" w:color="auto" w:fill="DBE5F1"/>
          </w:tcPr>
          <w:p w14:paraId="58D28F36" w14:textId="7BAB5AA4" w:rsidR="009C5DDE" w:rsidRPr="00160FAB" w:rsidRDefault="009C5DDE" w:rsidP="009C5DDE">
            <w:pPr>
              <w:widowControl w:val="0"/>
              <w:autoSpaceDE w:val="0"/>
              <w:autoSpaceDN w:val="0"/>
              <w:spacing w:before="32"/>
              <w:jc w:val="left"/>
              <w:rPr>
                <w:rFonts w:ascii="Trebuchet MS" w:eastAsia="Trebuchet MS" w:hAnsi="Trebuchet MS" w:cs="Trebuchet MS"/>
                <w:sz w:val="18"/>
                <w:szCs w:val="22"/>
                <w:lang w:eastAsia="en-GB" w:bidi="en-GB"/>
              </w:rPr>
            </w:pPr>
            <w:r w:rsidRPr="00BD6A76">
              <w:rPr>
                <w:rFonts w:ascii="Trebuchet MS" w:hAnsi="Trebuchet MS"/>
                <w:sz w:val="18"/>
                <w:szCs w:val="18"/>
              </w:rPr>
              <w:t>DEUTSCHLAND</w:t>
            </w:r>
          </w:p>
        </w:tc>
        <w:tc>
          <w:tcPr>
            <w:tcW w:w="1438" w:type="dxa"/>
          </w:tcPr>
          <w:p w14:paraId="58D28F37" w14:textId="4990FE94" w:rsidR="009C5DDE" w:rsidRPr="00160FAB" w:rsidRDefault="009C5DDE" w:rsidP="009C5DDE">
            <w:pPr>
              <w:widowControl w:val="0"/>
              <w:autoSpaceDE w:val="0"/>
              <w:autoSpaceDN w:val="0"/>
              <w:spacing w:before="32"/>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8D28F38" w14:textId="14DF3CE5" w:rsidR="009C5DDE" w:rsidRPr="00160FAB" w:rsidRDefault="009C5DDE" w:rsidP="009C5DDE">
            <w:pPr>
              <w:widowControl w:val="0"/>
              <w:autoSpaceDE w:val="0"/>
              <w:autoSpaceDN w:val="0"/>
              <w:spacing w:before="32"/>
              <w:jc w:val="left"/>
              <w:rPr>
                <w:rFonts w:ascii="Trebuchet MS" w:eastAsia="Trebuchet MS" w:hAnsi="Trebuchet MS" w:cs="Trebuchet MS"/>
                <w:sz w:val="18"/>
                <w:szCs w:val="22"/>
                <w:lang w:eastAsia="en-GB" w:bidi="en-GB"/>
              </w:rPr>
            </w:pPr>
            <w:r w:rsidRPr="00BD6A76">
              <w:rPr>
                <w:rFonts w:ascii="Trebuchet MS" w:hAnsi="Trebuchet MS"/>
                <w:sz w:val="18"/>
                <w:szCs w:val="18"/>
              </w:rPr>
              <w:t>SCHWEIZ</w:t>
            </w:r>
          </w:p>
        </w:tc>
        <w:tc>
          <w:tcPr>
            <w:tcW w:w="1143" w:type="dxa"/>
          </w:tcPr>
          <w:p w14:paraId="58D28F39" w14:textId="709DD12A" w:rsidR="009C5DDE" w:rsidRPr="00160FAB" w:rsidRDefault="009C5DDE" w:rsidP="009C5DDE">
            <w:pPr>
              <w:widowControl w:val="0"/>
              <w:autoSpaceDE w:val="0"/>
              <w:autoSpaceDN w:val="0"/>
              <w:spacing w:before="32" w:line="220" w:lineRule="exact"/>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(1)</w:t>
            </w:r>
          </w:p>
        </w:tc>
      </w:tr>
      <w:tr w:rsidR="009C5DDE" w:rsidRPr="00160FAB" w14:paraId="58D28F3F" w14:textId="77777777" w:rsidTr="007C231A">
        <w:trPr>
          <w:trHeight w:val="283"/>
        </w:trPr>
        <w:tc>
          <w:tcPr>
            <w:tcW w:w="2482" w:type="dxa"/>
            <w:shd w:val="clear" w:color="auto" w:fill="DBE5F1"/>
          </w:tcPr>
          <w:p w14:paraId="58D28F3B" w14:textId="7C83EB1D" w:rsidR="009C5DDE" w:rsidRPr="00160FAB" w:rsidRDefault="009C5DDE" w:rsidP="009C5DDE">
            <w:pPr>
              <w:widowControl w:val="0"/>
              <w:autoSpaceDE w:val="0"/>
              <w:autoSpaceDN w:val="0"/>
              <w:spacing w:before="30"/>
              <w:jc w:val="left"/>
              <w:rPr>
                <w:rFonts w:ascii="Trebuchet MS" w:eastAsia="Trebuchet MS" w:hAnsi="Trebuchet MS" w:cs="Trebuchet MS"/>
                <w:sz w:val="18"/>
                <w:szCs w:val="22"/>
                <w:lang w:eastAsia="en-GB" w:bidi="en-GB"/>
              </w:rPr>
            </w:pPr>
            <w:r w:rsidRPr="00BD6A76">
              <w:rPr>
                <w:rFonts w:ascii="Trebuchet MS" w:hAnsi="Trebuchet MS"/>
                <w:sz w:val="18"/>
                <w:szCs w:val="18"/>
              </w:rPr>
              <w:t>ESTLAND</w:t>
            </w:r>
          </w:p>
        </w:tc>
        <w:tc>
          <w:tcPr>
            <w:tcW w:w="1438" w:type="dxa"/>
          </w:tcPr>
          <w:p w14:paraId="58D28F3C" w14:textId="7DBE8041" w:rsidR="009C5DDE" w:rsidRPr="00160FAB" w:rsidRDefault="009C5DDE" w:rsidP="009C5DDE">
            <w:pPr>
              <w:widowControl w:val="0"/>
              <w:autoSpaceDE w:val="0"/>
              <w:autoSpaceDN w:val="0"/>
              <w:spacing w:before="3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8D28F3D" w14:textId="6FB43317" w:rsidR="009C5DDE" w:rsidRPr="00160FAB" w:rsidRDefault="009C5DDE" w:rsidP="009C5DDE">
            <w:pPr>
              <w:widowControl w:val="0"/>
              <w:autoSpaceDE w:val="0"/>
              <w:autoSpaceDN w:val="0"/>
              <w:spacing w:before="30"/>
              <w:jc w:val="left"/>
              <w:rPr>
                <w:rFonts w:ascii="Trebuchet MS" w:eastAsia="Trebuchet MS" w:hAnsi="Trebuchet MS" w:cs="Trebuchet MS"/>
                <w:sz w:val="18"/>
                <w:szCs w:val="22"/>
                <w:lang w:eastAsia="en-GB" w:bidi="en-GB"/>
              </w:rPr>
            </w:pPr>
            <w:r w:rsidRPr="00BD6A76">
              <w:rPr>
                <w:rFonts w:ascii="Trebuchet MS" w:hAnsi="Trebuchet MS"/>
                <w:sz w:val="18"/>
                <w:szCs w:val="18"/>
              </w:rPr>
              <w:t>SENEGAL</w:t>
            </w:r>
          </w:p>
        </w:tc>
        <w:tc>
          <w:tcPr>
            <w:tcW w:w="1143" w:type="dxa"/>
          </w:tcPr>
          <w:p w14:paraId="58D28F3E" w14:textId="2AFE5240" w:rsidR="009C5DDE" w:rsidRPr="00160FAB" w:rsidRDefault="009C5DDE" w:rsidP="009C5DDE">
            <w:pPr>
              <w:widowControl w:val="0"/>
              <w:autoSpaceDE w:val="0"/>
              <w:autoSpaceDN w:val="0"/>
              <w:spacing w:before="31"/>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(2)</w:t>
            </w:r>
          </w:p>
        </w:tc>
      </w:tr>
      <w:tr w:rsidR="009C5DDE" w:rsidRPr="00160FAB" w14:paraId="58D28F44" w14:textId="77777777" w:rsidTr="007C231A">
        <w:trPr>
          <w:trHeight w:val="272"/>
        </w:trPr>
        <w:tc>
          <w:tcPr>
            <w:tcW w:w="2482" w:type="dxa"/>
            <w:shd w:val="clear" w:color="auto" w:fill="DBE5F1"/>
          </w:tcPr>
          <w:p w14:paraId="58D28F40" w14:textId="2E7030A0"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FINNLAND</w:t>
            </w:r>
          </w:p>
        </w:tc>
        <w:tc>
          <w:tcPr>
            <w:tcW w:w="1438" w:type="dxa"/>
          </w:tcPr>
          <w:p w14:paraId="58D28F41" w14:textId="089B0A35"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8D28F42" w14:textId="65E57DD9"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SERBIEN</w:t>
            </w:r>
          </w:p>
        </w:tc>
        <w:tc>
          <w:tcPr>
            <w:tcW w:w="1143" w:type="dxa"/>
          </w:tcPr>
          <w:p w14:paraId="58D28F43" w14:textId="6C71D096" w:rsidR="009C5DDE" w:rsidRPr="00160FAB" w:rsidRDefault="009C5DDE" w:rsidP="009C5DDE">
            <w:pPr>
              <w:widowControl w:val="0"/>
              <w:autoSpaceDE w:val="0"/>
              <w:autoSpaceDN w:val="0"/>
              <w:spacing w:before="21" w:line="231" w:lineRule="exact"/>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(2)</w:t>
            </w:r>
          </w:p>
        </w:tc>
      </w:tr>
      <w:tr w:rsidR="009C5DDE" w:rsidRPr="00160FAB" w14:paraId="58D28F49" w14:textId="77777777" w:rsidTr="007C231A">
        <w:trPr>
          <w:trHeight w:val="272"/>
        </w:trPr>
        <w:tc>
          <w:tcPr>
            <w:tcW w:w="2482" w:type="dxa"/>
            <w:shd w:val="clear" w:color="auto" w:fill="DBE5F1"/>
          </w:tcPr>
          <w:p w14:paraId="58D28F45" w14:textId="310BDADF"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FRANKREICH</w:t>
            </w:r>
          </w:p>
        </w:tc>
        <w:tc>
          <w:tcPr>
            <w:tcW w:w="1438" w:type="dxa"/>
          </w:tcPr>
          <w:p w14:paraId="58D28F46" w14:textId="41BEB615"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8D28F47" w14:textId="479CBF73"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SLOWAKEI</w:t>
            </w:r>
          </w:p>
        </w:tc>
        <w:tc>
          <w:tcPr>
            <w:tcW w:w="1143" w:type="dxa"/>
          </w:tcPr>
          <w:p w14:paraId="58D28F48" w14:textId="5F5C418B" w:rsidR="009C5DDE" w:rsidRPr="00160FAB" w:rsidRDefault="009C5DDE" w:rsidP="009C5DDE">
            <w:pPr>
              <w:widowControl w:val="0"/>
              <w:autoSpaceDE w:val="0"/>
              <w:autoSpaceDN w:val="0"/>
              <w:spacing w:before="19"/>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(1)</w:t>
            </w:r>
          </w:p>
        </w:tc>
      </w:tr>
      <w:tr w:rsidR="009C5DDE" w:rsidRPr="00160FAB" w14:paraId="58D28F4E" w14:textId="77777777" w:rsidTr="007C231A">
        <w:trPr>
          <w:trHeight w:val="272"/>
        </w:trPr>
        <w:tc>
          <w:tcPr>
            <w:tcW w:w="2482" w:type="dxa"/>
            <w:shd w:val="clear" w:color="auto" w:fill="DBE5F1"/>
          </w:tcPr>
          <w:p w14:paraId="58D28F4A" w14:textId="04F7755D"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GRIECHENLAND</w:t>
            </w:r>
          </w:p>
        </w:tc>
        <w:tc>
          <w:tcPr>
            <w:tcW w:w="1438" w:type="dxa"/>
          </w:tcPr>
          <w:p w14:paraId="58D28F4B" w14:textId="4BFDC05D"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8D28F4C" w14:textId="5C6CD7B0" w:rsidR="009C5DDE" w:rsidRPr="00160FAB" w:rsidRDefault="009C5DDE" w:rsidP="009C5DD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SLOWENIEN</w:t>
            </w:r>
          </w:p>
        </w:tc>
        <w:tc>
          <w:tcPr>
            <w:tcW w:w="1143" w:type="dxa"/>
          </w:tcPr>
          <w:p w14:paraId="58D28F4D" w14:textId="22017198" w:rsidR="009C5DDE" w:rsidRPr="00160FAB" w:rsidRDefault="009C5DDE" w:rsidP="009C5DDE">
            <w:pPr>
              <w:widowControl w:val="0"/>
              <w:autoSpaceDE w:val="0"/>
              <w:autoSpaceDN w:val="0"/>
              <w:spacing w:before="21" w:line="231" w:lineRule="exact"/>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(1)</w:t>
            </w:r>
          </w:p>
        </w:tc>
      </w:tr>
      <w:tr w:rsidR="009C5DDE" w:rsidRPr="00160FAB" w14:paraId="58D28F53" w14:textId="77777777" w:rsidTr="007C231A">
        <w:trPr>
          <w:trHeight w:val="271"/>
        </w:trPr>
        <w:tc>
          <w:tcPr>
            <w:tcW w:w="2482" w:type="dxa"/>
            <w:shd w:val="clear" w:color="auto" w:fill="DBE5F1"/>
          </w:tcPr>
          <w:p w14:paraId="58D28F4F" w14:textId="2EA33172"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INDIEN</w:t>
            </w:r>
          </w:p>
        </w:tc>
        <w:tc>
          <w:tcPr>
            <w:tcW w:w="1438" w:type="dxa"/>
          </w:tcPr>
          <w:p w14:paraId="58D28F50" w14:textId="0C045AB7"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58D28F51" w14:textId="5FF2464C"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SPANIEN</w:t>
            </w:r>
          </w:p>
        </w:tc>
        <w:tc>
          <w:tcPr>
            <w:tcW w:w="1143" w:type="dxa"/>
          </w:tcPr>
          <w:p w14:paraId="58D28F52" w14:textId="79EF604A" w:rsidR="009C5DDE" w:rsidRPr="00160FAB" w:rsidRDefault="009C5DDE" w:rsidP="009C5DDE">
            <w:pPr>
              <w:widowControl w:val="0"/>
              <w:autoSpaceDE w:val="0"/>
              <w:autoSpaceDN w:val="0"/>
              <w:spacing w:before="19" w:line="231" w:lineRule="exact"/>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(1)</w:t>
            </w:r>
          </w:p>
        </w:tc>
      </w:tr>
      <w:tr w:rsidR="009C5DDE" w:rsidRPr="00160FAB" w14:paraId="58D28F58" w14:textId="77777777" w:rsidTr="007C231A">
        <w:trPr>
          <w:trHeight w:val="272"/>
        </w:trPr>
        <w:tc>
          <w:tcPr>
            <w:tcW w:w="2482" w:type="dxa"/>
            <w:shd w:val="clear" w:color="auto" w:fill="DBE5F1"/>
          </w:tcPr>
          <w:p w14:paraId="58D28F54" w14:textId="39C28F99"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IRAN</w:t>
            </w:r>
          </w:p>
        </w:tc>
        <w:tc>
          <w:tcPr>
            <w:tcW w:w="1438" w:type="dxa"/>
          </w:tcPr>
          <w:p w14:paraId="58D28F55" w14:textId="74A276EA"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58D28F56" w14:textId="648620EC"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SÜDAFRIKA</w:t>
            </w:r>
          </w:p>
        </w:tc>
        <w:tc>
          <w:tcPr>
            <w:tcW w:w="1143" w:type="dxa"/>
          </w:tcPr>
          <w:p w14:paraId="58D28F57" w14:textId="7A3B0BFB" w:rsidR="009C5DDE" w:rsidRPr="00160FAB" w:rsidRDefault="009C5DDE" w:rsidP="009C5DDE">
            <w:pPr>
              <w:widowControl w:val="0"/>
              <w:autoSpaceDE w:val="0"/>
              <w:autoSpaceDN w:val="0"/>
              <w:spacing w:before="19"/>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(2)</w:t>
            </w:r>
          </w:p>
        </w:tc>
      </w:tr>
      <w:tr w:rsidR="009C5DDE" w:rsidRPr="00160FAB" w14:paraId="58D28F5D" w14:textId="77777777" w:rsidTr="007C231A">
        <w:trPr>
          <w:trHeight w:val="272"/>
        </w:trPr>
        <w:tc>
          <w:tcPr>
            <w:tcW w:w="2482" w:type="dxa"/>
            <w:shd w:val="clear" w:color="auto" w:fill="DBE5F1"/>
          </w:tcPr>
          <w:p w14:paraId="58D28F59" w14:textId="28D5695F" w:rsidR="009C5DDE" w:rsidRPr="00160FAB" w:rsidRDefault="009C5DDE" w:rsidP="009C5DDE">
            <w:pPr>
              <w:widowControl w:val="0"/>
              <w:autoSpaceDE w:val="0"/>
              <w:autoSpaceDN w:val="0"/>
              <w:spacing w:before="21"/>
              <w:jc w:val="left"/>
              <w:rPr>
                <w:rFonts w:ascii="Trebuchet MS" w:eastAsia="Trebuchet MS" w:hAnsi="Trebuchet MS" w:cs="Trebuchet MS"/>
                <w:sz w:val="18"/>
                <w:szCs w:val="22"/>
                <w:lang w:eastAsia="en-GB" w:bidi="en-GB"/>
              </w:rPr>
            </w:pPr>
            <w:r w:rsidRPr="00BD6A76">
              <w:rPr>
                <w:rFonts w:ascii="Trebuchet MS" w:hAnsi="Trebuchet MS"/>
                <w:sz w:val="18"/>
                <w:szCs w:val="18"/>
              </w:rPr>
              <w:t>IRLAND</w:t>
            </w:r>
          </w:p>
        </w:tc>
        <w:tc>
          <w:tcPr>
            <w:tcW w:w="1438" w:type="dxa"/>
          </w:tcPr>
          <w:p w14:paraId="58D28F5A" w14:textId="6BB77AFB" w:rsidR="009C5DDE" w:rsidRPr="00160FAB" w:rsidRDefault="009C5DDE" w:rsidP="009C5DDE">
            <w:pPr>
              <w:widowControl w:val="0"/>
              <w:autoSpaceDE w:val="0"/>
              <w:autoSpaceDN w:val="0"/>
              <w:spacing w:before="21"/>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8D28F5B" w14:textId="398176FF" w:rsidR="009C5DDE" w:rsidRPr="00160FAB" w:rsidRDefault="009C5DDE" w:rsidP="009C5DDE">
            <w:pPr>
              <w:widowControl w:val="0"/>
              <w:autoSpaceDE w:val="0"/>
              <w:autoSpaceDN w:val="0"/>
              <w:spacing w:before="21"/>
              <w:jc w:val="left"/>
              <w:rPr>
                <w:rFonts w:ascii="Trebuchet MS" w:eastAsia="Trebuchet MS" w:hAnsi="Trebuchet MS" w:cs="Trebuchet MS"/>
                <w:sz w:val="18"/>
                <w:szCs w:val="22"/>
                <w:lang w:eastAsia="en-GB" w:bidi="en-GB"/>
              </w:rPr>
            </w:pPr>
            <w:r w:rsidRPr="00BD6A76">
              <w:rPr>
                <w:rFonts w:ascii="Trebuchet MS" w:hAnsi="Trebuchet MS"/>
                <w:sz w:val="18"/>
                <w:szCs w:val="18"/>
              </w:rPr>
              <w:t>TSCHECHISCHE REPUBLIK</w:t>
            </w:r>
          </w:p>
        </w:tc>
        <w:tc>
          <w:tcPr>
            <w:tcW w:w="1143" w:type="dxa"/>
          </w:tcPr>
          <w:p w14:paraId="58D28F5C" w14:textId="54DB3AFC" w:rsidR="009C5DDE" w:rsidRPr="00160FAB" w:rsidRDefault="009C5DDE" w:rsidP="009C5DDE">
            <w:pPr>
              <w:widowControl w:val="0"/>
              <w:autoSpaceDE w:val="0"/>
              <w:autoSpaceDN w:val="0"/>
              <w:spacing w:before="21" w:line="231" w:lineRule="exact"/>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(1)</w:t>
            </w:r>
          </w:p>
        </w:tc>
      </w:tr>
      <w:tr w:rsidR="009C5DDE" w:rsidRPr="00160FAB" w14:paraId="58D28F62" w14:textId="77777777" w:rsidTr="007C231A">
        <w:trPr>
          <w:trHeight w:val="265"/>
        </w:trPr>
        <w:tc>
          <w:tcPr>
            <w:tcW w:w="2482" w:type="dxa"/>
            <w:shd w:val="clear" w:color="auto" w:fill="DBE5F1"/>
          </w:tcPr>
          <w:p w14:paraId="58D28F5E" w14:textId="0B8EF5EE"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ISLAND</w:t>
            </w:r>
          </w:p>
        </w:tc>
        <w:tc>
          <w:tcPr>
            <w:tcW w:w="1438" w:type="dxa"/>
          </w:tcPr>
          <w:p w14:paraId="58D28F5F" w14:textId="10B605A0"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8D28F60" w14:textId="214F08E5" w:rsidR="009C5DDE" w:rsidRPr="00160FAB" w:rsidRDefault="009C5DDE" w:rsidP="009C5DD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TÜRKEI</w:t>
            </w:r>
          </w:p>
        </w:tc>
        <w:tc>
          <w:tcPr>
            <w:tcW w:w="1143" w:type="dxa"/>
          </w:tcPr>
          <w:p w14:paraId="58D28F61" w14:textId="72B33525" w:rsidR="009C5DDE" w:rsidRPr="00160FAB" w:rsidRDefault="009C5DDE" w:rsidP="009C5DDE">
            <w:pPr>
              <w:widowControl w:val="0"/>
              <w:autoSpaceDE w:val="0"/>
              <w:autoSpaceDN w:val="0"/>
              <w:spacing w:before="19" w:line="225" w:lineRule="exact"/>
              <w:jc w:val="left"/>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(1)</w:t>
            </w:r>
          </w:p>
        </w:tc>
      </w:tr>
    </w:tbl>
    <w:p w14:paraId="58D28F63" w14:textId="77777777" w:rsidR="007E07ED" w:rsidRPr="00160FAB" w:rsidRDefault="007E07ED" w:rsidP="007E07ED">
      <w:pPr>
        <w:spacing w:before="2"/>
        <w:rPr>
          <w:sz w:val="15"/>
        </w:rPr>
      </w:pPr>
    </w:p>
    <w:p w14:paraId="58D28F64" w14:textId="77777777" w:rsidR="007E07ED" w:rsidRPr="00160FAB" w:rsidRDefault="007E07ED" w:rsidP="007E07ED">
      <w:pPr>
        <w:spacing w:before="2"/>
        <w:rPr>
          <w:sz w:val="15"/>
        </w:rPr>
      </w:pPr>
    </w:p>
    <w:p w14:paraId="58D28F65" w14:textId="77777777" w:rsidR="007E07ED" w:rsidRPr="00160FAB" w:rsidRDefault="007E07ED" w:rsidP="007E07ED">
      <w:pPr>
        <w:spacing w:before="2"/>
        <w:rPr>
          <w:sz w:val="15"/>
        </w:rPr>
      </w:pPr>
    </w:p>
    <w:p w14:paraId="58D28F66" w14:textId="77777777" w:rsidR="007E07ED" w:rsidRPr="00160FAB" w:rsidRDefault="007E07ED" w:rsidP="007E07ED">
      <w:pPr>
        <w:spacing w:before="2"/>
        <w:rPr>
          <w:sz w:val="15"/>
        </w:rPr>
      </w:pPr>
    </w:p>
    <w:p w14:paraId="58D28F67" w14:textId="77777777" w:rsidR="007E07ED" w:rsidRPr="00160FAB" w:rsidRDefault="007E07ED" w:rsidP="007E07ED">
      <w:pPr>
        <w:spacing w:before="2"/>
        <w:rPr>
          <w:sz w:val="15"/>
        </w:rPr>
      </w:pPr>
    </w:p>
    <w:p w14:paraId="58D28F68" w14:textId="77777777" w:rsidR="007E07ED" w:rsidRPr="00160FAB" w:rsidRDefault="007E07ED" w:rsidP="007E07ED">
      <w:pPr>
        <w:spacing w:before="2"/>
        <w:rPr>
          <w:sz w:val="15"/>
        </w:rPr>
      </w:pPr>
    </w:p>
    <w:p w14:paraId="58D28F69" w14:textId="77777777" w:rsidR="007E07ED" w:rsidRPr="00160FAB" w:rsidRDefault="007E07ED" w:rsidP="007E07ED">
      <w:pPr>
        <w:spacing w:before="2"/>
        <w:rPr>
          <w:sz w:val="15"/>
        </w:rPr>
      </w:pPr>
    </w:p>
    <w:p w14:paraId="58D28F6A" w14:textId="77777777" w:rsidR="007E07ED" w:rsidRPr="00160FAB" w:rsidRDefault="007E07ED" w:rsidP="007E07ED">
      <w:pPr>
        <w:spacing w:before="2"/>
        <w:rPr>
          <w:sz w:val="15"/>
        </w:rPr>
      </w:pPr>
    </w:p>
    <w:p w14:paraId="58D28F6B" w14:textId="77777777" w:rsidR="007E07ED" w:rsidRPr="00160FAB" w:rsidRDefault="007E07ED" w:rsidP="007E07ED">
      <w:pPr>
        <w:spacing w:before="2"/>
        <w:rPr>
          <w:sz w:val="15"/>
        </w:rPr>
      </w:pPr>
    </w:p>
    <w:p w14:paraId="58D28F6C" w14:textId="77777777" w:rsidR="007E07ED" w:rsidRPr="00160FAB" w:rsidRDefault="007E07ED" w:rsidP="007E07ED">
      <w:pPr>
        <w:spacing w:before="2"/>
        <w:rPr>
          <w:sz w:val="15"/>
        </w:rPr>
      </w:pPr>
      <w:r w:rsidRPr="00160FAB">
        <w:rPr>
          <w:sz w:val="22"/>
          <w:lang w:val="en-US"/>
        </w:rPr>
        <mc:AlternateContent>
          <mc:Choice Requires="wps">
            <w:drawing>
              <wp:anchor distT="0" distB="0" distL="0" distR="0" simplePos="0" relativeHeight="251661312" behindDoc="1" locked="0" layoutInCell="1" allowOverlap="1" wp14:anchorId="58D290EF" wp14:editId="58D290F0">
                <wp:simplePos x="0" y="0"/>
                <wp:positionH relativeFrom="page">
                  <wp:posOffset>457200</wp:posOffset>
                </wp:positionH>
                <wp:positionV relativeFrom="paragraph">
                  <wp:posOffset>139700</wp:posOffset>
                </wp:positionV>
                <wp:extent cx="1829435" cy="1270"/>
                <wp:effectExtent l="9525" t="11430" r="8890" b="635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2F789D" id="Freeform 21" o:spid="_x0000_s1026" style="position:absolute;margin-left:36pt;margin-top:11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" path="m,l2880,e" filled="f" strokeweight=".6pt">
                <v:path arrowok="t" o:connecttype="custom" o:connectlocs="0,0;1828800,0" o:connectangles="0,0"/>
                <w10:wrap type="topAndBottom" anchorx="page"/>
              </v:shape>
            </w:pict>
          </mc:Fallback>
        </mc:AlternateContent>
      </w:r>
    </w:p>
    <w:p w14:paraId="24F82DEE" w14:textId="0C49B5AF" w:rsidR="00E0287A" w:rsidRPr="00BD6A76" w:rsidRDefault="007E07ED" w:rsidP="00E0287A">
      <w:pPr>
        <w:spacing w:before="35"/>
        <w:rPr>
          <w:rFonts w:ascii="Trebuchet MS"/>
          <w:sz w:val="18"/>
        </w:rPr>
      </w:pPr>
      <w:r w:rsidRPr="00160FAB">
        <w:rPr>
          <w:rFonts w:ascii="Trebuchet MS"/>
          <w:position w:val="9"/>
          <w:sz w:val="13"/>
        </w:rPr>
        <w:t xml:space="preserve">1 </w:t>
      </w:r>
      <w:r w:rsidR="009C40FE">
        <w:rPr>
          <w:rFonts w:ascii="Trebuchet MS"/>
          <w:sz w:val="18"/>
        </w:rPr>
        <w:t>Quelle</w:t>
      </w:r>
      <w:r w:rsidR="00E0287A">
        <w:rPr>
          <w:rFonts w:ascii="Trebuchet MS"/>
          <w:sz w:val="18"/>
        </w:rPr>
        <w:t xml:space="preserve"> OECD </w:t>
      </w:r>
      <w:r w:rsidR="00E0287A">
        <w:rPr>
          <w:rFonts w:ascii="Trebuchet MS"/>
          <w:sz w:val="18"/>
        </w:rPr>
        <w:t>„</w:t>
      </w:r>
      <w:r w:rsidR="00E0287A">
        <w:rPr>
          <w:rFonts w:ascii="Trebuchet MS"/>
          <w:sz w:val="18"/>
        </w:rPr>
        <w:t>A</w:t>
      </w:r>
      <w:r w:rsidR="00E0287A" w:rsidRPr="00BD6A76">
        <w:rPr>
          <w:rFonts w:ascii="Trebuchet MS"/>
          <w:sz w:val="18"/>
        </w:rPr>
        <w:t>nmerkung der T</w:t>
      </w:r>
      <w:r w:rsidR="00E0287A" w:rsidRPr="00BD6A76">
        <w:rPr>
          <w:rFonts w:ascii="Trebuchet MS"/>
          <w:sz w:val="18"/>
        </w:rPr>
        <w:t>ü</w:t>
      </w:r>
      <w:r w:rsidR="00E0287A" w:rsidRPr="00BD6A76">
        <w:rPr>
          <w:rFonts w:ascii="Trebuchet MS"/>
          <w:sz w:val="18"/>
        </w:rPr>
        <w:t>rkei</w:t>
      </w:r>
    </w:p>
    <w:p w14:paraId="6006C206" w14:textId="77777777" w:rsidR="00E0287A" w:rsidRPr="00BD6A76" w:rsidRDefault="00E0287A" w:rsidP="00E0287A">
      <w:pPr>
        <w:spacing w:before="120"/>
        <w:ind w:right="216"/>
        <w:rPr>
          <w:rFonts w:ascii="Trebuchet MS" w:hAnsi="Trebuchet MS"/>
          <w:sz w:val="18"/>
        </w:rPr>
      </w:pPr>
      <w:r w:rsidRPr="00BD6A76">
        <w:rPr>
          <w:rFonts w:ascii="Trebuchet MS" w:hAnsi="Trebuchet MS"/>
          <w:sz w:val="18"/>
        </w:rPr>
        <w:t>Die Informationen in diesem Dokument mit Bezug auf „Zypern“ beziehen sich auf den südlichen Teil der Insel. Es gibt keine einheitliche Behörde, die sowohl die türkische als auch die griechisch-zypriotische Bevölkerung auf der Insel vertritt. Die Türkei erkennt die Türkische Republik Nordzypern (TRNC) an. Bis eine dauerhafte und gerechte Lösung im Rahmen der Vereinten Nationen gefunden wird, behält die Türkei ihren Standpunkt zur „Zypernfrage“ bei.</w:t>
      </w:r>
    </w:p>
    <w:p w14:paraId="7E4E53B7" w14:textId="77777777" w:rsidR="00E0287A" w:rsidRPr="00BD6A76" w:rsidRDefault="00E0287A" w:rsidP="00E0287A">
      <w:pPr>
        <w:spacing w:before="120"/>
        <w:ind w:right="216"/>
        <w:rPr>
          <w:rFonts w:ascii="Trebuchet MS" w:hAnsi="Trebuchet MS"/>
          <w:sz w:val="18"/>
        </w:rPr>
      </w:pPr>
      <w:r w:rsidRPr="00BD6A76">
        <w:rPr>
          <w:rFonts w:ascii="Trebuchet MS" w:hAnsi="Trebuchet MS"/>
          <w:sz w:val="18"/>
        </w:rPr>
        <w:t>Anmerkung aller Mitgliedstaaten der Europäischen Union und der OECD</w:t>
      </w:r>
    </w:p>
    <w:p w14:paraId="58D28F70" w14:textId="04296E6D" w:rsidR="007E07ED" w:rsidRPr="00160FAB" w:rsidRDefault="00E0287A" w:rsidP="00E0287A">
      <w:pPr>
        <w:spacing w:before="35"/>
        <w:rPr>
          <w:rFonts w:ascii="Trebuchet MS"/>
          <w:sz w:val="18"/>
        </w:rPr>
      </w:pPr>
      <w:r w:rsidRPr="00BD6A76">
        <w:rPr>
          <w:rFonts w:ascii="Trebuchet MS" w:hAnsi="Trebuchet MS"/>
          <w:sz w:val="18"/>
        </w:rPr>
        <w:t>Die Republik Zypern wird von allen Mitgliedern der Vereinten Nationen mit Ausnahme der Türkei anerkannt. Die Informationen in diesem Dokument beziehen sich auf das Gebiet unter der tatsächlichen Kontrolle der Regierung der Republik Zypern</w:t>
      </w:r>
      <w:r w:rsidR="007E07ED" w:rsidRPr="009C40FE">
        <w:rPr>
          <w:rFonts w:ascii="Trebuchet MS"/>
          <w:sz w:val="18"/>
        </w:rPr>
        <w:t>.</w:t>
      </w:r>
      <w:r w:rsidRPr="009C40FE">
        <w:rPr>
          <w:rFonts w:ascii="Trebuchet MS"/>
          <w:sz w:val="18"/>
        </w:rPr>
        <w:t>“</w:t>
      </w:r>
    </w:p>
    <w:p w14:paraId="58D28F72" w14:textId="77777777" w:rsidR="007E07ED" w:rsidRPr="00160FAB" w:rsidRDefault="007E07ED" w:rsidP="007E07ED">
      <w:pPr>
        <w:spacing w:before="3" w:after="1"/>
        <w:rPr>
          <w:rFonts w:ascii="Trebuchet MS"/>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037CBE" w:rsidRPr="00160FAB" w14:paraId="58D28F77" w14:textId="77777777" w:rsidTr="007C231A">
        <w:trPr>
          <w:trHeight w:val="279"/>
        </w:trPr>
        <w:tc>
          <w:tcPr>
            <w:tcW w:w="2482" w:type="dxa"/>
            <w:shd w:val="clear" w:color="auto" w:fill="DBE5F1"/>
          </w:tcPr>
          <w:p w14:paraId="58D28F73" w14:textId="63F5E147" w:rsidR="00037CBE" w:rsidRPr="00160FAB" w:rsidRDefault="00037CBE" w:rsidP="00037CBE">
            <w:pPr>
              <w:widowControl w:val="0"/>
              <w:autoSpaceDE w:val="0"/>
              <w:autoSpaceDN w:val="0"/>
              <w:spacing w:before="27"/>
              <w:jc w:val="left"/>
              <w:rPr>
                <w:rFonts w:ascii="Trebuchet MS" w:eastAsia="Trebuchet MS" w:hAnsi="Trebuchet MS" w:cs="Trebuchet MS"/>
                <w:sz w:val="18"/>
                <w:szCs w:val="22"/>
                <w:lang w:eastAsia="en-GB" w:bidi="en-GB"/>
              </w:rPr>
            </w:pPr>
            <w:r w:rsidRPr="00BD6A76">
              <w:rPr>
                <w:rFonts w:ascii="Trebuchet MS" w:hAnsi="Trebuchet MS"/>
                <w:sz w:val="18"/>
                <w:szCs w:val="18"/>
              </w:rPr>
              <w:t>ISRAEL</w:t>
            </w:r>
          </w:p>
        </w:tc>
        <w:tc>
          <w:tcPr>
            <w:tcW w:w="1438" w:type="dxa"/>
          </w:tcPr>
          <w:p w14:paraId="58D28F74" w14:textId="51A287CF" w:rsidR="00037CBE" w:rsidRPr="00160FAB" w:rsidRDefault="00037CBE" w:rsidP="00037CBE">
            <w:pPr>
              <w:widowControl w:val="0"/>
              <w:autoSpaceDE w:val="0"/>
              <w:autoSpaceDN w:val="0"/>
              <w:spacing w:before="27"/>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8D28F75" w14:textId="1F903466" w:rsidR="00037CBE" w:rsidRPr="00160FAB" w:rsidRDefault="00037CBE" w:rsidP="00037CBE">
            <w:pPr>
              <w:widowControl w:val="0"/>
              <w:autoSpaceDE w:val="0"/>
              <w:autoSpaceDN w:val="0"/>
              <w:spacing w:before="27"/>
              <w:jc w:val="left"/>
              <w:rPr>
                <w:rFonts w:ascii="Trebuchet MS" w:eastAsia="Trebuchet MS" w:hAnsi="Trebuchet MS" w:cs="Trebuchet MS"/>
                <w:sz w:val="18"/>
                <w:szCs w:val="22"/>
                <w:lang w:eastAsia="en-GB" w:bidi="en-GB"/>
              </w:rPr>
            </w:pPr>
            <w:r w:rsidRPr="00BD6A76">
              <w:rPr>
                <w:rFonts w:ascii="Trebuchet MS" w:hAnsi="Trebuchet MS"/>
                <w:sz w:val="18"/>
                <w:szCs w:val="18"/>
              </w:rPr>
              <w:t>TUNESIEN</w:t>
            </w:r>
          </w:p>
        </w:tc>
        <w:tc>
          <w:tcPr>
            <w:tcW w:w="1143" w:type="dxa"/>
          </w:tcPr>
          <w:p w14:paraId="58D28F76" w14:textId="297B2E9C" w:rsidR="00037CBE" w:rsidRPr="00160FAB" w:rsidRDefault="00037CBE" w:rsidP="00037CBE">
            <w:pPr>
              <w:widowControl w:val="0"/>
              <w:autoSpaceDE w:val="0"/>
              <w:autoSpaceDN w:val="0"/>
              <w:spacing w:before="28" w:line="232" w:lineRule="exact"/>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(2)</w:t>
            </w:r>
          </w:p>
        </w:tc>
      </w:tr>
      <w:tr w:rsidR="00037CBE" w:rsidRPr="00160FAB" w14:paraId="58D28F7C" w14:textId="77777777" w:rsidTr="007C231A">
        <w:trPr>
          <w:trHeight w:val="272"/>
        </w:trPr>
        <w:tc>
          <w:tcPr>
            <w:tcW w:w="2482" w:type="dxa"/>
            <w:shd w:val="clear" w:color="auto" w:fill="DBE5F1"/>
          </w:tcPr>
          <w:p w14:paraId="58D28F78" w14:textId="4AD864E5" w:rsidR="00037CBE" w:rsidRPr="00160FAB" w:rsidRDefault="00037CBE" w:rsidP="00037CB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ITALIEN</w:t>
            </w:r>
          </w:p>
        </w:tc>
        <w:tc>
          <w:tcPr>
            <w:tcW w:w="1438" w:type="dxa"/>
          </w:tcPr>
          <w:p w14:paraId="58D28F79" w14:textId="1AFD0239" w:rsidR="00037CBE" w:rsidRPr="00160FAB" w:rsidRDefault="00037CBE" w:rsidP="00037CB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8D28F7A" w14:textId="2AD23770" w:rsidR="00037CBE" w:rsidRPr="00160FAB" w:rsidRDefault="00037CBE" w:rsidP="00037CB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UGANDA</w:t>
            </w:r>
          </w:p>
        </w:tc>
        <w:tc>
          <w:tcPr>
            <w:tcW w:w="1143" w:type="dxa"/>
          </w:tcPr>
          <w:p w14:paraId="58D28F7B" w14:textId="34292645" w:rsidR="00037CBE" w:rsidRPr="00160FAB" w:rsidRDefault="00037CBE" w:rsidP="00037CBE">
            <w:pPr>
              <w:widowControl w:val="0"/>
              <w:autoSpaceDE w:val="0"/>
              <w:autoSpaceDN w:val="0"/>
              <w:spacing w:before="20"/>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(2)</w:t>
            </w:r>
          </w:p>
        </w:tc>
      </w:tr>
      <w:tr w:rsidR="00037CBE" w:rsidRPr="00160FAB" w14:paraId="58D28F81" w14:textId="77777777" w:rsidTr="007C231A">
        <w:trPr>
          <w:trHeight w:val="272"/>
        </w:trPr>
        <w:tc>
          <w:tcPr>
            <w:tcW w:w="2482" w:type="dxa"/>
            <w:shd w:val="clear" w:color="auto" w:fill="DBE5F1"/>
          </w:tcPr>
          <w:p w14:paraId="58D28F7D" w14:textId="12CC6CFD" w:rsidR="00037CBE" w:rsidRPr="00160FAB" w:rsidRDefault="00037CBE" w:rsidP="00037CB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JAPAN</w:t>
            </w:r>
          </w:p>
        </w:tc>
        <w:tc>
          <w:tcPr>
            <w:tcW w:w="1438" w:type="dxa"/>
          </w:tcPr>
          <w:p w14:paraId="58D28F7E" w14:textId="452E586D" w:rsidR="00037CBE" w:rsidRPr="00160FAB" w:rsidRDefault="00037CBE" w:rsidP="00037CB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8D28F7F" w14:textId="1197AD49" w:rsidR="00037CBE" w:rsidRPr="00160FAB" w:rsidRDefault="00037CBE" w:rsidP="00037CB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UKRAINE</w:t>
            </w:r>
          </w:p>
        </w:tc>
        <w:tc>
          <w:tcPr>
            <w:tcW w:w="1143" w:type="dxa"/>
          </w:tcPr>
          <w:p w14:paraId="58D28F80" w14:textId="54FE7AF6" w:rsidR="00037CBE" w:rsidRPr="00160FAB" w:rsidRDefault="00037CBE" w:rsidP="00037CBE">
            <w:pPr>
              <w:widowControl w:val="0"/>
              <w:autoSpaceDE w:val="0"/>
              <w:autoSpaceDN w:val="0"/>
              <w:spacing w:before="21" w:line="231" w:lineRule="exact"/>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 w:val="18"/>
                <w:szCs w:val="22"/>
                <w:lang w:eastAsia="en-GB" w:bidi="en-GB"/>
              </w:rPr>
              <w:t>(2)</w:t>
            </w:r>
          </w:p>
        </w:tc>
      </w:tr>
      <w:tr w:rsidR="00037CBE" w:rsidRPr="00160FAB" w14:paraId="58D28F86" w14:textId="77777777" w:rsidTr="007C231A">
        <w:trPr>
          <w:trHeight w:val="272"/>
        </w:trPr>
        <w:tc>
          <w:tcPr>
            <w:tcW w:w="2482" w:type="dxa"/>
            <w:shd w:val="clear" w:color="auto" w:fill="DBE5F1"/>
          </w:tcPr>
          <w:p w14:paraId="58D28F82" w14:textId="79888B4E" w:rsidR="00037CBE" w:rsidRPr="00160FAB" w:rsidRDefault="00037CBE" w:rsidP="00037CB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KANADA</w:t>
            </w:r>
          </w:p>
        </w:tc>
        <w:tc>
          <w:tcPr>
            <w:tcW w:w="1438" w:type="dxa"/>
          </w:tcPr>
          <w:p w14:paraId="58D28F83" w14:textId="0CA6178A" w:rsidR="00037CBE" w:rsidRPr="00160FAB" w:rsidRDefault="00037CBE" w:rsidP="00037CB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shd w:val="clear" w:color="auto" w:fill="DBE5F1"/>
          </w:tcPr>
          <w:p w14:paraId="58D28F84" w14:textId="7ECC6353" w:rsidR="00037CBE" w:rsidRPr="00160FAB" w:rsidRDefault="00037CBE" w:rsidP="00037CB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UNGARN</w:t>
            </w:r>
          </w:p>
        </w:tc>
        <w:tc>
          <w:tcPr>
            <w:tcW w:w="1143" w:type="dxa"/>
          </w:tcPr>
          <w:p w14:paraId="58D28F85" w14:textId="071C2754" w:rsidR="00037CBE" w:rsidRPr="00160FAB" w:rsidRDefault="00037CBE" w:rsidP="00037CBE">
            <w:pPr>
              <w:widowControl w:val="0"/>
              <w:autoSpaceDE w:val="0"/>
              <w:autoSpaceDN w:val="0"/>
              <w:spacing w:before="19"/>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Cs w:val="22"/>
                <w:lang w:eastAsia="en-GB" w:bidi="en-GB"/>
              </w:rPr>
              <w:t>(1)</w:t>
            </w:r>
          </w:p>
        </w:tc>
      </w:tr>
      <w:tr w:rsidR="00037CBE" w:rsidRPr="00160FAB" w14:paraId="58D28F8B" w14:textId="77777777" w:rsidTr="007C231A">
        <w:trPr>
          <w:trHeight w:val="272"/>
        </w:trPr>
        <w:tc>
          <w:tcPr>
            <w:tcW w:w="2482" w:type="dxa"/>
            <w:shd w:val="clear" w:color="auto" w:fill="DBE5F1"/>
          </w:tcPr>
          <w:p w14:paraId="58D28F87" w14:textId="21441BE4" w:rsidR="00037CBE" w:rsidRPr="00160FAB" w:rsidRDefault="00037CBE" w:rsidP="00037CB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KENIA</w:t>
            </w:r>
          </w:p>
        </w:tc>
        <w:tc>
          <w:tcPr>
            <w:tcW w:w="1438" w:type="dxa"/>
          </w:tcPr>
          <w:p w14:paraId="58D28F88" w14:textId="7B2DBE7F" w:rsidR="00037CBE" w:rsidRPr="00160FAB" w:rsidRDefault="00037CBE" w:rsidP="00037CB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58D28F89" w14:textId="2BC7B54F" w:rsidR="00037CBE" w:rsidRPr="00160FAB" w:rsidRDefault="00037CBE" w:rsidP="00037CBE">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URUGUAY</w:t>
            </w:r>
          </w:p>
        </w:tc>
        <w:tc>
          <w:tcPr>
            <w:tcW w:w="1143" w:type="dxa"/>
          </w:tcPr>
          <w:p w14:paraId="58D28F8A" w14:textId="78BE8BC4" w:rsidR="00037CBE" w:rsidRPr="00160FAB" w:rsidRDefault="00037CBE" w:rsidP="00037CBE">
            <w:pPr>
              <w:widowControl w:val="0"/>
              <w:autoSpaceDE w:val="0"/>
              <w:autoSpaceDN w:val="0"/>
              <w:spacing w:before="21" w:line="231" w:lineRule="exact"/>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 w:val="18"/>
                <w:szCs w:val="22"/>
                <w:lang w:eastAsia="en-GB" w:bidi="en-GB"/>
              </w:rPr>
              <w:t>(2)</w:t>
            </w:r>
          </w:p>
        </w:tc>
      </w:tr>
      <w:tr w:rsidR="00037CBE" w:rsidRPr="00160FAB" w14:paraId="58D28F90" w14:textId="77777777" w:rsidTr="007C231A">
        <w:trPr>
          <w:trHeight w:val="259"/>
        </w:trPr>
        <w:tc>
          <w:tcPr>
            <w:tcW w:w="2482" w:type="dxa"/>
            <w:shd w:val="clear" w:color="auto" w:fill="DBE5F1"/>
          </w:tcPr>
          <w:p w14:paraId="58D28F8C" w14:textId="747918CC" w:rsidR="00037CBE" w:rsidRPr="00160FAB" w:rsidRDefault="00037CBE" w:rsidP="00037CB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KROATIEN</w:t>
            </w:r>
          </w:p>
        </w:tc>
        <w:tc>
          <w:tcPr>
            <w:tcW w:w="1438" w:type="dxa"/>
          </w:tcPr>
          <w:p w14:paraId="58D28F8D" w14:textId="305F73AD" w:rsidR="00037CBE" w:rsidRPr="00160FAB" w:rsidRDefault="00037CBE" w:rsidP="00037CB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58D28F8E" w14:textId="7392C4FD" w:rsidR="00037CBE" w:rsidRPr="00160FAB" w:rsidRDefault="00037CBE" w:rsidP="00037CBE">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VEREINIGTES KÖNIGREICH</w:t>
            </w:r>
          </w:p>
        </w:tc>
        <w:tc>
          <w:tcPr>
            <w:tcW w:w="1143" w:type="dxa"/>
          </w:tcPr>
          <w:p w14:paraId="58D28F8F" w14:textId="60B1EAE7" w:rsidR="00037CBE" w:rsidRPr="00160FAB" w:rsidRDefault="00037CBE" w:rsidP="00037CBE">
            <w:pPr>
              <w:widowControl w:val="0"/>
              <w:autoSpaceDE w:val="0"/>
              <w:autoSpaceDN w:val="0"/>
              <w:spacing w:before="19" w:line="220" w:lineRule="exact"/>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 w:val="18"/>
                <w:szCs w:val="22"/>
                <w:lang w:eastAsia="en-GB" w:bidi="en-GB"/>
              </w:rPr>
              <w:t>(1)</w:t>
            </w:r>
          </w:p>
        </w:tc>
      </w:tr>
      <w:tr w:rsidR="0036096B" w:rsidRPr="00160FAB" w14:paraId="58D28F95" w14:textId="77777777" w:rsidTr="007C231A">
        <w:trPr>
          <w:trHeight w:val="284"/>
        </w:trPr>
        <w:tc>
          <w:tcPr>
            <w:tcW w:w="2482" w:type="dxa"/>
            <w:shd w:val="clear" w:color="auto" w:fill="DBE5F1"/>
          </w:tcPr>
          <w:p w14:paraId="58D28F91" w14:textId="02BD320D" w:rsidR="0036096B" w:rsidRPr="00160FAB" w:rsidRDefault="0036096B" w:rsidP="0036096B">
            <w:pPr>
              <w:widowControl w:val="0"/>
              <w:autoSpaceDE w:val="0"/>
              <w:autoSpaceDN w:val="0"/>
              <w:spacing w:before="31"/>
              <w:jc w:val="left"/>
              <w:rPr>
                <w:rFonts w:ascii="Trebuchet MS" w:eastAsia="Trebuchet MS" w:hAnsi="Trebuchet MS" w:cs="Trebuchet MS"/>
                <w:sz w:val="18"/>
                <w:szCs w:val="22"/>
                <w:lang w:eastAsia="en-GB" w:bidi="en-GB"/>
              </w:rPr>
            </w:pPr>
            <w:r w:rsidRPr="00BD6A76">
              <w:rPr>
                <w:rFonts w:ascii="Trebuchet MS" w:hAnsi="Trebuchet MS"/>
                <w:sz w:val="18"/>
                <w:szCs w:val="18"/>
              </w:rPr>
              <w:t>KIRGISISTAN</w:t>
            </w:r>
          </w:p>
        </w:tc>
        <w:tc>
          <w:tcPr>
            <w:tcW w:w="1438" w:type="dxa"/>
          </w:tcPr>
          <w:p w14:paraId="58D28F92" w14:textId="404CF182" w:rsidR="0036096B" w:rsidRPr="00160FAB" w:rsidRDefault="0036096B" w:rsidP="0036096B">
            <w:pPr>
              <w:widowControl w:val="0"/>
              <w:autoSpaceDE w:val="0"/>
              <w:autoSpaceDN w:val="0"/>
              <w:spacing w:before="31"/>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58D28F93" w14:textId="192C2540" w:rsidR="0036096B" w:rsidRPr="00160FAB" w:rsidRDefault="0036096B" w:rsidP="0036096B">
            <w:pPr>
              <w:widowControl w:val="0"/>
              <w:autoSpaceDE w:val="0"/>
              <w:autoSpaceDN w:val="0"/>
              <w:spacing w:before="31"/>
              <w:jc w:val="left"/>
              <w:rPr>
                <w:rFonts w:ascii="Trebuchet MS" w:eastAsia="Trebuchet MS" w:hAnsi="Trebuchet MS" w:cs="Trebuchet MS"/>
                <w:sz w:val="18"/>
                <w:szCs w:val="22"/>
                <w:lang w:eastAsia="en-GB" w:bidi="en-GB"/>
              </w:rPr>
            </w:pPr>
            <w:r w:rsidRPr="00BD6A76">
              <w:rPr>
                <w:rFonts w:ascii="Trebuchet MS" w:hAnsi="Trebuchet MS"/>
                <w:sz w:val="18"/>
                <w:szCs w:val="18"/>
              </w:rPr>
              <w:t>VEREINIGTE STAATEN</w:t>
            </w:r>
          </w:p>
        </w:tc>
        <w:tc>
          <w:tcPr>
            <w:tcW w:w="1143" w:type="dxa"/>
          </w:tcPr>
          <w:p w14:paraId="58D28F94" w14:textId="37B61A8D" w:rsidR="0036096B" w:rsidRPr="00160FAB" w:rsidRDefault="0036096B" w:rsidP="0036096B">
            <w:pPr>
              <w:widowControl w:val="0"/>
              <w:autoSpaceDE w:val="0"/>
              <w:autoSpaceDN w:val="0"/>
              <w:spacing w:before="31"/>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 w:val="18"/>
                <w:szCs w:val="22"/>
                <w:lang w:eastAsia="en-GB" w:bidi="en-GB"/>
              </w:rPr>
              <w:t>(1)</w:t>
            </w:r>
          </w:p>
        </w:tc>
      </w:tr>
      <w:tr w:rsidR="0036096B" w:rsidRPr="00160FAB" w14:paraId="58D28F9A" w14:textId="77777777" w:rsidTr="007C231A">
        <w:trPr>
          <w:trHeight w:val="272"/>
        </w:trPr>
        <w:tc>
          <w:tcPr>
            <w:tcW w:w="2482" w:type="dxa"/>
            <w:shd w:val="clear" w:color="auto" w:fill="DBE5F1"/>
          </w:tcPr>
          <w:p w14:paraId="58D28F96" w14:textId="5E0FBD56" w:rsidR="0036096B" w:rsidRPr="00160FAB" w:rsidRDefault="0036096B" w:rsidP="0036096B">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LETTLAND</w:t>
            </w:r>
          </w:p>
        </w:tc>
        <w:tc>
          <w:tcPr>
            <w:tcW w:w="1438" w:type="dxa"/>
          </w:tcPr>
          <w:p w14:paraId="58D28F97" w14:textId="412B2780" w:rsidR="0036096B" w:rsidRPr="00160FAB" w:rsidRDefault="0036096B" w:rsidP="0036096B">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shd w:val="clear" w:color="auto" w:fill="DBE5F1"/>
          </w:tcPr>
          <w:p w14:paraId="58D28F98" w14:textId="1856FF28" w:rsidR="0036096B" w:rsidRPr="00160FAB" w:rsidRDefault="0036096B" w:rsidP="0036096B">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SIMBABWE</w:t>
            </w:r>
          </w:p>
        </w:tc>
        <w:tc>
          <w:tcPr>
            <w:tcW w:w="1143" w:type="dxa"/>
          </w:tcPr>
          <w:p w14:paraId="58D28F99" w14:textId="523ED815" w:rsidR="0036096B" w:rsidRPr="00160FAB" w:rsidRDefault="0036096B" w:rsidP="0036096B">
            <w:pPr>
              <w:widowControl w:val="0"/>
              <w:autoSpaceDE w:val="0"/>
              <w:autoSpaceDN w:val="0"/>
              <w:spacing w:before="21" w:line="231" w:lineRule="exact"/>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 w:val="18"/>
                <w:szCs w:val="22"/>
                <w:lang w:eastAsia="en-GB" w:bidi="en-GB"/>
              </w:rPr>
              <w:t>(2)</w:t>
            </w:r>
          </w:p>
        </w:tc>
      </w:tr>
      <w:tr w:rsidR="0036096B" w:rsidRPr="00160FAB" w14:paraId="58D28F9F" w14:textId="77777777" w:rsidTr="007C231A">
        <w:trPr>
          <w:trHeight w:val="264"/>
        </w:trPr>
        <w:tc>
          <w:tcPr>
            <w:tcW w:w="2482" w:type="dxa"/>
            <w:shd w:val="clear" w:color="auto" w:fill="DBE5F1"/>
          </w:tcPr>
          <w:p w14:paraId="58D28F9B" w14:textId="55884E90" w:rsidR="0036096B" w:rsidRPr="00160FAB" w:rsidRDefault="0036096B" w:rsidP="0036096B">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LITAUEN</w:t>
            </w:r>
          </w:p>
        </w:tc>
        <w:tc>
          <w:tcPr>
            <w:tcW w:w="1438" w:type="dxa"/>
          </w:tcPr>
          <w:p w14:paraId="58D28F9C" w14:textId="0FA0710A" w:rsidR="0036096B" w:rsidRPr="00160FAB" w:rsidRDefault="0036096B" w:rsidP="0036096B">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tcBorders>
              <w:bottom w:val="single" w:sz="8" w:space="0" w:color="000000"/>
            </w:tcBorders>
            <w:shd w:val="clear" w:color="auto" w:fill="DBE5F1"/>
          </w:tcPr>
          <w:p w14:paraId="58D28F9D" w14:textId="57BEC7AB" w:rsidR="0036096B" w:rsidRPr="00160FAB" w:rsidRDefault="0036096B" w:rsidP="0036096B">
            <w:pPr>
              <w:widowControl w:val="0"/>
              <w:autoSpaceDE w:val="0"/>
              <w:autoSpaceDN w:val="0"/>
              <w:spacing w:before="19"/>
              <w:jc w:val="left"/>
              <w:rPr>
                <w:rFonts w:ascii="Trebuchet MS" w:eastAsia="Trebuchet MS" w:hAnsi="Trebuchet MS" w:cs="Trebuchet MS"/>
                <w:sz w:val="18"/>
                <w:szCs w:val="22"/>
                <w:lang w:eastAsia="en-GB" w:bidi="en-GB"/>
              </w:rPr>
            </w:pPr>
            <w:r w:rsidRPr="00BD6A76">
              <w:rPr>
                <w:rFonts w:ascii="Trebuchet MS" w:hAnsi="Trebuchet MS"/>
                <w:sz w:val="18"/>
                <w:szCs w:val="18"/>
              </w:rPr>
              <w:t>ZYPERN</w:t>
            </w:r>
            <w:r w:rsidR="00522D3B" w:rsidRPr="00BD6A76">
              <w:rPr>
                <w:rFonts w:ascii="Trebuchet MS" w:eastAsia="Trebuchet MS" w:hAnsi="Trebuchet MS" w:cs="Trebuchet MS"/>
                <w:sz w:val="18"/>
                <w:szCs w:val="22"/>
                <w:vertAlign w:val="superscript"/>
                <w:lang w:val="en-GB" w:eastAsia="en-GB" w:bidi="en-GB"/>
              </w:rPr>
              <w:t>1</w:t>
            </w:r>
          </w:p>
        </w:tc>
        <w:tc>
          <w:tcPr>
            <w:tcW w:w="1143" w:type="dxa"/>
            <w:tcBorders>
              <w:bottom w:val="single" w:sz="8" w:space="0" w:color="000000"/>
            </w:tcBorders>
          </w:tcPr>
          <w:p w14:paraId="58D28F9E" w14:textId="2BDE937E" w:rsidR="0036096B" w:rsidRPr="00160FAB" w:rsidRDefault="0036096B" w:rsidP="0036096B">
            <w:pPr>
              <w:widowControl w:val="0"/>
              <w:autoSpaceDE w:val="0"/>
              <w:autoSpaceDN w:val="0"/>
              <w:spacing w:before="19" w:line="225" w:lineRule="exact"/>
              <w:ind w:right="427"/>
              <w:jc w:val="center"/>
              <w:rPr>
                <w:rFonts w:ascii="Trebuchet MS" w:eastAsia="Trebuchet MS" w:hAnsi="Trebuchet MS" w:cs="Trebuchet MS"/>
                <w:szCs w:val="22"/>
                <w:lang w:eastAsia="en-GB" w:bidi="en-GB"/>
              </w:rPr>
            </w:pPr>
            <w:r w:rsidRPr="00BD6A76">
              <w:rPr>
                <w:rFonts w:ascii="Trebuchet MS" w:eastAsia="Trebuchet MS" w:hAnsi="Trebuchet MS" w:cs="Trebuchet MS"/>
                <w:sz w:val="18"/>
                <w:szCs w:val="22"/>
                <w:lang w:eastAsia="en-GB" w:bidi="en-GB"/>
              </w:rPr>
              <w:t>(2)</w:t>
            </w:r>
          </w:p>
        </w:tc>
      </w:tr>
      <w:tr w:rsidR="0036096B" w:rsidRPr="00160FAB" w14:paraId="58D28FA4" w14:textId="77777777" w:rsidTr="007C231A">
        <w:trPr>
          <w:trHeight w:val="256"/>
        </w:trPr>
        <w:tc>
          <w:tcPr>
            <w:tcW w:w="2482" w:type="dxa"/>
            <w:shd w:val="clear" w:color="auto" w:fill="DBE5F1"/>
          </w:tcPr>
          <w:p w14:paraId="58D28FA0" w14:textId="14398C70" w:rsidR="0036096B" w:rsidRPr="00160FAB" w:rsidRDefault="0036096B" w:rsidP="0036096B">
            <w:pPr>
              <w:widowControl w:val="0"/>
              <w:autoSpaceDE w:val="0"/>
              <w:autoSpaceDN w:val="0"/>
              <w:spacing w:before="27"/>
              <w:jc w:val="left"/>
              <w:rPr>
                <w:rFonts w:ascii="Trebuchet MS" w:eastAsia="Trebuchet MS" w:hAnsi="Trebuchet MS" w:cs="Trebuchet MS"/>
                <w:sz w:val="18"/>
                <w:szCs w:val="22"/>
                <w:lang w:eastAsia="en-GB" w:bidi="en-GB"/>
              </w:rPr>
            </w:pPr>
            <w:r w:rsidRPr="00BD6A76">
              <w:rPr>
                <w:rFonts w:ascii="Trebuchet MS" w:hAnsi="Trebuchet MS"/>
                <w:sz w:val="18"/>
                <w:szCs w:val="18"/>
              </w:rPr>
              <w:t>LUXEMBURG</w:t>
            </w:r>
          </w:p>
        </w:tc>
        <w:tc>
          <w:tcPr>
            <w:tcW w:w="1438" w:type="dxa"/>
          </w:tcPr>
          <w:p w14:paraId="58D28FA1" w14:textId="29DE10D9" w:rsidR="0036096B" w:rsidRPr="00160FAB" w:rsidRDefault="0036096B" w:rsidP="0036096B">
            <w:pPr>
              <w:widowControl w:val="0"/>
              <w:autoSpaceDE w:val="0"/>
              <w:autoSpaceDN w:val="0"/>
              <w:spacing w:before="27"/>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2879" w:type="dxa"/>
            <w:tcBorders>
              <w:top w:val="single" w:sz="8" w:space="0" w:color="000000"/>
            </w:tcBorders>
          </w:tcPr>
          <w:p w14:paraId="58D28FA2" w14:textId="77777777" w:rsidR="0036096B" w:rsidRPr="00160FAB" w:rsidRDefault="0036096B" w:rsidP="0036096B">
            <w:pPr>
              <w:widowControl w:val="0"/>
              <w:autoSpaceDE w:val="0"/>
              <w:autoSpaceDN w:val="0"/>
              <w:jc w:val="left"/>
              <w:rPr>
                <w:rFonts w:ascii="Times New Roman" w:eastAsia="Trebuchet MS" w:hAnsi="Trebuchet MS" w:cs="Trebuchet MS"/>
                <w:sz w:val="18"/>
                <w:szCs w:val="22"/>
                <w:lang w:eastAsia="en-GB" w:bidi="en-GB"/>
              </w:rPr>
            </w:pPr>
          </w:p>
        </w:tc>
        <w:tc>
          <w:tcPr>
            <w:tcW w:w="1143" w:type="dxa"/>
            <w:tcBorders>
              <w:top w:val="single" w:sz="8" w:space="0" w:color="000000"/>
            </w:tcBorders>
          </w:tcPr>
          <w:p w14:paraId="58D28FA3" w14:textId="77777777" w:rsidR="0036096B" w:rsidRPr="00160FAB" w:rsidRDefault="0036096B" w:rsidP="0036096B">
            <w:pPr>
              <w:widowControl w:val="0"/>
              <w:autoSpaceDE w:val="0"/>
              <w:autoSpaceDN w:val="0"/>
              <w:jc w:val="left"/>
              <w:rPr>
                <w:rFonts w:ascii="Times New Roman" w:eastAsia="Trebuchet MS" w:hAnsi="Trebuchet MS" w:cs="Trebuchet MS"/>
                <w:sz w:val="18"/>
                <w:szCs w:val="22"/>
                <w:lang w:eastAsia="en-GB" w:bidi="en-GB"/>
              </w:rPr>
            </w:pPr>
          </w:p>
        </w:tc>
      </w:tr>
      <w:tr w:rsidR="0036096B" w:rsidRPr="00160FAB" w14:paraId="58D28FA9" w14:textId="77777777" w:rsidTr="007C231A">
        <w:trPr>
          <w:trHeight w:val="249"/>
        </w:trPr>
        <w:tc>
          <w:tcPr>
            <w:tcW w:w="2482" w:type="dxa"/>
            <w:shd w:val="clear" w:color="auto" w:fill="DBE5F1"/>
          </w:tcPr>
          <w:p w14:paraId="58D28FA5" w14:textId="77DD0CDC" w:rsidR="0036096B" w:rsidRPr="00160FAB" w:rsidRDefault="0036096B" w:rsidP="0036096B">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MAROKKO</w:t>
            </w:r>
          </w:p>
        </w:tc>
        <w:tc>
          <w:tcPr>
            <w:tcW w:w="1438" w:type="dxa"/>
          </w:tcPr>
          <w:p w14:paraId="58D28FA6" w14:textId="0F80A711" w:rsidR="0036096B" w:rsidRPr="00160FAB" w:rsidRDefault="0036096B" w:rsidP="0036096B">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w:t>
            </w:r>
          </w:p>
        </w:tc>
        <w:tc>
          <w:tcPr>
            <w:tcW w:w="2879" w:type="dxa"/>
          </w:tcPr>
          <w:p w14:paraId="58D28FA7" w14:textId="18298716" w:rsidR="0036096B" w:rsidRPr="00160FAB" w:rsidRDefault="0036096B" w:rsidP="0036096B">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 OECD-Mitgliedsland</w:t>
            </w:r>
          </w:p>
        </w:tc>
        <w:tc>
          <w:tcPr>
            <w:tcW w:w="1143" w:type="dxa"/>
          </w:tcPr>
          <w:p w14:paraId="58D28FA8" w14:textId="77777777" w:rsidR="0036096B" w:rsidRPr="00160FAB" w:rsidRDefault="0036096B" w:rsidP="0036096B">
            <w:pPr>
              <w:widowControl w:val="0"/>
              <w:autoSpaceDE w:val="0"/>
              <w:autoSpaceDN w:val="0"/>
              <w:jc w:val="left"/>
              <w:rPr>
                <w:rFonts w:ascii="Times New Roman" w:eastAsia="Trebuchet MS" w:hAnsi="Trebuchet MS" w:cs="Trebuchet MS"/>
                <w:sz w:val="18"/>
                <w:szCs w:val="22"/>
                <w:lang w:eastAsia="en-GB" w:bidi="en-GB"/>
              </w:rPr>
            </w:pPr>
          </w:p>
        </w:tc>
      </w:tr>
      <w:tr w:rsidR="0036096B" w:rsidRPr="00160FAB" w14:paraId="58D28FAD" w14:textId="77777777" w:rsidTr="007C231A">
        <w:trPr>
          <w:trHeight w:val="249"/>
        </w:trPr>
        <w:tc>
          <w:tcPr>
            <w:tcW w:w="2482" w:type="dxa"/>
            <w:shd w:val="clear" w:color="auto" w:fill="DBE5F1"/>
          </w:tcPr>
          <w:p w14:paraId="58D28FAA" w14:textId="72C26110" w:rsidR="0036096B" w:rsidRPr="00160FAB" w:rsidRDefault="0036096B" w:rsidP="0036096B">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hAnsi="Trebuchet MS"/>
                <w:sz w:val="18"/>
                <w:szCs w:val="18"/>
              </w:rPr>
              <w:t>MEXIKO</w:t>
            </w:r>
          </w:p>
        </w:tc>
        <w:tc>
          <w:tcPr>
            <w:tcW w:w="1438" w:type="dxa"/>
          </w:tcPr>
          <w:p w14:paraId="58D28FAB" w14:textId="3191FE65" w:rsidR="0036096B" w:rsidRPr="00160FAB" w:rsidRDefault="0036096B" w:rsidP="0036096B">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(1)</w:t>
            </w:r>
          </w:p>
        </w:tc>
        <w:tc>
          <w:tcPr>
            <w:tcW w:w="4022" w:type="dxa"/>
            <w:gridSpan w:val="2"/>
          </w:tcPr>
          <w:p w14:paraId="58D28FAC" w14:textId="2CE5AE8C" w:rsidR="0036096B" w:rsidRPr="00160FAB" w:rsidRDefault="0036096B" w:rsidP="0036096B">
            <w:pPr>
              <w:widowControl w:val="0"/>
              <w:autoSpaceDE w:val="0"/>
              <w:autoSpaceDN w:val="0"/>
              <w:spacing w:before="20"/>
              <w:jc w:val="left"/>
              <w:rPr>
                <w:rFonts w:ascii="Trebuchet MS" w:eastAsia="Trebuchet MS" w:hAnsi="Trebuchet MS" w:cs="Trebuchet MS"/>
                <w:sz w:val="18"/>
                <w:szCs w:val="22"/>
                <w:lang w:eastAsia="en-GB" w:bidi="en-GB"/>
              </w:rPr>
            </w:pPr>
            <w:r w:rsidRPr="00BD6A76">
              <w:rPr>
                <w:rFonts w:ascii="Trebuchet MS" w:eastAsia="Trebuchet MS" w:hAnsi="Trebuchet MS" w:cs="Trebuchet MS"/>
                <w:sz w:val="18"/>
                <w:szCs w:val="22"/>
                <w:lang w:eastAsia="en-GB" w:bidi="en-GB"/>
              </w:rPr>
              <w:t>(2) Nicht OECD-Mitgliedsland</w:t>
            </w:r>
          </w:p>
        </w:tc>
      </w:tr>
    </w:tbl>
    <w:p w14:paraId="58D28FAE" w14:textId="77777777" w:rsidR="007E07ED" w:rsidRPr="00CF47B8" w:rsidRDefault="007E07ED" w:rsidP="00CF47B8">
      <w:pPr>
        <w:rPr>
          <w:sz w:val="12"/>
        </w:rPr>
      </w:pPr>
    </w:p>
    <w:p w14:paraId="58D28FAF" w14:textId="77777777" w:rsidR="007E07ED" w:rsidRPr="00CF47B8" w:rsidRDefault="007E07ED" w:rsidP="00CF47B8">
      <w:pPr>
        <w:rPr>
          <w:sz w:val="12"/>
        </w:rPr>
      </w:pPr>
    </w:p>
    <w:p w14:paraId="58D28FB0" w14:textId="03568E79" w:rsidR="007E07ED" w:rsidRPr="00A56295" w:rsidRDefault="007E07ED" w:rsidP="007E07ED">
      <w:r w:rsidRPr="00160FAB">
        <w:rPr>
          <w:sz w:val="22"/>
          <w:lang w:val="en-US"/>
        </w:rPr>
        <mc:AlternateContent>
          <mc:Choice Requires="wpg">
            <w:drawing>
              <wp:anchor distT="0" distB="0" distL="114300" distR="114300" simplePos="0" relativeHeight="251662336" behindDoc="0" locked="0" layoutInCell="1" allowOverlap="1" wp14:anchorId="58D290F1" wp14:editId="58D290F2">
                <wp:simplePos x="0" y="0"/>
                <wp:positionH relativeFrom="page">
                  <wp:posOffset>1356360</wp:posOffset>
                </wp:positionH>
                <wp:positionV relativeFrom="paragraph">
                  <wp:posOffset>-319405</wp:posOffset>
                </wp:positionV>
                <wp:extent cx="2030730" cy="6350"/>
                <wp:effectExtent l="13335" t="2540" r="13335"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730" cy="6350"/>
                          <a:chOff x="2136" y="-503"/>
                          <a:chExt cx="3198" cy="10"/>
                        </a:xfrm>
                      </wpg:grpSpPr>
                      <wps:wsp>
                        <wps:cNvPr id="18" name="Line 5"/>
                        <wps:cNvCnPr>
                          <a:cxnSpLocks noChangeShapeType="1"/>
                        </wps:cNvCnPr>
                        <wps:spPr bwMode="auto">
                          <a:xfrm>
                            <a:off x="2136" y="-498"/>
                            <a:ext cx="24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6"/>
                        <wps:cNvSpPr>
                          <a:spLocks noChangeArrowheads="1"/>
                        </wps:cNvSpPr>
                        <wps:spPr bwMode="auto">
                          <a:xfrm>
                            <a:off x="4618" y="-50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
                        <wps:cNvCnPr>
                          <a:cxnSpLocks noChangeShapeType="1"/>
                        </wps:cNvCnPr>
                        <wps:spPr bwMode="auto">
                          <a:xfrm>
                            <a:off x="4628" y="-498"/>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C4F601A" id="Group 15" o:spid="_x0000_s1026" style="position:absolute;margin-left:106.8pt;margin-top:-25.15pt;width:159.9pt;height:.5pt;z-index:251662336;mso-position-horizontal-relative:page" coordorigin="2136,-503" coordsize="3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">
                <v:line id="Line 5" o:spid="_x0000_s1027" style="position:absolute;visibility:visible;mso-wrap-style:square" from="2136,-498" to="463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6" o:spid="_x0000_s1028" style="position:absolute;left:4618;top:-50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7" o:spid="_x0000_s1029" style="position:absolute;visibility:visible;mso-wrap-style:square" from="4628,-498" to="533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anchorx="page"/>
              </v:group>
            </w:pict>
          </mc:Fallback>
        </mc:AlternateContent>
      </w:r>
      <w:r w:rsidR="005A5CE1" w:rsidRPr="005A5CE1">
        <w:t xml:space="preserve"> </w:t>
      </w:r>
      <w:r w:rsidR="005A5CE1" w:rsidRPr="00A56295">
        <w:t>Abbildung 1 Karte der an den Saatgutsystemen der OECD teilnehmenden Länder (2016</w:t>
      </w:r>
      <w:r w:rsidRPr="00A56295">
        <w:t>)</w:t>
      </w:r>
    </w:p>
    <w:p w14:paraId="58D28FB1" w14:textId="77777777" w:rsidR="007E07ED" w:rsidRPr="00CF47B8" w:rsidRDefault="007E07ED" w:rsidP="007E07ED">
      <w:pPr>
        <w:rPr>
          <w:b/>
          <w:sz w:val="16"/>
        </w:rPr>
      </w:pPr>
    </w:p>
    <w:p w14:paraId="58D28FB3" w14:textId="2F794248" w:rsidR="007E07ED" w:rsidRPr="00160FAB" w:rsidRDefault="007E07ED" w:rsidP="00CF47B8">
      <w:pPr>
        <w:spacing w:before="5"/>
        <w:rPr>
          <w:b/>
          <w:sz w:val="23"/>
        </w:rPr>
      </w:pPr>
      <w:r w:rsidRPr="00160FAB">
        <w:rPr>
          <w:lang w:val="en-US"/>
        </w:rPr>
        <w:drawing>
          <wp:anchor distT="0" distB="0" distL="0" distR="0" simplePos="0" relativeHeight="251660288" behindDoc="0" locked="0" layoutInCell="1" allowOverlap="1" wp14:anchorId="58D290F3" wp14:editId="58D290F4">
            <wp:simplePos x="0" y="0"/>
            <wp:positionH relativeFrom="page">
              <wp:posOffset>676909</wp:posOffset>
            </wp:positionH>
            <wp:positionV relativeFrom="paragraph">
              <wp:posOffset>137582</wp:posOffset>
            </wp:positionV>
            <wp:extent cx="6348250" cy="2987040"/>
            <wp:effectExtent l="0" t="0" r="0" b="0"/>
            <wp:wrapTopAndBottom/>
            <wp:docPr id="2"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6348250" cy="2987040"/>
                    </a:xfrm>
                    <a:prstGeom prst="rect">
                      <a:avLst/>
                    </a:prstGeom>
                  </pic:spPr>
                </pic:pic>
              </a:graphicData>
            </a:graphic>
          </wp:anchor>
        </w:drawing>
      </w:r>
    </w:p>
    <w:p w14:paraId="58D28FB4" w14:textId="15253721" w:rsidR="007E07ED" w:rsidRPr="00160FAB" w:rsidRDefault="001439B7" w:rsidP="007E07ED">
      <w:pPr>
        <w:rPr>
          <w:i/>
        </w:rPr>
      </w:pPr>
      <w:bookmarkStart w:id="35" w:name="Objectives"/>
      <w:bookmarkEnd w:id="35"/>
      <w:r>
        <w:rPr>
          <w:i/>
        </w:rPr>
        <w:t>Ziele</w:t>
      </w:r>
    </w:p>
    <w:p w14:paraId="58D28FB5" w14:textId="77777777" w:rsidR="007E07ED" w:rsidRPr="00160FAB" w:rsidRDefault="007E07ED" w:rsidP="007E07ED">
      <w:pPr>
        <w:spacing w:before="4"/>
        <w:rPr>
          <w:rFonts w:cs="Arial"/>
          <w:b/>
        </w:rPr>
      </w:pPr>
    </w:p>
    <w:p w14:paraId="6117B988" w14:textId="77777777" w:rsidR="004C4946" w:rsidRPr="004C4946" w:rsidRDefault="004C4946" w:rsidP="004C4946">
      <w:pPr>
        <w:widowControl w:val="0"/>
        <w:tabs>
          <w:tab w:val="left" w:pos="1069"/>
          <w:tab w:val="left" w:pos="1071"/>
        </w:tabs>
        <w:autoSpaceDE w:val="0"/>
        <w:autoSpaceDN w:val="0"/>
        <w:spacing w:before="1"/>
        <w:ind w:right="212"/>
        <w:rPr>
          <w:rFonts w:cs="Arial"/>
          <w:lang w:eastAsia="en-GB" w:bidi="en-GB"/>
        </w:rPr>
      </w:pPr>
      <w:r w:rsidRPr="004C4946">
        <w:rPr>
          <w:rFonts w:cs="Arial"/>
          <w:lang w:eastAsia="en-GB" w:bidi="en-GB"/>
        </w:rPr>
        <w:t>Die Ziele der Systeme sind die Förderung der Produktion und Verwendung von Saatgut mit „Qualitätsgarantie“ in den Teilnehmerländern. Im Rahmen der vereinbarten Richtlinien zur Sicherung der Sortenidentität und Sortenreinheit wird durch die Systeme die Nutzung von Kennzeichen und Zertifikaten für Saatgut genehmigt, das für den internationalen Handel produziert und weiterverarbeitet wird.</w:t>
      </w:r>
    </w:p>
    <w:p w14:paraId="6635928F" w14:textId="77777777" w:rsidR="004C4946" w:rsidRPr="004C4946" w:rsidRDefault="004C4946" w:rsidP="004C4946">
      <w:pPr>
        <w:widowControl w:val="0"/>
        <w:tabs>
          <w:tab w:val="left" w:pos="1069"/>
          <w:tab w:val="left" w:pos="1071"/>
        </w:tabs>
        <w:autoSpaceDE w:val="0"/>
        <w:autoSpaceDN w:val="0"/>
        <w:spacing w:before="1"/>
        <w:ind w:right="212"/>
        <w:rPr>
          <w:rFonts w:cs="Arial"/>
          <w:lang w:eastAsia="en-GB" w:bidi="en-GB"/>
        </w:rPr>
      </w:pPr>
    </w:p>
    <w:p w14:paraId="58D28FB8" w14:textId="30447754" w:rsidR="007E07ED" w:rsidRPr="00160FAB" w:rsidRDefault="004C4946" w:rsidP="004C4946">
      <w:pPr>
        <w:widowControl w:val="0"/>
        <w:tabs>
          <w:tab w:val="left" w:pos="1069"/>
          <w:tab w:val="left" w:pos="1071"/>
        </w:tabs>
        <w:autoSpaceDE w:val="0"/>
        <w:autoSpaceDN w:val="0"/>
        <w:spacing w:before="1"/>
        <w:ind w:right="212"/>
        <w:rPr>
          <w:rFonts w:cs="Arial"/>
          <w:lang w:eastAsia="en-GB" w:bidi="en-GB"/>
        </w:rPr>
      </w:pPr>
      <w:r w:rsidRPr="004C4946">
        <w:rPr>
          <w:rFonts w:cs="Arial"/>
          <w:lang w:eastAsia="en-GB" w:bidi="en-GB"/>
        </w:rPr>
        <w:t>Die Systeme erleichtern die Ein- und Ausfuhr von Saatgut durch den Abbau technischer Handelsbarrieren, der im Wege einer Identitäts- und Herkunftsgarantie mittels international anerkannter Kennzeichen („Pässe“) herbeigeführt wird. Zudem sind darin Richtlinien für die Vermehrung von Saatgut im Ausland niedergelegt, ebenso wie für die Delegierung einiger Überwachungsaufgaben an die Privatwirtschaft („Genehmigung“). Die Menge des durch die OECD-Systeme zertifizierten Saatguts ist während der letzten Jahre rasant angestiegen und überschreitet mittlerweile die 1-Millionen-Tonnen-Marke</w:t>
      </w:r>
      <w:r w:rsidR="007E07ED" w:rsidRPr="00160FAB">
        <w:rPr>
          <w:rFonts w:cs="Arial"/>
          <w:lang w:eastAsia="en-GB" w:bidi="en-GB"/>
        </w:rPr>
        <w:t>.</w:t>
      </w:r>
    </w:p>
    <w:p w14:paraId="58D28FB9" w14:textId="77777777" w:rsidR="007E07ED" w:rsidRPr="00160FAB" w:rsidRDefault="007E07ED" w:rsidP="007E07ED">
      <w:pPr>
        <w:spacing w:before="5"/>
        <w:rPr>
          <w:sz w:val="14"/>
        </w:rPr>
      </w:pPr>
    </w:p>
    <w:p w14:paraId="58D28FBA" w14:textId="0CD60AAA" w:rsidR="007E07ED" w:rsidRPr="00160FAB" w:rsidRDefault="00596DE9" w:rsidP="007E07ED">
      <w:pPr>
        <w:rPr>
          <w:i/>
        </w:rPr>
      </w:pPr>
      <w:bookmarkStart w:id="36" w:name="How_do_the_Seed_Schemes_operate"/>
      <w:bookmarkEnd w:id="36"/>
      <w:r w:rsidRPr="00596DE9">
        <w:rPr>
          <w:i/>
        </w:rPr>
        <w:t>Arbeitsweise der Saatgutsysteme</w:t>
      </w:r>
    </w:p>
    <w:p w14:paraId="58D28FBB" w14:textId="77777777" w:rsidR="007E07ED" w:rsidRPr="00160FAB" w:rsidRDefault="007E07ED" w:rsidP="007E07ED">
      <w:pPr>
        <w:spacing w:before="4"/>
        <w:rPr>
          <w:rFonts w:cs="Arial"/>
          <w:b/>
        </w:rPr>
      </w:pPr>
    </w:p>
    <w:p w14:paraId="58D28FBC" w14:textId="7D7666D2" w:rsidR="007E07ED" w:rsidRPr="00160FAB" w:rsidRDefault="00195FC6" w:rsidP="00CF47B8">
      <w:pPr>
        <w:widowControl w:val="0"/>
        <w:tabs>
          <w:tab w:val="left" w:pos="1069"/>
          <w:tab w:val="left" w:pos="1071"/>
        </w:tabs>
        <w:autoSpaceDE w:val="0"/>
        <w:autoSpaceDN w:val="0"/>
        <w:spacing w:after="160"/>
        <w:ind w:right="216"/>
        <w:rPr>
          <w:rFonts w:cs="Arial"/>
          <w:lang w:eastAsia="en-GB" w:bidi="en-GB"/>
        </w:rPr>
      </w:pPr>
      <w:r w:rsidRPr="00195FC6">
        <w:rPr>
          <w:rFonts w:cs="Arial"/>
          <w:lang w:eastAsia="en-GB" w:bidi="en-GB"/>
        </w:rPr>
        <w:t>Der Erfolg der internationalen Zertifizierung ist abhängig von einer engen Zusammenarbeit zwischen Erhaltungszüchtern, Saatgutherstellern, Händlern und der bezeichneten (von der Regierung ernannten) Behörde in jedem einzelnen Teilnehmerland. Häufige Tagungen ermöglichen einen alle Interessengruppen einbeziehenden Dialog mit dem Ziel, Informationen auszutauschen, Fallstudien zu erörtern, Regelungen zu überarbeiten und die Systeme auf den neuesten Stand zu bringen. Ein breites Spektrum internationaler und nichtstaatlicher Organisationen sowie Netzwerke der Saatgutindustrie sind aktiv an den Systemen beteiligt</w:t>
      </w:r>
      <w:r w:rsidR="007E07ED" w:rsidRPr="00160FAB">
        <w:rPr>
          <w:rFonts w:cs="Arial"/>
          <w:lang w:eastAsia="en-GB" w:bidi="en-GB"/>
        </w:rPr>
        <w:t>.</w:t>
      </w:r>
    </w:p>
    <w:p w14:paraId="58D28FBE" w14:textId="2223D1BA" w:rsidR="007E07ED" w:rsidRPr="00160FAB" w:rsidRDefault="006D0340" w:rsidP="008E521A">
      <w:pPr>
        <w:keepNext/>
        <w:rPr>
          <w:i/>
        </w:rPr>
      </w:pPr>
      <w:bookmarkStart w:id="37" w:name="Benefits_of_the_Schemes"/>
      <w:bookmarkEnd w:id="37"/>
      <w:r w:rsidRPr="00BD6A76">
        <w:rPr>
          <w:i/>
        </w:rPr>
        <w:lastRenderedPageBreak/>
        <w:t>Vorteile der Saatgutsysteme</w:t>
      </w:r>
    </w:p>
    <w:p w14:paraId="58D28FBF" w14:textId="77777777" w:rsidR="007E07ED" w:rsidRPr="00160FAB" w:rsidRDefault="007E07ED" w:rsidP="007E07ED">
      <w:pPr>
        <w:spacing w:before="5"/>
        <w:rPr>
          <w:rFonts w:cs="Arial"/>
          <w:b/>
        </w:rPr>
      </w:pPr>
    </w:p>
    <w:p w14:paraId="61FD21B2" w14:textId="77777777" w:rsidR="00A144A8" w:rsidRPr="00A144A8" w:rsidRDefault="00A144A8" w:rsidP="00A144A8">
      <w:pPr>
        <w:widowControl w:val="0"/>
        <w:numPr>
          <w:ilvl w:val="1"/>
          <w:numId w:val="9"/>
        </w:numPr>
        <w:tabs>
          <w:tab w:val="left" w:pos="1071"/>
        </w:tabs>
        <w:autoSpaceDE w:val="0"/>
        <w:autoSpaceDN w:val="0"/>
        <w:ind w:right="225"/>
        <w:rPr>
          <w:rFonts w:cs="Arial"/>
          <w:lang w:eastAsia="en-GB" w:bidi="en-GB"/>
        </w:rPr>
      </w:pPr>
      <w:r w:rsidRPr="00A144A8">
        <w:rPr>
          <w:rFonts w:cs="Arial"/>
          <w:lang w:eastAsia="en-GB" w:bidi="en-GB"/>
        </w:rPr>
        <w:t>Erleichterung des internationalen Handels durch harmonisierte Zertifizierungsverfahren, Verfahren zur Pflanzenbegutachtung und Testsaatparzellen. Auch die Vereinbarung und Normierung der Anforderungen an die Sortenreinheit geeigneter Arten erfolgt durch alle Mitgliedstaaten.</w:t>
      </w:r>
    </w:p>
    <w:p w14:paraId="4702993B" w14:textId="77777777" w:rsidR="00A144A8" w:rsidRPr="00A144A8" w:rsidRDefault="00A144A8" w:rsidP="00A144A8">
      <w:pPr>
        <w:widowControl w:val="0"/>
        <w:numPr>
          <w:ilvl w:val="1"/>
          <w:numId w:val="9"/>
        </w:numPr>
        <w:tabs>
          <w:tab w:val="left" w:pos="1071"/>
        </w:tabs>
        <w:autoSpaceDE w:val="0"/>
        <w:autoSpaceDN w:val="0"/>
        <w:ind w:right="225"/>
        <w:rPr>
          <w:rFonts w:cs="Arial"/>
          <w:lang w:eastAsia="en-GB" w:bidi="en-GB"/>
        </w:rPr>
      </w:pPr>
      <w:r w:rsidRPr="00A144A8">
        <w:rPr>
          <w:rFonts w:cs="Arial"/>
          <w:lang w:eastAsia="en-GB" w:bidi="en-GB"/>
        </w:rPr>
        <w:t>Schaffung eines Rahmens für die Förderung der Saatgutproduktion mit anderen Nationen oder Unternehmen.</w:t>
      </w:r>
    </w:p>
    <w:p w14:paraId="49BD5808" w14:textId="77777777" w:rsidR="00A144A8" w:rsidRPr="00A144A8" w:rsidRDefault="00A144A8" w:rsidP="00A144A8">
      <w:pPr>
        <w:widowControl w:val="0"/>
        <w:numPr>
          <w:ilvl w:val="1"/>
          <w:numId w:val="9"/>
        </w:numPr>
        <w:tabs>
          <w:tab w:val="left" w:pos="1071"/>
        </w:tabs>
        <w:autoSpaceDE w:val="0"/>
        <w:autoSpaceDN w:val="0"/>
        <w:ind w:right="225"/>
        <w:rPr>
          <w:rFonts w:cs="Arial"/>
          <w:lang w:eastAsia="en-GB" w:bidi="en-GB"/>
        </w:rPr>
      </w:pPr>
      <w:r w:rsidRPr="00A144A8">
        <w:rPr>
          <w:rFonts w:cs="Arial"/>
          <w:lang w:eastAsia="en-GB" w:bidi="en-GB"/>
        </w:rPr>
        <w:t>Mitarbeit an der Erstellung internationaler Regelungen für die Saatgutzertifizierung.</w:t>
      </w:r>
    </w:p>
    <w:p w14:paraId="7FE6FE73" w14:textId="77777777" w:rsidR="00A144A8" w:rsidRPr="00A144A8" w:rsidRDefault="00A144A8" w:rsidP="00A144A8">
      <w:pPr>
        <w:widowControl w:val="0"/>
        <w:numPr>
          <w:ilvl w:val="1"/>
          <w:numId w:val="9"/>
        </w:numPr>
        <w:tabs>
          <w:tab w:val="left" w:pos="1071"/>
        </w:tabs>
        <w:autoSpaceDE w:val="0"/>
        <w:autoSpaceDN w:val="0"/>
        <w:ind w:right="225"/>
        <w:rPr>
          <w:rFonts w:cs="Arial"/>
          <w:lang w:eastAsia="en-GB" w:bidi="en-GB"/>
        </w:rPr>
      </w:pPr>
      <w:r w:rsidRPr="00A144A8">
        <w:rPr>
          <w:rFonts w:cs="Arial"/>
          <w:lang w:eastAsia="en-GB" w:bidi="en-GB"/>
        </w:rPr>
        <w:t>Ausbau der Zusammenarbeit von öffentlichem und privatem Sektor.</w:t>
      </w:r>
    </w:p>
    <w:p w14:paraId="58D28FC4" w14:textId="5BBC6FEC" w:rsidR="007E07ED" w:rsidRPr="00160FAB" w:rsidRDefault="00A144A8" w:rsidP="00A144A8">
      <w:pPr>
        <w:widowControl w:val="0"/>
        <w:numPr>
          <w:ilvl w:val="1"/>
          <w:numId w:val="9"/>
        </w:numPr>
        <w:tabs>
          <w:tab w:val="left" w:pos="1071"/>
        </w:tabs>
        <w:autoSpaceDE w:val="0"/>
        <w:autoSpaceDN w:val="0"/>
        <w:ind w:right="225"/>
        <w:rPr>
          <w:rFonts w:cs="Arial"/>
          <w:lang w:eastAsia="en-GB" w:bidi="en-GB"/>
        </w:rPr>
      </w:pPr>
      <w:r w:rsidRPr="00A144A8">
        <w:rPr>
          <w:rFonts w:cs="Arial"/>
          <w:lang w:eastAsia="en-GB" w:bidi="en-GB"/>
        </w:rPr>
        <w:t>Nutzen ziehen aus dem regelmäßigen Informationsaustausch mit anderen staatlichen Zertifizierungsstellen und Beobachterorganisationen</w:t>
      </w:r>
      <w:r w:rsidR="007E07ED" w:rsidRPr="00160FAB">
        <w:rPr>
          <w:rFonts w:cs="Arial"/>
          <w:lang w:eastAsia="en-GB" w:bidi="en-GB"/>
        </w:rPr>
        <w:t>.</w:t>
      </w:r>
    </w:p>
    <w:p w14:paraId="58D28FC5" w14:textId="77777777" w:rsidR="007E07ED" w:rsidRPr="00160FAB" w:rsidRDefault="007E07ED" w:rsidP="007E07ED">
      <w:pPr>
        <w:spacing w:before="5"/>
        <w:rPr>
          <w:rFonts w:cs="Arial"/>
        </w:rPr>
      </w:pPr>
    </w:p>
    <w:p w14:paraId="58D28FC6" w14:textId="0E20D608" w:rsidR="007E07ED" w:rsidRPr="00160FAB" w:rsidRDefault="00B0573B" w:rsidP="007E07ED">
      <w:pPr>
        <w:rPr>
          <w:i/>
        </w:rPr>
      </w:pPr>
      <w:bookmarkStart w:id="38" w:name="Annual_List_of_Varieties"/>
      <w:bookmarkEnd w:id="38"/>
      <w:r w:rsidRPr="00B0573B">
        <w:rPr>
          <w:i/>
        </w:rPr>
        <w:t>Jahresliste der Sorten</w:t>
      </w:r>
    </w:p>
    <w:p w14:paraId="58D28FC7" w14:textId="77777777" w:rsidR="007E07ED" w:rsidRPr="00160FAB" w:rsidRDefault="007E07ED" w:rsidP="007E07ED">
      <w:pPr>
        <w:spacing w:before="4"/>
        <w:rPr>
          <w:rFonts w:cs="Arial"/>
          <w:b/>
        </w:rPr>
      </w:pPr>
    </w:p>
    <w:p w14:paraId="58D28FC8" w14:textId="79A480A9" w:rsidR="007E07ED" w:rsidRPr="00160FAB" w:rsidRDefault="009342AF" w:rsidP="007E07ED">
      <w:pPr>
        <w:widowControl w:val="0"/>
        <w:tabs>
          <w:tab w:val="left" w:pos="1127"/>
          <w:tab w:val="left" w:pos="1128"/>
        </w:tabs>
        <w:autoSpaceDE w:val="0"/>
        <w:autoSpaceDN w:val="0"/>
        <w:ind w:right="216"/>
        <w:rPr>
          <w:rFonts w:cs="Arial"/>
          <w:lang w:eastAsia="en-GB" w:bidi="en-GB"/>
        </w:rPr>
      </w:pPr>
      <w:r w:rsidRPr="009342AF">
        <w:rPr>
          <w:rFonts w:cs="Arial"/>
          <w:w w:val="105"/>
          <w:lang w:eastAsia="en-GB" w:bidi="en-GB"/>
        </w:rPr>
        <w:t>Auf der Jahresliste der für die OECD-Zertifizierung zulässigen Sorten sind Sorten genannt, die amtlich als unterscheidbar, homogen und beständig anerkannt sind und die in einem oder mehreren Teilnehmerländern einen hinreichenden Wert haben. Die Liste enthält diejenigen Saatgutsorten, die im Rahmen der OECD-Saatgutsysteme international gehandelt werden. Während der vergangenen dreißig Jahre ist die Zahl der gelisteten Arten stetig gewachsen. Derzeit beläuft sich die Anzahl an gelisteten Sorten auf über 62 000, was 200 Arten entspricht. Die Liste ist online verfügbar und wird regelmäßig aktualisiert</w:t>
      </w:r>
      <w:r w:rsidR="007E07ED" w:rsidRPr="00160FAB">
        <w:rPr>
          <w:rFonts w:cs="Arial"/>
          <w:w w:val="105"/>
          <w:lang w:eastAsia="en-GB" w:bidi="en-GB"/>
        </w:rPr>
        <w:t>.</w:t>
      </w:r>
    </w:p>
    <w:p w14:paraId="58D28FC9" w14:textId="77777777" w:rsidR="007E07ED" w:rsidRPr="00160FAB" w:rsidRDefault="007E07ED" w:rsidP="007E07ED">
      <w:pPr>
        <w:spacing w:before="4"/>
        <w:rPr>
          <w:rFonts w:cs="Arial"/>
        </w:rPr>
      </w:pPr>
    </w:p>
    <w:p w14:paraId="58D28FCA" w14:textId="182E6A0E" w:rsidR="007E07ED" w:rsidRPr="00160FAB" w:rsidRDefault="00900625" w:rsidP="007E07ED">
      <w:pPr>
        <w:rPr>
          <w:i/>
        </w:rPr>
      </w:pPr>
      <w:bookmarkStart w:id="39" w:name="Outlook"/>
      <w:bookmarkEnd w:id="39"/>
      <w:r w:rsidRPr="00900625">
        <w:rPr>
          <w:i/>
        </w:rPr>
        <w:t>Ausblick</w:t>
      </w:r>
    </w:p>
    <w:p w14:paraId="58D28FCB" w14:textId="77777777" w:rsidR="007E07ED" w:rsidRPr="00160FAB" w:rsidRDefault="007E07ED" w:rsidP="007E07ED">
      <w:pPr>
        <w:spacing w:before="6"/>
        <w:rPr>
          <w:rFonts w:cs="Arial"/>
          <w:b/>
        </w:rPr>
      </w:pPr>
    </w:p>
    <w:p w14:paraId="09899C8C" w14:textId="77777777" w:rsidR="00857E63" w:rsidRPr="00857E63" w:rsidRDefault="00857E63" w:rsidP="00857E63">
      <w:pPr>
        <w:widowControl w:val="0"/>
        <w:tabs>
          <w:tab w:val="left" w:pos="1069"/>
          <w:tab w:val="left" w:pos="1071"/>
        </w:tabs>
        <w:autoSpaceDE w:val="0"/>
        <w:autoSpaceDN w:val="0"/>
        <w:spacing w:before="1"/>
        <w:ind w:right="217"/>
        <w:rPr>
          <w:rFonts w:cs="Arial"/>
          <w:lang w:eastAsia="en-GB" w:bidi="en-GB"/>
        </w:rPr>
      </w:pPr>
      <w:r w:rsidRPr="00857E63">
        <w:rPr>
          <w:rFonts w:cs="Arial"/>
          <w:lang w:eastAsia="en-GB" w:bidi="en-GB"/>
        </w:rPr>
        <w:t>Da die Saatgut-„Verbraucher“ immer anspruchsvoller werden, besteht ein größerer Bedarf an einheitlichen Saatgutstandards, während die öffentlichen Finanzmittel für Regulierung und Qualitätskontrolle gleichzeitig begrenzt sind.</w:t>
      </w:r>
    </w:p>
    <w:p w14:paraId="7F475071" w14:textId="77777777" w:rsidR="00857E63" w:rsidRPr="00857E63" w:rsidRDefault="00857E63" w:rsidP="00857E63">
      <w:pPr>
        <w:widowControl w:val="0"/>
        <w:tabs>
          <w:tab w:val="left" w:pos="1069"/>
          <w:tab w:val="left" w:pos="1071"/>
        </w:tabs>
        <w:autoSpaceDE w:val="0"/>
        <w:autoSpaceDN w:val="0"/>
        <w:spacing w:before="1"/>
        <w:ind w:right="217"/>
        <w:rPr>
          <w:rFonts w:cs="Arial"/>
          <w:lang w:eastAsia="en-GB" w:bidi="en-GB"/>
        </w:rPr>
      </w:pPr>
    </w:p>
    <w:p w14:paraId="6DE5F7FC" w14:textId="77777777" w:rsidR="00857E63" w:rsidRPr="00857E63" w:rsidRDefault="00857E63" w:rsidP="00857E63">
      <w:pPr>
        <w:widowControl w:val="0"/>
        <w:tabs>
          <w:tab w:val="left" w:pos="1069"/>
          <w:tab w:val="left" w:pos="1071"/>
        </w:tabs>
        <w:autoSpaceDE w:val="0"/>
        <w:autoSpaceDN w:val="0"/>
        <w:spacing w:before="1"/>
        <w:ind w:right="217"/>
        <w:rPr>
          <w:rFonts w:cs="Arial"/>
          <w:lang w:eastAsia="en-GB" w:bidi="en-GB"/>
        </w:rPr>
      </w:pPr>
      <w:r w:rsidRPr="00857E63">
        <w:rPr>
          <w:rFonts w:cs="Arial"/>
          <w:lang w:eastAsia="en-GB" w:bidi="en-GB"/>
        </w:rPr>
        <w:t>Die Zusammenarbeit zwischen Ländern und Interessenvertretern im Rahmen der Systeme ist eine Antwort auf das Anliegen eines marktgerechten Regulierungsansatzes. Jedes Land ist mit einem anderen rechtlichen Rahmen, institutionellen Barrieren und Handelsbeziehungen konfrontiert, während die unterschiedlichen Ansätze zwischen den Ländern, die als Importeure oder Exporteure von Saatgut auf internationale Märkte gehen, konsistent bleiben müssen.</w:t>
      </w:r>
    </w:p>
    <w:p w14:paraId="2A675EFB" w14:textId="77777777" w:rsidR="00857E63" w:rsidRPr="00857E63" w:rsidRDefault="00857E63" w:rsidP="00857E63">
      <w:pPr>
        <w:widowControl w:val="0"/>
        <w:tabs>
          <w:tab w:val="left" w:pos="1069"/>
          <w:tab w:val="left" w:pos="1071"/>
        </w:tabs>
        <w:autoSpaceDE w:val="0"/>
        <w:autoSpaceDN w:val="0"/>
        <w:spacing w:before="1"/>
        <w:ind w:right="217"/>
        <w:rPr>
          <w:rFonts w:cs="Arial"/>
          <w:lang w:eastAsia="en-GB" w:bidi="en-GB"/>
        </w:rPr>
      </w:pPr>
    </w:p>
    <w:p w14:paraId="58D28FD0" w14:textId="5AB39454" w:rsidR="007E07ED" w:rsidRPr="00160FAB" w:rsidRDefault="00857E63" w:rsidP="00857E63">
      <w:pPr>
        <w:widowControl w:val="0"/>
        <w:tabs>
          <w:tab w:val="left" w:pos="1069"/>
          <w:tab w:val="left" w:pos="1071"/>
        </w:tabs>
        <w:autoSpaceDE w:val="0"/>
        <w:autoSpaceDN w:val="0"/>
        <w:spacing w:before="1"/>
        <w:ind w:right="217"/>
        <w:rPr>
          <w:rFonts w:cs="Arial"/>
          <w:lang w:eastAsia="en-GB" w:bidi="en-GB"/>
        </w:rPr>
      </w:pPr>
      <w:r w:rsidRPr="00857E63">
        <w:rPr>
          <w:rFonts w:cs="Arial"/>
          <w:lang w:eastAsia="en-GB" w:bidi="en-GB"/>
        </w:rPr>
        <w:t>Erhaltungszüchter und Saatgutunternehmen sind dafür verantwortlich, sicherzustellen, dass ihre Sorten nicht nur im Inland, sondern auch grenzüberschreitend rein und getreu der Beschreibung und der definitiven Probe (das die „lebende Beschreibung“ der Sorte ist) bleiben. Für die Vermehrung von Saatgut in großen Mengen für den Handel müssen jedoch Mindestkriterien gemeinsam definiert, gebilligt und durchgesetzt werden. Die Saatgutsysteme der OECD stellen diesen rechtlichen Rahmen auf internationaler Ebene bereit</w:t>
      </w:r>
      <w:r w:rsidR="007E07ED" w:rsidRPr="00160FAB">
        <w:rPr>
          <w:rFonts w:cs="Arial"/>
          <w:lang w:eastAsia="en-GB" w:bidi="en-GB"/>
        </w:rPr>
        <w:t>.</w:t>
      </w:r>
    </w:p>
    <w:p w14:paraId="58D28FD1" w14:textId="77777777" w:rsidR="007E07ED" w:rsidRPr="00160FAB" w:rsidRDefault="007E07ED" w:rsidP="007E07ED">
      <w:pPr>
        <w:widowControl w:val="0"/>
        <w:tabs>
          <w:tab w:val="left" w:pos="1069"/>
          <w:tab w:val="left" w:pos="1071"/>
        </w:tabs>
        <w:autoSpaceDE w:val="0"/>
        <w:autoSpaceDN w:val="0"/>
        <w:spacing w:before="1"/>
        <w:ind w:left="220" w:right="217"/>
        <w:rPr>
          <w:rFonts w:cs="Arial"/>
          <w:lang w:eastAsia="en-GB" w:bidi="en-GB"/>
        </w:rPr>
      </w:pPr>
    </w:p>
    <w:p w14:paraId="58D28FD2" w14:textId="7F999AE6" w:rsidR="007E07ED" w:rsidRPr="00160FAB" w:rsidRDefault="002C4A25" w:rsidP="007E07ED">
      <w:pPr>
        <w:rPr>
          <w:i/>
        </w:rPr>
      </w:pPr>
      <w:r w:rsidRPr="002C4A25">
        <w:rPr>
          <w:i/>
        </w:rPr>
        <w:t>Stand der biochemischen und molekularen Techniken (BMT) in den Saatgutsystemen der OECD</w:t>
      </w:r>
    </w:p>
    <w:p w14:paraId="58D28FD3" w14:textId="77777777" w:rsidR="007E07ED" w:rsidRPr="00160FAB" w:rsidRDefault="007E07ED" w:rsidP="007E07ED">
      <w:pPr>
        <w:ind w:right="556"/>
      </w:pPr>
    </w:p>
    <w:p w14:paraId="1B77F9A4" w14:textId="77777777" w:rsidR="00533695" w:rsidRDefault="00533695" w:rsidP="00533695">
      <w:pPr>
        <w:ind w:right="102"/>
      </w:pPr>
      <w:r>
        <w:t>Die Saatgutsysteme der OECD befürworten keine speziellen Laborverfahren zur Bestimmung der Sortenidentität oder zur Bestimmung der Sortenreinheit. Die herkömmlichen Verfahren der OECD der Verwendung von Feldprüfungsverfahren zusammen mit Vor- und Nach-Kontrollparzellen sind als die erforderlichen Verfahren zur Bestimmung der Sortenidentität und Sortenreinheit anzusehen.</w:t>
      </w:r>
    </w:p>
    <w:p w14:paraId="64B0DA66" w14:textId="77777777" w:rsidR="00533695" w:rsidRDefault="00533695" w:rsidP="00533695">
      <w:pPr>
        <w:ind w:right="102"/>
      </w:pPr>
    </w:p>
    <w:p w14:paraId="58D28FD6" w14:textId="6FB76261" w:rsidR="007E07ED" w:rsidRPr="00160FAB" w:rsidRDefault="00533695" w:rsidP="00533695">
      <w:pPr>
        <w:ind w:right="102"/>
      </w:pPr>
      <w:r>
        <w:t>Die Saatgutsysteme der OECD erkennen jedoch an, dass es Fälle gibt, in denen diese herkömmlichen Verfahren die Sicherheit der Sortenbestimmung einschränken, und in einigen Fällen können Sorten einiger Arten mit diesen herkömmlichen Verfahren nicht mit Sicherheit identifiziert werden. Unter diesen besonderen Umständen kann es vorteilhaft sein, nicht feldbasierte Verfahren wie BMT zu verwenden, die als Ergänzung und nicht als Ersatz für die herkömmlicheren Verfahren anzusehen sind</w:t>
      </w:r>
      <w:r w:rsidR="007E07ED" w:rsidRPr="00160FAB">
        <w:t>.</w:t>
      </w:r>
    </w:p>
    <w:p w14:paraId="58D28FD7" w14:textId="77777777" w:rsidR="007E07ED" w:rsidRPr="00160FAB" w:rsidRDefault="007E07ED" w:rsidP="007E07ED">
      <w:pPr>
        <w:spacing w:before="8"/>
      </w:pPr>
    </w:p>
    <w:p w14:paraId="58D28FD8" w14:textId="5C20EBE0" w:rsidR="007E07ED" w:rsidRPr="00160FAB" w:rsidRDefault="002446DD" w:rsidP="007E07ED">
      <w:pPr>
        <w:spacing w:before="1"/>
        <w:rPr>
          <w:b/>
        </w:rPr>
      </w:pPr>
      <w:r w:rsidRPr="002446DD">
        <w:t>Für weitere Informationen über die Saatgutsysteme der OECD siehe: www.oecd.org/tad/seed</w:t>
      </w:r>
    </w:p>
    <w:p w14:paraId="58D28FD9" w14:textId="77777777" w:rsidR="007E07ED" w:rsidRPr="00160FAB" w:rsidRDefault="007E07ED" w:rsidP="007E07ED"/>
    <w:p w14:paraId="58D28FDA" w14:textId="77777777" w:rsidR="007E07ED" w:rsidRPr="00160FAB" w:rsidRDefault="007E07ED" w:rsidP="007E07ED"/>
    <w:p w14:paraId="22405DD3" w14:textId="77777777" w:rsidR="004A3329" w:rsidRDefault="004A3329">
      <w:pPr>
        <w:jc w:val="left"/>
        <w:rPr>
          <w:bCs/>
          <w:u w:val="single"/>
        </w:rPr>
      </w:pPr>
      <w:r>
        <w:rPr>
          <w:bCs/>
          <w:u w:val="single"/>
        </w:rPr>
        <w:br w:type="page"/>
      </w:r>
    </w:p>
    <w:p w14:paraId="58D28FDB" w14:textId="2413AF7F" w:rsidR="007E07ED" w:rsidRPr="00160FAB" w:rsidRDefault="000F14DC" w:rsidP="007E07ED">
      <w:pPr>
        <w:rPr>
          <w:bCs/>
          <w:u w:val="single"/>
        </w:rPr>
      </w:pPr>
      <w:r w:rsidRPr="000F14DC">
        <w:rPr>
          <w:bCs/>
          <w:u w:val="single"/>
        </w:rPr>
        <w:lastRenderedPageBreak/>
        <w:t>Internationaler Verband zum Schutz von Pflanzenzüchtungen (UPOV</w:t>
      </w:r>
      <w:r w:rsidR="007E07ED" w:rsidRPr="00160FAB">
        <w:rPr>
          <w:bCs/>
          <w:u w:val="single"/>
        </w:rPr>
        <w:t>)</w:t>
      </w:r>
    </w:p>
    <w:p w14:paraId="58D28FDC" w14:textId="77777777" w:rsidR="007E07ED" w:rsidRPr="00160FAB" w:rsidRDefault="007E07ED" w:rsidP="007E07ED"/>
    <w:p w14:paraId="58D28FDD" w14:textId="7FD8FD18" w:rsidR="007E07ED" w:rsidRPr="00160FAB" w:rsidRDefault="00C02A0A" w:rsidP="007E07ED">
      <w:r w:rsidRPr="00C02A0A">
        <w:rPr>
          <w:bCs/>
        </w:rPr>
        <w:t>Art der Organisation: Zwischenstaatlich</w:t>
      </w:r>
    </w:p>
    <w:p w14:paraId="58D28FDE" w14:textId="77777777" w:rsidR="007E07ED" w:rsidRPr="00160FAB" w:rsidRDefault="007E07ED" w:rsidP="007E07ED">
      <w:r w:rsidRPr="00160FAB">
        <w:t> </w:t>
      </w:r>
    </w:p>
    <w:p w14:paraId="58D28FDF" w14:textId="233CECB2" w:rsidR="007E07ED" w:rsidRPr="00160FAB" w:rsidRDefault="00130DC3" w:rsidP="007E07ED">
      <w:pPr>
        <w:rPr>
          <w:bCs/>
        </w:rPr>
      </w:pPr>
      <w:r w:rsidRPr="00130DC3">
        <w:rPr>
          <w:bCs/>
        </w:rPr>
        <w:t>Mitgliedschaft</w:t>
      </w:r>
    </w:p>
    <w:p w14:paraId="7E27B141" w14:textId="2B337F24" w:rsidR="00692EC5" w:rsidRPr="00BD6A76" w:rsidRDefault="00A7187D" w:rsidP="00692EC5">
      <w:hyperlink r:id="rId11" w:history="1">
        <w:r w:rsidR="00692EC5" w:rsidRPr="00BD6A76">
          <w:rPr>
            <w:rStyle w:val="Hyperlink"/>
          </w:rPr>
          <w:t>Liste der UPOV-Mitglieder</w:t>
        </w:r>
      </w:hyperlink>
      <w:r w:rsidR="000817C9">
        <w:t xml:space="preserve"> </w:t>
      </w:r>
      <w:r w:rsidR="00692EC5" w:rsidRPr="00BD6A76">
        <w:t xml:space="preserve">/ </w:t>
      </w:r>
      <w:hyperlink r:id="rId12" w:history="1">
        <w:r w:rsidR="00692EC5" w:rsidRPr="00BD6A76">
          <w:rPr>
            <w:rStyle w:val="Hyperlink"/>
          </w:rPr>
          <w:t>Lage in Bezug auf die UPOV</w:t>
        </w:r>
      </w:hyperlink>
    </w:p>
    <w:p w14:paraId="58D28FE1" w14:textId="77777777" w:rsidR="007E07ED" w:rsidRPr="00160FAB" w:rsidRDefault="007E07ED" w:rsidP="007E07ED">
      <w:r w:rsidRPr="00160FAB">
        <w:t> </w:t>
      </w:r>
    </w:p>
    <w:p w14:paraId="58D28FE2" w14:textId="699EA044" w:rsidR="007E07ED" w:rsidRPr="00160FAB" w:rsidRDefault="00807CCF" w:rsidP="008E521A">
      <w:pPr>
        <w:keepNext/>
        <w:rPr>
          <w:bCs/>
          <w:i/>
        </w:rPr>
      </w:pPr>
      <w:r w:rsidRPr="00807CCF">
        <w:rPr>
          <w:bCs/>
          <w:i/>
        </w:rPr>
        <w:t>Was ist die UPOV</w:t>
      </w:r>
      <w:r w:rsidR="007E07ED" w:rsidRPr="00160FAB">
        <w:rPr>
          <w:bCs/>
          <w:i/>
        </w:rPr>
        <w:t>?</w:t>
      </w:r>
    </w:p>
    <w:p w14:paraId="58D28FE3" w14:textId="77777777" w:rsidR="007E07ED" w:rsidRPr="00160FAB" w:rsidRDefault="007E07ED" w:rsidP="008E521A">
      <w:pPr>
        <w:keepNext/>
        <w:rPr>
          <w:bCs/>
        </w:rPr>
      </w:pPr>
    </w:p>
    <w:p w14:paraId="42A5EA63" w14:textId="77777777" w:rsidR="003A0E5F" w:rsidRDefault="003A0E5F" w:rsidP="003A0E5F">
      <w:r>
        <w:t>Der Internationale Verband zum Schutz von Pflanzenzüchtungen (UPOV) ist eine zwischenstaatliche Organisation mit Sitz in Genf, Schweiz. Die UPOV wurde durch das 1961 unterzeichnete Internationale Übereinkommen zum Schutz von Pflanzenzüchtungen („UPOV-Übereinkommen") geschaffen.</w:t>
      </w:r>
    </w:p>
    <w:p w14:paraId="721DAC08" w14:textId="77777777" w:rsidR="003A0E5F" w:rsidRDefault="003A0E5F" w:rsidP="003A0E5F">
      <w:r>
        <w:t>Das Ziel der UPOV ist die Bereitstellung und Förderung eines wirksamen Sortenschutzsystems mit dem Ziel, die Entwicklung neuer Pflanzensorten zum Nutzen der Gesellschaft zu begünstigen.</w:t>
      </w:r>
    </w:p>
    <w:p w14:paraId="58D28FE6" w14:textId="775DA776" w:rsidR="007E07ED" w:rsidRPr="00160FAB" w:rsidRDefault="003A0E5F" w:rsidP="003A0E5F">
      <w:r>
        <w:t>Das UPOV-Übereinkommen bildet die Grundlage einer Förderung der Pflanzenzüchtung, indem Züchtern neuer Pflanzensorten ein Recht des geistigen Eigentums erteilt wird: das Züchterrecht</w:t>
      </w:r>
      <w:r w:rsidR="007E07ED" w:rsidRPr="00160FAB">
        <w:t>.</w:t>
      </w:r>
    </w:p>
    <w:p w14:paraId="58D28FE7" w14:textId="77777777" w:rsidR="007E07ED" w:rsidRPr="00160FAB" w:rsidRDefault="007E07ED" w:rsidP="007E07ED">
      <w:r w:rsidRPr="00160FAB">
        <w:t> </w:t>
      </w:r>
    </w:p>
    <w:p w14:paraId="58D28FE8" w14:textId="49E8ED3F" w:rsidR="007E07ED" w:rsidRPr="00160FAB" w:rsidRDefault="005876B2" w:rsidP="007E07ED">
      <w:pPr>
        <w:rPr>
          <w:bCs/>
          <w:i/>
        </w:rPr>
      </w:pPr>
      <w:r w:rsidRPr="005876B2">
        <w:rPr>
          <w:bCs/>
          <w:i/>
        </w:rPr>
        <w:t>Was macht die UPOV</w:t>
      </w:r>
      <w:r w:rsidR="007E07ED" w:rsidRPr="00160FAB">
        <w:rPr>
          <w:bCs/>
          <w:i/>
        </w:rPr>
        <w:t>?</w:t>
      </w:r>
    </w:p>
    <w:p w14:paraId="58D28FE9" w14:textId="77777777" w:rsidR="007E07ED" w:rsidRPr="00160FAB" w:rsidRDefault="007E07ED" w:rsidP="007E07ED">
      <w:pPr>
        <w:rPr>
          <w:bCs/>
        </w:rPr>
      </w:pPr>
    </w:p>
    <w:p w14:paraId="58D28FEA" w14:textId="6C91DC87" w:rsidR="007E07ED" w:rsidRPr="00160FAB" w:rsidRDefault="005005B2" w:rsidP="007E07ED">
      <w:r w:rsidRPr="005005B2">
        <w:t>Das Ziel der UPOV ist die Bereitstellung und Förderung eines wirksamen Sortenschutzsystems mit dem Ziel, die Entwicklung neuer Pflanzensorten zum Nutzen der Gesellschaft zu begünstigen. Die hauptsächlichen Ziele der UPOV sind gemäß dem UPOV-Übereinkommen</w:t>
      </w:r>
      <w:r w:rsidR="007E07ED" w:rsidRPr="00160FAB">
        <w:t>:</w:t>
      </w:r>
    </w:p>
    <w:p w14:paraId="3816AF96" w14:textId="77777777" w:rsidR="0090228B" w:rsidRDefault="0090228B" w:rsidP="0090228B">
      <w:pPr>
        <w:numPr>
          <w:ilvl w:val="0"/>
          <w:numId w:val="6"/>
        </w:numPr>
      </w:pPr>
      <w:r>
        <w:t>Bereitstellung und Entwicklung der rechtlichen, administrativen und technischen Grundlage für die internationale Zusammenarbeit auf dem Gebiet des Sortenschutzes;</w:t>
      </w:r>
    </w:p>
    <w:p w14:paraId="595ADE30" w14:textId="77777777" w:rsidR="0090228B" w:rsidRDefault="0090228B" w:rsidP="0090228B">
      <w:pPr>
        <w:numPr>
          <w:ilvl w:val="0"/>
          <w:numId w:val="6"/>
        </w:numPr>
      </w:pPr>
      <w:r>
        <w:t>Unterstützung von Staaten und Organisationen bei der Ausarbeitung von Rechtsvorschriften und der Umsetzung eines wirksamen Sortenschutzsystems; und</w:t>
      </w:r>
    </w:p>
    <w:p w14:paraId="58D28FED" w14:textId="0AEC171E" w:rsidR="007E07ED" w:rsidRPr="00160FAB" w:rsidRDefault="0090228B" w:rsidP="0090228B">
      <w:pPr>
        <w:numPr>
          <w:ilvl w:val="0"/>
          <w:numId w:val="6"/>
        </w:numPr>
      </w:pPr>
      <w:r>
        <w:t>Sensibilisierung und Erhöhung des Verständnisses der Öffentlichk</w:t>
      </w:r>
      <w:r w:rsidR="00CF47B8">
        <w:t>eit für das UPOV</w:t>
      </w:r>
      <w:r w:rsidR="00CF47B8">
        <w:noBreakHyphen/>
      </w:r>
      <w:r>
        <w:t>Sortenschutzsystem</w:t>
      </w:r>
      <w:r w:rsidR="007E07ED" w:rsidRPr="00160FAB">
        <w:t>.</w:t>
      </w:r>
    </w:p>
    <w:p w14:paraId="58D28FEE" w14:textId="77777777" w:rsidR="007E07ED" w:rsidRPr="00160FAB" w:rsidRDefault="007E07ED" w:rsidP="007E07ED">
      <w:r w:rsidRPr="00160FAB">
        <w:rPr>
          <w:bCs/>
        </w:rPr>
        <w:t> </w:t>
      </w:r>
    </w:p>
    <w:p w14:paraId="58D28FEF" w14:textId="6FC6B421" w:rsidR="007E07ED" w:rsidRPr="00160FAB" w:rsidRDefault="008F51E6" w:rsidP="007E07ED">
      <w:pPr>
        <w:rPr>
          <w:bCs/>
          <w:i/>
        </w:rPr>
      </w:pPr>
      <w:r w:rsidRPr="00BD6A76">
        <w:rPr>
          <w:bCs/>
          <w:i/>
        </w:rPr>
        <w:t>Was sind die Vorteile des Sortenschutzes und der UPOV-Mitgliedschaft</w:t>
      </w:r>
      <w:r w:rsidR="007E07ED" w:rsidRPr="00160FAB">
        <w:rPr>
          <w:bCs/>
          <w:i/>
        </w:rPr>
        <w:t>?</w:t>
      </w:r>
    </w:p>
    <w:p w14:paraId="58D28FF0" w14:textId="77777777" w:rsidR="007E07ED" w:rsidRPr="00160FAB" w:rsidRDefault="007E07ED" w:rsidP="007E07ED">
      <w:pPr>
        <w:rPr>
          <w:bCs/>
        </w:rPr>
      </w:pPr>
    </w:p>
    <w:p w14:paraId="58D28FF1" w14:textId="6EEA9623" w:rsidR="007E07ED" w:rsidRPr="00160FAB" w:rsidRDefault="00CA04A5" w:rsidP="007E07ED">
      <w:r w:rsidRPr="00CA04A5">
        <w:t>Aus dem UPOV-Bericht über die Auswirkungen des Sortenschutzes ging hervor, dass sowohl die Umsetzung des UPOV-Übereinkommens als auch die Mitgliedschaft bei der UPOV wichtig sind, um in den Genuss sämtlicher Vorteile, die der Sortenschutz zu bieten hat, zu ge</w:t>
      </w:r>
      <w:r w:rsidR="00CF47B8">
        <w:t>langen. Die Einführung des UPOV</w:t>
      </w:r>
      <w:r w:rsidR="00CF47B8">
        <w:noBreakHyphen/>
      </w:r>
      <w:r w:rsidRPr="00CA04A5">
        <w:t>Sortenschutzsystems und der UPOV-Mitgliedschaft werden in Verbindung gebracht mit</w:t>
      </w:r>
      <w:r w:rsidR="007E07ED" w:rsidRPr="00160FAB">
        <w:t>:</w:t>
      </w:r>
    </w:p>
    <w:p w14:paraId="58D28FF2" w14:textId="77777777" w:rsidR="007E07ED" w:rsidRPr="00160FAB" w:rsidRDefault="007E07ED" w:rsidP="007E07ED"/>
    <w:p w14:paraId="10AD9988" w14:textId="77777777" w:rsidR="000C6C05" w:rsidRDefault="000C6C05" w:rsidP="000C6C05">
      <w:r>
        <w:t>a)</w:t>
      </w:r>
      <w:r>
        <w:tab/>
        <w:t>vermehrter Züchtungstätigkeit,</w:t>
      </w:r>
    </w:p>
    <w:p w14:paraId="6EE7AB01" w14:textId="77777777" w:rsidR="000C6C05" w:rsidRDefault="000C6C05" w:rsidP="000C6C05">
      <w:r>
        <w:t>b)</w:t>
      </w:r>
      <w:r>
        <w:tab/>
        <w:t>höherer Verfügbarkeit verbesserter Sorten,</w:t>
      </w:r>
    </w:p>
    <w:p w14:paraId="489832D5" w14:textId="77777777" w:rsidR="000C6C05" w:rsidRDefault="000C6C05" w:rsidP="000C6C05">
      <w:r>
        <w:t>c)</w:t>
      </w:r>
      <w:r>
        <w:tab/>
        <w:t>höherer Anzahl neuer Sorten,</w:t>
      </w:r>
    </w:p>
    <w:p w14:paraId="11E2FDC2" w14:textId="77777777" w:rsidR="000C6C05" w:rsidRDefault="000C6C05" w:rsidP="000C6C05">
      <w:r>
        <w:t>d)</w:t>
      </w:r>
      <w:r>
        <w:tab/>
        <w:t>Diversifikation der Arten von Züchtern (z.B. private Züchter, Forscher),</w:t>
      </w:r>
    </w:p>
    <w:p w14:paraId="4C2DAFED" w14:textId="77777777" w:rsidR="000C6C05" w:rsidRDefault="000C6C05" w:rsidP="000C6C05">
      <w:r>
        <w:t>e)</w:t>
      </w:r>
      <w:r>
        <w:tab/>
        <w:t>größerer Zahl ausländischer neuer Sorten,</w:t>
      </w:r>
    </w:p>
    <w:p w14:paraId="0FC2F6A2" w14:textId="77777777" w:rsidR="000C6C05" w:rsidRDefault="000C6C05" w:rsidP="000C6C05">
      <w:r>
        <w:t>f)</w:t>
      </w:r>
      <w:r>
        <w:tab/>
        <w:t>Förderung der Entwicklung einer neuen Wettbewerbsfähigkeit der Branche auf ausländischen Märkten, und</w:t>
      </w:r>
    </w:p>
    <w:p w14:paraId="58D28FF9" w14:textId="457C6F08" w:rsidR="007E07ED" w:rsidRPr="00160FAB" w:rsidRDefault="000C6C05" w:rsidP="000C6C05">
      <w:r>
        <w:t>g)</w:t>
      </w:r>
      <w:r>
        <w:tab/>
        <w:t>verbessertem Zugang zu ausländischen Pflanzensorten und verbesserten inländischen Züchterprogrammen</w:t>
      </w:r>
      <w:r w:rsidR="007E07ED" w:rsidRPr="00160FAB">
        <w:t>.</w:t>
      </w:r>
    </w:p>
    <w:p w14:paraId="58D28FFA" w14:textId="77562FCF" w:rsidR="007E07ED" w:rsidRPr="00160FAB" w:rsidRDefault="00DD5B7D" w:rsidP="007E07ED">
      <w:r w:rsidRPr="00DD5B7D">
        <w:t>Für den Beitritt zur UPOV ist die Stellungnahme des UPOV-Rates im Hinblick auf die Vereinbarkeit des Gesetzes eines künftigen Mitglieds mit den Bestimmungen des UPOV-Übereinkommens erforderlich. Dieses Verfahren führt als solches zu einem hohen Grad an Übereinstimmung dieser Gesetze, was in der Folge die Zusammenarbeit unter den Mitgliedern bei der Umsetzung des Systems erleichtert</w:t>
      </w:r>
      <w:r w:rsidR="007E07ED" w:rsidRPr="00160FAB">
        <w:t>.</w:t>
      </w:r>
    </w:p>
    <w:p w14:paraId="58D28FFB" w14:textId="77777777" w:rsidR="007E07ED" w:rsidRPr="00160FAB" w:rsidRDefault="007E07ED" w:rsidP="007E07ED">
      <w:pPr>
        <w:keepNext/>
        <w:rPr>
          <w:i/>
        </w:rPr>
      </w:pPr>
    </w:p>
    <w:p w14:paraId="58D28FFC" w14:textId="15AB9CC0" w:rsidR="007E07ED" w:rsidRPr="00160FAB" w:rsidRDefault="007234C3" w:rsidP="007E07ED">
      <w:pPr>
        <w:keepNext/>
        <w:rPr>
          <w:i/>
        </w:rPr>
      </w:pPr>
      <w:r w:rsidRPr="007234C3">
        <w:rPr>
          <w:i/>
        </w:rPr>
        <w:t>Erlaubt die UPOV die Verwendung molekularer Marker (DNS-Profile) bei der Prüfung von Unterscheidbarkeit, Homogenität und Beständigkeit („DUS-Prüfung“)</w:t>
      </w:r>
      <w:r w:rsidR="007E07ED" w:rsidRPr="00160FAB">
        <w:rPr>
          <w:i/>
        </w:rPr>
        <w:t>?</w:t>
      </w:r>
    </w:p>
    <w:p w14:paraId="58D28FFD" w14:textId="77777777" w:rsidR="007E07ED" w:rsidRPr="00160FAB" w:rsidRDefault="007E07ED" w:rsidP="007E07ED">
      <w:pPr>
        <w:keepNext/>
      </w:pPr>
    </w:p>
    <w:p w14:paraId="58D28FFE" w14:textId="48ECB935" w:rsidR="007E07ED" w:rsidRPr="00160FAB" w:rsidRDefault="007C5BBD" w:rsidP="007E07ED">
      <w:pPr>
        <w:keepNext/>
      </w:pPr>
      <w:r w:rsidRPr="007C5BBD">
        <w:t>Es ist wichtig anzumerken, dass in einigen Fällen Sorten ein unterschiedliches DNS-Profil haben, jedoch phänotypisch identisch sein können, während in anderen Fällen Sorten, die einen großen phänotypischen Unterschied aufweisen, dasselbe DNS-Profil für eine bestimmte Serie von molekularen Markern haben können (z.B. einige Mutationen</w:t>
      </w:r>
      <w:r w:rsidR="007E07ED" w:rsidRPr="00160FAB">
        <w:t>).</w:t>
      </w:r>
    </w:p>
    <w:p w14:paraId="58D28FFF" w14:textId="77777777" w:rsidR="007E07ED" w:rsidRPr="00160FAB" w:rsidRDefault="007E07ED" w:rsidP="007E07ED"/>
    <w:p w14:paraId="58D29000" w14:textId="100BBAD9" w:rsidR="007E07ED" w:rsidRPr="00160FAB" w:rsidRDefault="005B041A" w:rsidP="00CF47B8">
      <w:pPr>
        <w:spacing w:after="160"/>
      </w:pPr>
      <w:r w:rsidRPr="005B041A">
        <w:t>Was die Verwendung molekularer Marker betrifft, die nicht im Zusammenhang mit phänotypischen Unterschieden stehen, besteht die Sorge, dass womöglich eine unbegrenzte Anzahl von Markern verwendet werden könnte, um zwischen Sorten Unterschiede auf genetischer Ebene zu festzustellen, die bei phänotypischen Merkmalen nicht zu finden sind</w:t>
      </w:r>
      <w:r w:rsidR="007E07ED" w:rsidRPr="00160FAB">
        <w:t>.</w:t>
      </w:r>
    </w:p>
    <w:p w14:paraId="58D29002" w14:textId="69ACEF36" w:rsidR="007E07ED" w:rsidRPr="00160FAB" w:rsidRDefault="00EC3805" w:rsidP="007E07ED">
      <w:r w:rsidRPr="00EC3805">
        <w:lastRenderedPageBreak/>
        <w:t>Auf dieser Grundlage vereinbarte die UPOV die folgenden Verwendungen von molekularen Markern im Zusammenhang mit der DUS-Prüfung</w:t>
      </w:r>
      <w:r w:rsidR="007E07ED" w:rsidRPr="00160FAB">
        <w:t>:</w:t>
      </w:r>
    </w:p>
    <w:p w14:paraId="58D29003" w14:textId="77777777" w:rsidR="007E07ED" w:rsidRPr="00160FAB" w:rsidRDefault="007E07ED" w:rsidP="007E07ED"/>
    <w:p w14:paraId="07367F3F" w14:textId="77777777" w:rsidR="00F574B2" w:rsidRDefault="00F574B2" w:rsidP="00F574B2">
      <w:r>
        <w:t xml:space="preserve">a) </w:t>
      </w:r>
      <w:r>
        <w:tab/>
        <w:t>Molekulare Marker können als eine Methode zur Prüfung von DUS-Merkmalen, die die Kriterien für die in der Allgemeinen Einführung dargelegten Merkmale erfüllen, verwendet werden, falls es eine zuverlässige Kopplung zwischen dem Marker und dem Merkmal gibt.</w:t>
      </w:r>
    </w:p>
    <w:p w14:paraId="50BC3C6C" w14:textId="77777777" w:rsidR="00F574B2" w:rsidRDefault="00F574B2" w:rsidP="00F574B2"/>
    <w:p w14:paraId="6066DF56" w14:textId="77777777" w:rsidR="00F574B2" w:rsidRDefault="00F574B2" w:rsidP="00F574B2">
      <w:r>
        <w:t xml:space="preserve">b) </w:t>
      </w:r>
      <w:r>
        <w:tab/>
        <w:t>Es kann eine Kombination aus phänotypischen Unterschieden und molekularen Abständen verwendet werden, um die Auswahl von in der Anbauprüfung zu vergleichenden Sorten zu verbessern, wenn die molekularen Abstände in ausreichendem Bezug zu phänotypischen Unterschieden stehen, so dass die Methode kein erhöhtes Risiko schafft, dass eine Sorte in der Sortensammlung, die im Feld mit den Kandidatensorten verglichen werden muss, nicht ausgewählt wird.</w:t>
      </w:r>
    </w:p>
    <w:p w14:paraId="6592D9DB" w14:textId="77777777" w:rsidR="00F574B2" w:rsidRDefault="00F574B2" w:rsidP="00F574B2"/>
    <w:p w14:paraId="58D29008" w14:textId="4DBC8AD0" w:rsidR="007E07ED" w:rsidRPr="00160FAB" w:rsidRDefault="00F574B2" w:rsidP="00F574B2">
      <w:r>
        <w:t>Die Lage in der UPOV wird in den Dokumenten TGP/15 „Anleitung zur Verwendung biochemischer und molekularer Marker bei der Prüfung der Unterscheidbarkeit, Homogenität und Beständigkeit (DUS)“ und UPOV/INF/18 „Etwaige Verwendung molekularer Marker bei der Prüfung der Unterscheidbarkeit, der Homogenität und der Beständigkeit (DUS)“ erläutert</w:t>
      </w:r>
      <w:r w:rsidR="007E07ED" w:rsidRPr="00160FAB">
        <w:t>.</w:t>
      </w:r>
    </w:p>
    <w:p w14:paraId="58D29009" w14:textId="77777777" w:rsidR="007E07ED" w:rsidRPr="00160FAB" w:rsidRDefault="007E07ED" w:rsidP="007E07ED"/>
    <w:p w14:paraId="2729D860" w14:textId="77777777" w:rsidR="00E10EC3" w:rsidRPr="00BD6A76" w:rsidRDefault="00A7187D" w:rsidP="00E10EC3">
      <w:hyperlink r:id="rId13" w:anchor="QB80" w:history="1">
        <w:r w:rsidR="00E10EC3" w:rsidRPr="00BD6A76">
          <w:rPr>
            <w:color w:val="0000FF"/>
            <w:u w:val="single"/>
          </w:rPr>
          <w:t>https://www.upov.int/about/de/faq.html - QB80</w:t>
        </w:r>
      </w:hyperlink>
    </w:p>
    <w:p w14:paraId="58D2900B" w14:textId="77777777" w:rsidR="007E07ED" w:rsidRPr="00160FAB" w:rsidRDefault="007E07ED" w:rsidP="007E07ED"/>
    <w:p w14:paraId="58D2900C" w14:textId="77777777" w:rsidR="007E07ED" w:rsidRPr="00160FAB" w:rsidRDefault="007E07ED" w:rsidP="007E07ED"/>
    <w:p w14:paraId="58D2900D" w14:textId="22D299EA" w:rsidR="007E07ED" w:rsidRPr="00160FAB" w:rsidRDefault="0023774A" w:rsidP="007E07ED">
      <w:pPr>
        <w:rPr>
          <w:bCs/>
          <w:u w:val="single"/>
        </w:rPr>
      </w:pPr>
      <w:r w:rsidRPr="0023774A">
        <w:rPr>
          <w:bCs/>
          <w:u w:val="single"/>
        </w:rPr>
        <w:t>Internationale Vereinigung für Saatgutprüfung (ISTA</w:t>
      </w:r>
      <w:r w:rsidR="007E07ED" w:rsidRPr="00160FAB">
        <w:rPr>
          <w:bCs/>
          <w:u w:val="single"/>
        </w:rPr>
        <w:t>)</w:t>
      </w:r>
    </w:p>
    <w:p w14:paraId="58D2900E" w14:textId="77777777" w:rsidR="007E07ED" w:rsidRPr="00160FAB" w:rsidRDefault="007E07ED" w:rsidP="007E07ED"/>
    <w:p w14:paraId="58D2900F" w14:textId="09191E02" w:rsidR="007E07ED" w:rsidRPr="00160FAB" w:rsidRDefault="00B46200" w:rsidP="007E07ED">
      <w:pPr>
        <w:rPr>
          <w:rFonts w:eastAsia="Calibri"/>
        </w:rPr>
      </w:pPr>
      <w:r w:rsidRPr="00B46200">
        <w:rPr>
          <w:rFonts w:eastAsia="Calibri"/>
        </w:rPr>
        <w:t>DIE VISION DER ISTA: EINHEITLICHKEIT BEI DER SAATGUTPRÜFUNG</w:t>
      </w:r>
    </w:p>
    <w:p w14:paraId="58D29010" w14:textId="77777777" w:rsidR="007E07ED" w:rsidRPr="00160FAB" w:rsidRDefault="007E07ED" w:rsidP="007E07ED">
      <w:pPr>
        <w:rPr>
          <w:rFonts w:eastAsia="Calibri"/>
        </w:rPr>
      </w:pPr>
    </w:p>
    <w:p w14:paraId="7537E421" w14:textId="3A00FD68" w:rsidR="001B7C40" w:rsidRPr="001B7C40" w:rsidRDefault="001B7C40" w:rsidP="001B7C40">
      <w:pPr>
        <w:spacing w:after="160" w:line="259" w:lineRule="auto"/>
        <w:rPr>
          <w:rFonts w:eastAsia="Calibri" w:cs="Arial"/>
          <w:color w:val="000000"/>
          <w:shd w:val="clear" w:color="auto" w:fill="FFFFFF"/>
        </w:rPr>
      </w:pPr>
      <w:r w:rsidRPr="001B7C40">
        <w:rPr>
          <w:rFonts w:eastAsia="Calibri" w:cs="Arial"/>
          <w:color w:val="000000"/>
          <w:shd w:val="clear" w:color="auto" w:fill="FFFFFF"/>
        </w:rPr>
        <w:t>Gegründet 1924 mit dem Ziel, standardisierte Verfahren auf dem Gebiet der Saatgutprüfung zu entwickeln und in Umlauf zu bringen, ist die ISTA untrennbar mit der Geschichte de</w:t>
      </w:r>
      <w:r w:rsidR="00CF47B8">
        <w:rPr>
          <w:rFonts w:eastAsia="Calibri" w:cs="Arial"/>
          <w:color w:val="000000"/>
          <w:shd w:val="clear" w:color="auto" w:fill="FFFFFF"/>
        </w:rPr>
        <w:t>r Saatgutprüfung verbunden. Mit </w:t>
      </w:r>
      <w:r w:rsidRPr="001B7C40">
        <w:rPr>
          <w:rFonts w:eastAsia="Calibri" w:cs="Arial"/>
          <w:color w:val="000000"/>
          <w:shd w:val="clear" w:color="auto" w:fill="FFFFFF"/>
        </w:rPr>
        <w:t>Mitgliedslaboren in über 80 Ländern/unterschiedlichen Volkswirtschaften weltweit ist die ISTA wirklich ein globales Netzwerk.</w:t>
      </w:r>
    </w:p>
    <w:p w14:paraId="58D29012" w14:textId="7F14E1A6" w:rsidR="007E07ED" w:rsidRPr="00160FAB" w:rsidRDefault="001B7C40" w:rsidP="001B7C40">
      <w:pPr>
        <w:spacing w:after="160" w:line="259" w:lineRule="auto"/>
        <w:rPr>
          <w:rFonts w:eastAsia="Calibri" w:cs="Arial"/>
          <w:color w:val="000000"/>
          <w:shd w:val="clear" w:color="auto" w:fill="FFFFFF"/>
        </w:rPr>
      </w:pPr>
      <w:r w:rsidRPr="001B7C40">
        <w:rPr>
          <w:rFonts w:eastAsia="Calibri" w:cs="Arial"/>
          <w:color w:val="000000"/>
          <w:shd w:val="clear" w:color="auto" w:fill="FFFFFF"/>
        </w:rPr>
        <w:t>Unsere Vereinigung erstellt international vereinbarte Vorschriften für die Beprobung und Prüfung von Saatgut, akkreditiert Labore, fördert die Forschung, stellt internationale Zertifikate für Saatgutanalyse und Schulungen bereit und verbreitet im Namen ihrer Mitglieder und unter der Leitung ihrer Mitgliedsländer/unterschiedlichen Volkswirtschaften Wissen betreffend Saatgutwissenschaft und -technologie. Dies erleichtert den Saatguthandel auf nationaler und internationaler Ebene und trägt somit zur Ernährungssicherheit bei</w:t>
      </w:r>
      <w:r w:rsidR="007E07ED" w:rsidRPr="00160FAB">
        <w:rPr>
          <w:rFonts w:eastAsia="Calibri" w:cs="Arial"/>
          <w:color w:val="000000"/>
          <w:shd w:val="clear" w:color="auto" w:fill="FFFFFF"/>
        </w:rPr>
        <w:t>.</w:t>
      </w:r>
    </w:p>
    <w:p w14:paraId="58D29013" w14:textId="07A9B6D8" w:rsidR="007E07ED" w:rsidRPr="00160FAB" w:rsidRDefault="0031521B" w:rsidP="007E07ED">
      <w:pPr>
        <w:spacing w:after="160" w:line="259" w:lineRule="auto"/>
        <w:jc w:val="left"/>
        <w:rPr>
          <w:rFonts w:eastAsia="Calibri" w:cs="Arial"/>
          <w:bCs/>
        </w:rPr>
      </w:pPr>
      <w:r w:rsidRPr="0031521B">
        <w:rPr>
          <w:rFonts w:eastAsia="Calibri" w:cs="Arial"/>
          <w:bCs/>
        </w:rPr>
        <w:t>ISTA-MITGLIEDER IM JAHR 2019</w:t>
      </w:r>
    </w:p>
    <w:p w14:paraId="58D29014" w14:textId="62961A5E" w:rsidR="007E07ED" w:rsidRPr="00160FAB" w:rsidRDefault="0069314F" w:rsidP="007E07ED">
      <w:pPr>
        <w:spacing w:after="160" w:line="259" w:lineRule="auto"/>
        <w:rPr>
          <w:rFonts w:eastAsia="Calibri" w:cs="Arial"/>
        </w:rPr>
      </w:pPr>
      <w:r w:rsidRPr="0069314F">
        <w:rPr>
          <w:rFonts w:eastAsia="Calibri" w:cs="Arial"/>
        </w:rPr>
        <w:t>Mit Mitgliedslaboren in 82 Ländern/unterschiedlichen Volkswirtschaften weltweit ist die ISTA mit ihren Mitgliedern ein wirklich globales Netzwerk. Derzeit besteht die ISTA aus</w:t>
      </w:r>
      <w:r w:rsidR="007E07ED" w:rsidRPr="00160FAB">
        <w:rPr>
          <w:rFonts w:eastAsia="Calibri" w:cs="Arial"/>
        </w:rPr>
        <w:t>:</w:t>
      </w:r>
    </w:p>
    <w:p w14:paraId="39CC7255" w14:textId="77777777" w:rsidR="00EF2A34" w:rsidRPr="00EF2A34" w:rsidRDefault="00EF2A34" w:rsidP="00EF2A34">
      <w:pPr>
        <w:numPr>
          <w:ilvl w:val="0"/>
          <w:numId w:val="8"/>
        </w:numPr>
        <w:autoSpaceDE w:val="0"/>
        <w:autoSpaceDN w:val="0"/>
        <w:adjustRightInd w:val="0"/>
        <w:spacing w:after="278" w:line="259" w:lineRule="auto"/>
        <w:jc w:val="left"/>
        <w:rPr>
          <w:rFonts w:eastAsia="Calibri" w:cs="Arial"/>
          <w:color w:val="000000"/>
        </w:rPr>
      </w:pPr>
      <w:r w:rsidRPr="00EF2A34">
        <w:rPr>
          <w:rFonts w:eastAsia="Calibri" w:cs="Arial"/>
          <w:color w:val="000000"/>
        </w:rPr>
        <w:t xml:space="preserve">235 Mitgliedslaboren, von denen 136 ISTA-akkreditiert sind </w:t>
      </w:r>
    </w:p>
    <w:p w14:paraId="734AFFBE" w14:textId="37AC6162" w:rsidR="00EF2A34" w:rsidRPr="00EF2A34" w:rsidRDefault="00EF2A34" w:rsidP="00EF2A34">
      <w:pPr>
        <w:numPr>
          <w:ilvl w:val="0"/>
          <w:numId w:val="8"/>
        </w:numPr>
        <w:autoSpaceDE w:val="0"/>
        <w:autoSpaceDN w:val="0"/>
        <w:adjustRightInd w:val="0"/>
        <w:spacing w:after="278" w:line="259" w:lineRule="auto"/>
        <w:jc w:val="left"/>
        <w:rPr>
          <w:rFonts w:eastAsia="Calibri" w:cs="Arial"/>
          <w:color w:val="000000"/>
        </w:rPr>
      </w:pPr>
      <w:r w:rsidRPr="00EF2A34">
        <w:rPr>
          <w:rFonts w:eastAsia="Calibri" w:cs="Arial"/>
          <w:color w:val="000000"/>
        </w:rPr>
        <w:t>63</w:t>
      </w:r>
      <w:r w:rsidR="009C40FE">
        <w:rPr>
          <w:rFonts w:eastAsia="Calibri" w:cs="Arial"/>
          <w:color w:val="000000"/>
        </w:rPr>
        <w:t xml:space="preserve"> </w:t>
      </w:r>
      <w:r w:rsidRPr="00EF2A34">
        <w:rPr>
          <w:rFonts w:eastAsia="Calibri" w:cs="Arial"/>
          <w:color w:val="000000"/>
        </w:rPr>
        <w:t>Assoziierten Mitgliedern</w:t>
      </w:r>
    </w:p>
    <w:p w14:paraId="58D29018" w14:textId="60FCCAA8" w:rsidR="007E07ED" w:rsidRPr="00160FAB" w:rsidRDefault="00EF2A34" w:rsidP="00EF2A34">
      <w:pPr>
        <w:numPr>
          <w:ilvl w:val="0"/>
          <w:numId w:val="8"/>
        </w:numPr>
        <w:autoSpaceDE w:val="0"/>
        <w:autoSpaceDN w:val="0"/>
        <w:adjustRightInd w:val="0"/>
        <w:spacing w:after="278" w:line="259" w:lineRule="auto"/>
        <w:jc w:val="left"/>
        <w:rPr>
          <w:rFonts w:eastAsia="Calibri" w:cs="Arial"/>
          <w:color w:val="000000"/>
        </w:rPr>
      </w:pPr>
      <w:r w:rsidRPr="00EF2A34">
        <w:rPr>
          <w:rFonts w:eastAsia="Calibri" w:cs="Arial"/>
          <w:color w:val="000000"/>
        </w:rPr>
        <w:t>39</w:t>
      </w:r>
      <w:r w:rsidR="009C40FE">
        <w:rPr>
          <w:rFonts w:eastAsia="Calibri" w:cs="Arial"/>
          <w:color w:val="000000"/>
        </w:rPr>
        <w:t xml:space="preserve"> </w:t>
      </w:r>
      <w:r w:rsidRPr="00EF2A34">
        <w:rPr>
          <w:rFonts w:eastAsia="Calibri" w:cs="Arial"/>
          <w:color w:val="000000"/>
        </w:rPr>
        <w:t>Persönlichen Mitgliedern</w:t>
      </w:r>
    </w:p>
    <w:p w14:paraId="58D29019" w14:textId="15A2734F" w:rsidR="007E07ED" w:rsidRPr="00160FAB" w:rsidRDefault="00164671" w:rsidP="007E07ED">
      <w:pPr>
        <w:autoSpaceDE w:val="0"/>
        <w:autoSpaceDN w:val="0"/>
        <w:adjustRightInd w:val="0"/>
        <w:jc w:val="left"/>
        <w:rPr>
          <w:rFonts w:eastAsia="Calibri" w:cs="Arial"/>
          <w:bCs/>
        </w:rPr>
      </w:pPr>
      <w:r w:rsidRPr="00164671">
        <w:rPr>
          <w:rFonts w:eastAsia="Calibri" w:cs="Arial"/>
          <w:bCs/>
        </w:rPr>
        <w:t>DIE TECHNISCHE ARBEIT DER ISTA</w:t>
      </w:r>
    </w:p>
    <w:p w14:paraId="58D2901A" w14:textId="77777777" w:rsidR="007E07ED" w:rsidRPr="00160FAB" w:rsidRDefault="007E07ED" w:rsidP="007E07ED">
      <w:pPr>
        <w:autoSpaceDE w:val="0"/>
        <w:autoSpaceDN w:val="0"/>
        <w:adjustRightInd w:val="0"/>
        <w:jc w:val="left"/>
        <w:rPr>
          <w:rFonts w:eastAsia="Calibri" w:cs="Arial"/>
          <w:b/>
          <w:bCs/>
        </w:rPr>
      </w:pPr>
    </w:p>
    <w:p w14:paraId="58D2901B" w14:textId="56F8D371" w:rsidR="007E07ED" w:rsidRPr="00160FAB" w:rsidRDefault="00745A93" w:rsidP="007E07ED">
      <w:pPr>
        <w:autoSpaceDE w:val="0"/>
        <w:autoSpaceDN w:val="0"/>
        <w:adjustRightInd w:val="0"/>
        <w:rPr>
          <w:rFonts w:eastAsia="Calibri" w:cs="Arial"/>
          <w:color w:val="000000"/>
        </w:rPr>
      </w:pPr>
      <w:r w:rsidRPr="00745A93">
        <w:rPr>
          <w:rFonts w:eastAsia="Calibri" w:cs="Arial"/>
          <w:color w:val="000000"/>
        </w:rPr>
        <w:t>Das wesentliche Ziel der technischen Ausschüsse der ISTA ist die Entwicklung, Standardisierung und Validierung von Verfahren für die Beprobung und Prüfung der Saatgutqualität unter Verwendung der besten verfügbaren wissenschaftlichen Erkenntnisse. Sie verbessern die ‚Internationalen Vorschriften für die Prüfung von Saatgut‘ der ISTA und entwickeln ISTA-Handbücher zu Saatgutverfahren einschließlich Beprobung und Prüfung. Außerdem sind sie für die Organisation von Symposien, Seminaren und Arbeitstagungen verantwortlich. Die technischen Ausschüsse der ISTA veranstalten regelmäßig Arbeitstagungen, die eine Plattform für Schulungen sowie für den Austausch von Informationen, Erfahrungen und Ideen bereitstellen</w:t>
      </w:r>
      <w:r w:rsidR="007E07ED" w:rsidRPr="00160FAB">
        <w:rPr>
          <w:rFonts w:eastAsia="Calibri" w:cs="Arial"/>
          <w:color w:val="000000"/>
        </w:rPr>
        <w:t>.</w:t>
      </w:r>
    </w:p>
    <w:p w14:paraId="58D2901C" w14:textId="77777777" w:rsidR="007E07ED" w:rsidRPr="00160FAB" w:rsidRDefault="007E07ED" w:rsidP="007E07ED">
      <w:pPr>
        <w:autoSpaceDE w:val="0"/>
        <w:autoSpaceDN w:val="0"/>
        <w:adjustRightInd w:val="0"/>
        <w:jc w:val="left"/>
        <w:rPr>
          <w:rFonts w:eastAsia="Calibri" w:cs="Arial"/>
          <w:color w:val="000000"/>
        </w:rPr>
      </w:pPr>
    </w:p>
    <w:p w14:paraId="721378CE" w14:textId="77777777" w:rsidR="0094004B" w:rsidRDefault="0094004B">
      <w:pPr>
        <w:jc w:val="left"/>
        <w:rPr>
          <w:rFonts w:eastAsia="Calibri" w:cs="Arial"/>
          <w:color w:val="000000"/>
        </w:rPr>
      </w:pPr>
      <w:r>
        <w:rPr>
          <w:rFonts w:eastAsia="Calibri" w:cs="Arial"/>
          <w:color w:val="000000"/>
        </w:rPr>
        <w:br w:type="page"/>
      </w:r>
    </w:p>
    <w:p w14:paraId="58D2901D" w14:textId="70FE97D3" w:rsidR="007E07ED" w:rsidRPr="00160FAB" w:rsidRDefault="00463CE4" w:rsidP="007E07ED">
      <w:pPr>
        <w:autoSpaceDE w:val="0"/>
        <w:autoSpaceDN w:val="0"/>
        <w:adjustRightInd w:val="0"/>
        <w:jc w:val="left"/>
        <w:rPr>
          <w:rFonts w:eastAsia="Calibri" w:cs="Arial"/>
          <w:color w:val="000000"/>
        </w:rPr>
      </w:pPr>
      <w:r w:rsidRPr="00463CE4">
        <w:rPr>
          <w:rFonts w:eastAsia="Calibri" w:cs="Arial"/>
          <w:color w:val="000000"/>
        </w:rPr>
        <w:lastRenderedPageBreak/>
        <w:t>Es gibt 20 technische Ausschüsse in der ISTA</w:t>
      </w:r>
      <w:r w:rsidR="007E07ED" w:rsidRPr="00160FAB">
        <w:rPr>
          <w:rFonts w:eastAsia="Calibri" w:cs="Arial"/>
          <w:color w:val="000000"/>
        </w:rPr>
        <w:t>:</w:t>
      </w:r>
    </w:p>
    <w:p w14:paraId="58D2901E" w14:textId="77777777" w:rsidR="007E07ED" w:rsidRPr="00160FAB" w:rsidRDefault="007E07ED" w:rsidP="007E07ED">
      <w:pPr>
        <w:autoSpaceDE w:val="0"/>
        <w:autoSpaceDN w:val="0"/>
        <w:adjustRightInd w:val="0"/>
        <w:jc w:val="left"/>
        <w:rPr>
          <w:rFonts w:eastAsia="Calibri" w:cs="Arial"/>
          <w:color w:val="000000"/>
        </w:rPr>
      </w:pPr>
    </w:p>
    <w:tbl>
      <w:tblPr>
        <w:tblStyle w:val="TableGrid1"/>
        <w:tblW w:w="0" w:type="auto"/>
        <w:tblLook w:val="04A0" w:firstRow="1" w:lastRow="0" w:firstColumn="1" w:lastColumn="0" w:noHBand="0" w:noVBand="1"/>
      </w:tblPr>
      <w:tblGrid>
        <w:gridCol w:w="495"/>
        <w:gridCol w:w="5312"/>
      </w:tblGrid>
      <w:tr w:rsidR="001B0339" w:rsidRPr="00160FAB" w14:paraId="58D29023" w14:textId="77777777" w:rsidTr="007D7A8C">
        <w:trPr>
          <w:trHeight w:val="474"/>
        </w:trPr>
        <w:tc>
          <w:tcPr>
            <w:tcW w:w="495" w:type="dxa"/>
          </w:tcPr>
          <w:p w14:paraId="58D2901F" w14:textId="77777777" w:rsidR="001B0339" w:rsidRPr="00160FAB" w:rsidRDefault="001B0339" w:rsidP="001B0339">
            <w:pPr>
              <w:autoSpaceDE w:val="0"/>
              <w:autoSpaceDN w:val="0"/>
              <w:adjustRightInd w:val="0"/>
              <w:jc w:val="left"/>
              <w:rPr>
                <w:rFonts w:ascii="Calibri" w:hAnsi="Calibri" w:cs="Arial"/>
              </w:rPr>
            </w:pPr>
          </w:p>
        </w:tc>
        <w:tc>
          <w:tcPr>
            <w:tcW w:w="5312" w:type="dxa"/>
            <w:vAlign w:val="center"/>
          </w:tcPr>
          <w:p w14:paraId="58D29022" w14:textId="2F131C12" w:rsidR="001B0339" w:rsidRPr="00160FAB" w:rsidRDefault="001B0339" w:rsidP="001B0339">
            <w:pPr>
              <w:autoSpaceDE w:val="0"/>
              <w:autoSpaceDN w:val="0"/>
              <w:adjustRightInd w:val="0"/>
              <w:jc w:val="left"/>
              <w:rPr>
                <w:rFonts w:ascii="Calibri" w:hAnsi="Calibri" w:cs="Arial"/>
              </w:rPr>
            </w:pPr>
            <w:r w:rsidRPr="00BD6A76">
              <w:rPr>
                <w:rFonts w:ascii="Calibri" w:hAnsi="Calibri" w:cs="Arial"/>
                <w:color w:val="000000"/>
              </w:rPr>
              <w:t>Technische Ausschüsse</w:t>
            </w:r>
          </w:p>
        </w:tc>
      </w:tr>
      <w:tr w:rsidR="001B0339" w:rsidRPr="00160FAB" w14:paraId="58D29026" w14:textId="77777777" w:rsidTr="007C231A">
        <w:tc>
          <w:tcPr>
            <w:tcW w:w="495" w:type="dxa"/>
          </w:tcPr>
          <w:p w14:paraId="58D29024" w14:textId="3036E0F4"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1.</w:t>
            </w:r>
          </w:p>
        </w:tc>
        <w:tc>
          <w:tcPr>
            <w:tcW w:w="5312" w:type="dxa"/>
          </w:tcPr>
          <w:p w14:paraId="58D29025" w14:textId="4BD8154F"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fortschrittliche Technologien</w:t>
            </w:r>
          </w:p>
        </w:tc>
      </w:tr>
      <w:tr w:rsidR="001B0339" w:rsidRPr="00160FAB" w14:paraId="58D29029" w14:textId="77777777" w:rsidTr="007C231A">
        <w:tc>
          <w:tcPr>
            <w:tcW w:w="495" w:type="dxa"/>
          </w:tcPr>
          <w:p w14:paraId="58D29027" w14:textId="5E2ED81C"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2.</w:t>
            </w:r>
          </w:p>
        </w:tc>
        <w:tc>
          <w:tcPr>
            <w:tcW w:w="5312" w:type="dxa"/>
          </w:tcPr>
          <w:p w14:paraId="58D29028" w14:textId="2CE0C3BD"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Mischprobenahme und Beprobung</w:t>
            </w:r>
          </w:p>
        </w:tc>
      </w:tr>
      <w:tr w:rsidR="001B0339" w:rsidRPr="00160FAB" w14:paraId="58D2902C" w14:textId="77777777" w:rsidTr="007C231A">
        <w:tc>
          <w:tcPr>
            <w:tcW w:w="495" w:type="dxa"/>
          </w:tcPr>
          <w:p w14:paraId="58D2902A" w14:textId="3EBC9ACB"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3.</w:t>
            </w:r>
          </w:p>
        </w:tc>
        <w:tc>
          <w:tcPr>
            <w:tcW w:w="5312" w:type="dxa"/>
          </w:tcPr>
          <w:p w14:paraId="58D2902B" w14:textId="4BDA876C"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Redaktionsleitung für Saatgutwissenschaft und -technologie</w:t>
            </w:r>
          </w:p>
        </w:tc>
      </w:tr>
      <w:tr w:rsidR="001B0339" w:rsidRPr="00160FAB" w14:paraId="58D2902F" w14:textId="77777777" w:rsidTr="007C231A">
        <w:tc>
          <w:tcPr>
            <w:tcW w:w="495" w:type="dxa"/>
          </w:tcPr>
          <w:p w14:paraId="58D2902D" w14:textId="625BE11F"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4.</w:t>
            </w:r>
          </w:p>
        </w:tc>
        <w:tc>
          <w:tcPr>
            <w:tcW w:w="5312" w:type="dxa"/>
          </w:tcPr>
          <w:p w14:paraId="58D2902E" w14:textId="7C380D0E"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Prüfung von Blumensaatgut</w:t>
            </w:r>
          </w:p>
        </w:tc>
      </w:tr>
      <w:tr w:rsidR="001B0339" w:rsidRPr="00160FAB" w14:paraId="58D29032" w14:textId="77777777" w:rsidTr="007C231A">
        <w:tc>
          <w:tcPr>
            <w:tcW w:w="495" w:type="dxa"/>
          </w:tcPr>
          <w:p w14:paraId="58D29030" w14:textId="4A63ACF0"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 xml:space="preserve">5. </w:t>
            </w:r>
          </w:p>
        </w:tc>
        <w:tc>
          <w:tcPr>
            <w:tcW w:w="5312" w:type="dxa"/>
          </w:tcPr>
          <w:p w14:paraId="58D29031" w14:textId="0F9A59DC"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Saatgut von Waldbäumen und Sträuchern</w:t>
            </w:r>
          </w:p>
        </w:tc>
      </w:tr>
      <w:tr w:rsidR="001B0339" w:rsidRPr="00160FAB" w14:paraId="58D29035" w14:textId="77777777" w:rsidTr="007C231A">
        <w:tc>
          <w:tcPr>
            <w:tcW w:w="495" w:type="dxa"/>
          </w:tcPr>
          <w:p w14:paraId="58D29033" w14:textId="607532A2"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6.</w:t>
            </w:r>
          </w:p>
        </w:tc>
        <w:tc>
          <w:tcPr>
            <w:tcW w:w="5312" w:type="dxa"/>
          </w:tcPr>
          <w:p w14:paraId="58D29034" w14:textId="0E460C74"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Keimung</w:t>
            </w:r>
          </w:p>
        </w:tc>
      </w:tr>
      <w:tr w:rsidR="001B0339" w:rsidRPr="00160FAB" w14:paraId="58D29038" w14:textId="77777777" w:rsidTr="007C231A">
        <w:tc>
          <w:tcPr>
            <w:tcW w:w="495" w:type="dxa"/>
          </w:tcPr>
          <w:p w14:paraId="58D29036" w14:textId="4D0E406E"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7.</w:t>
            </w:r>
          </w:p>
        </w:tc>
        <w:tc>
          <w:tcPr>
            <w:tcW w:w="5312" w:type="dxa"/>
          </w:tcPr>
          <w:p w14:paraId="58D29037" w14:textId="16B915F0"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GVO</w:t>
            </w:r>
          </w:p>
        </w:tc>
      </w:tr>
      <w:tr w:rsidR="001B0339" w:rsidRPr="00160FAB" w14:paraId="58D2903B" w14:textId="77777777" w:rsidTr="007C231A">
        <w:tc>
          <w:tcPr>
            <w:tcW w:w="495" w:type="dxa"/>
          </w:tcPr>
          <w:p w14:paraId="58D29039" w14:textId="5E04B1DB"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8.</w:t>
            </w:r>
          </w:p>
        </w:tc>
        <w:tc>
          <w:tcPr>
            <w:tcW w:w="5312" w:type="dxa"/>
          </w:tcPr>
          <w:p w14:paraId="58D2903A" w14:textId="1CC40C73"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Feuchtigkeit</w:t>
            </w:r>
          </w:p>
        </w:tc>
      </w:tr>
      <w:tr w:rsidR="001B0339" w:rsidRPr="00160FAB" w14:paraId="58D2903E" w14:textId="77777777" w:rsidTr="007C231A">
        <w:tc>
          <w:tcPr>
            <w:tcW w:w="495" w:type="dxa"/>
          </w:tcPr>
          <w:p w14:paraId="58D2903C" w14:textId="2E59415B"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9.</w:t>
            </w:r>
          </w:p>
        </w:tc>
        <w:tc>
          <w:tcPr>
            <w:tcW w:w="5312" w:type="dxa"/>
          </w:tcPr>
          <w:p w14:paraId="58D2903D" w14:textId="25F1D026"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Nomenklatur</w:t>
            </w:r>
          </w:p>
        </w:tc>
      </w:tr>
      <w:tr w:rsidR="001B0339" w:rsidRPr="00160FAB" w14:paraId="58D29041" w14:textId="77777777" w:rsidTr="007C231A">
        <w:tc>
          <w:tcPr>
            <w:tcW w:w="495" w:type="dxa"/>
          </w:tcPr>
          <w:p w14:paraId="58D2903F" w14:textId="2FCB7ED3"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10.</w:t>
            </w:r>
          </w:p>
        </w:tc>
        <w:tc>
          <w:tcPr>
            <w:tcW w:w="5312" w:type="dxa"/>
          </w:tcPr>
          <w:p w14:paraId="58D29040" w14:textId="5944F50C"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Leistungstests</w:t>
            </w:r>
          </w:p>
        </w:tc>
      </w:tr>
      <w:tr w:rsidR="001B0339" w:rsidRPr="00160FAB" w14:paraId="58D29044" w14:textId="77777777" w:rsidTr="007C231A">
        <w:tc>
          <w:tcPr>
            <w:tcW w:w="495" w:type="dxa"/>
          </w:tcPr>
          <w:p w14:paraId="58D29042" w14:textId="68FE8AF4"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11.</w:t>
            </w:r>
          </w:p>
        </w:tc>
        <w:tc>
          <w:tcPr>
            <w:tcW w:w="5312" w:type="dxa"/>
          </w:tcPr>
          <w:p w14:paraId="58D29043" w14:textId="267C3A79"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Reinheit</w:t>
            </w:r>
          </w:p>
        </w:tc>
      </w:tr>
      <w:tr w:rsidR="001B0339" w:rsidRPr="00160FAB" w14:paraId="58D29047" w14:textId="77777777" w:rsidTr="007C231A">
        <w:tc>
          <w:tcPr>
            <w:tcW w:w="495" w:type="dxa"/>
          </w:tcPr>
          <w:p w14:paraId="58D29045" w14:textId="42242721"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12.</w:t>
            </w:r>
          </w:p>
        </w:tc>
        <w:tc>
          <w:tcPr>
            <w:tcW w:w="5312" w:type="dxa"/>
          </w:tcPr>
          <w:p w14:paraId="58D29046" w14:textId="4A8BD05D"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Vorschriften</w:t>
            </w:r>
          </w:p>
        </w:tc>
      </w:tr>
      <w:tr w:rsidR="001B0339" w:rsidRPr="00160FAB" w14:paraId="58D2904A" w14:textId="77777777" w:rsidTr="007C231A">
        <w:tc>
          <w:tcPr>
            <w:tcW w:w="495" w:type="dxa"/>
          </w:tcPr>
          <w:p w14:paraId="58D29048" w14:textId="5DE9A259"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13.</w:t>
            </w:r>
          </w:p>
        </w:tc>
        <w:tc>
          <w:tcPr>
            <w:tcW w:w="5312" w:type="dxa"/>
          </w:tcPr>
          <w:p w14:paraId="58D29049" w14:textId="6F5EF908"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Saatgutgesundheit</w:t>
            </w:r>
          </w:p>
        </w:tc>
      </w:tr>
      <w:tr w:rsidR="001B0339" w:rsidRPr="00160FAB" w14:paraId="58D2904D" w14:textId="77777777" w:rsidTr="007C231A">
        <w:tc>
          <w:tcPr>
            <w:tcW w:w="495" w:type="dxa"/>
          </w:tcPr>
          <w:p w14:paraId="58D2904B" w14:textId="5E6EEBBB"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14.</w:t>
            </w:r>
          </w:p>
        </w:tc>
        <w:tc>
          <w:tcPr>
            <w:tcW w:w="5312" w:type="dxa"/>
          </w:tcPr>
          <w:p w14:paraId="58D2904C" w14:textId="6B1FBC28"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Beratende Gruppe für Saatgutwissenschaft</w:t>
            </w:r>
          </w:p>
        </w:tc>
      </w:tr>
      <w:tr w:rsidR="001B0339" w:rsidRPr="00160FAB" w14:paraId="58D29050" w14:textId="77777777" w:rsidTr="007C231A">
        <w:tc>
          <w:tcPr>
            <w:tcW w:w="495" w:type="dxa"/>
          </w:tcPr>
          <w:p w14:paraId="58D2904E" w14:textId="0C04B377"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15.</w:t>
            </w:r>
          </w:p>
        </w:tc>
        <w:tc>
          <w:tcPr>
            <w:tcW w:w="5312" w:type="dxa"/>
          </w:tcPr>
          <w:p w14:paraId="58D2904F" w14:textId="7244048D"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Statistik</w:t>
            </w:r>
          </w:p>
        </w:tc>
      </w:tr>
      <w:tr w:rsidR="001B0339" w:rsidRPr="00160FAB" w14:paraId="58D29053" w14:textId="77777777" w:rsidTr="007C231A">
        <w:tc>
          <w:tcPr>
            <w:tcW w:w="495" w:type="dxa"/>
          </w:tcPr>
          <w:p w14:paraId="58D29051" w14:textId="725121EE"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16.</w:t>
            </w:r>
          </w:p>
        </w:tc>
        <w:tc>
          <w:tcPr>
            <w:tcW w:w="5312" w:type="dxa"/>
          </w:tcPr>
          <w:p w14:paraId="58D29052" w14:textId="798AA8D0"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Saatgutlagerung</w:t>
            </w:r>
          </w:p>
        </w:tc>
      </w:tr>
      <w:tr w:rsidR="001B0339" w:rsidRPr="00160FAB" w14:paraId="58D29056" w14:textId="77777777" w:rsidTr="007C231A">
        <w:tc>
          <w:tcPr>
            <w:tcW w:w="495" w:type="dxa"/>
          </w:tcPr>
          <w:p w14:paraId="58D29054" w14:textId="299AF943"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17.</w:t>
            </w:r>
          </w:p>
        </w:tc>
        <w:tc>
          <w:tcPr>
            <w:tcW w:w="5312" w:type="dxa"/>
          </w:tcPr>
          <w:p w14:paraId="58D29055" w14:textId="3382AE1A"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Tetrazolium</w:t>
            </w:r>
          </w:p>
        </w:tc>
      </w:tr>
      <w:tr w:rsidR="001B0339" w:rsidRPr="00160FAB" w14:paraId="58D29059" w14:textId="77777777" w:rsidTr="007C231A">
        <w:tc>
          <w:tcPr>
            <w:tcW w:w="495" w:type="dxa"/>
          </w:tcPr>
          <w:p w14:paraId="58D29057" w14:textId="263F553E"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18.</w:t>
            </w:r>
          </w:p>
        </w:tc>
        <w:tc>
          <w:tcPr>
            <w:tcW w:w="5312" w:type="dxa"/>
          </w:tcPr>
          <w:p w14:paraId="58D29058" w14:textId="6D71CF8E"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Sorten</w:t>
            </w:r>
          </w:p>
        </w:tc>
      </w:tr>
      <w:tr w:rsidR="001B0339" w:rsidRPr="00160FAB" w14:paraId="58D2905C" w14:textId="77777777" w:rsidTr="007C231A">
        <w:tc>
          <w:tcPr>
            <w:tcW w:w="495" w:type="dxa"/>
          </w:tcPr>
          <w:p w14:paraId="58D2905A" w14:textId="6D8080CB"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19.</w:t>
            </w:r>
          </w:p>
        </w:tc>
        <w:tc>
          <w:tcPr>
            <w:tcW w:w="5312" w:type="dxa"/>
          </w:tcPr>
          <w:p w14:paraId="58D2905B" w14:textId="40246A4E"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Ausschuss für Wüchsigkeit</w:t>
            </w:r>
          </w:p>
        </w:tc>
      </w:tr>
      <w:tr w:rsidR="001B0339" w:rsidRPr="00160FAB" w14:paraId="58D2905F" w14:textId="77777777" w:rsidTr="007C231A">
        <w:tc>
          <w:tcPr>
            <w:tcW w:w="495" w:type="dxa"/>
          </w:tcPr>
          <w:p w14:paraId="58D2905D" w14:textId="69CF08FC" w:rsidR="001B0339" w:rsidRPr="00160FAB" w:rsidRDefault="001B0339" w:rsidP="001B0339">
            <w:pPr>
              <w:autoSpaceDE w:val="0"/>
              <w:autoSpaceDN w:val="0"/>
              <w:adjustRightInd w:val="0"/>
              <w:jc w:val="left"/>
              <w:rPr>
                <w:rFonts w:ascii="Calibri" w:hAnsi="Calibri" w:cs="Arial"/>
              </w:rPr>
            </w:pPr>
            <w:r w:rsidRPr="00BD6A76">
              <w:rPr>
                <w:rFonts w:ascii="Calibri" w:hAnsi="Calibri" w:cs="Arial"/>
              </w:rPr>
              <w:t>20.</w:t>
            </w:r>
          </w:p>
        </w:tc>
        <w:tc>
          <w:tcPr>
            <w:tcW w:w="5312" w:type="dxa"/>
          </w:tcPr>
          <w:p w14:paraId="58D2905E" w14:textId="6A4C730F" w:rsidR="001B0339" w:rsidRPr="00160FAB" w:rsidRDefault="001B0339" w:rsidP="001B0339">
            <w:pPr>
              <w:autoSpaceDE w:val="0"/>
              <w:autoSpaceDN w:val="0"/>
              <w:adjustRightInd w:val="0"/>
              <w:jc w:val="left"/>
              <w:rPr>
                <w:rFonts w:ascii="Calibri" w:hAnsi="Calibri" w:cs="Arial"/>
              </w:rPr>
            </w:pPr>
            <w:r w:rsidRPr="00BD6A76">
              <w:rPr>
                <w:rFonts w:asciiTheme="minorHAnsi" w:hAnsiTheme="minorHAnsi" w:cstheme="minorHAnsi"/>
              </w:rPr>
              <w:t>Arbeitsgruppe für wilde Arten</w:t>
            </w:r>
          </w:p>
        </w:tc>
      </w:tr>
    </w:tbl>
    <w:p w14:paraId="58D29060" w14:textId="77777777" w:rsidR="007E07ED" w:rsidRPr="00160FAB" w:rsidRDefault="007E07ED" w:rsidP="007E07ED">
      <w:pPr>
        <w:spacing w:after="160" w:line="259" w:lineRule="auto"/>
        <w:jc w:val="left"/>
        <w:rPr>
          <w:rFonts w:ascii="Calibri" w:eastAsia="Calibri" w:hAnsi="Calibri"/>
          <w:b/>
          <w:bCs/>
          <w:sz w:val="22"/>
          <w:szCs w:val="22"/>
        </w:rPr>
      </w:pPr>
    </w:p>
    <w:p w14:paraId="58D29061" w14:textId="66CB72E0" w:rsidR="007E07ED" w:rsidRPr="00160FAB" w:rsidRDefault="00CE5C1C" w:rsidP="007E07ED">
      <w:pPr>
        <w:spacing w:after="160" w:line="259" w:lineRule="auto"/>
        <w:jc w:val="left"/>
        <w:rPr>
          <w:rFonts w:ascii="Calibri" w:eastAsia="Calibri" w:hAnsi="Calibri"/>
          <w:bCs/>
          <w:sz w:val="22"/>
          <w:szCs w:val="22"/>
        </w:rPr>
      </w:pPr>
      <w:r w:rsidRPr="00CE5C1C">
        <w:rPr>
          <w:rFonts w:ascii="Calibri" w:eastAsia="Calibri" w:hAnsi="Calibri"/>
          <w:bCs/>
          <w:sz w:val="22"/>
          <w:szCs w:val="22"/>
        </w:rPr>
        <w:t>ISTA-AKKREDITIERUNGSPROGRAMM</w:t>
      </w:r>
      <w:r w:rsidR="007E07ED" w:rsidRPr="00160FAB">
        <w:rPr>
          <w:rFonts w:ascii="Calibri" w:eastAsia="Calibri" w:hAnsi="Calibri"/>
          <w:bCs/>
          <w:sz w:val="22"/>
          <w:szCs w:val="22"/>
        </w:rPr>
        <w:t>:</w:t>
      </w:r>
    </w:p>
    <w:p w14:paraId="58D29062" w14:textId="2462724F" w:rsidR="007E07ED" w:rsidRPr="00160FAB" w:rsidRDefault="008779F1" w:rsidP="007E07ED">
      <w:pPr>
        <w:rPr>
          <w:rFonts w:eastAsia="Calibri" w:cs="Arial"/>
          <w:color w:val="000000"/>
        </w:rPr>
      </w:pPr>
      <w:r w:rsidRPr="008779F1">
        <w:rPr>
          <w:rFonts w:eastAsia="Calibri" w:cs="Arial"/>
          <w:color w:val="000000"/>
        </w:rPr>
        <w:t>Mit der ISTA-Akkreditierung wird überprüft, ob ein Labor technisch in der Lage ist, Saatgutbeprobungen und Prüfungsverfahren gemäß den Internationalen Vorschriften für die Prüfung von Saatgut der ISTA durchzuführen. Akkreditierte Labore müssen ein Qualitätssicherungssystem betreiben, das die Anforderungen des ISTA-Akkreditierungsstandards erfüllt. Die Akkreditierung kann erteilt werden für</w:t>
      </w:r>
      <w:r w:rsidR="007E07ED" w:rsidRPr="00160FAB">
        <w:rPr>
          <w:rFonts w:eastAsia="Calibri" w:cs="Arial"/>
          <w:color w:val="000000"/>
        </w:rPr>
        <w:t>:</w:t>
      </w:r>
    </w:p>
    <w:p w14:paraId="340B92FD" w14:textId="2AD902F9" w:rsidR="00B019B3" w:rsidRPr="00EF6C3B" w:rsidRDefault="00B019B3" w:rsidP="00B019B3">
      <w:pPr>
        <w:numPr>
          <w:ilvl w:val="0"/>
          <w:numId w:val="7"/>
        </w:numPr>
        <w:shd w:val="clear" w:color="auto" w:fill="FFFFFF"/>
        <w:spacing w:before="100" w:beforeAutospacing="1" w:after="100" w:afterAutospacing="1" w:line="259" w:lineRule="auto"/>
        <w:jc w:val="left"/>
        <w:rPr>
          <w:rFonts w:eastAsia="Calibri" w:cs="Arial"/>
          <w:color w:val="000000"/>
          <w:lang w:val="de-CH"/>
        </w:rPr>
      </w:pPr>
      <w:r>
        <w:rPr>
          <w:rFonts w:eastAsia="Calibri" w:cs="Arial"/>
          <w:color w:val="000000"/>
          <w:lang w:val="de-CH"/>
        </w:rPr>
        <w:t>Einrichtungen, die nur Beprobung durchführen</w:t>
      </w:r>
      <w:r w:rsidRPr="00EF6C3B">
        <w:rPr>
          <w:rFonts w:eastAsia="Calibri" w:cs="Arial"/>
          <w:color w:val="000000"/>
          <w:lang w:val="de-CH"/>
        </w:rPr>
        <w:br/>
      </w:r>
    </w:p>
    <w:p w14:paraId="3B12B253" w14:textId="16AF94A7" w:rsidR="00B019B3" w:rsidRPr="00EF6C3B" w:rsidRDefault="00B019B3" w:rsidP="00B019B3">
      <w:pPr>
        <w:numPr>
          <w:ilvl w:val="0"/>
          <w:numId w:val="7"/>
        </w:numPr>
        <w:shd w:val="clear" w:color="auto" w:fill="FFFFFF"/>
        <w:spacing w:before="100" w:beforeAutospacing="1" w:after="100" w:afterAutospacing="1" w:line="259" w:lineRule="auto"/>
        <w:jc w:val="left"/>
        <w:rPr>
          <w:rFonts w:eastAsia="Calibri" w:cs="Arial"/>
          <w:color w:val="000000"/>
          <w:lang w:val="de-CH"/>
        </w:rPr>
      </w:pPr>
      <w:r>
        <w:rPr>
          <w:rFonts w:eastAsia="Calibri" w:cs="Arial"/>
          <w:color w:val="000000"/>
          <w:lang w:val="de-CH"/>
        </w:rPr>
        <w:t>Labore, die nur prüfungen durchführen</w:t>
      </w:r>
      <w:r w:rsidRPr="00EF6C3B">
        <w:rPr>
          <w:rFonts w:eastAsia="Calibri" w:cs="Arial"/>
          <w:color w:val="000000"/>
          <w:lang w:val="de-CH"/>
        </w:rPr>
        <w:br/>
      </w:r>
    </w:p>
    <w:p w14:paraId="574FFFC1" w14:textId="1952FFFC" w:rsidR="00B019B3" w:rsidRDefault="00B019B3" w:rsidP="00B019B3">
      <w:pPr>
        <w:numPr>
          <w:ilvl w:val="0"/>
          <w:numId w:val="7"/>
        </w:numPr>
        <w:shd w:val="clear" w:color="auto" w:fill="FFFFFF"/>
        <w:spacing w:before="100" w:beforeAutospacing="1" w:after="100" w:afterAutospacing="1" w:line="259" w:lineRule="auto"/>
        <w:jc w:val="left"/>
        <w:rPr>
          <w:rFonts w:eastAsia="Calibri" w:cs="Arial"/>
          <w:color w:val="000000"/>
        </w:rPr>
      </w:pPr>
      <w:r>
        <w:rPr>
          <w:rFonts w:eastAsia="Calibri" w:cs="Arial"/>
          <w:color w:val="000000"/>
        </w:rPr>
        <w:t>Labore, die Beprobungen und Prüfungen durchführen</w:t>
      </w:r>
      <w:r w:rsidRPr="00EF6C3B">
        <w:rPr>
          <w:rFonts w:eastAsia="Calibri" w:cs="Arial"/>
          <w:color w:val="000000"/>
        </w:rPr>
        <w:t>.</w:t>
      </w:r>
    </w:p>
    <w:p w14:paraId="331374A4" w14:textId="77777777" w:rsidR="00B019B3" w:rsidRPr="008E521A" w:rsidRDefault="00B019B3" w:rsidP="00B019B3">
      <w:pPr>
        <w:rPr>
          <w:rFonts w:eastAsia="Calibri"/>
        </w:rPr>
      </w:pPr>
    </w:p>
    <w:p w14:paraId="58D29067" w14:textId="5E549FBA" w:rsidR="007E07ED" w:rsidRPr="00160FAB" w:rsidRDefault="00B957D7" w:rsidP="007E07ED">
      <w:pPr>
        <w:spacing w:after="160" w:line="259" w:lineRule="auto"/>
        <w:jc w:val="left"/>
        <w:rPr>
          <w:rFonts w:ascii="Calibri" w:eastAsia="Calibri" w:hAnsi="Calibri"/>
          <w:bCs/>
          <w:sz w:val="22"/>
          <w:szCs w:val="22"/>
        </w:rPr>
      </w:pPr>
      <w:r w:rsidRPr="00B957D7">
        <w:rPr>
          <w:rFonts w:ascii="Calibri" w:eastAsia="Calibri" w:hAnsi="Calibri"/>
          <w:bCs/>
          <w:sz w:val="22"/>
          <w:szCs w:val="22"/>
        </w:rPr>
        <w:t>ISTA-ZERTIFIKATE: PASS FÜR DEN INTERNATIONALEN SAATGUTHANDEL</w:t>
      </w:r>
    </w:p>
    <w:p w14:paraId="330B29B3" w14:textId="77777777" w:rsidR="005B39B5" w:rsidRPr="005B39B5" w:rsidRDefault="005B39B5" w:rsidP="005B39B5">
      <w:pPr>
        <w:spacing w:after="160" w:line="259" w:lineRule="auto"/>
        <w:rPr>
          <w:rFonts w:eastAsia="Calibri" w:cs="Arial"/>
          <w:color w:val="000000"/>
        </w:rPr>
      </w:pPr>
      <w:r w:rsidRPr="005B39B5">
        <w:rPr>
          <w:rFonts w:eastAsia="Calibri" w:cs="Arial"/>
          <w:color w:val="000000"/>
        </w:rPr>
        <w:t>Nur ISTA-akkreditierte Labore sind berechtigt, ISTA-Zertifikate für Saatgutanalysen auszustellen.</w:t>
      </w:r>
    </w:p>
    <w:p w14:paraId="4E4B7E29" w14:textId="77777777" w:rsidR="005B39B5" w:rsidRPr="005B39B5" w:rsidRDefault="005B39B5" w:rsidP="005B39B5">
      <w:pPr>
        <w:spacing w:after="160" w:line="259" w:lineRule="auto"/>
        <w:rPr>
          <w:rFonts w:eastAsia="Calibri" w:cs="Arial"/>
          <w:color w:val="000000"/>
        </w:rPr>
      </w:pPr>
      <w:r w:rsidRPr="005B39B5">
        <w:rPr>
          <w:rFonts w:eastAsia="Calibri" w:cs="Arial"/>
          <w:color w:val="000000"/>
        </w:rPr>
        <w:t>Durch die Angabe von Prüfungsergebnissen von Saatgut auf ISTA-Zertifikaten versichert das ausstellende Labor, dass die Beprobung und Prüfung gemäß den ISTA-Vorschriften durchgeführt wurde. ISTA-Zertifikate werden von den meisten Behörden akzeptiert und sind in den Saatgutgesetzen mehrerer Länder erwähnt.</w:t>
      </w:r>
    </w:p>
    <w:p w14:paraId="58D2906A" w14:textId="51FA2F26" w:rsidR="004A3329" w:rsidRDefault="005B39B5" w:rsidP="005B39B5">
      <w:pPr>
        <w:spacing w:after="160" w:line="259" w:lineRule="auto"/>
        <w:rPr>
          <w:rFonts w:eastAsia="Calibri" w:cs="Arial"/>
          <w:color w:val="000000"/>
        </w:rPr>
      </w:pPr>
      <w:r w:rsidRPr="005B39B5">
        <w:rPr>
          <w:rFonts w:eastAsia="Calibri" w:cs="Arial"/>
          <w:color w:val="000000"/>
        </w:rPr>
        <w:t>Die ISTA-Zertifikate stellen sicher, dass die Ergebnisse reproduzierbar und wahrheitsgetreu sind und die Qualität des Saatguts repräsentieren</w:t>
      </w:r>
      <w:r w:rsidR="007E07ED" w:rsidRPr="00160FAB">
        <w:rPr>
          <w:rFonts w:eastAsia="Calibri" w:cs="Arial"/>
          <w:color w:val="000000"/>
        </w:rPr>
        <w:t>.</w:t>
      </w:r>
    </w:p>
    <w:p w14:paraId="05EFB87F" w14:textId="77777777" w:rsidR="004A3329" w:rsidRDefault="004A3329">
      <w:pPr>
        <w:jc w:val="left"/>
        <w:rPr>
          <w:rFonts w:eastAsia="Calibri" w:cs="Arial"/>
          <w:color w:val="000000"/>
        </w:rPr>
      </w:pPr>
      <w:r>
        <w:rPr>
          <w:rFonts w:eastAsia="Calibri" w:cs="Arial"/>
          <w:color w:val="000000"/>
        </w:rPr>
        <w:br w:type="page"/>
      </w:r>
    </w:p>
    <w:p w14:paraId="58D2906B" w14:textId="77777777" w:rsidR="007E07ED" w:rsidRPr="00160FAB" w:rsidRDefault="007E07ED" w:rsidP="007E07ED">
      <w:pPr>
        <w:tabs>
          <w:tab w:val="left" w:pos="6104"/>
        </w:tabs>
        <w:spacing w:after="160" w:line="259" w:lineRule="auto"/>
        <w:jc w:val="left"/>
        <w:rPr>
          <w:rFonts w:ascii="Calibri" w:eastAsia="Calibri" w:hAnsi="Calibri"/>
          <w:sz w:val="22"/>
          <w:szCs w:val="22"/>
        </w:rPr>
      </w:pPr>
      <w:r w:rsidRPr="00160FAB">
        <w:rPr>
          <w:rFonts w:eastAsia="Calibri" w:cs="Arial"/>
          <w:color w:val="000000"/>
          <w:lang w:val="en-US"/>
        </w:rPr>
        <w:lastRenderedPageBreak/>
        <w:drawing>
          <wp:anchor distT="0" distB="0" distL="114300" distR="114300" simplePos="0" relativeHeight="251659264" behindDoc="0" locked="0" layoutInCell="1" allowOverlap="1" wp14:anchorId="58D290F5" wp14:editId="1D00D9C9">
            <wp:simplePos x="0" y="0"/>
            <wp:positionH relativeFrom="margin">
              <wp:posOffset>760040</wp:posOffset>
            </wp:positionH>
            <wp:positionV relativeFrom="paragraph">
              <wp:posOffset>12175</wp:posOffset>
            </wp:positionV>
            <wp:extent cx="4126727" cy="1741336"/>
            <wp:effectExtent l="0" t="0" r="45720"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Pr="00160FAB">
        <w:rPr>
          <w:rFonts w:ascii="Calibri" w:eastAsia="Calibri" w:hAnsi="Calibri"/>
          <w:sz w:val="22"/>
          <w:szCs w:val="22"/>
        </w:rPr>
        <w:tab/>
      </w:r>
    </w:p>
    <w:p w14:paraId="58D2906C" w14:textId="77777777" w:rsidR="007E07ED" w:rsidRPr="00160FAB" w:rsidRDefault="007E07ED" w:rsidP="007E07ED">
      <w:pPr>
        <w:tabs>
          <w:tab w:val="left" w:pos="2434"/>
          <w:tab w:val="left" w:pos="6871"/>
        </w:tabs>
        <w:spacing w:after="160" w:line="259" w:lineRule="auto"/>
        <w:jc w:val="left"/>
        <w:rPr>
          <w:rFonts w:ascii="Calibri" w:eastAsia="Calibri" w:hAnsi="Calibri"/>
          <w:sz w:val="22"/>
          <w:szCs w:val="22"/>
        </w:rPr>
      </w:pPr>
      <w:r w:rsidRPr="00160FAB">
        <w:rPr>
          <w:rFonts w:ascii="Calibri" w:eastAsia="Calibri" w:hAnsi="Calibri"/>
          <w:sz w:val="22"/>
          <w:szCs w:val="22"/>
        </w:rPr>
        <w:tab/>
      </w:r>
      <w:r w:rsidRPr="00160FAB">
        <w:rPr>
          <w:rFonts w:ascii="Calibri" w:eastAsia="Calibri" w:hAnsi="Calibri"/>
          <w:sz w:val="22"/>
          <w:szCs w:val="22"/>
        </w:rPr>
        <w:tab/>
      </w:r>
    </w:p>
    <w:p w14:paraId="58D2906D" w14:textId="77777777" w:rsidR="007E07ED" w:rsidRPr="00160FAB" w:rsidRDefault="007E07ED" w:rsidP="007E07ED">
      <w:pPr>
        <w:tabs>
          <w:tab w:val="left" w:pos="1702"/>
        </w:tabs>
        <w:spacing w:after="160" w:line="259" w:lineRule="auto"/>
        <w:jc w:val="left"/>
        <w:rPr>
          <w:rFonts w:ascii="Calibri" w:eastAsia="Calibri" w:hAnsi="Calibri"/>
          <w:sz w:val="22"/>
          <w:szCs w:val="22"/>
        </w:rPr>
      </w:pPr>
      <w:r w:rsidRPr="00160FAB">
        <w:rPr>
          <w:rFonts w:ascii="Calibri" w:eastAsia="Calibri" w:hAnsi="Calibri"/>
          <w:sz w:val="22"/>
          <w:szCs w:val="22"/>
        </w:rPr>
        <w:tab/>
      </w:r>
    </w:p>
    <w:p w14:paraId="58D2906E" w14:textId="77777777" w:rsidR="007E07ED" w:rsidRPr="00160FAB" w:rsidRDefault="007E07ED" w:rsidP="007E07ED">
      <w:pPr>
        <w:spacing w:after="160" w:line="259" w:lineRule="auto"/>
        <w:jc w:val="left"/>
        <w:rPr>
          <w:rFonts w:ascii="Calibri" w:eastAsia="Calibri" w:hAnsi="Calibri"/>
          <w:sz w:val="22"/>
          <w:szCs w:val="22"/>
        </w:rPr>
      </w:pPr>
    </w:p>
    <w:p w14:paraId="58D2906F" w14:textId="77777777" w:rsidR="007E07ED" w:rsidRPr="00160FAB" w:rsidRDefault="007E07ED" w:rsidP="007E07ED">
      <w:pPr>
        <w:spacing w:after="160" w:line="259" w:lineRule="auto"/>
        <w:jc w:val="left"/>
        <w:rPr>
          <w:rFonts w:ascii="Calibri" w:eastAsia="Calibri" w:hAnsi="Calibri"/>
          <w:sz w:val="22"/>
          <w:szCs w:val="22"/>
        </w:rPr>
      </w:pPr>
    </w:p>
    <w:p w14:paraId="58D29070" w14:textId="77777777" w:rsidR="007E07ED" w:rsidRPr="00160FAB" w:rsidRDefault="007E07ED" w:rsidP="007E07ED">
      <w:pPr>
        <w:tabs>
          <w:tab w:val="left" w:pos="3102"/>
          <w:tab w:val="left" w:pos="6961"/>
        </w:tabs>
        <w:spacing w:after="160" w:line="259" w:lineRule="auto"/>
        <w:jc w:val="left"/>
        <w:rPr>
          <w:rFonts w:ascii="Calibri" w:eastAsia="Calibri" w:hAnsi="Calibri"/>
          <w:sz w:val="22"/>
          <w:szCs w:val="22"/>
        </w:rPr>
      </w:pPr>
      <w:r w:rsidRPr="00160FAB">
        <w:rPr>
          <w:rFonts w:ascii="Calibri" w:eastAsia="Calibri" w:hAnsi="Calibri"/>
          <w:sz w:val="22"/>
          <w:szCs w:val="22"/>
        </w:rPr>
        <w:tab/>
      </w:r>
      <w:r w:rsidRPr="00160FAB">
        <w:rPr>
          <w:rFonts w:ascii="Calibri" w:eastAsia="Calibri" w:hAnsi="Calibri"/>
          <w:sz w:val="22"/>
          <w:szCs w:val="22"/>
        </w:rPr>
        <w:tab/>
      </w:r>
    </w:p>
    <w:p w14:paraId="58D29071" w14:textId="77777777" w:rsidR="007E07ED" w:rsidRPr="00160FAB" w:rsidRDefault="007E07ED" w:rsidP="007E07ED">
      <w:pPr>
        <w:tabs>
          <w:tab w:val="left" w:pos="7433"/>
        </w:tabs>
        <w:spacing w:after="160" w:line="259" w:lineRule="auto"/>
        <w:jc w:val="left"/>
        <w:rPr>
          <w:rFonts w:ascii="Calibri" w:eastAsia="Calibri" w:hAnsi="Calibri"/>
          <w:sz w:val="22"/>
          <w:szCs w:val="22"/>
        </w:rPr>
      </w:pPr>
      <w:r w:rsidRPr="00160FAB">
        <w:rPr>
          <w:rFonts w:ascii="Calibri" w:eastAsia="Calibri" w:hAnsi="Calibri"/>
          <w:sz w:val="22"/>
          <w:szCs w:val="22"/>
        </w:rPr>
        <w:tab/>
      </w:r>
    </w:p>
    <w:p w14:paraId="58D29072" w14:textId="1A6EA780" w:rsidR="007E07ED" w:rsidRPr="00160FAB" w:rsidRDefault="00E702B6" w:rsidP="007E07ED">
      <w:pPr>
        <w:spacing w:after="160" w:line="259" w:lineRule="auto"/>
        <w:rPr>
          <w:rFonts w:eastAsia="Calibri" w:cs="Arial"/>
        </w:rPr>
      </w:pPr>
      <w:r w:rsidRPr="00E702B6">
        <w:rPr>
          <w:rFonts w:eastAsia="Calibri" w:cs="Arial"/>
        </w:rPr>
        <w:t>Mehr als 200.000 orange und blaue ISTA-Zertifikate werden jedes Jahr erteilt und erleichtern den internationalen Handel mit Saatgut</w:t>
      </w:r>
      <w:r w:rsidR="007E07ED" w:rsidRPr="00160FAB">
        <w:rPr>
          <w:rFonts w:eastAsia="Calibri" w:cs="Arial"/>
        </w:rPr>
        <w:t>.</w:t>
      </w:r>
    </w:p>
    <w:p w14:paraId="58D29073" w14:textId="77777777" w:rsidR="007E07ED" w:rsidRPr="00160FAB" w:rsidRDefault="007E07ED" w:rsidP="007E07ED">
      <w:pPr>
        <w:spacing w:line="259" w:lineRule="auto"/>
        <w:rPr>
          <w:rFonts w:eastAsia="Calibri" w:cs="Arial"/>
        </w:rPr>
      </w:pPr>
    </w:p>
    <w:p w14:paraId="58D29074" w14:textId="6466C320" w:rsidR="007E07ED" w:rsidRPr="00160FAB" w:rsidRDefault="00757497" w:rsidP="008E521A">
      <w:pPr>
        <w:keepNext/>
        <w:spacing w:after="160" w:line="259" w:lineRule="auto"/>
        <w:rPr>
          <w:rFonts w:eastAsia="Calibri" w:cs="Arial"/>
          <w:b/>
          <w:bCs/>
        </w:rPr>
      </w:pPr>
      <w:r w:rsidRPr="00757497">
        <w:rPr>
          <w:rFonts w:eastAsia="Calibri" w:cs="Arial"/>
          <w:b/>
          <w:bCs/>
        </w:rPr>
        <w:t>DER STAND VON BIOCHEMISCHEN UND MOLEKULAREN VERFAHREN (BMT) IN DER ISTA</w:t>
      </w:r>
      <w:r w:rsidR="007E07ED" w:rsidRPr="00160FAB">
        <w:rPr>
          <w:rFonts w:eastAsia="Calibri" w:cs="Arial"/>
          <w:b/>
          <w:bCs/>
        </w:rPr>
        <w:t>.</w:t>
      </w:r>
    </w:p>
    <w:p w14:paraId="58D29075" w14:textId="10C8192D" w:rsidR="007E07ED" w:rsidRPr="00160FAB" w:rsidRDefault="00381610" w:rsidP="008E521A">
      <w:pPr>
        <w:keepLines/>
        <w:rPr>
          <w:rFonts w:eastAsia="Calibri" w:cs="Arial"/>
          <w:color w:val="000000"/>
        </w:rPr>
      </w:pPr>
      <w:r w:rsidRPr="00381610">
        <w:rPr>
          <w:rFonts w:eastAsia="Calibri" w:cs="Arial"/>
          <w:color w:val="000000"/>
        </w:rPr>
        <w:t>Die Internationalen Vorschriften der ISTA für die Prüfung von Saatgut umfassen seit vielen Jahren BMT. Beispielsweise sind BMT für GVO-Prüfungen im Rahmen eines „leistungsbasierten Ansatzes“ zulässig; die häufig verwendeten Verfahren umfassen qualitative und quantitative Proteinnachweisanalysen und verschiedene DNA-basierte Verfahren. BMT werden als diagnostische und quantitative Bewertungsinstrumente bei Saatgutgesundheitsprüfungsverfahren eingesetzt. Auch bei der P</w:t>
      </w:r>
      <w:r w:rsidR="00CF47B8">
        <w:rPr>
          <w:rFonts w:eastAsia="Calibri" w:cs="Arial"/>
          <w:color w:val="000000"/>
        </w:rPr>
        <w:t>rüfung zur Arten- </w:t>
      </w:r>
      <w:r w:rsidRPr="00381610">
        <w:rPr>
          <w:rFonts w:eastAsia="Calibri" w:cs="Arial"/>
          <w:color w:val="000000"/>
        </w:rPr>
        <w:t>und Sortenverifizierung werden BMT eingesetzt durch Analysieren von Speicherproteinprofilen für Sonnenblume, Mais, Hafer, Gerste, Weizen, Weidelgras und Erbse oder Erstellen eines DNA-Fingerabdrucks mit molekularen Markern für Mais und Weizen. Da die Vielseitigkeit dieser Verfahren zunimmt und die Kosten für ihre Verwendung sinken, könnten sie in Zukunft eine noch größere Rolle bei der Prüfung von Saatgut spielen</w:t>
      </w:r>
      <w:r w:rsidR="007E07ED" w:rsidRPr="00160FAB">
        <w:rPr>
          <w:rFonts w:eastAsia="Calibri" w:cs="Arial"/>
          <w:color w:val="000000"/>
        </w:rPr>
        <w:t>.</w:t>
      </w:r>
    </w:p>
    <w:p w14:paraId="58D29076" w14:textId="77777777" w:rsidR="007E07ED" w:rsidRPr="00160FAB" w:rsidRDefault="007E07ED" w:rsidP="007E07ED">
      <w:pPr>
        <w:spacing w:after="160" w:line="259" w:lineRule="auto"/>
        <w:jc w:val="left"/>
        <w:rPr>
          <w:rFonts w:eastAsia="Calibri" w:cs="Arial"/>
          <w:color w:val="000000"/>
        </w:rPr>
      </w:pPr>
    </w:p>
    <w:p w14:paraId="58D29077" w14:textId="08072856" w:rsidR="007E07ED" w:rsidRPr="00160FAB" w:rsidRDefault="006E796A" w:rsidP="007E07ED">
      <w:pPr>
        <w:spacing w:after="160" w:line="259" w:lineRule="auto"/>
        <w:jc w:val="left"/>
        <w:rPr>
          <w:rFonts w:eastAsia="Calibri" w:cs="Arial"/>
          <w:color w:val="000000"/>
        </w:rPr>
      </w:pPr>
      <w:r w:rsidRPr="006E796A">
        <w:rPr>
          <w:rFonts w:eastAsia="Calibri" w:cs="Arial"/>
          <w:color w:val="000000"/>
        </w:rPr>
        <w:t>Wenn Sie mehr über die ISTA erfahren möchten, besuchen Sie unsere Website: www.seedtest.org</w:t>
      </w:r>
    </w:p>
    <w:p w14:paraId="58D29078" w14:textId="77777777" w:rsidR="007E07ED" w:rsidRPr="00160FAB" w:rsidRDefault="007E07ED" w:rsidP="007E07ED"/>
    <w:p w14:paraId="58D29079" w14:textId="77777777" w:rsidR="007E07ED" w:rsidRPr="00160FAB" w:rsidRDefault="007E07ED" w:rsidP="007E07ED">
      <w:pPr>
        <w:jc w:val="left"/>
      </w:pPr>
    </w:p>
    <w:p w14:paraId="58D2907A" w14:textId="77777777" w:rsidR="007E07ED" w:rsidRPr="00160FAB" w:rsidRDefault="007E07ED" w:rsidP="007E07ED"/>
    <w:p w14:paraId="58D2907B" w14:textId="33C5167C" w:rsidR="007E07ED" w:rsidRPr="00160FAB" w:rsidRDefault="007E07ED" w:rsidP="007E07ED">
      <w:pPr>
        <w:jc w:val="right"/>
      </w:pPr>
      <w:r w:rsidRPr="00160FAB">
        <w:t>[An</w:t>
      </w:r>
      <w:r w:rsidR="006E796A">
        <w:t>lage</w:t>
      </w:r>
      <w:r w:rsidRPr="00160FAB">
        <w:t xml:space="preserve"> II </w:t>
      </w:r>
      <w:r w:rsidR="006E796A">
        <w:t>folgt</w:t>
      </w:r>
      <w:r w:rsidRPr="00160FAB">
        <w:t>]</w:t>
      </w:r>
    </w:p>
    <w:p w14:paraId="58D2907C" w14:textId="77777777" w:rsidR="007E07ED" w:rsidRPr="00160FAB" w:rsidRDefault="007E07ED" w:rsidP="007E07ED">
      <w:pPr>
        <w:jc w:val="left"/>
        <w:sectPr w:rsidR="007E07ED" w:rsidRPr="00160FAB" w:rsidSect="009060D0">
          <w:headerReference w:type="default" r:id="rId19"/>
          <w:headerReference w:type="first" r:id="rId20"/>
          <w:pgSz w:w="11907" w:h="16840" w:code="9"/>
          <w:pgMar w:top="510" w:right="1134" w:bottom="1134" w:left="1134" w:header="510" w:footer="680" w:gutter="0"/>
          <w:pgNumType w:start="1"/>
          <w:cols w:space="720"/>
          <w:titlePg/>
        </w:sectPr>
      </w:pPr>
    </w:p>
    <w:p w14:paraId="58D2907D" w14:textId="540969D7" w:rsidR="002A5011" w:rsidRPr="00160FAB" w:rsidRDefault="006C771F" w:rsidP="002A5011">
      <w:pPr>
        <w:jc w:val="center"/>
        <w:rPr>
          <w:u w:val="single"/>
        </w:rPr>
      </w:pPr>
      <w:r>
        <w:rPr>
          <w:u w:val="single"/>
        </w:rPr>
        <w:lastRenderedPageBreak/>
        <w:t>BEFRAGUNG</w:t>
      </w:r>
      <w:r w:rsidR="00514BA3">
        <w:rPr>
          <w:u w:val="single"/>
        </w:rPr>
        <w:t xml:space="preserve"> ZUR VERWENDUNG MOLEKULARER MARKERVERFAHREN NACH PFLANZE</w:t>
      </w:r>
    </w:p>
    <w:p w14:paraId="58D2907E" w14:textId="77777777" w:rsidR="002A5011" w:rsidRPr="00160FAB" w:rsidRDefault="002A5011" w:rsidP="002A5011"/>
    <w:p w14:paraId="58D2907F" w14:textId="77777777" w:rsidR="002A5011" w:rsidRPr="00160FAB" w:rsidRDefault="002A5011" w:rsidP="002A5011">
      <w:pPr>
        <w:rPr>
          <w:snapToGrid w:val="0"/>
        </w:rPr>
      </w:pPr>
    </w:p>
    <w:p w14:paraId="58D29080" w14:textId="77777777" w:rsidR="002A5011" w:rsidRPr="00160FAB" w:rsidRDefault="002A5011" w:rsidP="002A5011">
      <w:pPr>
        <w:rPr>
          <w:snapToGrid w:val="0"/>
        </w:rPr>
      </w:pPr>
    </w:p>
    <w:p w14:paraId="58D29081" w14:textId="471BE861" w:rsidR="002A5011" w:rsidRPr="00160FAB" w:rsidRDefault="009C4383" w:rsidP="002A5011">
      <w:pPr>
        <w:jc w:val="center"/>
        <w:rPr>
          <w:rFonts w:cs="Arial"/>
          <w:i/>
        </w:rPr>
      </w:pPr>
      <w:r w:rsidRPr="009C4383">
        <w:rPr>
          <w:rFonts w:cs="Arial"/>
          <w:i/>
        </w:rPr>
        <w:t>Alle eingegangenen Antworten finden sich in der Excel-Tabelle</w:t>
      </w:r>
    </w:p>
    <w:p w14:paraId="58D29082" w14:textId="77777777" w:rsidR="002A5011" w:rsidRPr="00160FAB" w:rsidRDefault="002A5011" w:rsidP="002A5011"/>
    <w:p w14:paraId="58D29083" w14:textId="77777777" w:rsidR="002A5011" w:rsidRPr="00160FAB" w:rsidRDefault="002A5011" w:rsidP="002A5011">
      <w:pPr>
        <w:rPr>
          <w:u w:val="single"/>
        </w:rPr>
      </w:pPr>
    </w:p>
    <w:p w14:paraId="58D29084" w14:textId="77777777" w:rsidR="002A5011" w:rsidRPr="00160FAB" w:rsidRDefault="002A5011" w:rsidP="002A5011">
      <w:pPr>
        <w:rPr>
          <w:u w:val="single"/>
        </w:rPr>
      </w:pPr>
    </w:p>
    <w:p w14:paraId="58D29085" w14:textId="2B170D6C" w:rsidR="002A5011" w:rsidRPr="00160FAB" w:rsidRDefault="002A5011" w:rsidP="002A5011">
      <w:pPr>
        <w:pStyle w:val="DecisionParagraphs"/>
        <w:jc w:val="right"/>
        <w:rPr>
          <w:i w:val="0"/>
        </w:rPr>
      </w:pPr>
      <w:r w:rsidRPr="00160FAB">
        <w:rPr>
          <w:i w:val="0"/>
        </w:rPr>
        <w:t>[</w:t>
      </w:r>
      <w:r w:rsidR="000A1D63" w:rsidRPr="000A1D63">
        <w:rPr>
          <w:i w:val="0"/>
        </w:rPr>
        <w:t>Anhang zu Anlage I folgt</w:t>
      </w:r>
      <w:r w:rsidRPr="00160FAB">
        <w:rPr>
          <w:i w:val="0"/>
        </w:rPr>
        <w:t>]</w:t>
      </w:r>
    </w:p>
    <w:p w14:paraId="58D29086" w14:textId="77777777" w:rsidR="002A5011" w:rsidRPr="00160FAB" w:rsidRDefault="002A5011" w:rsidP="00050E16">
      <w:pPr>
        <w:rPr>
          <w:snapToGrid w:val="0"/>
          <w:highlight w:val="cyan"/>
        </w:rPr>
        <w:sectPr w:rsidR="002A5011" w:rsidRPr="00160FAB" w:rsidSect="0004198B">
          <w:headerReference w:type="first" r:id="rId21"/>
          <w:pgSz w:w="11907" w:h="16840" w:code="9"/>
          <w:pgMar w:top="510" w:right="1134" w:bottom="1134" w:left="1134" w:header="510" w:footer="680" w:gutter="0"/>
          <w:pgNumType w:start="1"/>
          <w:cols w:space="720"/>
          <w:titlePg/>
        </w:sectPr>
      </w:pPr>
    </w:p>
    <w:p w14:paraId="58D29087" w14:textId="77777777" w:rsidR="00D72475" w:rsidRPr="00160FAB" w:rsidRDefault="00D72475" w:rsidP="00D72475">
      <w:pPr>
        <w:jc w:val="center"/>
        <w:rPr>
          <w:u w:val="single"/>
        </w:rPr>
      </w:pPr>
    </w:p>
    <w:p w14:paraId="58D29088" w14:textId="7BF367AB" w:rsidR="002A5011" w:rsidRPr="00160FAB" w:rsidRDefault="00A87F40" w:rsidP="002A5011">
      <w:pPr>
        <w:rPr>
          <w:u w:val="single"/>
        </w:rPr>
      </w:pPr>
      <w:r w:rsidRPr="00BD6A76">
        <w:rPr>
          <w:u w:val="single"/>
        </w:rPr>
        <w:t>Antwort der Europäischen Union</w:t>
      </w:r>
      <w:r w:rsidR="002A5011" w:rsidRPr="00160FAB">
        <w:rPr>
          <w:u w:val="single"/>
        </w:rPr>
        <w:t>:</w:t>
      </w:r>
    </w:p>
    <w:p w14:paraId="58D29089" w14:textId="77777777" w:rsidR="002A5011" w:rsidRPr="00160FAB" w:rsidRDefault="002A5011" w:rsidP="002A5011"/>
    <w:p w14:paraId="58D2908A" w14:textId="77777777" w:rsidR="002A5011" w:rsidRPr="00160FAB" w:rsidRDefault="002A5011" w:rsidP="002A5011"/>
    <w:p w14:paraId="58D2908B" w14:textId="7A4BE517" w:rsidR="002A5011" w:rsidRPr="00160FAB" w:rsidRDefault="00901508" w:rsidP="002A5011">
      <w:pPr>
        <w:jc w:val="center"/>
        <w:rPr>
          <w:rFonts w:eastAsia="Cambria"/>
        </w:rPr>
      </w:pPr>
      <w:r w:rsidRPr="00BD6A76">
        <w:rPr>
          <w:rFonts w:eastAsia="Cambria"/>
        </w:rPr>
        <w:t>VERWENDUNG MOLEKULARER MARKERVERFAHREN FÜR DIE DUS-PRÜFUNG IM RAHMEN DES GEMEINSCHAFTLICHEN SORTENSCHUTZES</w:t>
      </w:r>
    </w:p>
    <w:p w14:paraId="58D2908C" w14:textId="77777777" w:rsidR="002A5011" w:rsidRPr="00160FAB" w:rsidRDefault="002A5011" w:rsidP="002A5011">
      <w:pPr>
        <w:rPr>
          <w:rFonts w:eastAsia="Cambria"/>
        </w:rPr>
      </w:pPr>
    </w:p>
    <w:p w14:paraId="58D2908D" w14:textId="77777777" w:rsidR="002A5011" w:rsidRPr="00160FAB" w:rsidRDefault="002A5011" w:rsidP="002A5011">
      <w:pPr>
        <w:rPr>
          <w:rFonts w:eastAsia="Cambria"/>
        </w:rPr>
      </w:pPr>
    </w:p>
    <w:p w14:paraId="1B7BD37F" w14:textId="77777777" w:rsidR="00A162B7" w:rsidRPr="004B73CD" w:rsidRDefault="00A162B7" w:rsidP="00A162B7">
      <w:pPr>
        <w:rPr>
          <w:rFonts w:eastAsia="Cambria"/>
          <w:u w:val="single"/>
        </w:rPr>
      </w:pPr>
      <w:bookmarkStart w:id="40" w:name="_Toc75251912"/>
      <w:bookmarkStart w:id="41" w:name="_Toc75260738"/>
      <w:r w:rsidRPr="004B73CD">
        <w:rPr>
          <w:rFonts w:eastAsia="Cambria"/>
          <w:u w:val="single"/>
        </w:rPr>
        <w:t>Elemente des Kontexts</w:t>
      </w:r>
      <w:bookmarkEnd w:id="40"/>
      <w:bookmarkEnd w:id="41"/>
    </w:p>
    <w:p w14:paraId="786D6AED" w14:textId="77777777" w:rsidR="00A162B7" w:rsidRPr="00BD6A76" w:rsidRDefault="00A162B7" w:rsidP="00A162B7">
      <w:pPr>
        <w:rPr>
          <w:rFonts w:eastAsia="Cambria"/>
        </w:rPr>
      </w:pPr>
    </w:p>
    <w:p w14:paraId="18AC0FDB" w14:textId="77777777" w:rsidR="00A162B7" w:rsidRPr="00BD6A76" w:rsidRDefault="00A162B7" w:rsidP="00A162B7">
      <w:pPr>
        <w:rPr>
          <w:rFonts w:cs="Arial"/>
        </w:rPr>
      </w:pPr>
      <w:r w:rsidRPr="00BD6A76">
        <w:rPr>
          <w:rFonts w:cs="Arial"/>
        </w:rPr>
        <w:t>Der Technische Ausschuss (TC) der UPOV vereinbarte auf seiner fünfundfünfzigsten Tagung vom 28. und 29. Oktober 2019 in Genf, die Verbandsmitglieder zu ersuchen, eine Befragung als Grundlage für die Erstellung einer Bestandsaufnahme zur Verwendung molekularer Markerverfahren nach Pflanze in Abstimmung mit den OECD-Saatgutsystemen durchzuführen (vergleiche Dokument TC/55/25 „Bericht“, Absätze 184 und 185).</w:t>
      </w:r>
    </w:p>
    <w:p w14:paraId="1BE90945" w14:textId="77777777" w:rsidR="00A162B7" w:rsidRPr="00BD6A76" w:rsidRDefault="00A162B7" w:rsidP="00A162B7">
      <w:pPr>
        <w:rPr>
          <w:rFonts w:cs="Arial"/>
        </w:rPr>
      </w:pPr>
    </w:p>
    <w:p w14:paraId="56156532" w14:textId="77777777" w:rsidR="00A162B7" w:rsidRPr="00BD6A76" w:rsidRDefault="00A162B7" w:rsidP="00A162B7">
      <w:pPr>
        <w:rPr>
          <w:rFonts w:cs="Arial"/>
        </w:rPr>
      </w:pPr>
      <w:r w:rsidRPr="00BD6A76">
        <w:rPr>
          <w:rFonts w:cs="Arial"/>
        </w:rPr>
        <w:t xml:space="preserve">Vorbehaltlich der Billigung durch den Rat und in Abstimmung mit OECD und ISTA werden die Informationen über die von den Verbandsmitgliedern verwendeten molekularen Markerverfahren verwendet, um ein gemeinsames </w:t>
      </w:r>
      <w:r w:rsidRPr="00BD6A76">
        <w:t>Dokument von OECD, UPOV und ISTA</w:t>
      </w:r>
      <w:r w:rsidRPr="00BD6A76">
        <w:rPr>
          <w:rFonts w:cs="Arial"/>
        </w:rPr>
        <w:t xml:space="preserve"> mit diesen Informationen in einem ähnlichen Format wie das Dokument UPOV/INF/16 „Austauschbare Software“ zu erarbeiten.</w:t>
      </w:r>
    </w:p>
    <w:p w14:paraId="0DD813CC" w14:textId="77777777" w:rsidR="00A162B7" w:rsidRPr="00BD6A76" w:rsidRDefault="00A162B7" w:rsidP="00A162B7">
      <w:pPr>
        <w:rPr>
          <w:rFonts w:cs="Arial"/>
        </w:rPr>
      </w:pPr>
    </w:p>
    <w:p w14:paraId="357C2A6A" w14:textId="77777777" w:rsidR="00A162B7" w:rsidRDefault="00A162B7" w:rsidP="00A162B7">
      <w:pPr>
        <w:rPr>
          <w:rFonts w:eastAsia="Cambria"/>
        </w:rPr>
      </w:pPr>
      <w:r w:rsidRPr="00BD6A76">
        <w:rPr>
          <w:rFonts w:cs="Arial"/>
        </w:rPr>
        <w:t>Das vorliegende Dokument stellt den Beitrag des CPVO zu dieser Befragung dar und beschreibt als solches die molekularen Markerverfahren, die für die DUS-Prüfung mit dem Ziel der Erteilung von gemeinschaftlichem Sortenschutz (CPVR) im Rahmen der CPVO-Politik verwendet werden können</w:t>
      </w:r>
      <w:r w:rsidRPr="00BD6A76">
        <w:rPr>
          <w:rFonts w:eastAsia="Cambria"/>
        </w:rPr>
        <w:t>.</w:t>
      </w:r>
    </w:p>
    <w:p w14:paraId="7773EBE9" w14:textId="77777777" w:rsidR="00A162B7" w:rsidRDefault="00A162B7" w:rsidP="00A162B7">
      <w:pPr>
        <w:rPr>
          <w:rFonts w:eastAsia="Cambria"/>
        </w:rPr>
      </w:pPr>
    </w:p>
    <w:p w14:paraId="352E4DD2" w14:textId="77777777" w:rsidR="00A162B7" w:rsidRPr="00BD6A76" w:rsidRDefault="00A162B7" w:rsidP="00A162B7">
      <w:pPr>
        <w:rPr>
          <w:rFonts w:eastAsia="Cambria"/>
        </w:rPr>
      </w:pPr>
    </w:p>
    <w:p w14:paraId="4C6C34A6" w14:textId="77777777" w:rsidR="00A162B7" w:rsidRDefault="00A162B7" w:rsidP="00A162B7">
      <w:bookmarkStart w:id="42" w:name="_Toc75251913"/>
      <w:bookmarkStart w:id="43" w:name="_Toc75260739"/>
      <w:r>
        <w:t>1.</w:t>
      </w:r>
      <w:r>
        <w:tab/>
      </w:r>
      <w:r w:rsidRPr="00BD6A76">
        <w:t>Rechtlicher Rahmen für die Verwendung molekularer Verfahren bei der DUS-Prüfung für gemeinschaftlichen Sortenschutz</w:t>
      </w:r>
      <w:bookmarkEnd w:id="42"/>
      <w:bookmarkEnd w:id="43"/>
    </w:p>
    <w:p w14:paraId="6E2CA975" w14:textId="77777777" w:rsidR="00A162B7" w:rsidRPr="00BD6A76" w:rsidRDefault="00A162B7" w:rsidP="00A162B7">
      <w:pPr>
        <w:rPr>
          <w:kern w:val="32"/>
          <w:szCs w:val="32"/>
        </w:rPr>
      </w:pPr>
    </w:p>
    <w:p w14:paraId="426DCF96" w14:textId="77777777" w:rsidR="00A162B7" w:rsidRPr="00BD6A76" w:rsidRDefault="00A162B7" w:rsidP="00A162B7">
      <w:pPr>
        <w:rPr>
          <w:rFonts w:cs="Arial"/>
        </w:rPr>
      </w:pPr>
      <w:r w:rsidRPr="00BD6A76">
        <w:rPr>
          <w:rFonts w:cs="Arial"/>
        </w:rPr>
        <w:t>Der rechtliche Rahmen für die Durchführung der DUS-Prüfung für gemeinschaftlichen Sortenschutz umfasst die CPVO-Grundverordnung 2100/94 (BR) und ihre Durchführungsbestimmungen, die technischen Protokolle (TP) des CPVO und die von der UPOV angenommenen Anleitungsdokumente.</w:t>
      </w:r>
    </w:p>
    <w:p w14:paraId="09C17E7E" w14:textId="77777777" w:rsidR="00A162B7" w:rsidRPr="00BD6A76" w:rsidRDefault="00A162B7" w:rsidP="00A162B7">
      <w:pPr>
        <w:rPr>
          <w:rFonts w:cs="Arial"/>
        </w:rPr>
      </w:pPr>
    </w:p>
    <w:p w14:paraId="5F1E68CF" w14:textId="77777777" w:rsidR="00A162B7" w:rsidRPr="00BD6A76" w:rsidRDefault="00A162B7" w:rsidP="00A162B7">
      <w:pPr>
        <w:rPr>
          <w:rFonts w:cs="Arial"/>
        </w:rPr>
      </w:pPr>
      <w:r w:rsidRPr="00BD6A76">
        <w:rPr>
          <w:rFonts w:cs="Arial"/>
        </w:rPr>
        <w:t>Das CPVO führt die DUS-Prüfung nicht selbst durch, sondern, wie in Artikel 56 (BR) festgelegt, „veranlasst die technische Prüfung [...] durch das zuständige Amt oder die zuständigen Ämter in mindestens einem der Mitgliedstaaten, denen vom Verwaltungsrat die technische Prüfung von Sorten der betreffenden Taxons übertragen wurde“.</w:t>
      </w:r>
    </w:p>
    <w:p w14:paraId="2CA7C084" w14:textId="77777777" w:rsidR="00A162B7" w:rsidRPr="00BD6A76" w:rsidRDefault="00A162B7" w:rsidP="00A162B7">
      <w:pPr>
        <w:rPr>
          <w:rFonts w:cs="Arial"/>
        </w:rPr>
      </w:pPr>
    </w:p>
    <w:p w14:paraId="3A915056" w14:textId="77777777" w:rsidR="00A162B7" w:rsidRPr="00BD6A76" w:rsidRDefault="00A162B7" w:rsidP="00A162B7">
      <w:pPr>
        <w:rPr>
          <w:rFonts w:cs="Arial"/>
        </w:rPr>
      </w:pPr>
      <w:r w:rsidRPr="00BD6A76">
        <w:rPr>
          <w:rFonts w:cs="Arial"/>
        </w:rPr>
        <w:t>Bei der Durchführung einer technischen Prüfung „[...] bauen die Prüfungsämter bei der technischen Prüfung die Sorte an oder führen die sonst erforderlichen Untersuchungen durch“ (Artikel 56-BR). Molekulare Verfahren können somit zur Unterstützung der DUS-Prüfung durch die beauftragten Prüfungsämter verwendet werden, vorausgesetzt, dass die technische Prüfung gemäß den vom Verwaltungsrat des CPVO herausgegebenen Prüfungsrichtlinien durchgeführt wird.</w:t>
      </w:r>
    </w:p>
    <w:p w14:paraId="73C3B88C" w14:textId="77777777" w:rsidR="00A162B7" w:rsidRPr="00BD6A76" w:rsidRDefault="00A162B7" w:rsidP="00A162B7">
      <w:pPr>
        <w:rPr>
          <w:rFonts w:cs="Arial"/>
        </w:rPr>
      </w:pPr>
    </w:p>
    <w:p w14:paraId="368BD3BD" w14:textId="77777777" w:rsidR="00A162B7" w:rsidRPr="00BD6A76" w:rsidRDefault="00A162B7" w:rsidP="00A162B7">
      <w:pPr>
        <w:rPr>
          <w:rFonts w:cs="Arial"/>
        </w:rPr>
      </w:pPr>
      <w:r w:rsidRPr="00BD6A76">
        <w:rPr>
          <w:rFonts w:cs="Arial"/>
        </w:rPr>
        <w:t>Da die gleichen Richtlinien sowohl für den Sortenschutz als auch für die Eintragung in der EU verwendet werden, sind auch die Richtlinien für die Gemeinschaftlichen Kataloge (Richtlinien 2002/53/EG und 2002/55/EG des Rates) zu berücksichtigen. Dementsprechend soll die Zulassung von Sorten auf den Ergebnissen amtlicher Prüfungen, insbesondere Anbauprüfungen, beruhen, die eine für die zu beschreibende Sorte ausreichende Anzahl an Merkmalen abdecken. Daher dürfen molekulare Verfahren nur als ergänzende Hilfsmittel zusätzlich zu den Anbauprüfungen verwendet werden.</w:t>
      </w:r>
    </w:p>
    <w:p w14:paraId="2D46BD52" w14:textId="77777777" w:rsidR="00A162B7" w:rsidRPr="00BD6A76" w:rsidRDefault="00A162B7" w:rsidP="00A162B7">
      <w:pPr>
        <w:rPr>
          <w:rFonts w:cs="Arial"/>
        </w:rPr>
      </w:pPr>
    </w:p>
    <w:p w14:paraId="0DD9CD75" w14:textId="3C192961" w:rsidR="004A3329" w:rsidRDefault="00A162B7" w:rsidP="00A162B7">
      <w:pPr>
        <w:rPr>
          <w:rFonts w:eastAsia="Cambria"/>
        </w:rPr>
      </w:pPr>
      <w:r w:rsidRPr="00BD6A76">
        <w:rPr>
          <w:rFonts w:cs="Arial"/>
        </w:rPr>
        <w:t>Als ein UPOV-Mitglied respektiert das CPVO den vereinbarten Rahmen für die Verwendung molekularer Verfahren bei der DUS-Prüfung, wie in Dokumenten UPOV/INF/18 (vom Rat der UPOV im Jahr 2011 angenommen) und UPOV/TGP/15/3 (vom Rat der UPOV im Jahr 2020 angenommen) dargelegt. Genauer gesagt unterstützt das CPVO die Verwendung molekularer Hilfsmittel durch das Netzwerk der von ihm beauftragten Prüfungsämter gemäß den Modellen, die hinsichtlich i</w:t>
      </w:r>
      <w:r w:rsidR="00CF47B8">
        <w:rPr>
          <w:rFonts w:cs="Arial"/>
        </w:rPr>
        <w:t>hrer Vereinbarkeit mit dem UPOV</w:t>
      </w:r>
      <w:r w:rsidR="00CF47B8">
        <w:rPr>
          <w:rFonts w:cs="Arial"/>
        </w:rPr>
        <w:noBreakHyphen/>
      </w:r>
      <w:r w:rsidRPr="00BD6A76">
        <w:rPr>
          <w:rFonts w:cs="Arial"/>
        </w:rPr>
        <w:t>Übereinkommen positiv bewertet wurden</w:t>
      </w:r>
      <w:r w:rsidRPr="00BD6A76">
        <w:rPr>
          <w:rFonts w:eastAsia="Cambria"/>
        </w:rPr>
        <w:t>.</w:t>
      </w:r>
    </w:p>
    <w:p w14:paraId="3B5B4528" w14:textId="77777777" w:rsidR="004A3329" w:rsidRDefault="004A3329">
      <w:pPr>
        <w:jc w:val="left"/>
        <w:rPr>
          <w:rFonts w:eastAsia="Cambria"/>
        </w:rPr>
      </w:pPr>
      <w:r>
        <w:rPr>
          <w:rFonts w:eastAsia="Cambria"/>
        </w:rPr>
        <w:br w:type="page"/>
      </w:r>
    </w:p>
    <w:p w14:paraId="1C4674FA" w14:textId="77777777" w:rsidR="00A162B7" w:rsidRDefault="00A162B7" w:rsidP="00A162B7">
      <w:bookmarkStart w:id="44" w:name="_Toc75251914"/>
      <w:bookmarkStart w:id="45" w:name="_Toc75260740"/>
      <w:r>
        <w:lastRenderedPageBreak/>
        <w:t>2.</w:t>
      </w:r>
      <w:r>
        <w:tab/>
      </w:r>
      <w:r w:rsidRPr="00BD6A76">
        <w:t>Vom CPVO unterstützte Modelle und Beispiele für die Anwendung</w:t>
      </w:r>
      <w:bookmarkEnd w:id="44"/>
      <w:bookmarkEnd w:id="45"/>
    </w:p>
    <w:p w14:paraId="56026632" w14:textId="77777777" w:rsidR="00A162B7" w:rsidRPr="00BD6A76" w:rsidRDefault="00A162B7" w:rsidP="00A162B7">
      <w:pPr>
        <w:rPr>
          <w:kern w:val="32"/>
          <w:szCs w:val="32"/>
        </w:rPr>
      </w:pPr>
    </w:p>
    <w:p w14:paraId="35178207" w14:textId="77777777" w:rsidR="00A162B7" w:rsidRDefault="00A162B7" w:rsidP="00A162B7">
      <w:pPr>
        <w:keepNext/>
      </w:pPr>
      <w:bookmarkStart w:id="46" w:name="_Toc75251915"/>
      <w:bookmarkStart w:id="47" w:name="_Toc75260741"/>
      <w:r>
        <w:t>2.1.</w:t>
      </w:r>
      <w:r>
        <w:tab/>
      </w:r>
      <w:r w:rsidRPr="00BD6A76">
        <w:t>Merkmalsspezifische Marker</w:t>
      </w:r>
      <w:bookmarkEnd w:id="46"/>
      <w:bookmarkEnd w:id="47"/>
    </w:p>
    <w:p w14:paraId="61E415AA" w14:textId="77777777" w:rsidR="00A162B7" w:rsidRPr="00BD6A76" w:rsidRDefault="00A162B7" w:rsidP="00A162B7">
      <w:pPr>
        <w:keepNext/>
        <w:rPr>
          <w:kern w:val="32"/>
        </w:rPr>
      </w:pPr>
    </w:p>
    <w:p w14:paraId="062013C5" w14:textId="77777777" w:rsidR="00A162B7" w:rsidRDefault="00A162B7" w:rsidP="00A162B7">
      <w:pPr>
        <w:keepNext/>
        <w:rPr>
          <w:rFonts w:eastAsia="Cambria"/>
        </w:rPr>
      </w:pPr>
      <w:r w:rsidRPr="00BD6A76">
        <w:rPr>
          <w:rFonts w:cs="Arial"/>
        </w:rPr>
        <w:t>Molekulare Marker können als eine Alternative zur phänotypischen Erfassung verwendet werden, als Prädiktoren für herkömmliche Merkmale, die schwierig oder umständlich zu erfassen sind, wenn ein eindeutiger Zusammenhang besteht. Sie können entweder vollständig oder teilweise mit dem Phänotyp korreliert werden. Diese Verfahren werden in die technischen Protokolle des CPVO auf der Grundlage einer Bewertung/Validierung und von Vorschlägen der Pflanzensachverständigengruppen des CPVO aufgenommen</w:t>
      </w:r>
      <w:r w:rsidRPr="00BD6A76">
        <w:rPr>
          <w:rFonts w:eastAsia="Cambria"/>
        </w:rPr>
        <w:t xml:space="preserve">. </w:t>
      </w:r>
    </w:p>
    <w:p w14:paraId="17A32D75" w14:textId="77777777" w:rsidR="00A162B7" w:rsidRPr="00BD6A76" w:rsidRDefault="00A162B7" w:rsidP="00A162B7">
      <w:pPr>
        <w:keepNext/>
        <w:rPr>
          <w:rFonts w:eastAsia="Cambria"/>
        </w:rPr>
      </w:pPr>
    </w:p>
    <w:p w14:paraId="6A13A084" w14:textId="77777777" w:rsidR="00A162B7" w:rsidRDefault="00A162B7" w:rsidP="00A162B7">
      <w:bookmarkStart w:id="48" w:name="_Toc75251916"/>
      <w:bookmarkStart w:id="49" w:name="_Toc75260742"/>
      <w:r>
        <w:t>2.1.1.</w:t>
      </w:r>
      <w:r>
        <w:tab/>
      </w:r>
      <w:r w:rsidRPr="00BD6A76">
        <w:t>Marker, die zu 100% mit einer gegebenen Ausprägungsstufe des Merkmals korreliert sind</w:t>
      </w:r>
      <w:bookmarkEnd w:id="48"/>
      <w:bookmarkEnd w:id="49"/>
    </w:p>
    <w:p w14:paraId="0E01DEF1" w14:textId="77777777" w:rsidR="00A162B7" w:rsidRPr="00BD6A76" w:rsidRDefault="00A162B7" w:rsidP="00A162B7">
      <w:pPr>
        <w:rPr>
          <w:rFonts w:eastAsia="Cambria"/>
          <w:bCs/>
        </w:rPr>
      </w:pPr>
    </w:p>
    <w:p w14:paraId="78D2881B" w14:textId="77777777" w:rsidR="00A162B7" w:rsidRPr="00BD6A76" w:rsidRDefault="00A162B7" w:rsidP="00A162B7">
      <w:pPr>
        <w:rPr>
          <w:rFonts w:eastAsia="Cambria"/>
        </w:rPr>
      </w:pPr>
      <w:r w:rsidRPr="00BD6A76">
        <w:rPr>
          <w:rFonts w:cs="Arial"/>
        </w:rPr>
        <w:t>In diesem Fall kann der Marker die phänotypische Erfassung ersetzen</w:t>
      </w:r>
      <w:r w:rsidRPr="00BD6A76">
        <w:rPr>
          <w:rFonts w:eastAsia="Cambria"/>
        </w:rPr>
        <w:t>.</w:t>
      </w:r>
    </w:p>
    <w:p w14:paraId="3FBC7BBB" w14:textId="77777777" w:rsidR="00A162B7" w:rsidRPr="00BD6A76" w:rsidRDefault="00A162B7" w:rsidP="00A162B7">
      <w:pPr>
        <w:rPr>
          <w:rFonts w:eastAsia="Cambria"/>
        </w:rPr>
      </w:pPr>
    </w:p>
    <w:p w14:paraId="3CE37B97" w14:textId="77777777" w:rsidR="00A162B7" w:rsidRPr="00BD6A76" w:rsidRDefault="00A162B7" w:rsidP="00A162B7">
      <w:pPr>
        <w:rPr>
          <w:rFonts w:eastAsia="Cambria"/>
        </w:rPr>
      </w:pPr>
      <w:r w:rsidRPr="00BD6A76">
        <w:rPr>
          <w:rFonts w:cs="Arial"/>
        </w:rPr>
        <w:t>Beispiele für betroffene Merkmale</w:t>
      </w:r>
      <w:r w:rsidRPr="00BD6A76">
        <w:rPr>
          <w:rFonts w:eastAsia="Cambria"/>
        </w:rPr>
        <w:t>:</w:t>
      </w:r>
    </w:p>
    <w:p w14:paraId="7E0934B5" w14:textId="77777777" w:rsidR="00A162B7" w:rsidRPr="00BD6A76" w:rsidRDefault="00A162B7" w:rsidP="00A162B7">
      <w:pPr>
        <w:ind w:left="567"/>
        <w:rPr>
          <w:rFonts w:eastAsia="Cambria"/>
        </w:rPr>
      </w:pPr>
      <w:r w:rsidRPr="00BD6A76">
        <w:rPr>
          <w:rFonts w:eastAsia="Cambria"/>
        </w:rPr>
        <w:t>- Resistenzen gegen mono- oder oligogene Krankheitsresistenzen (z. B. Krankheiten bei Gemüse, Resistenz gegen Nematode Heterodera schachtii bei Zuckerrübe)</w:t>
      </w:r>
    </w:p>
    <w:p w14:paraId="4237F053" w14:textId="77777777" w:rsidR="00A162B7" w:rsidRPr="00BD6A76" w:rsidRDefault="00A162B7" w:rsidP="00A162B7">
      <w:pPr>
        <w:ind w:left="567"/>
        <w:rPr>
          <w:rFonts w:eastAsia="Cambria"/>
        </w:rPr>
      </w:pPr>
      <w:r w:rsidRPr="00BD6A76">
        <w:rPr>
          <w:rFonts w:eastAsia="Cambria"/>
        </w:rPr>
        <w:t>- CMS (zytoplasmatische männliche Sterilität) bei Kohl</w:t>
      </w:r>
    </w:p>
    <w:p w14:paraId="770B81A2" w14:textId="77777777" w:rsidR="00A162B7" w:rsidRPr="00BD6A76" w:rsidRDefault="00A162B7" w:rsidP="00A162B7">
      <w:pPr>
        <w:ind w:left="567"/>
        <w:rPr>
          <w:rFonts w:eastAsia="Cambria"/>
        </w:rPr>
      </w:pPr>
      <w:r w:rsidRPr="00BD6A76">
        <w:rPr>
          <w:rFonts w:eastAsia="Cambria"/>
        </w:rPr>
        <w:t>- Herbizide (z.B. Sonnenblume, Raps)</w:t>
      </w:r>
    </w:p>
    <w:p w14:paraId="0F7909C2" w14:textId="77777777" w:rsidR="00A162B7" w:rsidRPr="00BD6A76" w:rsidRDefault="00A162B7" w:rsidP="00A162B7">
      <w:pPr>
        <w:rPr>
          <w:rFonts w:eastAsia="Cambria"/>
        </w:rPr>
      </w:pPr>
    </w:p>
    <w:p w14:paraId="31780C27" w14:textId="77777777" w:rsidR="00A162B7" w:rsidRPr="00BD6A76" w:rsidRDefault="00A162B7" w:rsidP="00A162B7">
      <w:pPr>
        <w:rPr>
          <w:rFonts w:eastAsia="Cambria"/>
        </w:rPr>
      </w:pPr>
      <w:r w:rsidRPr="00BD6A76">
        <w:rPr>
          <w:rFonts w:cs="Arial"/>
        </w:rPr>
        <w:t>Bislang wurde keiner dieser Marker in die technischen Protokolle des CPVO aufgenommen</w:t>
      </w:r>
      <w:r w:rsidRPr="00BD6A76">
        <w:rPr>
          <w:rFonts w:eastAsia="Cambria"/>
        </w:rPr>
        <w:t>.</w:t>
      </w:r>
    </w:p>
    <w:p w14:paraId="6577023E" w14:textId="77777777" w:rsidR="00A162B7" w:rsidRDefault="00A162B7" w:rsidP="00A162B7">
      <w:bookmarkStart w:id="50" w:name="_Toc75251917"/>
      <w:bookmarkStart w:id="51" w:name="_Toc75260743"/>
    </w:p>
    <w:p w14:paraId="219DE8B4" w14:textId="74476D4A" w:rsidR="00A162B7" w:rsidRDefault="00A162B7" w:rsidP="00A162B7">
      <w:r>
        <w:t>2.1.2.</w:t>
      </w:r>
      <w:r>
        <w:tab/>
      </w:r>
      <w:r w:rsidRPr="00BD6A76">
        <w:t>Marker, die unvollständige Informationen über die Ausprägungsstufe des Merkmals liefern</w:t>
      </w:r>
      <w:bookmarkEnd w:id="50"/>
      <w:bookmarkEnd w:id="51"/>
    </w:p>
    <w:p w14:paraId="7338A96A" w14:textId="77777777" w:rsidR="009C40FE" w:rsidRPr="00BD6A76" w:rsidRDefault="009C40FE" w:rsidP="00A162B7">
      <w:pPr>
        <w:rPr>
          <w:rFonts w:eastAsia="Cambria"/>
          <w:bCs/>
        </w:rPr>
      </w:pPr>
    </w:p>
    <w:p w14:paraId="41F5159C" w14:textId="77777777" w:rsidR="00A162B7" w:rsidRPr="00BD6A76" w:rsidRDefault="00A162B7" w:rsidP="00A162B7">
      <w:pPr>
        <w:rPr>
          <w:rFonts w:eastAsia="Cambria"/>
        </w:rPr>
      </w:pPr>
      <w:r w:rsidRPr="00BD6A76">
        <w:rPr>
          <w:rFonts w:cs="Arial"/>
        </w:rPr>
        <w:t>In diesem Fall ist der Marker nur teilweise mit dem Merkmal gekoppelt und gibt unvollständige Informationen über die Ausprägungsstufe des Merkmals. Seine Verwendung muss in einem Bewertungsschema beschrieben werden, das genau angibt, in welchen Situationen er verwendet werden kann und wann er durch eine phänotypische Erfassung ergänzt werden muss</w:t>
      </w:r>
      <w:r w:rsidRPr="00BD6A76">
        <w:rPr>
          <w:rFonts w:eastAsia="Cambria"/>
        </w:rPr>
        <w:t>.</w:t>
      </w:r>
    </w:p>
    <w:p w14:paraId="724AE1CD" w14:textId="77777777" w:rsidR="00A162B7" w:rsidRPr="00BD6A76" w:rsidRDefault="00A162B7" w:rsidP="00A162B7">
      <w:pPr>
        <w:rPr>
          <w:rFonts w:eastAsia="Cambria"/>
        </w:rPr>
      </w:pPr>
    </w:p>
    <w:p w14:paraId="3DC57766" w14:textId="77777777" w:rsidR="00A162B7" w:rsidRPr="00BD6A76" w:rsidRDefault="00A162B7" w:rsidP="00A162B7">
      <w:pPr>
        <w:rPr>
          <w:rFonts w:cs="Arial"/>
        </w:rPr>
      </w:pPr>
      <w:r w:rsidRPr="00BD6A76">
        <w:rPr>
          <w:rFonts w:cs="Arial"/>
        </w:rPr>
        <w:t>Beispiele für betroffene Merkmale: quantitative Krankheitsresistenzen bei Gemüse, wie</w:t>
      </w:r>
    </w:p>
    <w:p w14:paraId="5B825CB2" w14:textId="77777777" w:rsidR="00A162B7" w:rsidRPr="00BD6A76" w:rsidRDefault="00A162B7" w:rsidP="00A162B7">
      <w:pPr>
        <w:ind w:left="567"/>
        <w:rPr>
          <w:rFonts w:eastAsia="Cambria"/>
        </w:rPr>
      </w:pPr>
      <w:r w:rsidRPr="00BD6A76">
        <w:rPr>
          <w:rFonts w:eastAsia="Cambria"/>
        </w:rPr>
        <w:t>- Tomatenmosaikvirus (ToMV)</w:t>
      </w:r>
    </w:p>
    <w:p w14:paraId="332AEDEF" w14:textId="77777777" w:rsidR="00A162B7" w:rsidRPr="00BD6A76" w:rsidRDefault="00A162B7" w:rsidP="00A162B7">
      <w:pPr>
        <w:ind w:left="567"/>
        <w:rPr>
          <w:rFonts w:eastAsia="Cambria"/>
        </w:rPr>
      </w:pPr>
      <w:r w:rsidRPr="00BD6A76">
        <w:rPr>
          <w:rFonts w:eastAsia="Cambria"/>
        </w:rPr>
        <w:t>- Tomatenbronzefleckenvirus (TSWV)</w:t>
      </w:r>
    </w:p>
    <w:p w14:paraId="10F6B86D" w14:textId="77777777" w:rsidR="00A162B7" w:rsidRPr="00BD6A76" w:rsidRDefault="00A162B7" w:rsidP="00A162B7">
      <w:pPr>
        <w:rPr>
          <w:rFonts w:eastAsia="Cambria"/>
        </w:rPr>
      </w:pPr>
    </w:p>
    <w:p w14:paraId="640DF5D4" w14:textId="77777777" w:rsidR="00A162B7" w:rsidRPr="00BD6A76" w:rsidRDefault="00A162B7" w:rsidP="00A162B7">
      <w:pPr>
        <w:rPr>
          <w:rFonts w:eastAsia="Cambria"/>
        </w:rPr>
      </w:pPr>
      <w:r w:rsidRPr="00BD6A76">
        <w:rPr>
          <w:rFonts w:cs="Arial"/>
        </w:rPr>
        <w:t>Die beiden Sätze von kodominanten Markern, die für diese beiden Tomatenviren entwickelt wurden, wurden in die technischen Protokolle des CPVO für Tomate (4.4-2) und Tomatenunterlagen (1.4) als eine potentielle Alternative zu den Biotests in bestimmten Fällen aufgenommen</w:t>
      </w:r>
      <w:r w:rsidRPr="00BD6A76">
        <w:rPr>
          <w:rFonts w:eastAsia="Cambria"/>
        </w:rPr>
        <w:t>.</w:t>
      </w:r>
    </w:p>
    <w:p w14:paraId="069CA3C1" w14:textId="77777777" w:rsidR="00A162B7" w:rsidRDefault="00A162B7" w:rsidP="00A162B7">
      <w:bookmarkStart w:id="52" w:name="_Toc75251918"/>
      <w:bookmarkStart w:id="53" w:name="_Toc75260744"/>
    </w:p>
    <w:p w14:paraId="4242DF81" w14:textId="77777777" w:rsidR="00A162B7" w:rsidRDefault="00A162B7" w:rsidP="00A162B7"/>
    <w:p w14:paraId="1A854124" w14:textId="77777777" w:rsidR="00A162B7" w:rsidRDefault="00A162B7" w:rsidP="00A162B7">
      <w:r>
        <w:t>2.2.</w:t>
      </w:r>
      <w:r>
        <w:tab/>
      </w:r>
      <w:r w:rsidRPr="00BD6A76">
        <w:t>Verwaltung von Sortensammlungen</w:t>
      </w:r>
      <w:bookmarkEnd w:id="52"/>
      <w:bookmarkEnd w:id="53"/>
    </w:p>
    <w:p w14:paraId="0520BD6D" w14:textId="77777777" w:rsidR="00A162B7" w:rsidRPr="00BD6A76" w:rsidRDefault="00A162B7" w:rsidP="00A162B7">
      <w:pPr>
        <w:rPr>
          <w:kern w:val="32"/>
        </w:rPr>
      </w:pPr>
    </w:p>
    <w:p w14:paraId="540FACAD" w14:textId="3A421791" w:rsidR="00A162B7" w:rsidRDefault="00A162B7" w:rsidP="00A162B7">
      <w:bookmarkStart w:id="54" w:name="_Toc75251919"/>
      <w:bookmarkStart w:id="55" w:name="_Toc75260745"/>
      <w:r>
        <w:t>2.2.1.</w:t>
      </w:r>
      <w:r>
        <w:tab/>
      </w:r>
      <w:r w:rsidRPr="00BD6A76">
        <w:t>Kombination von molekularen und phänotypischen Schwellen</w:t>
      </w:r>
      <w:r w:rsidR="00CF47B8">
        <w:t>werten zum Ausschluss von super</w:t>
      </w:r>
      <w:r w:rsidR="00CF47B8">
        <w:noBreakHyphen/>
      </w:r>
      <w:r w:rsidRPr="00BD6A76">
        <w:t>unterscheidbaren Sorten aus der zweiten Anbauprüfung</w:t>
      </w:r>
      <w:bookmarkEnd w:id="54"/>
      <w:bookmarkEnd w:id="55"/>
    </w:p>
    <w:p w14:paraId="78605DE2" w14:textId="77777777" w:rsidR="00A162B7" w:rsidRPr="00BD6A76" w:rsidRDefault="00A162B7" w:rsidP="00A162B7">
      <w:pPr>
        <w:rPr>
          <w:rFonts w:eastAsia="Cambria"/>
          <w:bCs/>
        </w:rPr>
      </w:pPr>
    </w:p>
    <w:p w14:paraId="23FE9CAB" w14:textId="77777777" w:rsidR="00A162B7" w:rsidRPr="00BD6A76" w:rsidRDefault="00A162B7" w:rsidP="00A162B7">
      <w:pPr>
        <w:rPr>
          <w:rFonts w:eastAsia="Cambria"/>
        </w:rPr>
      </w:pPr>
      <w:r w:rsidRPr="00BD6A76">
        <w:rPr>
          <w:rFonts w:cs="Arial"/>
        </w:rPr>
        <w:t>In diesem Modell werden zwei unabhängige Schwellenwerte für die Auswahl von ähnlichen Sorten festgelegt, die in die Anbauprüfung einbezogen werden sollen. Der erste Schwellenwert basiert auf den Informationen morphologischer Merkmale und der zweite auf einem genetischen Abstand, der unter Verwendung eines Satzes von Markern berechnet wird, die über das gesamte Genom verteilt sind. Außer bei morphologisch sehr ähnlichen Sorten müssen Vergleichssorten, die die beiden Schwellenwerte überschreiten, nicht in die Anbauprüfung einbezogen werden (sie werden als „super-unterscheidbar“ betrachtet</w:t>
      </w:r>
      <w:r w:rsidRPr="00BD6A76">
        <w:rPr>
          <w:rFonts w:eastAsia="Cambria"/>
        </w:rPr>
        <w:t>).</w:t>
      </w:r>
    </w:p>
    <w:p w14:paraId="79CCFF72" w14:textId="77777777" w:rsidR="00A162B7" w:rsidRPr="00BD6A76" w:rsidRDefault="00A162B7" w:rsidP="00A162B7">
      <w:pPr>
        <w:rPr>
          <w:rFonts w:eastAsia="Cambria"/>
        </w:rPr>
      </w:pPr>
    </w:p>
    <w:p w14:paraId="4870A283" w14:textId="77777777" w:rsidR="00A162B7" w:rsidRDefault="00A162B7" w:rsidP="00A162B7">
      <w:pPr>
        <w:rPr>
          <w:rFonts w:eastAsia="Cambria"/>
        </w:rPr>
      </w:pPr>
      <w:r w:rsidRPr="00BD6A76">
        <w:rPr>
          <w:rFonts w:cs="Arial"/>
        </w:rPr>
        <w:t>Dieses Modell wird von bestimmten beauftragten Prüfungsämtern routinemäßig für Arten wie Mais, Salat, Weizen und Gerste angewandt und wird derzeit im Rahmen von F&amp;E-Projekten, die vom CPVO mitfinanziert werden, für Raps getestet</w:t>
      </w:r>
      <w:r w:rsidRPr="00BD6A76">
        <w:rPr>
          <w:rFonts w:eastAsia="Cambria"/>
        </w:rPr>
        <w:t>.</w:t>
      </w:r>
    </w:p>
    <w:p w14:paraId="24175D39" w14:textId="77777777" w:rsidR="00A162B7" w:rsidRDefault="00A162B7" w:rsidP="00A162B7">
      <w:pPr>
        <w:rPr>
          <w:rFonts w:eastAsia="Cambria"/>
        </w:rPr>
      </w:pPr>
    </w:p>
    <w:p w14:paraId="2F60212F" w14:textId="77777777" w:rsidR="00A162B7" w:rsidRDefault="00A162B7" w:rsidP="00A162B7">
      <w:pPr>
        <w:rPr>
          <w:rFonts w:eastAsia="Cambria"/>
        </w:rPr>
      </w:pPr>
      <w:bookmarkStart w:id="56" w:name="_Toc75251920"/>
      <w:bookmarkStart w:id="57" w:name="_Toc75260746"/>
      <w:r>
        <w:rPr>
          <w:rFonts w:eastAsia="Cambria"/>
        </w:rPr>
        <w:t>2.2.2.</w:t>
      </w:r>
      <w:r>
        <w:rPr>
          <w:rFonts w:eastAsia="Cambria"/>
        </w:rPr>
        <w:tab/>
      </w:r>
      <w:r w:rsidRPr="00BD6A76">
        <w:rPr>
          <w:rFonts w:eastAsia="Cambria"/>
        </w:rPr>
        <w:t>Genetische Auswahl von ähnlichen Sorten für die erste Anbauprüfung</w:t>
      </w:r>
      <w:bookmarkEnd w:id="56"/>
      <w:bookmarkEnd w:id="57"/>
    </w:p>
    <w:p w14:paraId="15E5DADF" w14:textId="77777777" w:rsidR="00A162B7" w:rsidRPr="00BD6A76" w:rsidRDefault="00A162B7" w:rsidP="00A162B7">
      <w:pPr>
        <w:rPr>
          <w:rFonts w:eastAsia="Cambria"/>
        </w:rPr>
      </w:pPr>
    </w:p>
    <w:p w14:paraId="2E0A6BD6" w14:textId="77777777" w:rsidR="00A162B7" w:rsidRPr="00BD6A76" w:rsidRDefault="00A162B7" w:rsidP="00A162B7">
      <w:pPr>
        <w:rPr>
          <w:rFonts w:eastAsia="Cambria" w:cs="Arial"/>
          <w:bCs/>
        </w:rPr>
      </w:pPr>
      <w:r w:rsidRPr="00BD6A76">
        <w:rPr>
          <w:rFonts w:eastAsia="Cambria" w:cs="Arial"/>
          <w:bCs/>
        </w:rPr>
        <w:t>Die Kandidatensorte wird unter Verwendung eines definierten Satzes von Markern genotypisiert und ihr Profil wird mit den Sorten aus der Vergleichssammlung verglichen. Alle Vergleichssorten mit einer genetischen Ähnlichkeit zu der Kandidatensorte, die höher als ein bestimmter Prozentsatz (z. B. 80 %) ist, sind in die erste Wachstumsperiode einzubeziehen, alle anderen werden ausgeschlossen.</w:t>
      </w:r>
    </w:p>
    <w:p w14:paraId="60D7CDE0" w14:textId="77777777" w:rsidR="00A162B7" w:rsidRPr="00BD6A76" w:rsidRDefault="00A162B7" w:rsidP="00A162B7">
      <w:pPr>
        <w:rPr>
          <w:rFonts w:eastAsia="Cambria" w:cs="Arial"/>
          <w:bCs/>
        </w:rPr>
      </w:pPr>
    </w:p>
    <w:p w14:paraId="5202021C" w14:textId="77777777" w:rsidR="00A162B7" w:rsidRPr="00BD6A76" w:rsidRDefault="00A162B7" w:rsidP="00A162B7">
      <w:pPr>
        <w:rPr>
          <w:rFonts w:eastAsia="Cambria" w:cs="Arial"/>
          <w:bCs/>
        </w:rPr>
      </w:pPr>
      <w:r w:rsidRPr="00BD6A76">
        <w:rPr>
          <w:rFonts w:eastAsia="Cambria" w:cs="Arial"/>
          <w:bCs/>
        </w:rPr>
        <w:lastRenderedPageBreak/>
        <w:t>Während der ersten Wachstumsperiode wird die Kandidatensorte auf Homogenität geprüft und gemäß dem technischen Protokoll morphologisch beschrieben. Ihre morphologische Beschreibung wird dann in silico mit den Beschreibungen aller Vergleichssorten verglichen.</w:t>
      </w:r>
    </w:p>
    <w:p w14:paraId="3217D00D" w14:textId="77777777" w:rsidR="00A162B7" w:rsidRPr="00BD6A76" w:rsidRDefault="00A162B7" w:rsidP="00A162B7">
      <w:pPr>
        <w:rPr>
          <w:rFonts w:eastAsia="Cambria" w:cs="Arial"/>
          <w:bCs/>
        </w:rPr>
      </w:pPr>
    </w:p>
    <w:p w14:paraId="5695616E" w14:textId="77777777" w:rsidR="00A162B7" w:rsidRPr="00BD6A76" w:rsidRDefault="00A162B7" w:rsidP="00A162B7">
      <w:pPr>
        <w:rPr>
          <w:rFonts w:eastAsia="Cambria" w:cs="Arial"/>
          <w:bCs/>
          <w:i/>
          <w:iCs/>
          <w:sz w:val="16"/>
          <w:szCs w:val="16"/>
        </w:rPr>
      </w:pPr>
      <w:r w:rsidRPr="00BD6A76">
        <w:rPr>
          <w:rFonts w:eastAsia="Cambria" w:cs="Arial"/>
          <w:bCs/>
          <w:i/>
          <w:iCs/>
          <w:sz w:val="16"/>
          <w:szCs w:val="16"/>
        </w:rPr>
        <w:t>Anmerkung: Die morphologischen Beschreibungen der Vergleichssorten, die für den In-silico-Vergleich verwendet werden, müssen auf den Erfassungen des Prüfungsamts basieren (interne Sortenbeschreibungen). Wenn die verwendeten Sortenbeschreibungen nicht intern erstellt werden, können sie nur verwendet werden, wenn die Notationsskalen zwischen den Prüfungsämtern, die sie erstellen und verwenden, harmonisiert wurden (z. B. durch Ringtests).</w:t>
      </w:r>
    </w:p>
    <w:p w14:paraId="3BC7A994" w14:textId="77777777" w:rsidR="00A162B7" w:rsidRPr="00BD6A76" w:rsidRDefault="00A162B7" w:rsidP="00A162B7">
      <w:pPr>
        <w:rPr>
          <w:rFonts w:eastAsia="Cambria" w:cs="Arial"/>
          <w:bCs/>
        </w:rPr>
      </w:pPr>
    </w:p>
    <w:p w14:paraId="75C16CD4" w14:textId="77777777" w:rsidR="00A162B7" w:rsidRPr="00BD6A76" w:rsidRDefault="00A162B7" w:rsidP="00A162B7">
      <w:pPr>
        <w:rPr>
          <w:rFonts w:eastAsia="Cambria" w:cs="Arial"/>
          <w:bCs/>
        </w:rPr>
      </w:pPr>
      <w:r w:rsidRPr="00BD6A76">
        <w:rPr>
          <w:rFonts w:eastAsia="Cambria" w:cs="Arial"/>
          <w:bCs/>
        </w:rPr>
        <w:t>Die Vergleichssorten, die als morphologisch ähnlich zu der Kandidatensorte identifiziert werden, werden zum Vergleich in eine zweite Anbauprüfung einbezogen. Wenn die Sorte in der ersten Wachstumsperiode deutlich von den ähnlichen Sorten unterscheidbar ist und keine ähnlichen Sorten aufgrund der Sortenbeschreibung nach der ersten Wachstumsperiode festgestellt werden, kann nach einer Wachstumsperiode eine positive Entscheidung über die Unterscheidbarkeit getroffen werden.</w:t>
      </w:r>
    </w:p>
    <w:p w14:paraId="1878E798" w14:textId="77777777" w:rsidR="00A162B7" w:rsidRPr="00BD6A76" w:rsidRDefault="00A162B7" w:rsidP="00A162B7">
      <w:pPr>
        <w:rPr>
          <w:rFonts w:eastAsia="Cambria" w:cs="Arial"/>
          <w:bCs/>
        </w:rPr>
      </w:pPr>
    </w:p>
    <w:p w14:paraId="71597F51" w14:textId="77777777" w:rsidR="00A162B7" w:rsidRPr="00BD6A76" w:rsidRDefault="00A162B7" w:rsidP="00A162B7">
      <w:pPr>
        <w:rPr>
          <w:rFonts w:eastAsia="Cambria" w:cs="Arial"/>
          <w:bCs/>
        </w:rPr>
      </w:pPr>
      <w:r w:rsidRPr="00BD6A76">
        <w:rPr>
          <w:rFonts w:eastAsia="Cambria" w:cs="Arial"/>
          <w:bCs/>
        </w:rPr>
        <w:t>Dieses Modell wird von bestimmten beauftragten Prüfungsämtern für Arten wie Gartenbohne und Kartoffel angewandt. Es wird derzeit für Hartweizen getestet und soll durch vom CPVO mitfinanzierte F&amp;E-Projekte für Tomate und Hanf erforscht werden.</w:t>
      </w:r>
    </w:p>
    <w:p w14:paraId="1176431C" w14:textId="77777777" w:rsidR="00A162B7" w:rsidRPr="00BD6A76" w:rsidRDefault="00A162B7" w:rsidP="00A162B7">
      <w:pPr>
        <w:rPr>
          <w:rFonts w:eastAsia="Cambria" w:cs="Arial"/>
          <w:bCs/>
        </w:rPr>
      </w:pPr>
    </w:p>
    <w:p w14:paraId="00F9463E" w14:textId="77777777" w:rsidR="00A162B7" w:rsidRPr="00BD6A76" w:rsidRDefault="00A162B7" w:rsidP="00A162B7">
      <w:pPr>
        <w:rPr>
          <w:rFonts w:eastAsia="Cambria" w:cs="Arial"/>
          <w:bCs/>
        </w:rPr>
      </w:pPr>
      <w:r w:rsidRPr="00BD6A76">
        <w:rPr>
          <w:rFonts w:eastAsia="Cambria" w:cs="Arial"/>
          <w:bCs/>
        </w:rPr>
        <w:t xml:space="preserve">Die Verfahren werden von Sortensachverständigengruppen des CPOV bewertet. </w:t>
      </w:r>
    </w:p>
    <w:p w14:paraId="76086D6B" w14:textId="77777777" w:rsidR="00A162B7" w:rsidRDefault="00A162B7" w:rsidP="00A162B7">
      <w:pPr>
        <w:rPr>
          <w:rFonts w:eastAsia="Cambria" w:cs="Arial"/>
          <w:bCs/>
        </w:rPr>
      </w:pPr>
    </w:p>
    <w:p w14:paraId="3C5AAB37" w14:textId="77777777" w:rsidR="00A162B7" w:rsidRPr="00BD6A76" w:rsidRDefault="00A162B7" w:rsidP="00A162B7">
      <w:pPr>
        <w:rPr>
          <w:rFonts w:eastAsia="Cambria" w:cs="Arial"/>
          <w:bCs/>
        </w:rPr>
      </w:pPr>
    </w:p>
    <w:p w14:paraId="7D674068" w14:textId="77777777" w:rsidR="00A162B7" w:rsidRPr="00BD6A76" w:rsidRDefault="00A162B7" w:rsidP="00A162B7">
      <w:pPr>
        <w:rPr>
          <w:rFonts w:eastAsia="Cambria"/>
        </w:rPr>
      </w:pPr>
      <w:r>
        <w:rPr>
          <w:rFonts w:eastAsia="Cambria"/>
        </w:rPr>
        <w:t>2.3.</w:t>
      </w:r>
      <w:r>
        <w:rPr>
          <w:rFonts w:eastAsia="Cambria"/>
        </w:rPr>
        <w:tab/>
      </w:r>
      <w:r w:rsidRPr="00BD6A76">
        <w:rPr>
          <w:rFonts w:eastAsia="Cambria"/>
        </w:rPr>
        <w:t>Andere Verwendungen</w:t>
      </w:r>
    </w:p>
    <w:p w14:paraId="7D1ED767" w14:textId="77777777" w:rsidR="00A162B7" w:rsidRPr="00BD6A76" w:rsidRDefault="00A162B7" w:rsidP="00A162B7">
      <w:pPr>
        <w:pStyle w:val="ListParagraph"/>
        <w:ind w:left="567"/>
        <w:rPr>
          <w:rFonts w:eastAsia="Cambria" w:cs="Arial"/>
          <w:bCs/>
        </w:rPr>
      </w:pPr>
    </w:p>
    <w:p w14:paraId="233A93EA" w14:textId="77777777" w:rsidR="00A162B7" w:rsidRPr="00BD6A76" w:rsidRDefault="00A162B7" w:rsidP="00A162B7">
      <w:pPr>
        <w:rPr>
          <w:rFonts w:eastAsia="Cambria" w:cs="Arial"/>
          <w:bCs/>
        </w:rPr>
      </w:pPr>
      <w:r w:rsidRPr="00BD6A76">
        <w:rPr>
          <w:rFonts w:eastAsia="Cambria" w:cs="Arial"/>
          <w:bCs/>
        </w:rPr>
        <w:t>2.3.1.</w:t>
      </w:r>
      <w:r w:rsidRPr="00BD6A76">
        <w:rPr>
          <w:rFonts w:eastAsia="Cambria" w:cs="Arial"/>
          <w:bCs/>
        </w:rPr>
        <w:tab/>
        <w:t>Identifizierung bei der Unterstützung bei der Erhaltung von Sortensammlungen</w:t>
      </w:r>
    </w:p>
    <w:p w14:paraId="1949377A" w14:textId="77777777" w:rsidR="00A162B7" w:rsidRPr="00BD6A76" w:rsidRDefault="00A162B7" w:rsidP="00A162B7">
      <w:pPr>
        <w:rPr>
          <w:rFonts w:eastAsia="Cambria" w:cs="Arial"/>
          <w:bCs/>
        </w:rPr>
      </w:pPr>
    </w:p>
    <w:p w14:paraId="28E1F107" w14:textId="77777777" w:rsidR="00A162B7" w:rsidRPr="00BD6A76" w:rsidRDefault="00A162B7" w:rsidP="00A162B7">
      <w:pPr>
        <w:rPr>
          <w:rFonts w:eastAsia="Cambria" w:cs="Arial"/>
          <w:bCs/>
        </w:rPr>
      </w:pPr>
      <w:r w:rsidRPr="00BD6A76">
        <w:rPr>
          <w:rFonts w:eastAsia="Cambria" w:cs="Arial"/>
          <w:bCs/>
        </w:rPr>
        <w:t>Alle in den vorstehenden Beispielen verwendeten molekularen Marker können zu Identifikationszwecken bei der Unterstützung der Erhaltung von Vergleichssammlungen verwendet werden.</w:t>
      </w:r>
    </w:p>
    <w:p w14:paraId="7EE86BBC" w14:textId="77777777" w:rsidR="00A162B7" w:rsidRPr="00BD6A76" w:rsidRDefault="00A162B7" w:rsidP="00A162B7">
      <w:pPr>
        <w:rPr>
          <w:rFonts w:eastAsia="Cambria" w:cs="Arial"/>
          <w:bCs/>
        </w:rPr>
      </w:pPr>
    </w:p>
    <w:p w14:paraId="357A1577" w14:textId="77777777" w:rsidR="00A162B7" w:rsidRPr="00BD6A76" w:rsidRDefault="00A162B7" w:rsidP="00A162B7">
      <w:pPr>
        <w:rPr>
          <w:rFonts w:eastAsia="Cambria" w:cs="Arial"/>
          <w:bCs/>
        </w:rPr>
      </w:pPr>
      <w:r w:rsidRPr="00BD6A76">
        <w:rPr>
          <w:rFonts w:eastAsia="Cambria" w:cs="Arial"/>
          <w:bCs/>
        </w:rPr>
        <w:t xml:space="preserve">Zusätzlich können auch andere molekulare Markersätze für Identifizierungszwecke von bestimmten beauftragten Prüfungsämtern für Arten wie Rose, Kirschbaum, Pfirsich, Rebe, Zitrus usw. verwendet werden. Diese Sätze können zwischen Prüfungsämtern harmonisiert sein (z. B. Kartoffel dank eines vom CPVO unterstützten Projekts) oder nicht. </w:t>
      </w:r>
    </w:p>
    <w:p w14:paraId="27964DF9" w14:textId="77777777" w:rsidR="00A162B7" w:rsidRPr="00BD6A76" w:rsidRDefault="00A162B7" w:rsidP="00A162B7">
      <w:pPr>
        <w:rPr>
          <w:rFonts w:eastAsia="Cambria" w:cs="Arial"/>
          <w:bCs/>
        </w:rPr>
      </w:pPr>
    </w:p>
    <w:p w14:paraId="4C3A17D5" w14:textId="77777777" w:rsidR="00A162B7" w:rsidRPr="00BD6A76" w:rsidRDefault="00A162B7" w:rsidP="00A162B7">
      <w:pPr>
        <w:rPr>
          <w:rFonts w:eastAsia="Cambria" w:cs="Arial"/>
          <w:bCs/>
        </w:rPr>
      </w:pPr>
      <w:r w:rsidRPr="00BD6A76">
        <w:rPr>
          <w:rFonts w:eastAsia="Cambria" w:cs="Arial"/>
          <w:bCs/>
        </w:rPr>
        <w:t>2.3.2.</w:t>
      </w:r>
      <w:r w:rsidRPr="00BD6A76">
        <w:rPr>
          <w:rFonts w:eastAsia="Cambria" w:cs="Arial"/>
          <w:bCs/>
        </w:rPr>
        <w:tab/>
        <w:t>Erfassung von GVO (im Sinne der Richtlinie 2001/18/EG)</w:t>
      </w:r>
    </w:p>
    <w:p w14:paraId="6BB12011" w14:textId="77777777" w:rsidR="00A162B7" w:rsidRPr="00BD6A76" w:rsidRDefault="00A162B7" w:rsidP="00A162B7">
      <w:pPr>
        <w:rPr>
          <w:rFonts w:eastAsia="Cambria" w:cs="Arial"/>
          <w:bCs/>
        </w:rPr>
      </w:pPr>
    </w:p>
    <w:p w14:paraId="05281647" w14:textId="77777777" w:rsidR="00A162B7" w:rsidRPr="00BD6A76" w:rsidRDefault="00A162B7" w:rsidP="00A162B7">
      <w:pPr>
        <w:rPr>
          <w:rFonts w:eastAsia="Cambria" w:cs="Arial"/>
          <w:bCs/>
        </w:rPr>
      </w:pPr>
      <w:r w:rsidRPr="00BD6A76">
        <w:rPr>
          <w:rFonts w:eastAsia="Cambria" w:cs="Arial"/>
          <w:bCs/>
        </w:rPr>
        <w:t>In bestimmten Fällen werden Marker von Prüfungsämtern verwendet, um Sorten zu erfassen, die mit Hilfe von Transgenese- oder gezielten Mutageneseverfahren hergestellt wurden:</w:t>
      </w:r>
    </w:p>
    <w:p w14:paraId="6DEB5D0F" w14:textId="77777777" w:rsidR="00A162B7" w:rsidRPr="00BD6A76" w:rsidRDefault="00A162B7" w:rsidP="00A162B7">
      <w:pPr>
        <w:ind w:left="567"/>
        <w:rPr>
          <w:rFonts w:eastAsia="Cambria" w:cs="Arial"/>
          <w:bCs/>
        </w:rPr>
      </w:pPr>
      <w:r w:rsidRPr="00BD6A76">
        <w:rPr>
          <w:rFonts w:eastAsia="Cambria" w:cs="Arial"/>
          <w:bCs/>
        </w:rPr>
        <w:t>- Bestätigung des Vorhandenseins einer deklarierten Gentransformation (klassische Transgen-Insertion oder durch Genbearbeitungstechniken ausgelöste Punktmutationen).</w:t>
      </w:r>
    </w:p>
    <w:p w14:paraId="795DFC49" w14:textId="77777777" w:rsidR="00A162B7" w:rsidRPr="00BD6A76" w:rsidRDefault="00A162B7" w:rsidP="00A162B7">
      <w:pPr>
        <w:ind w:left="567"/>
        <w:rPr>
          <w:rFonts w:eastAsia="Cambria" w:cs="Arial"/>
          <w:bCs/>
        </w:rPr>
      </w:pPr>
      <w:r w:rsidRPr="00BD6A76">
        <w:rPr>
          <w:rFonts w:eastAsia="Cambria" w:cs="Arial"/>
          <w:bCs/>
        </w:rPr>
        <w:t>- Erfassung des zufälligen Vorhandenseins von GV-Saatgut in den eingereichten Referenzpartien.</w:t>
      </w:r>
    </w:p>
    <w:p w14:paraId="25A475D5" w14:textId="77777777" w:rsidR="00A162B7" w:rsidRPr="00BD6A76" w:rsidRDefault="00A162B7" w:rsidP="00A162B7">
      <w:pPr>
        <w:rPr>
          <w:rFonts w:eastAsia="Cambria" w:cs="Arial"/>
          <w:bCs/>
        </w:rPr>
      </w:pPr>
    </w:p>
    <w:p w14:paraId="314922DA" w14:textId="77777777" w:rsidR="00A162B7" w:rsidRPr="00BD6A76" w:rsidRDefault="00A162B7" w:rsidP="00A162B7">
      <w:pPr>
        <w:rPr>
          <w:rFonts w:eastAsia="Cambria" w:cs="Arial"/>
          <w:bCs/>
        </w:rPr>
      </w:pPr>
      <w:r w:rsidRPr="00BD6A76">
        <w:rPr>
          <w:rFonts w:eastAsia="Cambria" w:cs="Arial"/>
          <w:bCs/>
        </w:rPr>
        <w:t>Fazit</w:t>
      </w:r>
    </w:p>
    <w:p w14:paraId="5DCAE10E" w14:textId="77777777" w:rsidR="00A162B7" w:rsidRPr="00BD6A76" w:rsidRDefault="00A162B7" w:rsidP="00A162B7">
      <w:pPr>
        <w:rPr>
          <w:rFonts w:eastAsia="Cambria" w:cs="Arial"/>
          <w:bCs/>
        </w:rPr>
      </w:pPr>
    </w:p>
    <w:p w14:paraId="4B28CA73" w14:textId="77777777" w:rsidR="00A162B7" w:rsidRPr="00BD6A76" w:rsidRDefault="00A162B7" w:rsidP="00A162B7">
      <w:pPr>
        <w:rPr>
          <w:rFonts w:eastAsia="Cambria" w:cs="Arial"/>
          <w:bCs/>
        </w:rPr>
      </w:pPr>
      <w:r w:rsidRPr="00BD6A76">
        <w:rPr>
          <w:rFonts w:eastAsia="Cambria" w:cs="Arial"/>
          <w:bCs/>
        </w:rPr>
        <w:t>Zusammenfassend lässt sich sagen, dass derzeit viele molekulare Verfahren vom CPVO-Netzwerk der beauftragten Prüfungsämter zur Unterstützung der DUS-Prüfung verwendet werden oder sich in der Entwicklung befinden.</w:t>
      </w:r>
    </w:p>
    <w:p w14:paraId="76EB7AFC" w14:textId="5941420C" w:rsidR="00A162B7" w:rsidRPr="00BD6A76" w:rsidRDefault="00A162B7" w:rsidP="00A162B7">
      <w:pPr>
        <w:rPr>
          <w:rFonts w:eastAsia="Cambria" w:cs="Arial"/>
          <w:bCs/>
        </w:rPr>
      </w:pPr>
      <w:r w:rsidRPr="00BD6A76">
        <w:rPr>
          <w:rFonts w:eastAsia="Cambria" w:cs="Arial"/>
          <w:bCs/>
        </w:rPr>
        <w:t xml:space="preserve">Jedoch sind nur 2 Sätze von </w:t>
      </w:r>
      <w:r>
        <w:rPr>
          <w:rFonts w:eastAsia="Cambria" w:cs="Arial"/>
          <w:bCs/>
        </w:rPr>
        <w:t>merkmalsspezifisch</w:t>
      </w:r>
      <w:r w:rsidRPr="00BD6A76">
        <w:rPr>
          <w:rFonts w:eastAsia="Cambria" w:cs="Arial"/>
          <w:bCs/>
        </w:rPr>
        <w:t>en molekularen Markern offiziell in technischen Protokollen des CPVP auf der Grundlage der Bewertung/Validierung v</w:t>
      </w:r>
      <w:r w:rsidR="00CF47B8">
        <w:rPr>
          <w:rFonts w:eastAsia="Cambria" w:cs="Arial"/>
          <w:bCs/>
        </w:rPr>
        <w:t>on Sachverständigen in den CPVO</w:t>
      </w:r>
      <w:r w:rsidR="00CF47B8">
        <w:rPr>
          <w:rFonts w:eastAsia="Cambria" w:cs="Arial"/>
          <w:bCs/>
        </w:rPr>
        <w:noBreakHyphen/>
      </w:r>
      <w:r w:rsidRPr="00BD6A76">
        <w:rPr>
          <w:rFonts w:eastAsia="Cambria" w:cs="Arial"/>
          <w:bCs/>
        </w:rPr>
        <w:t>Sachverständigengruppen beschrieben. Diese Marker sind öffentlich verfügbar.</w:t>
      </w:r>
    </w:p>
    <w:p w14:paraId="58D290E7" w14:textId="42DA1440" w:rsidR="002A5011" w:rsidRPr="00160FAB" w:rsidRDefault="00A162B7" w:rsidP="00A162B7">
      <w:pPr>
        <w:rPr>
          <w:rFonts w:eastAsia="Cambria"/>
        </w:rPr>
      </w:pPr>
      <w:r w:rsidRPr="00BD6A76">
        <w:rPr>
          <w:rFonts w:eastAsia="Cambria" w:cs="Arial"/>
          <w:bCs/>
        </w:rPr>
        <w:t>Folglich überlässt das CPVO seinen beauftragten Prüfungsämtern die Rolle der Beschreibung der molekularen Hilfsmittel, die sie in Hinsicht auf die CPVO-Politik für die in Bezug auf Sortenvergleichssammlungen verwendeten Verfahren verwenden</w:t>
      </w:r>
      <w:r w:rsidR="002A5011" w:rsidRPr="00160FAB">
        <w:rPr>
          <w:rFonts w:eastAsia="Cambria"/>
        </w:rPr>
        <w:t>.</w:t>
      </w:r>
    </w:p>
    <w:p w14:paraId="58D290E8" w14:textId="77777777" w:rsidR="002A5011" w:rsidRPr="00160FAB" w:rsidRDefault="002A5011" w:rsidP="002A5011">
      <w:pPr>
        <w:rPr>
          <w:rFonts w:eastAsia="Cambria"/>
        </w:rPr>
      </w:pPr>
    </w:p>
    <w:p w14:paraId="58D290E9" w14:textId="77777777" w:rsidR="00595E41" w:rsidRPr="00160FAB" w:rsidRDefault="00595E41" w:rsidP="002A5011">
      <w:pPr>
        <w:rPr>
          <w:rFonts w:eastAsia="Cambria"/>
        </w:rPr>
      </w:pPr>
    </w:p>
    <w:p w14:paraId="58D290EA" w14:textId="77777777" w:rsidR="00CA2C65" w:rsidRPr="00160FAB" w:rsidRDefault="00CA2C65" w:rsidP="00CA2C65">
      <w:pPr>
        <w:jc w:val="right"/>
      </w:pPr>
    </w:p>
    <w:p w14:paraId="58D290EB" w14:textId="1F2F2B60" w:rsidR="00DE3A86" w:rsidRPr="00160FAB" w:rsidRDefault="00DE3A86" w:rsidP="00DE3A86">
      <w:pPr>
        <w:jc w:val="right"/>
      </w:pPr>
      <w:r w:rsidRPr="00160FAB">
        <w:t>[</w:t>
      </w:r>
      <w:r w:rsidRPr="00160FAB">
        <w:rPr>
          <w:rFonts w:eastAsia="MS Mincho"/>
        </w:rPr>
        <w:t>End</w:t>
      </w:r>
      <w:r w:rsidR="005433A9">
        <w:rPr>
          <w:rFonts w:eastAsia="MS Mincho"/>
        </w:rPr>
        <w:t>e</w:t>
      </w:r>
      <w:r w:rsidRPr="00160FAB">
        <w:rPr>
          <w:rFonts w:eastAsia="MS Mincho"/>
        </w:rPr>
        <w:t xml:space="preserve"> </w:t>
      </w:r>
      <w:r w:rsidR="005433A9">
        <w:rPr>
          <w:rFonts w:eastAsia="MS Mincho"/>
        </w:rPr>
        <w:t>der</w:t>
      </w:r>
      <w:r w:rsidRPr="00160FAB">
        <w:rPr>
          <w:rFonts w:eastAsia="MS Mincho"/>
        </w:rPr>
        <w:t xml:space="preserve"> </w:t>
      </w:r>
      <w:r w:rsidR="005433A9">
        <w:rPr>
          <w:rFonts w:eastAsia="MS Mincho"/>
        </w:rPr>
        <w:t>Anlage</w:t>
      </w:r>
      <w:r w:rsidRPr="00160FAB">
        <w:rPr>
          <w:rFonts w:eastAsia="MS Mincho"/>
        </w:rPr>
        <w:t xml:space="preserve"> </w:t>
      </w:r>
      <w:r w:rsidR="00CA2C65" w:rsidRPr="00160FAB">
        <w:rPr>
          <w:rFonts w:eastAsia="MS Mincho"/>
        </w:rPr>
        <w:t xml:space="preserve">II </w:t>
      </w:r>
      <w:r w:rsidR="005433A9">
        <w:rPr>
          <w:rFonts w:eastAsia="MS Mincho"/>
        </w:rPr>
        <w:t>u</w:t>
      </w:r>
      <w:r w:rsidRPr="00160FAB">
        <w:rPr>
          <w:rFonts w:eastAsia="MS Mincho"/>
        </w:rPr>
        <w:t xml:space="preserve">nd </w:t>
      </w:r>
      <w:r w:rsidR="005433A9">
        <w:rPr>
          <w:rFonts w:eastAsia="MS Mincho"/>
        </w:rPr>
        <w:t>des</w:t>
      </w:r>
      <w:r w:rsidRPr="00160FAB">
        <w:rPr>
          <w:rFonts w:eastAsia="MS Mincho"/>
        </w:rPr>
        <w:t xml:space="preserve"> </w:t>
      </w:r>
      <w:r w:rsidR="005433A9">
        <w:rPr>
          <w:rFonts w:eastAsia="MS Mincho"/>
        </w:rPr>
        <w:t>Dokuments</w:t>
      </w:r>
      <w:r w:rsidRPr="00160FAB">
        <w:t>]</w:t>
      </w:r>
    </w:p>
    <w:bookmarkEnd w:id="0"/>
    <w:p w14:paraId="58D290EC" w14:textId="77777777" w:rsidR="00DE3A86" w:rsidRPr="00160FAB" w:rsidRDefault="00DE3A86" w:rsidP="00DE3A86">
      <w:pPr>
        <w:jc w:val="right"/>
      </w:pPr>
    </w:p>
    <w:sectPr w:rsidR="00DE3A86" w:rsidRPr="00160FAB" w:rsidSect="0004198B">
      <w:headerReference w:type="default" r:id="rId2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963C1" w14:textId="77777777" w:rsidR="004D0468" w:rsidRDefault="004D0468" w:rsidP="006655D3">
      <w:r>
        <w:separator/>
      </w:r>
    </w:p>
    <w:p w14:paraId="2F74C57F" w14:textId="77777777" w:rsidR="004D0468" w:rsidRDefault="004D0468" w:rsidP="006655D3"/>
    <w:p w14:paraId="2DC96B09" w14:textId="77777777" w:rsidR="004D0468" w:rsidRDefault="004D0468" w:rsidP="006655D3"/>
  </w:endnote>
  <w:endnote w:type="continuationSeparator" w:id="0">
    <w:p w14:paraId="04408CC2" w14:textId="77777777" w:rsidR="004D0468" w:rsidRDefault="004D0468" w:rsidP="006655D3">
      <w:r>
        <w:separator/>
      </w:r>
    </w:p>
    <w:p w14:paraId="3B6494FE" w14:textId="77777777" w:rsidR="004D0468" w:rsidRPr="00294751" w:rsidRDefault="004D0468">
      <w:pPr>
        <w:pStyle w:val="Footer"/>
        <w:spacing w:after="60"/>
        <w:rPr>
          <w:sz w:val="18"/>
          <w:lang w:val="fr-FR"/>
        </w:rPr>
      </w:pPr>
      <w:r w:rsidRPr="00294751">
        <w:rPr>
          <w:sz w:val="18"/>
          <w:lang w:val="fr-FR"/>
        </w:rPr>
        <w:t>[Suite de la note de la page précédente]</w:t>
      </w:r>
    </w:p>
    <w:p w14:paraId="1CB495B0" w14:textId="77777777" w:rsidR="004D0468" w:rsidRPr="00294751" w:rsidRDefault="004D0468" w:rsidP="006655D3">
      <w:pPr>
        <w:rPr>
          <w:lang w:val="fr-FR"/>
        </w:rPr>
      </w:pPr>
    </w:p>
    <w:p w14:paraId="56DF4A5E" w14:textId="77777777" w:rsidR="004D0468" w:rsidRPr="00294751" w:rsidRDefault="004D0468" w:rsidP="006655D3">
      <w:pPr>
        <w:rPr>
          <w:lang w:val="fr-FR"/>
        </w:rPr>
      </w:pPr>
    </w:p>
  </w:endnote>
  <w:endnote w:type="continuationNotice" w:id="1">
    <w:p w14:paraId="38742811" w14:textId="77777777" w:rsidR="004D0468" w:rsidRPr="00294751" w:rsidRDefault="004D0468" w:rsidP="006655D3">
      <w:pPr>
        <w:rPr>
          <w:lang w:val="fr-FR"/>
        </w:rPr>
      </w:pPr>
      <w:r w:rsidRPr="00294751">
        <w:rPr>
          <w:lang w:val="fr-FR"/>
        </w:rPr>
        <w:t>[Suite de la note page suivante]</w:t>
      </w:r>
    </w:p>
    <w:p w14:paraId="5B31DD14" w14:textId="77777777" w:rsidR="004D0468" w:rsidRPr="00294751" w:rsidRDefault="004D0468" w:rsidP="006655D3">
      <w:pPr>
        <w:rPr>
          <w:lang w:val="fr-FR"/>
        </w:rPr>
      </w:pPr>
    </w:p>
    <w:p w14:paraId="22FB3E5B" w14:textId="77777777" w:rsidR="004D0468" w:rsidRPr="00294751" w:rsidRDefault="004D046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F9477" w14:textId="77777777" w:rsidR="004D0468" w:rsidRDefault="004D0468" w:rsidP="006655D3">
      <w:r>
        <w:separator/>
      </w:r>
    </w:p>
  </w:footnote>
  <w:footnote w:type="continuationSeparator" w:id="0">
    <w:p w14:paraId="2B83E598" w14:textId="77777777" w:rsidR="004D0468" w:rsidRDefault="004D0468" w:rsidP="006655D3">
      <w:r>
        <w:separator/>
      </w:r>
    </w:p>
  </w:footnote>
  <w:footnote w:type="continuationNotice" w:id="1">
    <w:p w14:paraId="25F6A197" w14:textId="77777777" w:rsidR="004D0468" w:rsidRPr="00AB530F" w:rsidRDefault="004D0468" w:rsidP="00AB530F">
      <w:pPr>
        <w:pStyle w:val="Footer"/>
      </w:pPr>
    </w:p>
  </w:footnote>
  <w:footnote w:id="2">
    <w:p w14:paraId="284E66A7" w14:textId="60F88DB3" w:rsidR="00F21849" w:rsidRPr="00F21849" w:rsidRDefault="00F21849" w:rsidP="00F21849">
      <w:pPr>
        <w:pStyle w:val="FootnoteText"/>
        <w:rPr>
          <w:lang w:val="de-DE" w:eastAsia="ja-JP"/>
        </w:rPr>
      </w:pPr>
      <w:r>
        <w:rPr>
          <w:rStyle w:val="FootnoteReference"/>
        </w:rPr>
        <w:footnoteRef/>
      </w:r>
      <w:r w:rsidRPr="009C40FE">
        <w:rPr>
          <w:lang w:val="de-DE"/>
        </w:rPr>
        <w:t xml:space="preserve"> </w:t>
      </w:r>
      <w:r w:rsidRPr="00F21849">
        <w:rPr>
          <w:lang w:val="de-DE" w:eastAsia="ja-JP"/>
        </w:rPr>
        <w:t xml:space="preserve">Vergleiche Dokument CAJ/75/14 </w:t>
      </w:r>
      <w:r w:rsidR="00977FC8">
        <w:rPr>
          <w:lang w:val="de-DE" w:eastAsia="ja-JP"/>
        </w:rPr>
        <w:t>„</w:t>
      </w:r>
      <w:r w:rsidRPr="00F21849">
        <w:rPr>
          <w:lang w:val="de-DE" w:eastAsia="ja-JP"/>
        </w:rPr>
        <w:t>Bericht”, Absatz 65</w:t>
      </w:r>
    </w:p>
  </w:footnote>
  <w:footnote w:id="3">
    <w:p w14:paraId="6BE8A1CB" w14:textId="2484D357" w:rsidR="00E200DB" w:rsidRPr="00663722" w:rsidRDefault="00E200DB" w:rsidP="00E200DB">
      <w:pPr>
        <w:pStyle w:val="FootnoteText"/>
        <w:rPr>
          <w:lang w:val="de-DE"/>
        </w:rPr>
      </w:pPr>
      <w:r w:rsidRPr="00663722">
        <w:rPr>
          <w:rStyle w:val="FootnoteReference"/>
          <w:lang w:val="de-DE"/>
        </w:rPr>
        <w:footnoteRef/>
      </w:r>
      <w:r w:rsidRPr="00663722">
        <w:rPr>
          <w:lang w:val="de-DE"/>
        </w:rPr>
        <w:t xml:space="preserve"> </w:t>
      </w:r>
      <w:r w:rsidR="00924918" w:rsidRPr="00663722">
        <w:rPr>
          <w:lang w:val="de-DE"/>
        </w:rPr>
        <w:t>A</w:t>
      </w:r>
      <w:r w:rsidR="00ED05CF" w:rsidRPr="00663722">
        <w:rPr>
          <w:lang w:val="de-DE"/>
        </w:rPr>
        <w:t xml:space="preserve">bgehalten </w:t>
      </w:r>
      <w:r w:rsidR="009061A8" w:rsidRPr="00663722">
        <w:rPr>
          <w:lang w:val="de-DE"/>
        </w:rPr>
        <w:t xml:space="preserve">vom 16. bis 18. Oktober 2019 </w:t>
      </w:r>
      <w:r w:rsidR="00924918" w:rsidRPr="00663722">
        <w:rPr>
          <w:lang w:val="de-DE"/>
        </w:rPr>
        <w:t xml:space="preserve">in Hangzhou, China </w:t>
      </w:r>
    </w:p>
  </w:footnote>
  <w:footnote w:id="4">
    <w:p w14:paraId="1EF80FAE" w14:textId="24A74E45" w:rsidR="00AD5B4D" w:rsidRPr="00663722" w:rsidRDefault="00AD5B4D" w:rsidP="00AD5B4D">
      <w:pPr>
        <w:pStyle w:val="FootnoteText"/>
        <w:rPr>
          <w:lang w:val="de-DE"/>
        </w:rPr>
      </w:pPr>
      <w:r w:rsidRPr="00663722">
        <w:rPr>
          <w:rStyle w:val="FootnoteReference"/>
          <w:lang w:val="de-DE"/>
        </w:rPr>
        <w:footnoteRef/>
      </w:r>
      <w:r w:rsidRPr="00663722">
        <w:rPr>
          <w:lang w:val="de-DE"/>
        </w:rPr>
        <w:t xml:space="preserve"> </w:t>
      </w:r>
      <w:r w:rsidR="00663722">
        <w:rPr>
          <w:lang w:val="de-DE"/>
        </w:rPr>
        <w:t xml:space="preserve">Abgehalten </w:t>
      </w:r>
      <w:r w:rsidR="009C40FE">
        <w:rPr>
          <w:lang w:val="de-DE"/>
        </w:rPr>
        <w:t>am</w:t>
      </w:r>
      <w:r w:rsidR="00663722">
        <w:rPr>
          <w:lang w:val="de-DE"/>
        </w:rPr>
        <w:t xml:space="preserve"> 28. und 29. Oktober in Genf</w:t>
      </w:r>
    </w:p>
  </w:footnote>
  <w:footnote w:id="5">
    <w:p w14:paraId="4E5306B3" w14:textId="0068ECB2" w:rsidR="0093182D" w:rsidRPr="009C40FE" w:rsidRDefault="0093182D" w:rsidP="0093182D">
      <w:pPr>
        <w:pStyle w:val="FootnoteText"/>
        <w:rPr>
          <w:lang w:val="de-DE"/>
        </w:rPr>
      </w:pPr>
      <w:r w:rsidRPr="00663722">
        <w:rPr>
          <w:rStyle w:val="FootnoteReference"/>
          <w:lang w:val="de-DE"/>
        </w:rPr>
        <w:footnoteRef/>
      </w:r>
      <w:r w:rsidRPr="00663722">
        <w:rPr>
          <w:lang w:val="de-DE"/>
        </w:rPr>
        <w:t xml:space="preserve"> </w:t>
      </w:r>
      <w:r w:rsidR="0004266C">
        <w:rPr>
          <w:lang w:val="de-DE"/>
        </w:rPr>
        <w:t>V</w:t>
      </w:r>
      <w:r w:rsidR="0004266C" w:rsidRPr="00663722">
        <w:rPr>
          <w:lang w:val="de-DE"/>
        </w:rPr>
        <w:t>om 22. bis 24. September 2021</w:t>
      </w:r>
      <w:r w:rsidR="0004266C">
        <w:rPr>
          <w:lang w:val="de-DE"/>
        </w:rPr>
        <w:t xml:space="preserve"> </w:t>
      </w:r>
      <w:r w:rsidR="00CD1B7B" w:rsidRPr="00663722">
        <w:rPr>
          <w:lang w:val="de-DE"/>
        </w:rPr>
        <w:t xml:space="preserve">von den </w:t>
      </w:r>
      <w:r w:rsidR="00A702DA" w:rsidRPr="00663722">
        <w:rPr>
          <w:lang w:val="de-DE"/>
        </w:rPr>
        <w:t xml:space="preserve">Vereinigten Staaten von Amerika </w:t>
      </w:r>
      <w:r w:rsidR="0004266C">
        <w:rPr>
          <w:lang w:val="de-DE"/>
        </w:rPr>
        <w:t>veranstaltet</w:t>
      </w:r>
      <w:r w:rsidR="0073460C">
        <w:rPr>
          <w:lang w:val="de-DE"/>
        </w:rPr>
        <w:t xml:space="preserve"> und</w:t>
      </w:r>
      <w:r w:rsidR="00A702DA" w:rsidRPr="00663722">
        <w:rPr>
          <w:lang w:val="de-DE"/>
        </w:rPr>
        <w:t xml:space="preserve"> auf elektronischem Wege abgehalten</w:t>
      </w:r>
    </w:p>
  </w:footnote>
  <w:footnote w:id="6">
    <w:p w14:paraId="0154B084" w14:textId="1B7E4532" w:rsidR="00377CDC" w:rsidRPr="009C40FE" w:rsidRDefault="00377CDC" w:rsidP="00377CDC">
      <w:pPr>
        <w:pStyle w:val="FootnoteText"/>
        <w:rPr>
          <w:lang w:val="de-DE"/>
        </w:rPr>
      </w:pPr>
      <w:r>
        <w:rPr>
          <w:rStyle w:val="FootnoteReference"/>
        </w:rPr>
        <w:footnoteRef/>
      </w:r>
      <w:r w:rsidRPr="009C40FE">
        <w:rPr>
          <w:lang w:val="de-DE"/>
        </w:rPr>
        <w:t xml:space="preserve"> </w:t>
      </w:r>
      <w:r w:rsidR="00BE7539">
        <w:rPr>
          <w:lang w:val="de-DE"/>
        </w:rPr>
        <w:t>V</w:t>
      </w:r>
      <w:r w:rsidR="00BE7539" w:rsidRPr="00663722">
        <w:rPr>
          <w:lang w:val="de-DE"/>
        </w:rPr>
        <w:t>om 22. bis 24. September 2021</w:t>
      </w:r>
      <w:r w:rsidR="00BE7539">
        <w:rPr>
          <w:lang w:val="de-DE"/>
        </w:rPr>
        <w:t xml:space="preserve"> </w:t>
      </w:r>
      <w:r w:rsidR="00BE7539" w:rsidRPr="00663722">
        <w:rPr>
          <w:lang w:val="de-DE"/>
        </w:rPr>
        <w:t xml:space="preserve">von den Vereinigten Staaten von Amerika </w:t>
      </w:r>
      <w:r w:rsidR="00BE7539">
        <w:rPr>
          <w:lang w:val="de-DE"/>
        </w:rPr>
        <w:t>veranstaltet und</w:t>
      </w:r>
      <w:r w:rsidR="00BE7539" w:rsidRPr="00663722">
        <w:rPr>
          <w:lang w:val="de-DE"/>
        </w:rPr>
        <w:t xml:space="preserve"> auf elektronischem Wege 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29104" w14:textId="77777777" w:rsidR="00F251E0" w:rsidRPr="001F4B30" w:rsidRDefault="00F251E0" w:rsidP="00EB048E">
    <w:pPr>
      <w:pStyle w:val="Header"/>
      <w:rPr>
        <w:rStyle w:val="PageNumber"/>
        <w:lang w:val="de-DE"/>
      </w:rPr>
    </w:pPr>
    <w:r w:rsidRPr="001F4B30">
      <w:rPr>
        <w:rStyle w:val="PageNumber"/>
        <w:lang w:val="de-DE"/>
      </w:rPr>
      <w:t>CAJ/78/INF/5</w:t>
    </w:r>
  </w:p>
  <w:p w14:paraId="58D29105" w14:textId="48ECF115" w:rsidR="00F251E0" w:rsidRPr="001F4B30" w:rsidRDefault="001F4B30" w:rsidP="00EB048E">
    <w:pPr>
      <w:pStyle w:val="Header"/>
      <w:rPr>
        <w:lang w:val="de-DE"/>
      </w:rPr>
    </w:pPr>
    <w:r w:rsidRPr="001F4B30">
      <w:rPr>
        <w:lang w:val="de-DE"/>
      </w:rPr>
      <w:t>Seite</w:t>
    </w:r>
    <w:r w:rsidR="00F251E0" w:rsidRPr="001F4B30">
      <w:rPr>
        <w:lang w:val="de-DE"/>
      </w:rPr>
      <w:t xml:space="preserve"> </w:t>
    </w:r>
    <w:r w:rsidR="00F251E0" w:rsidRPr="001F4B30">
      <w:rPr>
        <w:rStyle w:val="PageNumber"/>
        <w:lang w:val="de-DE"/>
      </w:rPr>
      <w:fldChar w:fldCharType="begin"/>
    </w:r>
    <w:r w:rsidR="00F251E0" w:rsidRPr="001F4B30">
      <w:rPr>
        <w:rStyle w:val="PageNumber"/>
        <w:lang w:val="de-DE"/>
      </w:rPr>
      <w:instrText xml:space="preserve"> PAGE </w:instrText>
    </w:r>
    <w:r w:rsidR="00F251E0" w:rsidRPr="001F4B30">
      <w:rPr>
        <w:rStyle w:val="PageNumber"/>
        <w:lang w:val="de-DE"/>
      </w:rPr>
      <w:fldChar w:fldCharType="separate"/>
    </w:r>
    <w:r w:rsidR="00A7187D">
      <w:rPr>
        <w:rStyle w:val="PageNumber"/>
        <w:noProof/>
        <w:lang w:val="de-DE"/>
      </w:rPr>
      <w:t>2</w:t>
    </w:r>
    <w:r w:rsidR="00F251E0" w:rsidRPr="001F4B30">
      <w:rPr>
        <w:rStyle w:val="PageNumber"/>
        <w:lang w:val="de-DE"/>
      </w:rPr>
      <w:fldChar w:fldCharType="end"/>
    </w:r>
  </w:p>
  <w:p w14:paraId="58D29106" w14:textId="77777777" w:rsidR="00F251E0" w:rsidRPr="007E07ED" w:rsidRDefault="00F251E0" w:rsidP="006655D3">
    <w:pP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29107" w14:textId="77777777" w:rsidR="00D72475" w:rsidRPr="00E0287A" w:rsidRDefault="00D72475" w:rsidP="00EB048E">
    <w:pPr>
      <w:pStyle w:val="Header"/>
      <w:rPr>
        <w:rStyle w:val="PageNumber"/>
        <w:noProof/>
        <w:lang w:val="de-DE"/>
      </w:rPr>
    </w:pPr>
    <w:r w:rsidRPr="00E0287A">
      <w:rPr>
        <w:rStyle w:val="PageNumber"/>
        <w:noProof/>
        <w:lang w:val="de-DE"/>
      </w:rPr>
      <w:t>CAJ/78/INF/5</w:t>
    </w:r>
  </w:p>
  <w:p w14:paraId="58D29108" w14:textId="0E7421D4" w:rsidR="00D72475" w:rsidRPr="00E0287A" w:rsidRDefault="00D72475" w:rsidP="00EB048E">
    <w:pPr>
      <w:pStyle w:val="Header"/>
      <w:rPr>
        <w:noProof/>
        <w:lang w:val="de-DE"/>
      </w:rPr>
    </w:pPr>
    <w:r w:rsidRPr="00E0287A">
      <w:rPr>
        <w:noProof/>
        <w:lang w:val="de-DE"/>
      </w:rPr>
      <w:t>An</w:t>
    </w:r>
    <w:r w:rsidR="00E0287A" w:rsidRPr="00E0287A">
      <w:rPr>
        <w:noProof/>
        <w:lang w:val="de-DE"/>
      </w:rPr>
      <w:t>lage</w:t>
    </w:r>
    <w:r w:rsidRPr="00E0287A">
      <w:rPr>
        <w:noProof/>
        <w:lang w:val="de-DE"/>
      </w:rPr>
      <w:t xml:space="preserve"> I, </w:t>
    </w:r>
    <w:r w:rsidR="00E0287A" w:rsidRPr="00E0287A">
      <w:rPr>
        <w:noProof/>
        <w:lang w:val="de-DE"/>
      </w:rPr>
      <w:t>Seite</w:t>
    </w:r>
    <w:r w:rsidRPr="00E0287A">
      <w:rPr>
        <w:noProof/>
        <w:lang w:val="de-DE"/>
      </w:rPr>
      <w:t xml:space="preserve"> </w:t>
    </w:r>
    <w:r w:rsidRPr="00E0287A">
      <w:rPr>
        <w:rStyle w:val="PageNumber"/>
        <w:noProof/>
        <w:lang w:val="de-DE"/>
      </w:rPr>
      <w:fldChar w:fldCharType="begin"/>
    </w:r>
    <w:r w:rsidRPr="00E0287A">
      <w:rPr>
        <w:rStyle w:val="PageNumber"/>
        <w:noProof/>
        <w:lang w:val="de-DE"/>
      </w:rPr>
      <w:instrText xml:space="preserve"> PAGE </w:instrText>
    </w:r>
    <w:r w:rsidRPr="00E0287A">
      <w:rPr>
        <w:rStyle w:val="PageNumber"/>
        <w:noProof/>
        <w:lang w:val="de-DE"/>
      </w:rPr>
      <w:fldChar w:fldCharType="separate"/>
    </w:r>
    <w:r w:rsidR="00A7187D">
      <w:rPr>
        <w:rStyle w:val="PageNumber"/>
        <w:noProof/>
        <w:lang w:val="de-DE"/>
      </w:rPr>
      <w:t>7</w:t>
    </w:r>
    <w:r w:rsidRPr="00E0287A">
      <w:rPr>
        <w:rStyle w:val="PageNumber"/>
        <w:noProof/>
        <w:lang w:val="de-DE"/>
      </w:rPr>
      <w:fldChar w:fldCharType="end"/>
    </w:r>
  </w:p>
  <w:p w14:paraId="58D29109" w14:textId="77777777" w:rsidR="00D72475" w:rsidRPr="00CF47B8" w:rsidRDefault="00D7247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2910A" w14:textId="77777777" w:rsidR="00F251E0" w:rsidRPr="00C5280D" w:rsidRDefault="00F251E0" w:rsidP="00632BB0">
    <w:pPr>
      <w:pStyle w:val="Header"/>
      <w:rPr>
        <w:rStyle w:val="PageNumber"/>
        <w:lang w:val="en-US"/>
      </w:rPr>
    </w:pPr>
    <w:r>
      <w:rPr>
        <w:rStyle w:val="PageNumber"/>
        <w:lang w:val="en-US"/>
      </w:rPr>
      <w:t>CAJ/78/INF/5</w:t>
    </w:r>
  </w:p>
  <w:p w14:paraId="58D2910B" w14:textId="77777777" w:rsidR="00F251E0" w:rsidRDefault="00F251E0" w:rsidP="00632BB0">
    <w:pPr>
      <w:pStyle w:val="Header"/>
      <w:rPr>
        <w:lang w:val="en-US"/>
      </w:rPr>
    </w:pPr>
  </w:p>
  <w:p w14:paraId="58D2910C" w14:textId="1C79ABB7" w:rsidR="00F251E0" w:rsidRPr="007E07ED" w:rsidRDefault="00F251E0" w:rsidP="0004198B">
    <w:pPr>
      <w:pStyle w:val="Header"/>
      <w:rPr>
        <w:i/>
        <w:lang w:val="en-US"/>
      </w:rPr>
    </w:pPr>
    <w:r>
      <w:rPr>
        <w:lang w:val="en-US"/>
      </w:rPr>
      <w:t>AN</w:t>
    </w:r>
    <w:r w:rsidR="00C757AF">
      <w:rPr>
        <w:lang w:val="en-US"/>
      </w:rPr>
      <w:t>LAGE</w:t>
    </w:r>
    <w:r>
      <w:rPr>
        <w:lang w:val="en-US"/>
      </w:rPr>
      <w:t xml:space="preserve"> I </w:t>
    </w:r>
  </w:p>
  <w:p w14:paraId="58D2910D" w14:textId="77777777" w:rsidR="00F251E0" w:rsidRDefault="00F251E0" w:rsidP="0004198B">
    <w:pPr>
      <w:pStyle w:val="Header"/>
      <w:rPr>
        <w:lang w:val="en-US"/>
      </w:rPr>
    </w:pPr>
  </w:p>
  <w:p w14:paraId="58D2910E" w14:textId="77777777" w:rsidR="00F251E0" w:rsidRPr="002A5011" w:rsidRDefault="00F251E0" w:rsidP="0004198B">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2910F" w14:textId="77777777" w:rsidR="00F251E0" w:rsidRPr="00C5280D" w:rsidRDefault="00F251E0" w:rsidP="00632BB0">
    <w:pPr>
      <w:pStyle w:val="Header"/>
      <w:rPr>
        <w:rStyle w:val="PageNumber"/>
        <w:lang w:val="en-US"/>
      </w:rPr>
    </w:pPr>
    <w:r>
      <w:rPr>
        <w:rStyle w:val="PageNumber"/>
        <w:lang w:val="en-US"/>
      </w:rPr>
      <w:t>CAJ/78/INF/5</w:t>
    </w:r>
  </w:p>
  <w:p w14:paraId="58D29110" w14:textId="77777777" w:rsidR="00F251E0" w:rsidRDefault="00F251E0" w:rsidP="00632BB0">
    <w:pPr>
      <w:pStyle w:val="Header"/>
      <w:rPr>
        <w:lang w:val="en-US"/>
      </w:rPr>
    </w:pPr>
  </w:p>
  <w:p w14:paraId="58D29111" w14:textId="0103BAE2" w:rsidR="00F251E0" w:rsidRPr="007E07ED" w:rsidRDefault="00F251E0" w:rsidP="0004198B">
    <w:pPr>
      <w:pStyle w:val="Header"/>
      <w:rPr>
        <w:i/>
        <w:lang w:val="en-US"/>
      </w:rPr>
    </w:pPr>
    <w:r>
      <w:rPr>
        <w:lang w:val="en-US"/>
      </w:rPr>
      <w:t>AN</w:t>
    </w:r>
    <w:r w:rsidR="006E796A">
      <w:rPr>
        <w:lang w:val="en-US"/>
      </w:rPr>
      <w:t>LAGE</w:t>
    </w:r>
    <w:r>
      <w:rPr>
        <w:lang w:val="en-US"/>
      </w:rPr>
      <w:t xml:space="preserve"> II </w:t>
    </w:r>
  </w:p>
  <w:p w14:paraId="58D29112" w14:textId="77777777" w:rsidR="00F251E0" w:rsidRDefault="00F251E0" w:rsidP="0004198B">
    <w:pPr>
      <w:pStyle w:val="Header"/>
      <w:rPr>
        <w:lang w:val="en-US"/>
      </w:rPr>
    </w:pPr>
  </w:p>
  <w:p w14:paraId="58D29113" w14:textId="77777777" w:rsidR="00F251E0" w:rsidRPr="002A5011" w:rsidRDefault="00F251E0" w:rsidP="0004198B">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29114" w14:textId="77777777" w:rsidR="00F251E0" w:rsidRPr="00A162B7" w:rsidRDefault="00F251E0" w:rsidP="00EB048E">
    <w:pPr>
      <w:pStyle w:val="Header"/>
      <w:rPr>
        <w:rStyle w:val="PageNumber"/>
        <w:lang w:val="de-DE"/>
      </w:rPr>
    </w:pPr>
    <w:r w:rsidRPr="00A162B7">
      <w:rPr>
        <w:rStyle w:val="PageNumber"/>
        <w:lang w:val="de-DE"/>
      </w:rPr>
      <w:t>CAJ/78/INF/5</w:t>
    </w:r>
  </w:p>
  <w:p w14:paraId="58D29115" w14:textId="6046E8EF" w:rsidR="00F251E0" w:rsidRPr="00A162B7" w:rsidRDefault="00801AEF" w:rsidP="003940A0">
    <w:pPr>
      <w:pStyle w:val="Header"/>
      <w:rPr>
        <w:lang w:val="de-DE"/>
      </w:rPr>
    </w:pPr>
    <w:r w:rsidRPr="00A162B7">
      <w:rPr>
        <w:lang w:val="de-DE"/>
      </w:rPr>
      <w:t>A</w:t>
    </w:r>
    <w:r w:rsidR="00F251E0" w:rsidRPr="00A162B7">
      <w:rPr>
        <w:lang w:val="de-DE"/>
      </w:rPr>
      <w:t>n</w:t>
    </w:r>
    <w:r w:rsidR="00A162B7" w:rsidRPr="00A162B7">
      <w:rPr>
        <w:lang w:val="de-DE"/>
      </w:rPr>
      <w:t>lage</w:t>
    </w:r>
    <w:r w:rsidR="00F251E0" w:rsidRPr="00A162B7">
      <w:rPr>
        <w:lang w:val="de-DE"/>
      </w:rPr>
      <w:t xml:space="preserve"> I</w:t>
    </w:r>
    <w:r w:rsidRPr="00A162B7">
      <w:rPr>
        <w:lang w:val="de-DE"/>
      </w:rPr>
      <w:t>I</w:t>
    </w:r>
    <w:r w:rsidR="00F251E0" w:rsidRPr="00A162B7">
      <w:rPr>
        <w:lang w:val="de-DE"/>
      </w:rPr>
      <w:t xml:space="preserve">, </w:t>
    </w:r>
    <w:r w:rsidR="00D72475" w:rsidRPr="00A162B7">
      <w:rPr>
        <w:lang w:val="de-DE"/>
      </w:rPr>
      <w:t>A</w:t>
    </w:r>
    <w:r w:rsidR="00A162B7" w:rsidRPr="00A162B7">
      <w:rPr>
        <w:lang w:val="de-DE"/>
      </w:rPr>
      <w:t>nhang</w:t>
    </w:r>
    <w:r w:rsidR="00D72475" w:rsidRPr="00A162B7">
      <w:rPr>
        <w:lang w:val="de-DE"/>
      </w:rPr>
      <w:t xml:space="preserve">, </w:t>
    </w:r>
    <w:r w:rsidR="00A162B7" w:rsidRPr="00A162B7">
      <w:rPr>
        <w:lang w:val="de-DE"/>
      </w:rPr>
      <w:t>Seite</w:t>
    </w:r>
    <w:r w:rsidR="00F251E0" w:rsidRPr="00A162B7">
      <w:rPr>
        <w:lang w:val="de-DE"/>
      </w:rPr>
      <w:t xml:space="preserve"> </w:t>
    </w:r>
    <w:r w:rsidR="00F251E0" w:rsidRPr="00A162B7">
      <w:rPr>
        <w:rStyle w:val="PageNumber"/>
        <w:lang w:val="de-DE"/>
      </w:rPr>
      <w:t>2</w:t>
    </w:r>
  </w:p>
  <w:p w14:paraId="58D29116" w14:textId="77777777" w:rsidR="00F251E0" w:rsidRPr="00CF47B8" w:rsidRDefault="00F251E0"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29117" w14:textId="77777777" w:rsidR="00F251E0" w:rsidRDefault="00F251E0" w:rsidP="00632BB0">
    <w:pPr>
      <w:pStyle w:val="Header"/>
      <w:rPr>
        <w:rStyle w:val="PageNumber"/>
        <w:lang w:val="en-US"/>
      </w:rPr>
    </w:pPr>
    <w:r>
      <w:rPr>
        <w:rStyle w:val="PageNumber"/>
        <w:lang w:val="en-US"/>
      </w:rPr>
      <w:t>CAJ/78/INF/5</w:t>
    </w:r>
  </w:p>
  <w:p w14:paraId="58D29118" w14:textId="77777777" w:rsidR="00D72475" w:rsidRPr="00C5280D" w:rsidRDefault="00D72475" w:rsidP="00632BB0">
    <w:pPr>
      <w:pStyle w:val="Header"/>
      <w:rPr>
        <w:rStyle w:val="PageNumber"/>
        <w:lang w:val="en-US"/>
      </w:rPr>
    </w:pPr>
  </w:p>
  <w:p w14:paraId="58D29119" w14:textId="6EC0FC18" w:rsidR="00595E41" w:rsidRPr="00D72475" w:rsidRDefault="00B019B3" w:rsidP="00595E41">
    <w:pPr>
      <w:pStyle w:val="Header"/>
      <w:rPr>
        <w:lang w:val="en-US"/>
      </w:rPr>
    </w:pPr>
    <w:r>
      <w:rPr>
        <w:lang w:val="en-US"/>
      </w:rPr>
      <w:t>ANLAGE</w:t>
    </w:r>
    <w:r w:rsidRPr="00D72475">
      <w:rPr>
        <w:lang w:val="en-US"/>
      </w:rPr>
      <w:t xml:space="preserve"> </w:t>
    </w:r>
    <w:r w:rsidR="00595E41" w:rsidRPr="00D72475">
      <w:rPr>
        <w:lang w:val="en-US"/>
      </w:rPr>
      <w:t xml:space="preserve">II, </w:t>
    </w:r>
    <w:r>
      <w:rPr>
        <w:lang w:val="en-US"/>
      </w:rPr>
      <w:t>ANHANG</w:t>
    </w:r>
  </w:p>
  <w:p w14:paraId="58D2911A" w14:textId="77777777" w:rsidR="00F251E0" w:rsidRPr="002A5011" w:rsidRDefault="00F251E0"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A2A9B"/>
    <w:multiLevelType w:val="hybridMultilevel"/>
    <w:tmpl w:val="CC0EC4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871AFF"/>
    <w:multiLevelType w:val="hybridMultilevel"/>
    <w:tmpl w:val="86C255E8"/>
    <w:lvl w:ilvl="0" w:tplc="04090001">
      <w:start w:val="1"/>
      <w:numFmt w:val="bullet"/>
      <w:lvlText w:val=""/>
      <w:lvlJc w:val="left"/>
      <w:pPr>
        <w:ind w:left="720" w:hanging="360"/>
      </w:pPr>
      <w:rPr>
        <w:rFonts w:ascii="Symbol" w:hAnsi="Symbol" w:hint="default"/>
      </w:rPr>
    </w:lvl>
    <w:lvl w:ilvl="1" w:tplc="1CC28B6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4" w15:restartNumberingAfterBreak="0">
    <w:nsid w:val="2A4435BD"/>
    <w:multiLevelType w:val="hybridMultilevel"/>
    <w:tmpl w:val="16F635F0"/>
    <w:lvl w:ilvl="0" w:tplc="4B50B3FA">
      <w:start w:val="1"/>
      <w:numFmt w:val="lowerLetter"/>
      <w:lvlText w:val="(%1)"/>
      <w:lvlJc w:val="left"/>
      <w:pPr>
        <w:ind w:left="5440" w:hanging="360"/>
      </w:pPr>
      <w:rPr>
        <w:rFonts w:hint="default"/>
      </w:rPr>
    </w:lvl>
    <w:lvl w:ilvl="1" w:tplc="04090019">
      <w:start w:val="1"/>
      <w:numFmt w:val="lowerLetter"/>
      <w:lvlText w:val="%2."/>
      <w:lvlJc w:val="left"/>
      <w:pPr>
        <w:ind w:left="6160" w:hanging="360"/>
      </w:pPr>
    </w:lvl>
    <w:lvl w:ilvl="2" w:tplc="0409001B" w:tentative="1">
      <w:start w:val="1"/>
      <w:numFmt w:val="lowerRoman"/>
      <w:lvlText w:val="%3."/>
      <w:lvlJc w:val="right"/>
      <w:pPr>
        <w:ind w:left="6880" w:hanging="180"/>
      </w:pPr>
    </w:lvl>
    <w:lvl w:ilvl="3" w:tplc="0409000F" w:tentative="1">
      <w:start w:val="1"/>
      <w:numFmt w:val="decimal"/>
      <w:lvlText w:val="%4."/>
      <w:lvlJc w:val="left"/>
      <w:pPr>
        <w:ind w:left="7600" w:hanging="360"/>
      </w:pPr>
    </w:lvl>
    <w:lvl w:ilvl="4" w:tplc="04090019" w:tentative="1">
      <w:start w:val="1"/>
      <w:numFmt w:val="lowerLetter"/>
      <w:lvlText w:val="%5."/>
      <w:lvlJc w:val="left"/>
      <w:pPr>
        <w:ind w:left="8320" w:hanging="360"/>
      </w:pPr>
    </w:lvl>
    <w:lvl w:ilvl="5" w:tplc="0409001B" w:tentative="1">
      <w:start w:val="1"/>
      <w:numFmt w:val="lowerRoman"/>
      <w:lvlText w:val="%6."/>
      <w:lvlJc w:val="right"/>
      <w:pPr>
        <w:ind w:left="9040" w:hanging="180"/>
      </w:pPr>
    </w:lvl>
    <w:lvl w:ilvl="6" w:tplc="0409000F" w:tentative="1">
      <w:start w:val="1"/>
      <w:numFmt w:val="decimal"/>
      <w:lvlText w:val="%7."/>
      <w:lvlJc w:val="left"/>
      <w:pPr>
        <w:ind w:left="9760" w:hanging="360"/>
      </w:pPr>
    </w:lvl>
    <w:lvl w:ilvl="7" w:tplc="04090019" w:tentative="1">
      <w:start w:val="1"/>
      <w:numFmt w:val="lowerLetter"/>
      <w:lvlText w:val="%8."/>
      <w:lvlJc w:val="left"/>
      <w:pPr>
        <w:ind w:left="10480" w:hanging="360"/>
      </w:pPr>
    </w:lvl>
    <w:lvl w:ilvl="8" w:tplc="0409001B" w:tentative="1">
      <w:start w:val="1"/>
      <w:numFmt w:val="lowerRoman"/>
      <w:lvlText w:val="%9."/>
      <w:lvlJc w:val="right"/>
      <w:pPr>
        <w:ind w:left="11200" w:hanging="180"/>
      </w:pPr>
    </w:lvl>
  </w:abstractNum>
  <w:abstractNum w:abstractNumId="5"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35110F16"/>
    <w:multiLevelType w:val="hybridMultilevel"/>
    <w:tmpl w:val="F4282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6635A"/>
    <w:multiLevelType w:val="hybridMultilevel"/>
    <w:tmpl w:val="6B96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92688"/>
    <w:multiLevelType w:val="hybridMultilevel"/>
    <w:tmpl w:val="C2B2C2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22C42"/>
    <w:multiLevelType w:val="hybridMultilevel"/>
    <w:tmpl w:val="143479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2"/>
  </w:num>
  <w:num w:numId="3">
    <w:abstractNumId w:val="6"/>
  </w:num>
  <w:num w:numId="4">
    <w:abstractNumId w:val="12"/>
  </w:num>
  <w:num w:numId="5">
    <w:abstractNumId w:val="9"/>
  </w:num>
  <w:num w:numId="6">
    <w:abstractNumId w:val="7"/>
  </w:num>
  <w:num w:numId="7">
    <w:abstractNumId w:val="11"/>
  </w:num>
  <w:num w:numId="8">
    <w:abstractNumId w:val="10"/>
  </w:num>
  <w:num w:numId="9">
    <w:abstractNumId w:val="3"/>
  </w:num>
  <w:num w:numId="10">
    <w:abstractNumId w:val="4"/>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D0"/>
    <w:rsid w:val="0000128B"/>
    <w:rsid w:val="00002091"/>
    <w:rsid w:val="00006387"/>
    <w:rsid w:val="00010CF3"/>
    <w:rsid w:val="00011C5E"/>
    <w:rsid w:val="00011E27"/>
    <w:rsid w:val="000148BC"/>
    <w:rsid w:val="00014BA6"/>
    <w:rsid w:val="00020FBE"/>
    <w:rsid w:val="00024AB8"/>
    <w:rsid w:val="00030854"/>
    <w:rsid w:val="00033CBB"/>
    <w:rsid w:val="00036028"/>
    <w:rsid w:val="00037CBE"/>
    <w:rsid w:val="0004198B"/>
    <w:rsid w:val="00041B42"/>
    <w:rsid w:val="0004266C"/>
    <w:rsid w:val="00043CD1"/>
    <w:rsid w:val="00044642"/>
    <w:rsid w:val="000446B9"/>
    <w:rsid w:val="00047E21"/>
    <w:rsid w:val="00050E16"/>
    <w:rsid w:val="00053483"/>
    <w:rsid w:val="00072526"/>
    <w:rsid w:val="000744B3"/>
    <w:rsid w:val="000817C9"/>
    <w:rsid w:val="00085505"/>
    <w:rsid w:val="0008673C"/>
    <w:rsid w:val="0009538C"/>
    <w:rsid w:val="00095BA0"/>
    <w:rsid w:val="000A1D63"/>
    <w:rsid w:val="000A1F3B"/>
    <w:rsid w:val="000B2CE0"/>
    <w:rsid w:val="000B3B10"/>
    <w:rsid w:val="000B7CCA"/>
    <w:rsid w:val="000C4E25"/>
    <w:rsid w:val="000C6C05"/>
    <w:rsid w:val="000C7021"/>
    <w:rsid w:val="000D60E7"/>
    <w:rsid w:val="000D6BBC"/>
    <w:rsid w:val="000D7780"/>
    <w:rsid w:val="000E52A6"/>
    <w:rsid w:val="000E5F8C"/>
    <w:rsid w:val="000E636A"/>
    <w:rsid w:val="000F14DC"/>
    <w:rsid w:val="000F19E0"/>
    <w:rsid w:val="000F2F11"/>
    <w:rsid w:val="00100A5F"/>
    <w:rsid w:val="0010367E"/>
    <w:rsid w:val="00105929"/>
    <w:rsid w:val="00105A08"/>
    <w:rsid w:val="00105EAC"/>
    <w:rsid w:val="00106C29"/>
    <w:rsid w:val="00110BED"/>
    <w:rsid w:val="00110C36"/>
    <w:rsid w:val="001131D5"/>
    <w:rsid w:val="00114547"/>
    <w:rsid w:val="001240AF"/>
    <w:rsid w:val="00124251"/>
    <w:rsid w:val="00130AFC"/>
    <w:rsid w:val="00130DC3"/>
    <w:rsid w:val="0013754E"/>
    <w:rsid w:val="00141DB8"/>
    <w:rsid w:val="001439B7"/>
    <w:rsid w:val="00144509"/>
    <w:rsid w:val="001530C7"/>
    <w:rsid w:val="00160FAB"/>
    <w:rsid w:val="0016216F"/>
    <w:rsid w:val="00162370"/>
    <w:rsid w:val="00164671"/>
    <w:rsid w:val="00167265"/>
    <w:rsid w:val="001675AC"/>
    <w:rsid w:val="00172084"/>
    <w:rsid w:val="0017474A"/>
    <w:rsid w:val="001758C6"/>
    <w:rsid w:val="00182B99"/>
    <w:rsid w:val="0018336D"/>
    <w:rsid w:val="0018481C"/>
    <w:rsid w:val="0019204F"/>
    <w:rsid w:val="00195FC6"/>
    <w:rsid w:val="00196389"/>
    <w:rsid w:val="00197F61"/>
    <w:rsid w:val="001A43FD"/>
    <w:rsid w:val="001A4B0B"/>
    <w:rsid w:val="001B0339"/>
    <w:rsid w:val="001B13C7"/>
    <w:rsid w:val="001B6914"/>
    <w:rsid w:val="001B7C40"/>
    <w:rsid w:val="001C0D2B"/>
    <w:rsid w:val="001C1525"/>
    <w:rsid w:val="001D6235"/>
    <w:rsid w:val="001F49A8"/>
    <w:rsid w:val="001F4B30"/>
    <w:rsid w:val="002001AF"/>
    <w:rsid w:val="0020124E"/>
    <w:rsid w:val="0020699C"/>
    <w:rsid w:val="00212874"/>
    <w:rsid w:val="0021332C"/>
    <w:rsid w:val="00213982"/>
    <w:rsid w:val="00213D09"/>
    <w:rsid w:val="002203F4"/>
    <w:rsid w:val="002212B0"/>
    <w:rsid w:val="002302FE"/>
    <w:rsid w:val="00234A8F"/>
    <w:rsid w:val="0023774A"/>
    <w:rsid w:val="00242609"/>
    <w:rsid w:val="0024416D"/>
    <w:rsid w:val="002446DD"/>
    <w:rsid w:val="00247F9C"/>
    <w:rsid w:val="00253912"/>
    <w:rsid w:val="002572DF"/>
    <w:rsid w:val="00257C54"/>
    <w:rsid w:val="00266300"/>
    <w:rsid w:val="00271911"/>
    <w:rsid w:val="00273187"/>
    <w:rsid w:val="0027540F"/>
    <w:rsid w:val="002800A0"/>
    <w:rsid w:val="002801B3"/>
    <w:rsid w:val="00281060"/>
    <w:rsid w:val="00283B43"/>
    <w:rsid w:val="00285B13"/>
    <w:rsid w:val="00285BD0"/>
    <w:rsid w:val="002874C3"/>
    <w:rsid w:val="002940E8"/>
    <w:rsid w:val="00294751"/>
    <w:rsid w:val="002A2A74"/>
    <w:rsid w:val="002A34EA"/>
    <w:rsid w:val="002A5011"/>
    <w:rsid w:val="002A6E50"/>
    <w:rsid w:val="002B0BDB"/>
    <w:rsid w:val="002B0F58"/>
    <w:rsid w:val="002B3564"/>
    <w:rsid w:val="002B3FC1"/>
    <w:rsid w:val="002B4298"/>
    <w:rsid w:val="002B642C"/>
    <w:rsid w:val="002B7A36"/>
    <w:rsid w:val="002C0FD9"/>
    <w:rsid w:val="002C256A"/>
    <w:rsid w:val="002C4926"/>
    <w:rsid w:val="002C49B7"/>
    <w:rsid w:val="002C4A25"/>
    <w:rsid w:val="002C78C3"/>
    <w:rsid w:val="002D081D"/>
    <w:rsid w:val="002D5226"/>
    <w:rsid w:val="002F570E"/>
    <w:rsid w:val="0030565D"/>
    <w:rsid w:val="00305A7F"/>
    <w:rsid w:val="0031521B"/>
    <w:rsid w:val="003152FE"/>
    <w:rsid w:val="00315EA2"/>
    <w:rsid w:val="00317B10"/>
    <w:rsid w:val="00320143"/>
    <w:rsid w:val="00327436"/>
    <w:rsid w:val="0033071F"/>
    <w:rsid w:val="00344BD6"/>
    <w:rsid w:val="00346604"/>
    <w:rsid w:val="00351D51"/>
    <w:rsid w:val="00352AC0"/>
    <w:rsid w:val="0035528D"/>
    <w:rsid w:val="0036013F"/>
    <w:rsid w:val="0036096B"/>
    <w:rsid w:val="00361821"/>
    <w:rsid w:val="00361E9E"/>
    <w:rsid w:val="00363AC4"/>
    <w:rsid w:val="00364ECE"/>
    <w:rsid w:val="003753EE"/>
    <w:rsid w:val="00376C08"/>
    <w:rsid w:val="003779FD"/>
    <w:rsid w:val="00377CDC"/>
    <w:rsid w:val="003804D2"/>
    <w:rsid w:val="00381610"/>
    <w:rsid w:val="00382EFF"/>
    <w:rsid w:val="00387CDC"/>
    <w:rsid w:val="003908D9"/>
    <w:rsid w:val="00391ACB"/>
    <w:rsid w:val="003940A0"/>
    <w:rsid w:val="00397BAD"/>
    <w:rsid w:val="003A0835"/>
    <w:rsid w:val="003A0E5F"/>
    <w:rsid w:val="003A5AAF"/>
    <w:rsid w:val="003A7690"/>
    <w:rsid w:val="003B700A"/>
    <w:rsid w:val="003C19A2"/>
    <w:rsid w:val="003C7FBE"/>
    <w:rsid w:val="003D14B3"/>
    <w:rsid w:val="003D227C"/>
    <w:rsid w:val="003D2B4D"/>
    <w:rsid w:val="003F37F5"/>
    <w:rsid w:val="00400F4A"/>
    <w:rsid w:val="00417044"/>
    <w:rsid w:val="0041730B"/>
    <w:rsid w:val="004213B7"/>
    <w:rsid w:val="00426C2E"/>
    <w:rsid w:val="00437922"/>
    <w:rsid w:val="00444A88"/>
    <w:rsid w:val="00451E5F"/>
    <w:rsid w:val="004562FC"/>
    <w:rsid w:val="00463CE4"/>
    <w:rsid w:val="00464EC1"/>
    <w:rsid w:val="00474DA4"/>
    <w:rsid w:val="00476B4D"/>
    <w:rsid w:val="00477013"/>
    <w:rsid w:val="00477CCA"/>
    <w:rsid w:val="004805FA"/>
    <w:rsid w:val="00482E74"/>
    <w:rsid w:val="00482FC5"/>
    <w:rsid w:val="004935D2"/>
    <w:rsid w:val="004A3329"/>
    <w:rsid w:val="004B1215"/>
    <w:rsid w:val="004B1B20"/>
    <w:rsid w:val="004C4946"/>
    <w:rsid w:val="004D0468"/>
    <w:rsid w:val="004D047D"/>
    <w:rsid w:val="004D1992"/>
    <w:rsid w:val="004F1E9E"/>
    <w:rsid w:val="004F305A"/>
    <w:rsid w:val="004F4D88"/>
    <w:rsid w:val="004F4D90"/>
    <w:rsid w:val="005005B2"/>
    <w:rsid w:val="00512164"/>
    <w:rsid w:val="00513C1F"/>
    <w:rsid w:val="00514BA3"/>
    <w:rsid w:val="00520297"/>
    <w:rsid w:val="00522D3B"/>
    <w:rsid w:val="005315C6"/>
    <w:rsid w:val="00533695"/>
    <w:rsid w:val="005338F9"/>
    <w:rsid w:val="0054281C"/>
    <w:rsid w:val="005433A9"/>
    <w:rsid w:val="00544581"/>
    <w:rsid w:val="0055268D"/>
    <w:rsid w:val="00557ACE"/>
    <w:rsid w:val="00572304"/>
    <w:rsid w:val="00575DE2"/>
    <w:rsid w:val="00576BE4"/>
    <w:rsid w:val="005779DB"/>
    <w:rsid w:val="0058254C"/>
    <w:rsid w:val="005876B2"/>
    <w:rsid w:val="00587E43"/>
    <w:rsid w:val="00595E41"/>
    <w:rsid w:val="00596DE9"/>
    <w:rsid w:val="005972B8"/>
    <w:rsid w:val="005A23AC"/>
    <w:rsid w:val="005A400A"/>
    <w:rsid w:val="005A5CE1"/>
    <w:rsid w:val="005B041A"/>
    <w:rsid w:val="005B089C"/>
    <w:rsid w:val="005B269D"/>
    <w:rsid w:val="005B394E"/>
    <w:rsid w:val="005B39B5"/>
    <w:rsid w:val="005C026D"/>
    <w:rsid w:val="005D114E"/>
    <w:rsid w:val="005D143E"/>
    <w:rsid w:val="005D7044"/>
    <w:rsid w:val="005F0E53"/>
    <w:rsid w:val="005F7B92"/>
    <w:rsid w:val="00612379"/>
    <w:rsid w:val="0061278D"/>
    <w:rsid w:val="00612936"/>
    <w:rsid w:val="00612AE2"/>
    <w:rsid w:val="006153B6"/>
    <w:rsid w:val="0061555F"/>
    <w:rsid w:val="006245ED"/>
    <w:rsid w:val="00632BB0"/>
    <w:rsid w:val="00636CA6"/>
    <w:rsid w:val="00641200"/>
    <w:rsid w:val="00645881"/>
    <w:rsid w:val="00645CA8"/>
    <w:rsid w:val="006477AF"/>
    <w:rsid w:val="0066151B"/>
    <w:rsid w:val="00663722"/>
    <w:rsid w:val="006655D3"/>
    <w:rsid w:val="006664CC"/>
    <w:rsid w:val="00666A8B"/>
    <w:rsid w:val="00667404"/>
    <w:rsid w:val="00687EB4"/>
    <w:rsid w:val="00692EC5"/>
    <w:rsid w:val="0069314F"/>
    <w:rsid w:val="00694FB1"/>
    <w:rsid w:val="00695C56"/>
    <w:rsid w:val="006A1155"/>
    <w:rsid w:val="006A366A"/>
    <w:rsid w:val="006A5CDE"/>
    <w:rsid w:val="006A644A"/>
    <w:rsid w:val="006A6A52"/>
    <w:rsid w:val="006A6B8F"/>
    <w:rsid w:val="006B17D2"/>
    <w:rsid w:val="006C1D3E"/>
    <w:rsid w:val="006C224E"/>
    <w:rsid w:val="006C771F"/>
    <w:rsid w:val="006D0340"/>
    <w:rsid w:val="006D11DC"/>
    <w:rsid w:val="006D780A"/>
    <w:rsid w:val="006E6C15"/>
    <w:rsid w:val="006E796A"/>
    <w:rsid w:val="007113B2"/>
    <w:rsid w:val="007118B4"/>
    <w:rsid w:val="0071271E"/>
    <w:rsid w:val="00721091"/>
    <w:rsid w:val="007234C3"/>
    <w:rsid w:val="00732DEC"/>
    <w:rsid w:val="00733267"/>
    <w:rsid w:val="0073460C"/>
    <w:rsid w:val="00735BD5"/>
    <w:rsid w:val="0073614D"/>
    <w:rsid w:val="0073643A"/>
    <w:rsid w:val="00742B03"/>
    <w:rsid w:val="007451EC"/>
    <w:rsid w:val="00745A93"/>
    <w:rsid w:val="007473BA"/>
    <w:rsid w:val="00751613"/>
    <w:rsid w:val="00753EE9"/>
    <w:rsid w:val="007556F6"/>
    <w:rsid w:val="00755FA8"/>
    <w:rsid w:val="00757497"/>
    <w:rsid w:val="00760EEF"/>
    <w:rsid w:val="0076203E"/>
    <w:rsid w:val="00777EE5"/>
    <w:rsid w:val="00783788"/>
    <w:rsid w:val="00784836"/>
    <w:rsid w:val="0079023E"/>
    <w:rsid w:val="00797386"/>
    <w:rsid w:val="007A2854"/>
    <w:rsid w:val="007B50A8"/>
    <w:rsid w:val="007C1D92"/>
    <w:rsid w:val="007C231A"/>
    <w:rsid w:val="007C4CB9"/>
    <w:rsid w:val="007C5BBD"/>
    <w:rsid w:val="007D0B9D"/>
    <w:rsid w:val="007D19B0"/>
    <w:rsid w:val="007D4A88"/>
    <w:rsid w:val="007D68EA"/>
    <w:rsid w:val="007E07ED"/>
    <w:rsid w:val="007E666E"/>
    <w:rsid w:val="007F31FF"/>
    <w:rsid w:val="007F498F"/>
    <w:rsid w:val="007F7806"/>
    <w:rsid w:val="007F7D6E"/>
    <w:rsid w:val="007F7E37"/>
    <w:rsid w:val="00801AEF"/>
    <w:rsid w:val="008063B9"/>
    <w:rsid w:val="0080679D"/>
    <w:rsid w:val="00807CCF"/>
    <w:rsid w:val="008108B0"/>
    <w:rsid w:val="00811AED"/>
    <w:rsid w:val="00811B20"/>
    <w:rsid w:val="00811D8B"/>
    <w:rsid w:val="00812609"/>
    <w:rsid w:val="008177D7"/>
    <w:rsid w:val="008211B5"/>
    <w:rsid w:val="0082296E"/>
    <w:rsid w:val="00824099"/>
    <w:rsid w:val="00825FD1"/>
    <w:rsid w:val="00833151"/>
    <w:rsid w:val="0083474A"/>
    <w:rsid w:val="008354AD"/>
    <w:rsid w:val="00846D7C"/>
    <w:rsid w:val="00854DAF"/>
    <w:rsid w:val="00857E63"/>
    <w:rsid w:val="0086528A"/>
    <w:rsid w:val="008677CD"/>
    <w:rsid w:val="00867AC1"/>
    <w:rsid w:val="008751DE"/>
    <w:rsid w:val="008779F1"/>
    <w:rsid w:val="00880D0C"/>
    <w:rsid w:val="00880E2A"/>
    <w:rsid w:val="00890DF8"/>
    <w:rsid w:val="00892B81"/>
    <w:rsid w:val="0089651C"/>
    <w:rsid w:val="008A0ADE"/>
    <w:rsid w:val="008A1610"/>
    <w:rsid w:val="008A743F"/>
    <w:rsid w:val="008B01B9"/>
    <w:rsid w:val="008B43E4"/>
    <w:rsid w:val="008C0970"/>
    <w:rsid w:val="008C4DC7"/>
    <w:rsid w:val="008C7AFF"/>
    <w:rsid w:val="008D0BC5"/>
    <w:rsid w:val="008D127C"/>
    <w:rsid w:val="008D21E7"/>
    <w:rsid w:val="008D2CF7"/>
    <w:rsid w:val="008E520B"/>
    <w:rsid w:val="008E521A"/>
    <w:rsid w:val="008F51E6"/>
    <w:rsid w:val="008F750A"/>
    <w:rsid w:val="00900625"/>
    <w:rsid w:val="00900C26"/>
    <w:rsid w:val="00901508"/>
    <w:rsid w:val="0090197F"/>
    <w:rsid w:val="0090228B"/>
    <w:rsid w:val="00903264"/>
    <w:rsid w:val="0090457A"/>
    <w:rsid w:val="00904692"/>
    <w:rsid w:val="009060D0"/>
    <w:rsid w:val="009061A8"/>
    <w:rsid w:val="00906DDC"/>
    <w:rsid w:val="00921417"/>
    <w:rsid w:val="00923D81"/>
    <w:rsid w:val="00924918"/>
    <w:rsid w:val="0093182D"/>
    <w:rsid w:val="00931AD0"/>
    <w:rsid w:val="00933928"/>
    <w:rsid w:val="009342AF"/>
    <w:rsid w:val="00934E09"/>
    <w:rsid w:val="00936253"/>
    <w:rsid w:val="0094004B"/>
    <w:rsid w:val="00940D46"/>
    <w:rsid w:val="009413F1"/>
    <w:rsid w:val="009522D1"/>
    <w:rsid w:val="00952DD4"/>
    <w:rsid w:val="009561F4"/>
    <w:rsid w:val="00960D04"/>
    <w:rsid w:val="0096147A"/>
    <w:rsid w:val="009621CC"/>
    <w:rsid w:val="009657CC"/>
    <w:rsid w:val="00965AE7"/>
    <w:rsid w:val="00970FED"/>
    <w:rsid w:val="00977FC8"/>
    <w:rsid w:val="00992D82"/>
    <w:rsid w:val="00997029"/>
    <w:rsid w:val="009A7339"/>
    <w:rsid w:val="009B2D0A"/>
    <w:rsid w:val="009B440E"/>
    <w:rsid w:val="009B740C"/>
    <w:rsid w:val="009C1E21"/>
    <w:rsid w:val="009C40FE"/>
    <w:rsid w:val="009C4383"/>
    <w:rsid w:val="009C5DDE"/>
    <w:rsid w:val="009C7A7A"/>
    <w:rsid w:val="009D4E5B"/>
    <w:rsid w:val="009D690D"/>
    <w:rsid w:val="009E65B6"/>
    <w:rsid w:val="009F0A51"/>
    <w:rsid w:val="009F569C"/>
    <w:rsid w:val="009F77CF"/>
    <w:rsid w:val="00A144A8"/>
    <w:rsid w:val="00A15640"/>
    <w:rsid w:val="00A162B7"/>
    <w:rsid w:val="00A24C10"/>
    <w:rsid w:val="00A27107"/>
    <w:rsid w:val="00A37965"/>
    <w:rsid w:val="00A42468"/>
    <w:rsid w:val="00A42AC3"/>
    <w:rsid w:val="00A430CF"/>
    <w:rsid w:val="00A44464"/>
    <w:rsid w:val="00A535C5"/>
    <w:rsid w:val="00A54309"/>
    <w:rsid w:val="00A5474D"/>
    <w:rsid w:val="00A56295"/>
    <w:rsid w:val="00A56EAF"/>
    <w:rsid w:val="00A610A9"/>
    <w:rsid w:val="00A702DA"/>
    <w:rsid w:val="00A7187D"/>
    <w:rsid w:val="00A74679"/>
    <w:rsid w:val="00A80C48"/>
    <w:rsid w:val="00A80F2A"/>
    <w:rsid w:val="00A8311B"/>
    <w:rsid w:val="00A87F40"/>
    <w:rsid w:val="00A9244C"/>
    <w:rsid w:val="00A92FD1"/>
    <w:rsid w:val="00A96840"/>
    <w:rsid w:val="00A96C33"/>
    <w:rsid w:val="00AA68D3"/>
    <w:rsid w:val="00AB1370"/>
    <w:rsid w:val="00AB2B93"/>
    <w:rsid w:val="00AB530F"/>
    <w:rsid w:val="00AB7E5B"/>
    <w:rsid w:val="00AC2883"/>
    <w:rsid w:val="00AC6169"/>
    <w:rsid w:val="00AD5B4D"/>
    <w:rsid w:val="00AE0EF1"/>
    <w:rsid w:val="00AE2937"/>
    <w:rsid w:val="00AE3231"/>
    <w:rsid w:val="00AF051F"/>
    <w:rsid w:val="00AF0B28"/>
    <w:rsid w:val="00B019B3"/>
    <w:rsid w:val="00B0573B"/>
    <w:rsid w:val="00B07301"/>
    <w:rsid w:val="00B11F3E"/>
    <w:rsid w:val="00B16E1F"/>
    <w:rsid w:val="00B1730F"/>
    <w:rsid w:val="00B224DE"/>
    <w:rsid w:val="00B31902"/>
    <w:rsid w:val="00B324D4"/>
    <w:rsid w:val="00B34B46"/>
    <w:rsid w:val="00B35547"/>
    <w:rsid w:val="00B361A8"/>
    <w:rsid w:val="00B4048F"/>
    <w:rsid w:val="00B44DFD"/>
    <w:rsid w:val="00B452D1"/>
    <w:rsid w:val="00B46200"/>
    <w:rsid w:val="00B46575"/>
    <w:rsid w:val="00B52755"/>
    <w:rsid w:val="00B61777"/>
    <w:rsid w:val="00B622E6"/>
    <w:rsid w:val="00B62C94"/>
    <w:rsid w:val="00B6539C"/>
    <w:rsid w:val="00B825A8"/>
    <w:rsid w:val="00B83E82"/>
    <w:rsid w:val="00B84BBD"/>
    <w:rsid w:val="00B941A6"/>
    <w:rsid w:val="00B95168"/>
    <w:rsid w:val="00B957D7"/>
    <w:rsid w:val="00BA43FB"/>
    <w:rsid w:val="00BA5D21"/>
    <w:rsid w:val="00BB27B0"/>
    <w:rsid w:val="00BB3B91"/>
    <w:rsid w:val="00BC127D"/>
    <w:rsid w:val="00BC1FE6"/>
    <w:rsid w:val="00BC53CB"/>
    <w:rsid w:val="00BE6B94"/>
    <w:rsid w:val="00BE7539"/>
    <w:rsid w:val="00BF5E73"/>
    <w:rsid w:val="00C01D12"/>
    <w:rsid w:val="00C02A0A"/>
    <w:rsid w:val="00C061B6"/>
    <w:rsid w:val="00C0647E"/>
    <w:rsid w:val="00C1118A"/>
    <w:rsid w:val="00C14708"/>
    <w:rsid w:val="00C1511D"/>
    <w:rsid w:val="00C2446C"/>
    <w:rsid w:val="00C36AE5"/>
    <w:rsid w:val="00C41F17"/>
    <w:rsid w:val="00C527FA"/>
    <w:rsid w:val="00C5280D"/>
    <w:rsid w:val="00C53EB3"/>
    <w:rsid w:val="00C5791C"/>
    <w:rsid w:val="00C66290"/>
    <w:rsid w:val="00C665EB"/>
    <w:rsid w:val="00C72B7A"/>
    <w:rsid w:val="00C757AF"/>
    <w:rsid w:val="00C75907"/>
    <w:rsid w:val="00C84FE3"/>
    <w:rsid w:val="00C92A45"/>
    <w:rsid w:val="00C9626B"/>
    <w:rsid w:val="00C973F2"/>
    <w:rsid w:val="00C97962"/>
    <w:rsid w:val="00CA04A5"/>
    <w:rsid w:val="00CA2105"/>
    <w:rsid w:val="00CA2C65"/>
    <w:rsid w:val="00CA304C"/>
    <w:rsid w:val="00CA7088"/>
    <w:rsid w:val="00CA774A"/>
    <w:rsid w:val="00CB4921"/>
    <w:rsid w:val="00CC11B0"/>
    <w:rsid w:val="00CC2841"/>
    <w:rsid w:val="00CC559B"/>
    <w:rsid w:val="00CD1B7B"/>
    <w:rsid w:val="00CE0223"/>
    <w:rsid w:val="00CE47A9"/>
    <w:rsid w:val="00CE5174"/>
    <w:rsid w:val="00CE51E4"/>
    <w:rsid w:val="00CE5C1C"/>
    <w:rsid w:val="00CE7741"/>
    <w:rsid w:val="00CF1330"/>
    <w:rsid w:val="00CF47B8"/>
    <w:rsid w:val="00CF7381"/>
    <w:rsid w:val="00CF7E36"/>
    <w:rsid w:val="00D14394"/>
    <w:rsid w:val="00D34B86"/>
    <w:rsid w:val="00D3708D"/>
    <w:rsid w:val="00D37B7D"/>
    <w:rsid w:val="00D40426"/>
    <w:rsid w:val="00D42928"/>
    <w:rsid w:val="00D5236F"/>
    <w:rsid w:val="00D56496"/>
    <w:rsid w:val="00D57C96"/>
    <w:rsid w:val="00D57D18"/>
    <w:rsid w:val="00D57F41"/>
    <w:rsid w:val="00D60872"/>
    <w:rsid w:val="00D64AAB"/>
    <w:rsid w:val="00D64F9B"/>
    <w:rsid w:val="00D66782"/>
    <w:rsid w:val="00D70E65"/>
    <w:rsid w:val="00D72475"/>
    <w:rsid w:val="00D75517"/>
    <w:rsid w:val="00D91203"/>
    <w:rsid w:val="00D91BD7"/>
    <w:rsid w:val="00D93538"/>
    <w:rsid w:val="00D95174"/>
    <w:rsid w:val="00DA4973"/>
    <w:rsid w:val="00DA4E6B"/>
    <w:rsid w:val="00DA6F36"/>
    <w:rsid w:val="00DB0128"/>
    <w:rsid w:val="00DB596E"/>
    <w:rsid w:val="00DB6AE6"/>
    <w:rsid w:val="00DB7773"/>
    <w:rsid w:val="00DC00EA"/>
    <w:rsid w:val="00DC0481"/>
    <w:rsid w:val="00DC3262"/>
    <w:rsid w:val="00DC3802"/>
    <w:rsid w:val="00DD5B7D"/>
    <w:rsid w:val="00DD6208"/>
    <w:rsid w:val="00DD6975"/>
    <w:rsid w:val="00DE3A86"/>
    <w:rsid w:val="00DE4554"/>
    <w:rsid w:val="00DF0537"/>
    <w:rsid w:val="00DF3547"/>
    <w:rsid w:val="00DF5F7A"/>
    <w:rsid w:val="00DF7E99"/>
    <w:rsid w:val="00E0287A"/>
    <w:rsid w:val="00E07587"/>
    <w:rsid w:val="00E07727"/>
    <w:rsid w:val="00E07D87"/>
    <w:rsid w:val="00E10EC3"/>
    <w:rsid w:val="00E16C24"/>
    <w:rsid w:val="00E178D5"/>
    <w:rsid w:val="00E200DB"/>
    <w:rsid w:val="00E2221C"/>
    <w:rsid w:val="00E249C8"/>
    <w:rsid w:val="00E24C56"/>
    <w:rsid w:val="00E25ED7"/>
    <w:rsid w:val="00E27B55"/>
    <w:rsid w:val="00E32F7E"/>
    <w:rsid w:val="00E36B7C"/>
    <w:rsid w:val="00E3794C"/>
    <w:rsid w:val="00E41F1A"/>
    <w:rsid w:val="00E510F9"/>
    <w:rsid w:val="00E5267B"/>
    <w:rsid w:val="00E559F0"/>
    <w:rsid w:val="00E55BC9"/>
    <w:rsid w:val="00E57E24"/>
    <w:rsid w:val="00E600A2"/>
    <w:rsid w:val="00E63C0E"/>
    <w:rsid w:val="00E702B6"/>
    <w:rsid w:val="00E72D49"/>
    <w:rsid w:val="00E738B6"/>
    <w:rsid w:val="00E73913"/>
    <w:rsid w:val="00E74C02"/>
    <w:rsid w:val="00E7593C"/>
    <w:rsid w:val="00E7678A"/>
    <w:rsid w:val="00E81852"/>
    <w:rsid w:val="00E86800"/>
    <w:rsid w:val="00E935F1"/>
    <w:rsid w:val="00E94A81"/>
    <w:rsid w:val="00EA1FFB"/>
    <w:rsid w:val="00EA5576"/>
    <w:rsid w:val="00EA66C9"/>
    <w:rsid w:val="00EB048E"/>
    <w:rsid w:val="00EB155D"/>
    <w:rsid w:val="00EB289A"/>
    <w:rsid w:val="00EB36D4"/>
    <w:rsid w:val="00EB4E9C"/>
    <w:rsid w:val="00EB76FF"/>
    <w:rsid w:val="00EC3805"/>
    <w:rsid w:val="00ED05CF"/>
    <w:rsid w:val="00EE34DF"/>
    <w:rsid w:val="00EE68C2"/>
    <w:rsid w:val="00EF0C97"/>
    <w:rsid w:val="00EF28FA"/>
    <w:rsid w:val="00EF2A34"/>
    <w:rsid w:val="00EF2F89"/>
    <w:rsid w:val="00F0013A"/>
    <w:rsid w:val="00F03E98"/>
    <w:rsid w:val="00F05F56"/>
    <w:rsid w:val="00F0773E"/>
    <w:rsid w:val="00F1237A"/>
    <w:rsid w:val="00F143CE"/>
    <w:rsid w:val="00F170EF"/>
    <w:rsid w:val="00F21849"/>
    <w:rsid w:val="00F22CBD"/>
    <w:rsid w:val="00F251E0"/>
    <w:rsid w:val="00F272F1"/>
    <w:rsid w:val="00F31412"/>
    <w:rsid w:val="00F37838"/>
    <w:rsid w:val="00F43174"/>
    <w:rsid w:val="00F44F57"/>
    <w:rsid w:val="00F45372"/>
    <w:rsid w:val="00F46ECA"/>
    <w:rsid w:val="00F5204D"/>
    <w:rsid w:val="00F54B9E"/>
    <w:rsid w:val="00F560F7"/>
    <w:rsid w:val="00F574B2"/>
    <w:rsid w:val="00F60BF0"/>
    <w:rsid w:val="00F6334D"/>
    <w:rsid w:val="00F63599"/>
    <w:rsid w:val="00F71063"/>
    <w:rsid w:val="00F71781"/>
    <w:rsid w:val="00F76FFA"/>
    <w:rsid w:val="00F7729D"/>
    <w:rsid w:val="00F82D59"/>
    <w:rsid w:val="00F90A24"/>
    <w:rsid w:val="00FA49AB"/>
    <w:rsid w:val="00FA7496"/>
    <w:rsid w:val="00FC5FD0"/>
    <w:rsid w:val="00FE39C7"/>
    <w:rsid w:val="00FE7041"/>
    <w:rsid w:val="00FF10DF"/>
    <w:rsid w:val="00FF2290"/>
    <w:rsid w:val="00FF449C"/>
    <w:rsid w:val="00FF4D07"/>
    <w:rsid w:val="00FF7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28DF1"/>
  <w15:docId w15:val="{4F50C9AD-4A6F-4004-8823-AE48BF7D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noProof/>
      <w:lang w:val="de-DE"/>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382EFF"/>
    <w:pPr>
      <w:keepNext/>
      <w:jc w:val="both"/>
      <w:outlineLvl w:val="1"/>
    </w:pPr>
    <w:rPr>
      <w:rFonts w:ascii="Arial" w:hAnsi="Arial"/>
      <w:u w:val="single"/>
    </w:rPr>
  </w:style>
  <w:style w:type="paragraph" w:styleId="Heading3">
    <w:name w:val="heading 3"/>
    <w:next w:val="Normal"/>
    <w:link w:val="Heading3Char"/>
    <w:autoRedefine/>
    <w:qFormat/>
    <w:rsid w:val="00382EFF"/>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uiPriority w:val="99"/>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snapToGrid w:val="0"/>
      <w:u w:val="single"/>
    </w:rPr>
  </w:style>
  <w:style w:type="paragraph" w:customStyle="1" w:styleId="pldetails">
    <w:name w:val="pldetails"/>
    <w:basedOn w:val="Normal"/>
    <w:rsid w:val="00AB530F"/>
    <w:pPr>
      <w:keepLines/>
      <w:spacing w:before="60" w:after="60"/>
      <w:jc w:val="left"/>
    </w:pPr>
    <w:rPr>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CF47B8"/>
    <w:pPr>
      <w:tabs>
        <w:tab w:val="right" w:leader="dot" w:pos="9639"/>
      </w:tabs>
      <w:spacing w:before="60" w:after="60"/>
      <w:ind w:left="720" w:right="720"/>
    </w:pPr>
    <w:rPr>
      <w:rFonts w:ascii="Arial" w:hAnsi="Arial"/>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09538C"/>
    <w:pPr>
      <w:tabs>
        <w:tab w:val="right" w:leader="dot" w:pos="9639"/>
      </w:tabs>
      <w:spacing w:before="120"/>
      <w:ind w:right="576"/>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D14394"/>
    <w:rPr>
      <w:rFonts w:ascii="Arial" w:hAnsi="Arial"/>
      <w:lang w:val="fr-FR"/>
    </w:rPr>
  </w:style>
  <w:style w:type="character" w:customStyle="1" w:styleId="FootnoteTextChar">
    <w:name w:val="Footnote Text Char"/>
    <w:basedOn w:val="DefaultParagraphFont"/>
    <w:link w:val="FootnoteText"/>
    <w:rsid w:val="00D14394"/>
    <w:rPr>
      <w:rFonts w:ascii="Arial" w:hAnsi="Arial"/>
      <w:sz w:val="16"/>
    </w:rPr>
  </w:style>
  <w:style w:type="character" w:customStyle="1" w:styleId="Heading1Char">
    <w:name w:val="Heading 1 Char"/>
    <w:aliases w:val="COMMON NAME Char,common Char"/>
    <w:basedOn w:val="DefaultParagraphFont"/>
    <w:link w:val="Heading1"/>
    <w:rsid w:val="00D14394"/>
    <w:rPr>
      <w:rFonts w:ascii="Arial" w:hAnsi="Arial"/>
      <w:caps/>
    </w:rPr>
  </w:style>
  <w:style w:type="character" w:customStyle="1" w:styleId="Heading2Char">
    <w:name w:val="Heading 2 Char"/>
    <w:aliases w:val="VARIETY Char,variety Char"/>
    <w:link w:val="Heading2"/>
    <w:locked/>
    <w:rsid w:val="00382EFF"/>
    <w:rPr>
      <w:rFonts w:ascii="Arial" w:hAnsi="Arial"/>
      <w:u w:val="single"/>
    </w:rPr>
  </w:style>
  <w:style w:type="character" w:customStyle="1" w:styleId="Heading3Char">
    <w:name w:val="Heading 3 Char"/>
    <w:basedOn w:val="DefaultParagraphFont"/>
    <w:link w:val="Heading3"/>
    <w:rsid w:val="00382EFF"/>
    <w:rPr>
      <w:rFonts w:ascii="Arial" w:hAnsi="Arial"/>
      <w:i/>
    </w:rPr>
  </w:style>
  <w:style w:type="table" w:styleId="TableGrid">
    <w:name w:val="Table Grid"/>
    <w:basedOn w:val="TableNormal"/>
    <w:uiPriority w:val="39"/>
    <w:rsid w:val="00923D81"/>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F170EF"/>
    <w:rPr>
      <w:rFonts w:ascii="Arial" w:hAnsi="Arial"/>
      <w:i/>
    </w:rPr>
  </w:style>
  <w:style w:type="paragraph" w:styleId="ListParagraph">
    <w:name w:val="List Paragraph"/>
    <w:basedOn w:val="Normal"/>
    <w:uiPriority w:val="34"/>
    <w:qFormat/>
    <w:rsid w:val="002A5011"/>
    <w:pPr>
      <w:ind w:left="720"/>
      <w:contextualSpacing/>
    </w:pPr>
  </w:style>
  <w:style w:type="table" w:customStyle="1" w:styleId="TableGrid1">
    <w:name w:val="Table Grid1"/>
    <w:basedOn w:val="TableNormal"/>
    <w:next w:val="TableGrid"/>
    <w:uiPriority w:val="39"/>
    <w:rsid w:val="007E07ED"/>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E52A6"/>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styleId="CommentReference">
    <w:name w:val="annotation reference"/>
    <w:basedOn w:val="DefaultParagraphFont"/>
    <w:semiHidden/>
    <w:unhideWhenUsed/>
    <w:rsid w:val="001F4B30"/>
    <w:rPr>
      <w:sz w:val="16"/>
      <w:szCs w:val="16"/>
    </w:rPr>
  </w:style>
  <w:style w:type="paragraph" w:styleId="CommentText">
    <w:name w:val="annotation text"/>
    <w:basedOn w:val="Normal"/>
    <w:link w:val="CommentTextChar"/>
    <w:semiHidden/>
    <w:unhideWhenUsed/>
    <w:rsid w:val="001F4B30"/>
  </w:style>
  <w:style w:type="character" w:customStyle="1" w:styleId="CommentTextChar">
    <w:name w:val="Comment Text Char"/>
    <w:basedOn w:val="DefaultParagraphFont"/>
    <w:link w:val="CommentText"/>
    <w:semiHidden/>
    <w:rsid w:val="001F4B30"/>
    <w:rPr>
      <w:rFonts w:ascii="Arial" w:hAnsi="Arial"/>
    </w:rPr>
  </w:style>
  <w:style w:type="paragraph" w:styleId="CommentSubject">
    <w:name w:val="annotation subject"/>
    <w:basedOn w:val="CommentText"/>
    <w:next w:val="CommentText"/>
    <w:link w:val="CommentSubjectChar"/>
    <w:semiHidden/>
    <w:unhideWhenUsed/>
    <w:rsid w:val="001F4B30"/>
    <w:rPr>
      <w:b/>
      <w:bCs/>
    </w:rPr>
  </w:style>
  <w:style w:type="character" w:customStyle="1" w:styleId="CommentSubjectChar">
    <w:name w:val="Comment Subject Char"/>
    <w:basedOn w:val="CommentTextChar"/>
    <w:link w:val="CommentSubject"/>
    <w:semiHidden/>
    <w:rsid w:val="001F4B30"/>
    <w:rPr>
      <w:rFonts w:ascii="Arial" w:hAnsi="Arial"/>
      <w:b/>
      <w:bCs/>
    </w:rPr>
  </w:style>
  <w:style w:type="paragraph" w:styleId="Revision">
    <w:name w:val="Revision"/>
    <w:hidden/>
    <w:uiPriority w:val="99"/>
    <w:semiHidden/>
    <w:rsid w:val="005C026D"/>
    <w:rPr>
      <w:rFonts w:ascii="Arial" w:hAnsi="Arial"/>
      <w:noProof/>
      <w:lang w:val="de-DE"/>
    </w:rPr>
  </w:style>
  <w:style w:type="character" w:styleId="FollowedHyperlink">
    <w:name w:val="FollowedHyperlink"/>
    <w:basedOn w:val="DefaultParagraphFont"/>
    <w:semiHidden/>
    <w:unhideWhenUsed/>
    <w:rsid w:val="00230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about/de/faq.html"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upov.int/export/sites/upov/images/worldmap_de.jpg" TargetMode="Externa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xport/sites/upov/members/de/pdf/pub42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eader" Target="header6.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header" Target="head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52CA9-C758-47E0-8313-93B1F913A98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de-CH"/>
        </a:p>
      </dgm:t>
    </dgm:pt>
    <dgm:pt modelId="{D9C435B6-CA06-41AF-87DD-21B230F0E89E}">
      <dgm:prSet phldrT="[Text]" custT="1"/>
      <dgm: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Oranges </a:t>
          </a:r>
          <a:r>
            <a:rPr lang="de-DE" sz="1000">
              <a:solidFill>
                <a:sysClr val="window" lastClr="FFFFFF"/>
              </a:solidFill>
              <a:latin typeface="Arial" panose="020B0604020202020204" pitchFamily="34" charset="0"/>
              <a:ea typeface="+mn-ea"/>
              <a:cs typeface="Arial" panose="020B0604020202020204" pitchFamily="34" charset="0"/>
            </a:rPr>
            <a:t>Internationales Saatgutpartie-Zertifikat</a:t>
          </a:r>
          <a:endParaRPr lang="de-CH" sz="1000">
            <a:solidFill>
              <a:sysClr val="window" lastClr="FFFFFF"/>
            </a:solidFill>
            <a:latin typeface="Arial" panose="020B0604020202020204" pitchFamily="34" charset="0"/>
            <a:ea typeface="+mn-ea"/>
            <a:cs typeface="Arial" panose="020B0604020202020204" pitchFamily="34" charset="0"/>
          </a:endParaRPr>
        </a:p>
      </dgm:t>
    </dgm:pt>
    <dgm:pt modelId="{60F0F445-5A1F-466E-A879-552C6E220B91}" type="parTrans" cxnId="{BBD38531-A795-4472-A241-14040624A61C}">
      <dgm:prSet/>
      <dgm:spPr/>
      <dgm:t>
        <a:bodyPr/>
        <a:lstStyle/>
        <a:p>
          <a:endParaRPr lang="de-CH"/>
        </a:p>
      </dgm:t>
    </dgm:pt>
    <dgm:pt modelId="{F434DDCD-BE05-4BB0-B100-B26C93922D6B}" type="sibTrans" cxnId="{BBD38531-A795-4472-A241-14040624A61C}">
      <dgm:prSet/>
      <dgm:spPr/>
      <dgm:t>
        <a:bodyPr/>
        <a:lstStyle/>
        <a:p>
          <a:endParaRPr lang="de-CH"/>
        </a:p>
      </dgm:t>
    </dgm:pt>
    <dgm:pt modelId="{4E0612E4-7DE3-44E1-8880-3956F30B1785}">
      <dgm:prSet phldrT="[Text]"/>
      <dgm: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gm:spPr>
      <dgm:t>
        <a:bodyPr/>
        <a:lstStyle/>
        <a:p>
          <a:r>
            <a:rPr lang="de-DE">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wird ausgestellt, wenn sowohl die Beprobung aus der Partie als auch die Prüfung der Probe unter der Verantwortung eines ISTA-akkreditierten Saatgutprüflabors durchgeführt werden</a:t>
          </a:r>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076A0B1D-E446-4335-AE64-FDABA5C77E38}" type="parTrans" cxnId="{6CFC5D1C-D684-46B9-97C6-67593215A77D}">
      <dgm:prSet>
        <dgm:style>
          <a:lnRef idx="1">
            <a:schemeClr val="accent2"/>
          </a:lnRef>
          <a:fillRef idx="0">
            <a:schemeClr val="accent2"/>
          </a:fillRef>
          <a:effectRef idx="0">
            <a:schemeClr val="accent2"/>
          </a:effectRef>
          <a:fontRef idx="minor">
            <a:schemeClr val="tx1"/>
          </a:fontRef>
        </dgm:style>
      </dgm:prSet>
      <dgm: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gm:spPr>
      <dgm:t>
        <a:bodyPr/>
        <a:lstStyle/>
        <a:p>
          <a:endParaRPr lang="de-CH"/>
        </a:p>
      </dgm:t>
    </dgm:pt>
    <dgm:pt modelId="{E0BB8903-8419-4644-B34B-FDAF75049E5F}" type="sibTrans" cxnId="{6CFC5D1C-D684-46B9-97C6-67593215A77D}">
      <dgm:prSet/>
      <dgm:spPr/>
      <dgm:t>
        <a:bodyPr/>
        <a:lstStyle/>
        <a:p>
          <a:endParaRPr lang="de-CH"/>
        </a:p>
      </dgm:t>
    </dgm:pt>
    <dgm:pt modelId="{955721B5-58CA-4695-8D31-B7D79B661D4C}">
      <dgm:prSet phldrT="[Text]" custT="1"/>
      <dgm: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gn="ctr"/>
          <a:r>
            <a:rPr lang="de-DE" sz="1000">
              <a:solidFill>
                <a:sysClr val="window" lastClr="FFFFFF"/>
              </a:solidFill>
              <a:latin typeface="Arial" panose="020B0604020202020204" pitchFamily="34" charset="0"/>
              <a:ea typeface="+mn-ea"/>
              <a:cs typeface="Arial" panose="020B0604020202020204" pitchFamily="34" charset="0"/>
            </a:rPr>
            <a:t>Blaues Internationales Saatgutbeprobungs-Zertifikat</a:t>
          </a:r>
          <a:endParaRPr lang="de-CH" sz="1000">
            <a:solidFill>
              <a:sysClr val="window" lastClr="FFFFFF"/>
            </a:solidFill>
            <a:latin typeface="Arial" panose="020B0604020202020204" pitchFamily="34" charset="0"/>
            <a:ea typeface="+mn-ea"/>
            <a:cs typeface="Arial" panose="020B0604020202020204" pitchFamily="34" charset="0"/>
          </a:endParaRPr>
        </a:p>
      </dgm:t>
    </dgm:pt>
    <dgm:pt modelId="{A7F5E5F9-EC3D-4825-A194-DBFAAC55B49C}" type="parTrans" cxnId="{31C28D41-F13C-4891-9DEE-2EB2CED64D01}">
      <dgm:prSet/>
      <dgm:spPr/>
      <dgm:t>
        <a:bodyPr/>
        <a:lstStyle/>
        <a:p>
          <a:endParaRPr lang="de-CH"/>
        </a:p>
      </dgm:t>
    </dgm:pt>
    <dgm:pt modelId="{321BE7A8-357B-4AC9-A61B-9966AF862E5F}" type="sibTrans" cxnId="{31C28D41-F13C-4891-9DEE-2EB2CED64D01}">
      <dgm:prSet/>
      <dgm:spPr/>
      <dgm:t>
        <a:bodyPr/>
        <a:lstStyle/>
        <a:p>
          <a:endParaRPr lang="de-CH"/>
        </a:p>
      </dgm:t>
    </dgm:pt>
    <dgm:pt modelId="{00850504-3439-4058-A245-665152206831}">
      <dgm:prSet phldrT="[Text]"/>
      <dgm: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gm:spPr>
      <dgm:t>
        <a:bodyPr/>
        <a:lstStyle/>
        <a:p>
          <a:r>
            <a:rPr lang="de-DE">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wird ausgestellt, wenn die Beprobung aus der Partie nicht unter der Verantwortung eines ISTA-akkreditierten Labors erfolgt. Daher gelten die von dem ISTA-akkreditierten Labor erzielten Ergebnisse nur für die Probe und nicht für die Saatgutprobe, der die Probe entnommen wurde</a:t>
          </a:r>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54E6803-71BC-4123-9179-1A77314244FC}" type="parTrans" cxnId="{A4FD51F1-B7FE-4139-B878-784FDD951FC9}">
      <dgm:prSet/>
      <dgm: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gm:spPr>
      <dgm:t>
        <a:bodyPr/>
        <a:lstStyle/>
        <a:p>
          <a:endParaRPr lang="de-CH"/>
        </a:p>
      </dgm:t>
    </dgm:pt>
    <dgm:pt modelId="{CDD9A283-4ACE-4179-9AC9-377E2482305B}" type="sibTrans" cxnId="{A4FD51F1-B7FE-4139-B878-784FDD951FC9}">
      <dgm:prSet/>
      <dgm:spPr/>
      <dgm:t>
        <a:bodyPr/>
        <a:lstStyle/>
        <a:p>
          <a:endParaRPr lang="de-CH"/>
        </a:p>
      </dgm:t>
    </dgm:pt>
    <dgm:pt modelId="{310A1E43-F36E-4A87-9425-43095855FC1C}" type="pres">
      <dgm:prSet presAssocID="{03952CA9-C758-47E0-8313-93B1F913A98D}" presName="diagram" presStyleCnt="0">
        <dgm:presLayoutVars>
          <dgm:chPref val="1"/>
          <dgm:dir/>
          <dgm:animOne val="branch"/>
          <dgm:animLvl val="lvl"/>
          <dgm:resizeHandles/>
        </dgm:presLayoutVars>
      </dgm:prSet>
      <dgm:spPr/>
      <dgm:t>
        <a:bodyPr/>
        <a:lstStyle/>
        <a:p>
          <a:endParaRPr lang="en-US"/>
        </a:p>
      </dgm:t>
    </dgm:pt>
    <dgm:pt modelId="{EE8568D5-56BE-4C5E-B521-55C2960B5C7E}" type="pres">
      <dgm:prSet presAssocID="{D9C435B6-CA06-41AF-87DD-21B230F0E89E}" presName="root" presStyleCnt="0"/>
      <dgm:spPr/>
    </dgm:pt>
    <dgm:pt modelId="{42D807D9-08C7-442A-9E44-4F0BC0A41562}" type="pres">
      <dgm:prSet presAssocID="{D9C435B6-CA06-41AF-87DD-21B230F0E89E}" presName="rootComposite" presStyleCnt="0"/>
      <dgm:spPr/>
    </dgm:pt>
    <dgm:pt modelId="{48E9BA03-7739-4D6F-A1C0-DF79115C6FDE}" type="pres">
      <dgm:prSet presAssocID="{D9C435B6-CA06-41AF-87DD-21B230F0E89E}" presName="rootText" presStyleLbl="node1" presStyleIdx="0" presStyleCnt="2" custScaleY="40791"/>
      <dgm:spPr/>
      <dgm:t>
        <a:bodyPr/>
        <a:lstStyle/>
        <a:p>
          <a:endParaRPr lang="en-US"/>
        </a:p>
      </dgm:t>
    </dgm:pt>
    <dgm:pt modelId="{283657B9-F591-4BA6-A67D-314150D7B551}" type="pres">
      <dgm:prSet presAssocID="{D9C435B6-CA06-41AF-87DD-21B230F0E89E}" presName="rootConnector" presStyleLbl="node1" presStyleIdx="0" presStyleCnt="2"/>
      <dgm:spPr/>
      <dgm:t>
        <a:bodyPr/>
        <a:lstStyle/>
        <a:p>
          <a:endParaRPr lang="en-US"/>
        </a:p>
      </dgm:t>
    </dgm:pt>
    <dgm:pt modelId="{998D10DC-E806-42AE-A6B6-D17C71BCE90D}" type="pres">
      <dgm:prSet presAssocID="{D9C435B6-CA06-41AF-87DD-21B230F0E89E}" presName="childShape" presStyleCnt="0"/>
      <dgm:spPr/>
    </dgm:pt>
    <dgm:pt modelId="{9716A20C-CD2C-4073-8675-311BA46592F5}" type="pres">
      <dgm:prSet presAssocID="{076A0B1D-E446-4335-AE64-FDABA5C77E38}" presName="Name13" presStyleLbl="parChTrans1D2" presStyleIdx="0" presStyleCnt="2"/>
      <dgm:spPr/>
      <dgm:t>
        <a:bodyPr/>
        <a:lstStyle/>
        <a:p>
          <a:endParaRPr lang="en-US"/>
        </a:p>
      </dgm:t>
    </dgm:pt>
    <dgm:pt modelId="{7BE9336B-A08B-4FD0-87A7-703A2A8906C8}" type="pres">
      <dgm:prSet presAssocID="{4E0612E4-7DE3-44E1-8880-3956F30B1785}" presName="childText" presStyleLbl="bgAcc1" presStyleIdx="0" presStyleCnt="2">
        <dgm:presLayoutVars>
          <dgm:bulletEnabled val="1"/>
        </dgm:presLayoutVars>
      </dgm:prSet>
      <dgm:spPr/>
      <dgm:t>
        <a:bodyPr/>
        <a:lstStyle/>
        <a:p>
          <a:endParaRPr lang="en-US"/>
        </a:p>
      </dgm:t>
    </dgm:pt>
    <dgm:pt modelId="{9AD994E1-EF94-4A0C-B097-38F4E436903B}" type="pres">
      <dgm:prSet presAssocID="{955721B5-58CA-4695-8D31-B7D79B661D4C}" presName="root" presStyleCnt="0"/>
      <dgm:spPr/>
    </dgm:pt>
    <dgm:pt modelId="{81FCE613-3A14-46D7-8271-F171F93F7E79}" type="pres">
      <dgm:prSet presAssocID="{955721B5-58CA-4695-8D31-B7D79B661D4C}" presName="rootComposite" presStyleCnt="0"/>
      <dgm:spPr/>
    </dgm:pt>
    <dgm:pt modelId="{9E23BC41-006F-43C3-B525-B187D23D71C7}" type="pres">
      <dgm:prSet presAssocID="{955721B5-58CA-4695-8D31-B7D79B661D4C}" presName="rootText" presStyleLbl="node1" presStyleIdx="1" presStyleCnt="2" custScaleY="41183"/>
      <dgm:spPr/>
      <dgm:t>
        <a:bodyPr/>
        <a:lstStyle/>
        <a:p>
          <a:endParaRPr lang="en-US"/>
        </a:p>
      </dgm:t>
    </dgm:pt>
    <dgm:pt modelId="{FBCDD0BF-8055-49CF-8D9E-6C440A9D31CC}" type="pres">
      <dgm:prSet presAssocID="{955721B5-58CA-4695-8D31-B7D79B661D4C}" presName="rootConnector" presStyleLbl="node1" presStyleIdx="1" presStyleCnt="2"/>
      <dgm:spPr/>
      <dgm:t>
        <a:bodyPr/>
        <a:lstStyle/>
        <a:p>
          <a:endParaRPr lang="en-US"/>
        </a:p>
      </dgm:t>
    </dgm:pt>
    <dgm:pt modelId="{0D3BC009-24AA-448B-8AAA-7D23793AB5C2}" type="pres">
      <dgm:prSet presAssocID="{955721B5-58CA-4695-8D31-B7D79B661D4C}" presName="childShape" presStyleCnt="0"/>
      <dgm:spPr/>
    </dgm:pt>
    <dgm:pt modelId="{1967C7AE-0426-4D3C-90E0-E227DFA0551B}" type="pres">
      <dgm:prSet presAssocID="{A54E6803-71BC-4123-9179-1A77314244FC}" presName="Name13" presStyleLbl="parChTrans1D2" presStyleIdx="1" presStyleCnt="2"/>
      <dgm:spPr/>
      <dgm:t>
        <a:bodyPr/>
        <a:lstStyle/>
        <a:p>
          <a:endParaRPr lang="en-US"/>
        </a:p>
      </dgm:t>
    </dgm:pt>
    <dgm:pt modelId="{324828C7-EE9E-44F7-B1DA-9F9F3CE0E904}" type="pres">
      <dgm:prSet presAssocID="{00850504-3439-4058-A245-665152206831}" presName="childText" presStyleLbl="bgAcc1" presStyleIdx="1" presStyleCnt="2">
        <dgm:presLayoutVars>
          <dgm:bulletEnabled val="1"/>
        </dgm:presLayoutVars>
      </dgm:prSet>
      <dgm:spPr/>
      <dgm:t>
        <a:bodyPr/>
        <a:lstStyle/>
        <a:p>
          <a:endParaRPr lang="en-US"/>
        </a:p>
      </dgm:t>
    </dgm:pt>
  </dgm:ptLst>
  <dgm:cxnLst>
    <dgm:cxn modelId="{A7CDB1CA-ACBF-461B-9BC5-F4DC6FC468D6}" type="presOf" srcId="{00850504-3439-4058-A245-665152206831}" destId="{324828C7-EE9E-44F7-B1DA-9F9F3CE0E904}" srcOrd="0" destOrd="0" presId="urn:microsoft.com/office/officeart/2005/8/layout/hierarchy3"/>
    <dgm:cxn modelId="{C731B5A3-AA98-4873-BA40-0A14986DEB3E}" type="presOf" srcId="{D9C435B6-CA06-41AF-87DD-21B230F0E89E}" destId="{283657B9-F591-4BA6-A67D-314150D7B551}" srcOrd="1" destOrd="0" presId="urn:microsoft.com/office/officeart/2005/8/layout/hierarchy3"/>
    <dgm:cxn modelId="{07B328F2-412D-4369-A6A8-EC2295A03B72}" type="presOf" srcId="{4E0612E4-7DE3-44E1-8880-3956F30B1785}" destId="{7BE9336B-A08B-4FD0-87A7-703A2A8906C8}" srcOrd="0" destOrd="0" presId="urn:microsoft.com/office/officeart/2005/8/layout/hierarchy3"/>
    <dgm:cxn modelId="{E375CB72-3239-42DA-8487-E5C77B789947}" type="presOf" srcId="{076A0B1D-E446-4335-AE64-FDABA5C77E38}" destId="{9716A20C-CD2C-4073-8675-311BA46592F5}" srcOrd="0" destOrd="0" presId="urn:microsoft.com/office/officeart/2005/8/layout/hierarchy3"/>
    <dgm:cxn modelId="{C4F29238-B107-4D64-A2B2-8654863A30C3}" type="presOf" srcId="{A54E6803-71BC-4123-9179-1A77314244FC}" destId="{1967C7AE-0426-4D3C-90E0-E227DFA0551B}" srcOrd="0" destOrd="0" presId="urn:microsoft.com/office/officeart/2005/8/layout/hierarchy3"/>
    <dgm:cxn modelId="{F65A8743-57C3-48EB-9DC5-0882D2B69F00}" type="presOf" srcId="{D9C435B6-CA06-41AF-87DD-21B230F0E89E}" destId="{48E9BA03-7739-4D6F-A1C0-DF79115C6FDE}" srcOrd="0" destOrd="0" presId="urn:microsoft.com/office/officeart/2005/8/layout/hierarchy3"/>
    <dgm:cxn modelId="{D917AB6A-E480-43CE-9D8B-866592999D58}" type="presOf" srcId="{955721B5-58CA-4695-8D31-B7D79B661D4C}" destId="{9E23BC41-006F-43C3-B525-B187D23D71C7}" srcOrd="0" destOrd="0" presId="urn:microsoft.com/office/officeart/2005/8/layout/hierarchy3"/>
    <dgm:cxn modelId="{6CFC5D1C-D684-46B9-97C6-67593215A77D}" srcId="{D9C435B6-CA06-41AF-87DD-21B230F0E89E}" destId="{4E0612E4-7DE3-44E1-8880-3956F30B1785}" srcOrd="0" destOrd="0" parTransId="{076A0B1D-E446-4335-AE64-FDABA5C77E38}" sibTransId="{E0BB8903-8419-4644-B34B-FDAF75049E5F}"/>
    <dgm:cxn modelId="{A29250E1-2425-4C41-B047-85BC47B242D5}" type="presOf" srcId="{955721B5-58CA-4695-8D31-B7D79B661D4C}" destId="{FBCDD0BF-8055-49CF-8D9E-6C440A9D31CC}" srcOrd="1" destOrd="0" presId="urn:microsoft.com/office/officeart/2005/8/layout/hierarchy3"/>
    <dgm:cxn modelId="{A4FD51F1-B7FE-4139-B878-784FDD951FC9}" srcId="{955721B5-58CA-4695-8D31-B7D79B661D4C}" destId="{00850504-3439-4058-A245-665152206831}" srcOrd="0" destOrd="0" parTransId="{A54E6803-71BC-4123-9179-1A77314244FC}" sibTransId="{CDD9A283-4ACE-4179-9AC9-377E2482305B}"/>
    <dgm:cxn modelId="{BBD38531-A795-4472-A241-14040624A61C}" srcId="{03952CA9-C758-47E0-8313-93B1F913A98D}" destId="{D9C435B6-CA06-41AF-87DD-21B230F0E89E}" srcOrd="0" destOrd="0" parTransId="{60F0F445-5A1F-466E-A879-552C6E220B91}" sibTransId="{F434DDCD-BE05-4BB0-B100-B26C93922D6B}"/>
    <dgm:cxn modelId="{A9C42219-0CEF-46DE-A833-CDE87FD32C4C}" type="presOf" srcId="{03952CA9-C758-47E0-8313-93B1F913A98D}" destId="{310A1E43-F36E-4A87-9425-43095855FC1C}" srcOrd="0" destOrd="0" presId="urn:microsoft.com/office/officeart/2005/8/layout/hierarchy3"/>
    <dgm:cxn modelId="{31C28D41-F13C-4891-9DEE-2EB2CED64D01}" srcId="{03952CA9-C758-47E0-8313-93B1F913A98D}" destId="{955721B5-58CA-4695-8D31-B7D79B661D4C}" srcOrd="1" destOrd="0" parTransId="{A7F5E5F9-EC3D-4825-A194-DBFAAC55B49C}" sibTransId="{321BE7A8-357B-4AC9-A61B-9966AF862E5F}"/>
    <dgm:cxn modelId="{E11EB6E8-7F9A-408D-B7FA-A7D14681782E}" type="presParOf" srcId="{310A1E43-F36E-4A87-9425-43095855FC1C}" destId="{EE8568D5-56BE-4C5E-B521-55C2960B5C7E}" srcOrd="0" destOrd="0" presId="urn:microsoft.com/office/officeart/2005/8/layout/hierarchy3"/>
    <dgm:cxn modelId="{3A0A4C4E-1FD5-47C2-A0A5-ACD9DCCACA03}" type="presParOf" srcId="{EE8568D5-56BE-4C5E-B521-55C2960B5C7E}" destId="{42D807D9-08C7-442A-9E44-4F0BC0A41562}" srcOrd="0" destOrd="0" presId="urn:microsoft.com/office/officeart/2005/8/layout/hierarchy3"/>
    <dgm:cxn modelId="{A78831E5-4CC8-4EF5-8D37-9B3837E3633B}" type="presParOf" srcId="{42D807D9-08C7-442A-9E44-4F0BC0A41562}" destId="{48E9BA03-7739-4D6F-A1C0-DF79115C6FDE}" srcOrd="0" destOrd="0" presId="urn:microsoft.com/office/officeart/2005/8/layout/hierarchy3"/>
    <dgm:cxn modelId="{D603F253-2A3A-4A5F-B975-B80AC89DB824}" type="presParOf" srcId="{42D807D9-08C7-442A-9E44-4F0BC0A41562}" destId="{283657B9-F591-4BA6-A67D-314150D7B551}" srcOrd="1" destOrd="0" presId="urn:microsoft.com/office/officeart/2005/8/layout/hierarchy3"/>
    <dgm:cxn modelId="{38C48861-1E66-45D0-AC68-8D0903957700}" type="presParOf" srcId="{EE8568D5-56BE-4C5E-B521-55C2960B5C7E}" destId="{998D10DC-E806-42AE-A6B6-D17C71BCE90D}" srcOrd="1" destOrd="0" presId="urn:microsoft.com/office/officeart/2005/8/layout/hierarchy3"/>
    <dgm:cxn modelId="{F04DFCE7-1654-4B29-B632-B0F81B941451}" type="presParOf" srcId="{998D10DC-E806-42AE-A6B6-D17C71BCE90D}" destId="{9716A20C-CD2C-4073-8675-311BA46592F5}" srcOrd="0" destOrd="0" presId="urn:microsoft.com/office/officeart/2005/8/layout/hierarchy3"/>
    <dgm:cxn modelId="{865CBF95-80A5-46B5-A2B6-D4B97CED11F4}" type="presParOf" srcId="{998D10DC-E806-42AE-A6B6-D17C71BCE90D}" destId="{7BE9336B-A08B-4FD0-87A7-703A2A8906C8}" srcOrd="1" destOrd="0" presId="urn:microsoft.com/office/officeart/2005/8/layout/hierarchy3"/>
    <dgm:cxn modelId="{1FBFE64A-815C-48E2-AC8C-7DBCA65E29A1}" type="presParOf" srcId="{310A1E43-F36E-4A87-9425-43095855FC1C}" destId="{9AD994E1-EF94-4A0C-B097-38F4E436903B}" srcOrd="1" destOrd="0" presId="urn:microsoft.com/office/officeart/2005/8/layout/hierarchy3"/>
    <dgm:cxn modelId="{E3EB5465-9773-480C-BFD4-A9CBF66DB9D7}" type="presParOf" srcId="{9AD994E1-EF94-4A0C-B097-38F4E436903B}" destId="{81FCE613-3A14-46D7-8271-F171F93F7E79}" srcOrd="0" destOrd="0" presId="urn:microsoft.com/office/officeart/2005/8/layout/hierarchy3"/>
    <dgm:cxn modelId="{CC657B23-E5C9-45B6-9885-478585FA3F30}" type="presParOf" srcId="{81FCE613-3A14-46D7-8271-F171F93F7E79}" destId="{9E23BC41-006F-43C3-B525-B187D23D71C7}" srcOrd="0" destOrd="0" presId="urn:microsoft.com/office/officeart/2005/8/layout/hierarchy3"/>
    <dgm:cxn modelId="{0283453D-EB96-4310-9670-17C2CDD962A1}" type="presParOf" srcId="{81FCE613-3A14-46D7-8271-F171F93F7E79}" destId="{FBCDD0BF-8055-49CF-8D9E-6C440A9D31CC}" srcOrd="1" destOrd="0" presId="urn:microsoft.com/office/officeart/2005/8/layout/hierarchy3"/>
    <dgm:cxn modelId="{787B80C5-9A9B-4F0C-876E-0D38B806CB0A}" type="presParOf" srcId="{9AD994E1-EF94-4A0C-B097-38F4E436903B}" destId="{0D3BC009-24AA-448B-8AAA-7D23793AB5C2}" srcOrd="1" destOrd="0" presId="urn:microsoft.com/office/officeart/2005/8/layout/hierarchy3"/>
    <dgm:cxn modelId="{82EDE219-79C1-479C-A14B-CC6C5CE21540}" type="presParOf" srcId="{0D3BC009-24AA-448B-8AAA-7D23793AB5C2}" destId="{1967C7AE-0426-4D3C-90E0-E227DFA0551B}" srcOrd="0" destOrd="0" presId="urn:microsoft.com/office/officeart/2005/8/layout/hierarchy3"/>
    <dgm:cxn modelId="{3E72FAE8-7A30-4306-BBE4-9CA201A608E5}" type="presParOf" srcId="{0D3BC009-24AA-448B-8AAA-7D23793AB5C2}" destId="{324828C7-EE9E-44F7-B1DA-9F9F3CE0E904}" srcOrd="1"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9BA03-7739-4D6F-A1C0-DF79115C6FDE}">
      <dsp:nvSpPr>
        <dsp:cNvPr id="0" name=""/>
        <dsp:cNvSpPr/>
      </dsp:nvSpPr>
      <dsp: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Oranges </a:t>
          </a:r>
          <a:r>
            <a:rPr lang="de-DE" sz="1000" kern="1200">
              <a:solidFill>
                <a:sysClr val="window" lastClr="FFFFFF"/>
              </a:solidFill>
              <a:latin typeface="Arial" panose="020B0604020202020204" pitchFamily="34" charset="0"/>
              <a:ea typeface="+mn-ea"/>
              <a:cs typeface="Arial" panose="020B0604020202020204" pitchFamily="34" charset="0"/>
            </a:rPr>
            <a:t>Internationales Saatgutpartie-Zertifikat</a:t>
          </a:r>
          <a:endParaRPr lang="de-CH" sz="1000" kern="1200">
            <a:solidFill>
              <a:sysClr val="window" lastClr="FFFFFF"/>
            </a:solidFill>
            <a:latin typeface="Arial" panose="020B0604020202020204" pitchFamily="34" charset="0"/>
            <a:ea typeface="+mn-ea"/>
            <a:cs typeface="Arial" panose="020B0604020202020204" pitchFamily="34" charset="0"/>
          </a:endParaRPr>
        </a:p>
      </dsp:txBody>
      <dsp:txXfrm>
        <a:off x="11457" y="119817"/>
        <a:ext cx="1811745" cy="352074"/>
      </dsp:txXfrm>
    </dsp:sp>
    <dsp:sp modelId="{9716A20C-CD2C-4073-8675-311BA46592F5}">
      <dsp:nvSpPr>
        <dsp:cNvPr id="0" name=""/>
        <dsp:cNvSpPr/>
      </dsp:nvSpPr>
      <dsp: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sp:spPr>
      <dsp:style>
        <a:lnRef idx="1">
          <a:schemeClr val="accent2"/>
        </a:lnRef>
        <a:fillRef idx="0">
          <a:schemeClr val="accent2"/>
        </a:fillRef>
        <a:effectRef idx="0">
          <a:schemeClr val="accent2"/>
        </a:effectRef>
        <a:fontRef idx="minor">
          <a:schemeClr val="tx1"/>
        </a:fontRef>
      </dsp:style>
    </dsp:sp>
    <dsp:sp modelId="{7BE9336B-A08B-4FD0-87A7-703A2A8906C8}">
      <dsp:nvSpPr>
        <dsp:cNvPr id="0" name=""/>
        <dsp:cNvSpPr/>
      </dsp:nvSpPr>
      <dsp: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DE"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wird ausgestellt, wenn sowohl die Beprobung aus der Partie als auch die Prüfung der Probe unter der Verantwortung eines ISTA-akkreditierten Saatgutprüflabors durchgeführt werden</a:t>
          </a: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394087" y="738905"/>
        <a:ext cx="1413216" cy="863120"/>
      </dsp:txXfrm>
    </dsp:sp>
    <dsp:sp modelId="{9E23BC41-006F-43C3-B525-B187D23D71C7}">
      <dsp:nvSpPr>
        <dsp:cNvPr id="0" name=""/>
        <dsp:cNvSpPr/>
      </dsp:nvSpPr>
      <dsp: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a:solidFill>
                <a:sysClr val="window" lastClr="FFFFFF"/>
              </a:solidFill>
              <a:latin typeface="Arial" panose="020B0604020202020204" pitchFamily="34" charset="0"/>
              <a:ea typeface="+mn-ea"/>
              <a:cs typeface="Arial" panose="020B0604020202020204" pitchFamily="34" charset="0"/>
            </a:rPr>
            <a:t>Blaues Internationales Saatgutbeprobungs-Zertifikat</a:t>
          </a:r>
          <a:endParaRPr lang="de-CH" sz="1000" kern="1200">
            <a:solidFill>
              <a:sysClr val="window" lastClr="FFFFFF"/>
            </a:solidFill>
            <a:latin typeface="Arial" panose="020B0604020202020204" pitchFamily="34" charset="0"/>
            <a:ea typeface="+mn-ea"/>
            <a:cs typeface="Arial" panose="020B0604020202020204" pitchFamily="34" charset="0"/>
          </a:endParaRPr>
        </a:p>
      </dsp:txBody>
      <dsp:txXfrm>
        <a:off x="2303629" y="119922"/>
        <a:ext cx="1811535" cy="355458"/>
      </dsp:txXfrm>
    </dsp:sp>
    <dsp:sp modelId="{1967C7AE-0426-4D3C-90E0-E227DFA0551B}">
      <dsp:nvSpPr>
        <dsp:cNvPr id="0" name=""/>
        <dsp:cNvSpPr/>
      </dsp:nvSpPr>
      <dsp: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24828C7-EE9E-44F7-B1DA-9F9F3CE0E904}">
      <dsp:nvSpPr>
        <dsp:cNvPr id="0" name=""/>
        <dsp:cNvSpPr/>
      </dsp:nvSpPr>
      <dsp: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DE"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wird ausgestellt, wenn die Beprobung aus der Partie nicht unter der Verantwortung eines ISTA-akkreditierten Labors erfolgt. Daher gelten die von dem ISTA-akkreditierten Labor erzielten Ergebnisse nur für die Probe und nicht für die Saatgutprobe, der die Probe entnommen wurde</a:t>
          </a: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2686153" y="742499"/>
        <a:ext cx="1413216" cy="863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28F80-D705-441B-B7A7-9689898B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7652</Words>
  <Characters>43622</Characters>
  <Application>Microsoft Office Word</Application>
  <DocSecurity>0</DocSecurity>
  <Lines>363</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CAJ/78/INF/5</vt:lpstr>
      <vt:lpstr>CAJ/78/INF/5</vt:lpstr>
    </vt:vector>
  </TitlesOfParts>
  <Company>UPOV</Company>
  <LinksUpToDate>false</LinksUpToDate>
  <CharactersWithSpaces>51172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CAJ/78/INF/5</dc:title>
  <dc:creator>SANCHEZ VIZCAINO GOMEZ Rosa Maria</dc:creator>
  <cp:lastModifiedBy>SANTOS Carla Marina</cp:lastModifiedBy>
  <cp:revision>6</cp:revision>
  <cp:lastPrinted>2016-11-22T15:41:00Z</cp:lastPrinted>
  <dcterms:created xsi:type="dcterms:W3CDTF">2021-10-26T14:03:00Z</dcterms:created>
  <dcterms:modified xsi:type="dcterms:W3CDTF">2021-10-29T13:03:00Z</dcterms:modified>
</cp:coreProperties>
</file>