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E25DFD">
        <w:trPr>
          <w:trHeight w:val="1760"/>
        </w:trPr>
        <w:tc>
          <w:tcPr>
            <w:tcW w:w="4243" w:type="dxa"/>
          </w:tcPr>
          <w:p w:rsidR="000D7780" w:rsidRPr="00C5280D" w:rsidRDefault="000D7780" w:rsidP="006655D3"/>
        </w:tc>
        <w:tc>
          <w:tcPr>
            <w:tcW w:w="1646" w:type="dxa"/>
            <w:vAlign w:val="center"/>
          </w:tcPr>
          <w:p w:rsidR="000D7780" w:rsidRPr="00433414" w:rsidRDefault="00473CCA" w:rsidP="006655D3">
            <w:pPr>
              <w:pStyle w:val="LogoUPOV"/>
            </w:pPr>
            <w:r w:rsidRPr="00433414">
              <w:rPr>
                <w:noProof/>
                <w:lang w:val="en-US" w:eastAsia="en-US" w:bidi="ar-SA"/>
              </w:rPr>
              <w:drawing>
                <wp:inline distT="0" distB="0" distL="0" distR="0" wp14:anchorId="7B87AE50" wp14:editId="1F371B97">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33414" w:rsidRDefault="0024416D" w:rsidP="006655D3">
            <w:pPr>
              <w:pStyle w:val="Lettrine"/>
            </w:pPr>
            <w:r w:rsidRPr="00433414">
              <w:t>G</w:t>
            </w:r>
          </w:p>
          <w:p w:rsidR="000D7780" w:rsidRPr="00433414" w:rsidRDefault="00667404" w:rsidP="006655D3">
            <w:pPr>
              <w:pStyle w:val="Docoriginal"/>
            </w:pPr>
            <w:r w:rsidRPr="00433414">
              <w:t>CAJ/72/</w:t>
            </w:r>
            <w:bookmarkStart w:id="0" w:name="Code"/>
            <w:bookmarkEnd w:id="0"/>
            <w:r w:rsidRPr="00433414">
              <w:t>7</w:t>
            </w:r>
          </w:p>
          <w:p w:rsidR="000D7780" w:rsidRPr="00433414" w:rsidRDefault="0061555F" w:rsidP="006655D3">
            <w:pPr>
              <w:pStyle w:val="Docoriginal"/>
              <w:rPr>
                <w:b w:val="0"/>
                <w:spacing w:val="0"/>
              </w:rPr>
            </w:pPr>
            <w:r w:rsidRPr="00433414">
              <w:rPr>
                <w:rStyle w:val="StyleDoclangBold"/>
                <w:b/>
                <w:spacing w:val="0"/>
              </w:rPr>
              <w:t>ORIGINAL:</w:t>
            </w:r>
            <w:bookmarkStart w:id="1" w:name="Original"/>
            <w:bookmarkEnd w:id="1"/>
            <w:r w:rsidR="009A056B" w:rsidRPr="00433414">
              <w:rPr>
                <w:rStyle w:val="StyleDocoriginalNotBold1"/>
                <w:spacing w:val="0"/>
              </w:rPr>
              <w:t xml:space="preserve"> </w:t>
            </w:r>
            <w:r w:rsidRPr="00433414">
              <w:rPr>
                <w:b w:val="0"/>
                <w:spacing w:val="0"/>
              </w:rPr>
              <w:t>englisch</w:t>
            </w:r>
          </w:p>
          <w:p w:rsidR="000D7780" w:rsidRPr="00E33D30" w:rsidRDefault="000D7780" w:rsidP="00433414">
            <w:pPr>
              <w:pStyle w:val="Docoriginal"/>
              <w:rPr>
                <w:spacing w:val="0"/>
              </w:rPr>
            </w:pPr>
            <w:r w:rsidRPr="00433414">
              <w:t xml:space="preserve">DATUM: </w:t>
            </w:r>
            <w:bookmarkStart w:id="2" w:name="Date"/>
            <w:bookmarkEnd w:id="2"/>
            <w:r w:rsidRPr="00433414">
              <w:rPr>
                <w:rStyle w:val="StyleDocoriginalNotBold1"/>
                <w:spacing w:val="0"/>
              </w:rPr>
              <w:t>1</w:t>
            </w:r>
            <w:r w:rsidR="00433414" w:rsidRPr="00433414">
              <w:rPr>
                <w:rStyle w:val="StyleDocoriginalNotBold1"/>
                <w:spacing w:val="0"/>
              </w:rPr>
              <w:t>6</w:t>
            </w:r>
            <w:r w:rsidRPr="00433414">
              <w:rPr>
                <w:rStyle w:val="StyleDocoriginalNotBold1"/>
                <w:spacing w:val="0"/>
              </w:rPr>
              <w:t xml:space="preserve">. </w:t>
            </w:r>
            <w:r w:rsidR="00433414" w:rsidRPr="00433414">
              <w:rPr>
                <w:rStyle w:val="StyleDocoriginalNotBold1"/>
                <w:spacing w:val="0"/>
              </w:rPr>
              <w:t xml:space="preserve">September </w:t>
            </w:r>
            <w:r w:rsidRPr="00433414">
              <w:rPr>
                <w:b w:val="0"/>
                <w:spacing w:val="0"/>
              </w:rPr>
              <w:t>2015</w:t>
            </w:r>
            <w:bookmarkStart w:id="3" w:name="_GoBack"/>
            <w:bookmarkEnd w:id="3"/>
          </w:p>
        </w:tc>
      </w:tr>
      <w:tr w:rsidR="000D7780" w:rsidRPr="00C5280D" w:rsidTr="00E25DFD">
        <w:tc>
          <w:tcPr>
            <w:tcW w:w="10131"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E25DFD">
        <w:tc>
          <w:tcPr>
            <w:tcW w:w="10131" w:type="dxa"/>
            <w:gridSpan w:val="3"/>
          </w:tcPr>
          <w:p w:rsidR="000D7780" w:rsidRPr="00C5280D" w:rsidRDefault="00867AC1" w:rsidP="006655D3">
            <w:pPr>
              <w:pStyle w:val="Country"/>
            </w:pPr>
            <w:r>
              <w:t>Genf</w:t>
            </w:r>
          </w:p>
        </w:tc>
      </w:tr>
    </w:tbl>
    <w:p w:rsidR="00E25DFD" w:rsidRPr="00997029" w:rsidRDefault="00E25DFD" w:rsidP="00E25DFD">
      <w:pPr>
        <w:pStyle w:val="Sessiontc"/>
      </w:pPr>
      <w:r>
        <w:t>verwaltungs- UND rechtsAUSSCHUSS</w:t>
      </w:r>
    </w:p>
    <w:p w:rsidR="00361821" w:rsidRPr="00C5280D" w:rsidRDefault="00E25DFD" w:rsidP="00E25DFD">
      <w:pPr>
        <w:pStyle w:val="Sessiontcplacedate"/>
      </w:pPr>
      <w:r>
        <w:t>Zweiundsiebzigste Tagung</w:t>
      </w:r>
      <w:r>
        <w:br/>
        <w:t>Genf, 26. und 27. Oktober 2015</w:t>
      </w:r>
    </w:p>
    <w:p w:rsidR="000D7780" w:rsidRPr="00C5280D" w:rsidRDefault="00934708" w:rsidP="006655D3">
      <w:pPr>
        <w:pStyle w:val="Titleofdoc0"/>
      </w:pPr>
      <w:bookmarkStart w:id="4" w:name="TitleOfDoc"/>
      <w:bookmarkEnd w:id="4"/>
      <w:r>
        <w:t>Austausch und Verwendung von Software und Ausrüstung</w:t>
      </w:r>
    </w:p>
    <w:p w:rsidR="00050E16" w:rsidRPr="00C5280D" w:rsidRDefault="00AE0EF1" w:rsidP="00050E16">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DB7361" w:rsidRPr="009D77D3" w:rsidRDefault="00DB7361" w:rsidP="00DB7361">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0899658"/>
      <w:bookmarkStart w:id="14" w:name="_Toc427071419"/>
      <w:bookmarkStart w:id="15" w:name="_Toc429147079"/>
      <w:r>
        <w:t>Zusammenfassung</w:t>
      </w:r>
      <w:bookmarkEnd w:id="6"/>
      <w:bookmarkEnd w:id="7"/>
      <w:bookmarkEnd w:id="8"/>
      <w:bookmarkEnd w:id="9"/>
      <w:bookmarkEnd w:id="10"/>
      <w:bookmarkEnd w:id="11"/>
      <w:bookmarkEnd w:id="12"/>
      <w:bookmarkEnd w:id="13"/>
      <w:bookmarkEnd w:id="14"/>
      <w:bookmarkEnd w:id="15"/>
    </w:p>
    <w:p w:rsidR="00DB7361" w:rsidRDefault="00DB7361" w:rsidP="008C35F9">
      <w:pPr>
        <w:rPr>
          <w:snapToGrid w:val="0"/>
        </w:rPr>
      </w:pPr>
    </w:p>
    <w:p w:rsidR="00E6753C" w:rsidRDefault="006A502F" w:rsidP="008C35F9">
      <w:pPr>
        <w:rPr>
          <w:snapToGrid w:val="0"/>
        </w:rPr>
      </w:pPr>
      <w:r w:rsidRPr="00640020">
        <w:rPr>
          <w:snapToGrid w:val="0"/>
        </w:rPr>
        <w:fldChar w:fldCharType="begin"/>
      </w:r>
      <w:r w:rsidR="00E6753C" w:rsidRPr="00640020">
        <w:rPr>
          <w:snapToGrid w:val="0"/>
        </w:rPr>
        <w:instrText xml:space="preserve"> AUTONUM  </w:instrText>
      </w:r>
      <w:r w:rsidRPr="00640020">
        <w:rPr>
          <w:snapToGrid w:val="0"/>
        </w:rPr>
        <w:fldChar w:fldCharType="end"/>
      </w:r>
      <w:r w:rsidR="008E4AC5">
        <w:tab/>
        <w:t>Zweck dieses Dokuments ist es, über Entwicklungen betreffend den Austausch und die Verwendung von Software und Ausrüstung zu berichten.</w:t>
      </w:r>
    </w:p>
    <w:p w:rsidR="00031850" w:rsidRDefault="00031850" w:rsidP="008C35F9">
      <w:pPr>
        <w:rPr>
          <w:snapToGrid w:val="0"/>
        </w:rPr>
      </w:pPr>
    </w:p>
    <w:p w:rsidR="0061529B" w:rsidRDefault="006A502F" w:rsidP="00F66A03">
      <w:pPr>
        <w:tabs>
          <w:tab w:val="left" w:pos="540"/>
        </w:tabs>
        <w:rPr>
          <w:rFonts w:eastAsia="MS Mincho"/>
        </w:rPr>
      </w:pPr>
      <w:r w:rsidRPr="00567A9C">
        <w:rPr>
          <w:rFonts w:eastAsia="MS Mincho"/>
        </w:rPr>
        <w:fldChar w:fldCharType="begin"/>
      </w:r>
      <w:r w:rsidR="00F66A03" w:rsidRPr="00567A9C">
        <w:rPr>
          <w:rFonts w:eastAsia="MS Mincho"/>
        </w:rPr>
        <w:instrText xml:space="preserve"> AUTONUM  </w:instrText>
      </w:r>
      <w:r w:rsidRPr="00567A9C">
        <w:rPr>
          <w:rFonts w:eastAsia="MS Mincho"/>
        </w:rPr>
        <w:fldChar w:fldCharType="end"/>
      </w:r>
      <w:r w:rsidR="008E4AC5">
        <w:tab/>
        <w:t xml:space="preserve">Der CAJ wird ersucht, zur Kenntnis zu nehmen, </w:t>
      </w:r>
      <w:r w:rsidR="009A056B">
        <w:t>daß</w:t>
      </w:r>
      <w:r w:rsidR="008E4AC5">
        <w:t xml:space="preserve"> der TC auf seiner zweiundfünfzigsten Tagung vom 14. bis 16. März 2016 in Genf darüber unterrichtet wird, </w:t>
      </w:r>
      <w:r w:rsidR="009A056B">
        <w:t>daß</w:t>
      </w:r>
      <w:r w:rsidR="008E4AC5">
        <w:t xml:space="preserve"> die Erörterungen über die Aufnahme der SISNAVA-Software in Dokument UPOV/INF/16 in der TWC </w:t>
      </w:r>
      <w:r w:rsidR="001D74B8">
        <w:t xml:space="preserve">auf ihrer vierunddreißigsten Tagung </w:t>
      </w:r>
      <w:r w:rsidR="0000282C">
        <w:t>im Jahr </w:t>
      </w:r>
      <w:r w:rsidR="002D121B">
        <w:t xml:space="preserve">2016 </w:t>
      </w:r>
      <w:r w:rsidR="008E4AC5">
        <w:t>fortgeführt werden.</w:t>
      </w:r>
    </w:p>
    <w:p w:rsidR="00630931" w:rsidRDefault="00630931">
      <w:pPr>
        <w:jc w:val="left"/>
        <w:rPr>
          <w:color w:val="000000"/>
        </w:rPr>
      </w:pPr>
    </w:p>
    <w:p w:rsidR="00A45FAD" w:rsidRPr="00962F67" w:rsidRDefault="006A502F" w:rsidP="00362D8F">
      <w:pPr>
        <w:rPr>
          <w:color w:val="000000"/>
        </w:rPr>
      </w:pPr>
      <w:r w:rsidRPr="00962F67">
        <w:rPr>
          <w:color w:val="000000"/>
        </w:rPr>
        <w:fldChar w:fldCharType="begin"/>
      </w:r>
      <w:r w:rsidR="00A45FAD" w:rsidRPr="00962F67">
        <w:rPr>
          <w:color w:val="000000"/>
        </w:rPr>
        <w:instrText xml:space="preserve"> AUTONUM  </w:instrText>
      </w:r>
      <w:r w:rsidRPr="00962F67">
        <w:rPr>
          <w:color w:val="000000"/>
        </w:rPr>
        <w:fldChar w:fldCharType="end"/>
      </w:r>
      <w:r w:rsidR="008E4AC5">
        <w:tab/>
        <w:t>In diesem Dokument werden folgende Abkürzungen verwendet:</w:t>
      </w:r>
    </w:p>
    <w:p w:rsidR="00A45FAD" w:rsidRPr="00962F67" w:rsidRDefault="00A45FAD" w:rsidP="00362D8F">
      <w:pPr>
        <w:ind w:left="1692" w:hanging="1125"/>
        <w:jc w:val="left"/>
        <w:rPr>
          <w:color w:val="000000"/>
        </w:rPr>
      </w:pPr>
    </w:p>
    <w:p w:rsidR="00A45FAD" w:rsidRPr="00962F67" w:rsidRDefault="00A45FAD" w:rsidP="00362D8F">
      <w:pPr>
        <w:tabs>
          <w:tab w:val="left" w:pos="567"/>
          <w:tab w:val="left" w:pos="1701"/>
        </w:tabs>
      </w:pPr>
      <w:r>
        <w:tab/>
        <w:t>CAJ:</w:t>
      </w:r>
      <w:r w:rsidR="009A056B">
        <w:t xml:space="preserve"> </w:t>
      </w:r>
      <w:r>
        <w:tab/>
        <w:t>Verwaltungs- und Rechtsausschuß</w:t>
      </w:r>
    </w:p>
    <w:p w:rsidR="00A45FAD" w:rsidRPr="00962F67" w:rsidRDefault="001B7B7A" w:rsidP="00362D8F">
      <w:pPr>
        <w:tabs>
          <w:tab w:val="left" w:pos="567"/>
          <w:tab w:val="left" w:pos="1701"/>
        </w:tabs>
      </w:pPr>
      <w:r>
        <w:tab/>
        <w:t>TC:</w:t>
      </w:r>
      <w:r w:rsidR="009A056B">
        <w:t xml:space="preserve"> </w:t>
      </w:r>
      <w:r>
        <w:tab/>
        <w:t>Technischer Ausschuß</w:t>
      </w:r>
    </w:p>
    <w:p w:rsidR="004B04F6" w:rsidRDefault="001B7B7A" w:rsidP="00362D8F">
      <w:pPr>
        <w:tabs>
          <w:tab w:val="left" w:pos="567"/>
          <w:tab w:val="left" w:pos="1701"/>
        </w:tabs>
      </w:pPr>
      <w:r>
        <w:tab/>
        <w:t>TWC:</w:t>
      </w:r>
      <w:r>
        <w:tab/>
        <w:t>Technische Arbeitsgruppe für Automatisierung und Computerprogramme</w:t>
      </w:r>
    </w:p>
    <w:p w:rsidR="006161C2" w:rsidRDefault="001B7B7A" w:rsidP="00362D8F">
      <w:pPr>
        <w:tabs>
          <w:tab w:val="left" w:pos="567"/>
          <w:tab w:val="left" w:pos="1701"/>
        </w:tabs>
      </w:pPr>
      <w:r>
        <w:tab/>
        <w:t>TWP:</w:t>
      </w:r>
      <w:r>
        <w:tab/>
        <w:t>Technische Arbeitsgruppen</w:t>
      </w:r>
    </w:p>
    <w:p w:rsidR="002F2BB8" w:rsidRDefault="002F2BB8" w:rsidP="00362D8F">
      <w:pPr>
        <w:pStyle w:val="Heading1"/>
        <w:keepNext w:val="0"/>
        <w:rPr>
          <w:rFonts w:eastAsia="MS Mincho"/>
        </w:rPr>
      </w:pPr>
      <w:bookmarkStart w:id="16" w:name="_Toc380588283"/>
    </w:p>
    <w:p w:rsidR="00362D8F" w:rsidRDefault="006A502F" w:rsidP="00362D8F">
      <w:pPr>
        <w:keepNext/>
      </w:pPr>
      <w:r w:rsidRPr="007C25BD">
        <w:fldChar w:fldCharType="begin"/>
      </w:r>
      <w:r w:rsidR="00362D8F" w:rsidRPr="007C25BD">
        <w:instrText xml:space="preserve"> AUTONUM  </w:instrText>
      </w:r>
      <w:r w:rsidRPr="007C25BD">
        <w:fldChar w:fldCharType="end"/>
      </w:r>
      <w:r w:rsidR="008E4AC5">
        <w:tab/>
        <w:t>Der Aufbau dieses Dokuments ist nachstehend zusammengefaßt:</w:t>
      </w:r>
    </w:p>
    <w:p w:rsidR="006977C9" w:rsidRDefault="006977C9" w:rsidP="006977C9"/>
    <w:p w:rsidR="009A056B" w:rsidRPr="009A056B" w:rsidRDefault="006A502F">
      <w:pPr>
        <w:pStyle w:val="TOC1"/>
        <w:rPr>
          <w:rFonts w:asciiTheme="minorHAnsi" w:hAnsiTheme="minorHAnsi" w:cstheme="minorBidi"/>
          <w:caps w:val="0"/>
          <w:noProof/>
          <w:sz w:val="22"/>
          <w:szCs w:val="22"/>
          <w:lang w:eastAsia="fr-FR" w:bidi="ar-SA"/>
        </w:rPr>
      </w:pPr>
      <w:r>
        <w:fldChar w:fldCharType="begin"/>
      </w:r>
      <w:r w:rsidR="009353D3">
        <w:instrText xml:space="preserve"> TOC \o "1-1" \u </w:instrText>
      </w:r>
      <w:r>
        <w:fldChar w:fldCharType="separate"/>
      </w:r>
      <w:r w:rsidR="009A056B">
        <w:rPr>
          <w:noProof/>
        </w:rPr>
        <w:t>Zusammenfassung</w:t>
      </w:r>
      <w:r w:rsidR="009A056B">
        <w:rPr>
          <w:noProof/>
        </w:rPr>
        <w:tab/>
      </w:r>
      <w:r>
        <w:rPr>
          <w:noProof/>
        </w:rPr>
        <w:fldChar w:fldCharType="begin"/>
      </w:r>
      <w:r w:rsidR="009A056B">
        <w:rPr>
          <w:noProof/>
        </w:rPr>
        <w:instrText xml:space="preserve"> PAGEREF _Toc429147079 \h </w:instrText>
      </w:r>
      <w:r>
        <w:rPr>
          <w:noProof/>
        </w:rPr>
      </w:r>
      <w:r>
        <w:rPr>
          <w:noProof/>
        </w:rPr>
        <w:fldChar w:fldCharType="separate"/>
      </w:r>
      <w:r w:rsidR="00303A78">
        <w:rPr>
          <w:noProof/>
        </w:rPr>
        <w:t>1</w:t>
      </w:r>
      <w:r>
        <w:rPr>
          <w:noProof/>
        </w:rPr>
        <w:fldChar w:fldCharType="end"/>
      </w:r>
    </w:p>
    <w:p w:rsidR="009A056B" w:rsidRPr="009A056B" w:rsidRDefault="009A056B">
      <w:pPr>
        <w:pStyle w:val="TOC1"/>
        <w:rPr>
          <w:rFonts w:asciiTheme="minorHAnsi" w:hAnsiTheme="minorHAnsi" w:cstheme="minorBidi"/>
          <w:caps w:val="0"/>
          <w:noProof/>
          <w:sz w:val="22"/>
          <w:szCs w:val="22"/>
          <w:lang w:eastAsia="fr-FR" w:bidi="ar-SA"/>
        </w:rPr>
      </w:pPr>
      <w:r>
        <w:rPr>
          <w:noProof/>
        </w:rPr>
        <w:t>ZWECK</w:t>
      </w:r>
      <w:r>
        <w:rPr>
          <w:noProof/>
        </w:rPr>
        <w:tab/>
      </w:r>
      <w:r w:rsidR="006A502F">
        <w:rPr>
          <w:noProof/>
        </w:rPr>
        <w:fldChar w:fldCharType="begin"/>
      </w:r>
      <w:r>
        <w:rPr>
          <w:noProof/>
        </w:rPr>
        <w:instrText xml:space="preserve"> PAGEREF _Toc429147080 \h </w:instrText>
      </w:r>
      <w:r w:rsidR="006A502F">
        <w:rPr>
          <w:noProof/>
        </w:rPr>
      </w:r>
      <w:r w:rsidR="006A502F">
        <w:rPr>
          <w:noProof/>
        </w:rPr>
        <w:fldChar w:fldCharType="separate"/>
      </w:r>
      <w:r w:rsidR="00303A78">
        <w:rPr>
          <w:noProof/>
        </w:rPr>
        <w:t>2</w:t>
      </w:r>
      <w:r w:rsidR="006A502F">
        <w:rPr>
          <w:noProof/>
        </w:rPr>
        <w:fldChar w:fldCharType="end"/>
      </w:r>
    </w:p>
    <w:p w:rsidR="009A056B" w:rsidRPr="009A056B" w:rsidRDefault="009A056B">
      <w:pPr>
        <w:pStyle w:val="TOC1"/>
        <w:rPr>
          <w:rFonts w:asciiTheme="minorHAnsi" w:hAnsiTheme="minorHAnsi" w:cstheme="minorBidi"/>
          <w:caps w:val="0"/>
          <w:noProof/>
          <w:sz w:val="22"/>
          <w:szCs w:val="22"/>
          <w:lang w:eastAsia="fr-FR" w:bidi="ar-SA"/>
        </w:rPr>
      </w:pPr>
      <w:r>
        <w:rPr>
          <w:noProof/>
        </w:rPr>
        <w:t>Dokument UPOV/INF/16 „Austauschbare Software“</w:t>
      </w:r>
      <w:r>
        <w:rPr>
          <w:noProof/>
        </w:rPr>
        <w:tab/>
      </w:r>
      <w:r w:rsidR="006A502F">
        <w:rPr>
          <w:noProof/>
        </w:rPr>
        <w:fldChar w:fldCharType="begin"/>
      </w:r>
      <w:r>
        <w:rPr>
          <w:noProof/>
        </w:rPr>
        <w:instrText xml:space="preserve"> PAGEREF _Toc429147081 \h </w:instrText>
      </w:r>
      <w:r w:rsidR="006A502F">
        <w:rPr>
          <w:noProof/>
        </w:rPr>
      </w:r>
      <w:r w:rsidR="006A502F">
        <w:rPr>
          <w:noProof/>
        </w:rPr>
        <w:fldChar w:fldCharType="separate"/>
      </w:r>
      <w:r w:rsidR="00303A78">
        <w:rPr>
          <w:noProof/>
        </w:rPr>
        <w:t>2</w:t>
      </w:r>
      <w:r w:rsidR="006A502F">
        <w:rPr>
          <w:noProof/>
        </w:rPr>
        <w:fldChar w:fldCharType="end"/>
      </w:r>
    </w:p>
    <w:p w:rsidR="00AE3E8A" w:rsidRDefault="006A502F">
      <w:pPr>
        <w:pStyle w:val="TOC1"/>
        <w:rPr>
          <w:rFonts w:asciiTheme="minorHAnsi" w:hAnsiTheme="minorHAnsi" w:cstheme="minorBidi"/>
          <w:caps w:val="0"/>
          <w:noProof/>
          <w:sz w:val="22"/>
          <w:szCs w:val="22"/>
        </w:rPr>
      </w:pPr>
      <w:r>
        <w:fldChar w:fldCharType="end"/>
      </w:r>
    </w:p>
    <w:p w:rsidR="00630931" w:rsidRDefault="00630931">
      <w:pPr>
        <w:jc w:val="left"/>
        <w:rPr>
          <w:caps/>
        </w:rPr>
      </w:pPr>
    </w:p>
    <w:p w:rsidR="0061529B" w:rsidRDefault="0061529B">
      <w:pPr>
        <w:jc w:val="left"/>
        <w:rPr>
          <w:caps/>
        </w:rPr>
      </w:pPr>
      <w:r>
        <w:br w:type="page"/>
      </w:r>
    </w:p>
    <w:p w:rsidR="00031850" w:rsidRPr="009D77D3" w:rsidRDefault="00031850" w:rsidP="00630931">
      <w:pPr>
        <w:pStyle w:val="Heading1"/>
        <w:keepNext w:val="0"/>
      </w:pPr>
      <w:bookmarkStart w:id="17" w:name="_Toc427071420"/>
      <w:bookmarkStart w:id="18" w:name="_Toc429147080"/>
      <w:r>
        <w:lastRenderedPageBreak/>
        <w:t>ZWECK</w:t>
      </w:r>
      <w:bookmarkEnd w:id="17"/>
      <w:bookmarkEnd w:id="18"/>
    </w:p>
    <w:p w:rsidR="00031850" w:rsidRDefault="00031850" w:rsidP="00630931">
      <w:pPr>
        <w:pStyle w:val="Heading1"/>
        <w:keepNext w:val="0"/>
        <w:rPr>
          <w:rFonts w:eastAsia="MS Mincho"/>
        </w:rPr>
      </w:pPr>
    </w:p>
    <w:p w:rsidR="00031850" w:rsidRDefault="006A502F" w:rsidP="00630931">
      <w:pPr>
        <w:rPr>
          <w:snapToGrid w:val="0"/>
        </w:rPr>
      </w:pPr>
      <w:r w:rsidRPr="00640020">
        <w:rPr>
          <w:snapToGrid w:val="0"/>
        </w:rPr>
        <w:fldChar w:fldCharType="begin"/>
      </w:r>
      <w:r w:rsidR="00031850" w:rsidRPr="00640020">
        <w:rPr>
          <w:snapToGrid w:val="0"/>
        </w:rPr>
        <w:instrText xml:space="preserve"> AUTONUM  </w:instrText>
      </w:r>
      <w:r w:rsidRPr="00640020">
        <w:rPr>
          <w:snapToGrid w:val="0"/>
        </w:rPr>
        <w:fldChar w:fldCharType="end"/>
      </w:r>
      <w:r w:rsidR="008E4AC5">
        <w:tab/>
        <w:t>Zweck dieses Dokuments ist es, über Entwicklungen betreffend Austausch und die Verwendung von Software und Ausrüstung zu berichten.</w:t>
      </w:r>
    </w:p>
    <w:p w:rsidR="00031850" w:rsidRDefault="00031850" w:rsidP="00630931">
      <w:pPr>
        <w:pStyle w:val="Heading1"/>
        <w:keepNext w:val="0"/>
        <w:rPr>
          <w:rFonts w:eastAsia="MS Mincho"/>
        </w:rPr>
      </w:pPr>
    </w:p>
    <w:p w:rsidR="00031850" w:rsidRDefault="00031850" w:rsidP="00630931">
      <w:pPr>
        <w:pStyle w:val="Heading1"/>
        <w:keepNext w:val="0"/>
        <w:rPr>
          <w:rFonts w:eastAsia="MS Mincho"/>
        </w:rPr>
      </w:pPr>
    </w:p>
    <w:p w:rsidR="0033729B" w:rsidRPr="0033729B" w:rsidRDefault="00962F67" w:rsidP="00630931">
      <w:pPr>
        <w:pStyle w:val="Heading1"/>
        <w:keepNext w:val="0"/>
        <w:rPr>
          <w:rFonts w:eastAsia="MS Mincho" w:cs="Arial"/>
          <w:snapToGrid w:val="0"/>
        </w:rPr>
      </w:pPr>
      <w:bookmarkStart w:id="19" w:name="_Toc427071421"/>
      <w:bookmarkStart w:id="20" w:name="_Toc429147081"/>
      <w:r>
        <w:t>Dokument UPOV/INF/16 „Austauschbare Software“</w:t>
      </w:r>
      <w:bookmarkEnd w:id="16"/>
      <w:bookmarkEnd w:id="19"/>
      <w:bookmarkEnd w:id="20"/>
    </w:p>
    <w:p w:rsidR="00962F67" w:rsidRPr="0033729B" w:rsidRDefault="00962F67" w:rsidP="0033729B">
      <w:pPr>
        <w:rPr>
          <w:rFonts w:eastAsia="MS Mincho"/>
          <w:color w:val="000080"/>
        </w:rPr>
      </w:pPr>
    </w:p>
    <w:p w:rsidR="0033729B" w:rsidRPr="0033729B" w:rsidRDefault="006A502F" w:rsidP="0033729B">
      <w:pPr>
        <w:rPr>
          <w:rFonts w:eastAsia="MS Mincho"/>
        </w:rPr>
      </w:pPr>
      <w:r w:rsidRPr="007025E4">
        <w:rPr>
          <w:rFonts w:eastAsia="MS Mincho"/>
          <w:snapToGrid w:val="0"/>
          <w:color w:val="000000"/>
        </w:rPr>
        <w:fldChar w:fldCharType="begin"/>
      </w:r>
      <w:r w:rsidR="0033729B" w:rsidRPr="007025E4">
        <w:rPr>
          <w:rFonts w:eastAsia="MS Mincho"/>
          <w:snapToGrid w:val="0"/>
          <w:color w:val="000000"/>
        </w:rPr>
        <w:instrText xml:space="preserve"> AUTONUM  </w:instrText>
      </w:r>
      <w:r w:rsidRPr="007025E4">
        <w:rPr>
          <w:rFonts w:eastAsia="MS Mincho"/>
          <w:snapToGrid w:val="0"/>
          <w:color w:val="000000"/>
        </w:rPr>
        <w:fldChar w:fldCharType="end"/>
      </w:r>
      <w:r w:rsidR="008E4AC5">
        <w:tab/>
      </w:r>
      <w:r w:rsidR="00686FCA" w:rsidRPr="0044601A">
        <w:rPr>
          <w:rFonts w:cs="Arial"/>
          <w:szCs w:val="24"/>
          <w:lang w:val="de-CH"/>
        </w:rPr>
        <w:t xml:space="preserve">Das Verfahren zur Prüfung der zur Aufnahme in Dokument </w:t>
      </w:r>
      <w:r w:rsidR="008E4AC5">
        <w:t xml:space="preserve">UPOV/INF/16 „Austauschbare Software“ </w:t>
      </w:r>
      <w:r w:rsidR="009A056B">
        <w:t>vorgeschlagen</w:t>
      </w:r>
      <w:r w:rsidR="00686FCA">
        <w:t>en Software wird</w:t>
      </w:r>
      <w:r w:rsidR="008E4AC5">
        <w:t xml:space="preserve"> in Dokument UPOV/INF/16 „Austauschbare Software“ </w:t>
      </w:r>
      <w:r w:rsidR="00686FCA">
        <w:t xml:space="preserve">wie folgt </w:t>
      </w:r>
      <w:r w:rsidR="008E4AC5">
        <w:t>dargelegt:</w:t>
      </w:r>
    </w:p>
    <w:p w:rsidR="0033729B" w:rsidRPr="0033729B" w:rsidRDefault="0033729B" w:rsidP="0033729B">
      <w:pPr>
        <w:rPr>
          <w:rFonts w:eastAsia="MS Mincho"/>
        </w:rPr>
      </w:pPr>
    </w:p>
    <w:p w:rsidR="0033729B" w:rsidRPr="0033729B" w:rsidRDefault="00467A5E" w:rsidP="0033729B">
      <w:pPr>
        <w:ind w:left="567" w:right="567"/>
        <w:rPr>
          <w:rFonts w:eastAsia="MS Mincho"/>
          <w:sz w:val="18"/>
          <w:szCs w:val="18"/>
        </w:rPr>
      </w:pPr>
      <w:r>
        <w:rPr>
          <w:sz w:val="18"/>
        </w:rPr>
        <w:t>„2.</w:t>
      </w:r>
      <w:r>
        <w:tab/>
      </w:r>
      <w:r>
        <w:rPr>
          <w:sz w:val="18"/>
        </w:rPr>
        <w:t>Verfahren für die Einbeziehung der Software</w:t>
      </w:r>
    </w:p>
    <w:p w:rsidR="0033729B" w:rsidRPr="0033729B" w:rsidRDefault="0033729B" w:rsidP="0033729B">
      <w:pPr>
        <w:ind w:right="567"/>
        <w:rPr>
          <w:rFonts w:eastAsia="MS Mincho"/>
          <w:sz w:val="18"/>
          <w:szCs w:val="18"/>
        </w:rPr>
      </w:pPr>
    </w:p>
    <w:p w:rsidR="0033729B" w:rsidRPr="0033729B" w:rsidRDefault="0033729B" w:rsidP="0033729B">
      <w:pPr>
        <w:ind w:left="567" w:right="567"/>
        <w:rPr>
          <w:rFonts w:eastAsia="MS Mincho"/>
          <w:sz w:val="18"/>
          <w:szCs w:val="18"/>
        </w:rPr>
      </w:pPr>
      <w:r>
        <w:rPr>
          <w:sz w:val="18"/>
        </w:rPr>
        <w:t xml:space="preserve">Die von den Verbandsmitgliedern zur Aufnahme in das Dokument UPOV/INF/16 angebotene Software wird insbesondere der Technischen Arbeitsgruppe für Automatisierung und Computerprogramme (TWC) zur Überprüfung vorgelegt. Aufgrund dieser Vorlage an die TWC und der Erfahrung der Verbandsmitglieder gibt die TWC eine Empfehlung an den Technischen Ausschuß </w:t>
      </w:r>
      <w:r w:rsidR="00686FCA" w:rsidRPr="0044601A">
        <w:rPr>
          <w:rFonts w:eastAsia="Times New Roman" w:cs="Arial"/>
          <w:sz w:val="18"/>
          <w:szCs w:val="24"/>
          <w:lang w:val="de-CH"/>
        </w:rPr>
        <w:t xml:space="preserve">(TC) </w:t>
      </w:r>
      <w:r>
        <w:rPr>
          <w:sz w:val="18"/>
        </w:rPr>
        <w:t>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r w:rsidR="00E108B0">
        <w:rPr>
          <w:sz w:val="18"/>
        </w:rPr>
        <w:t>“</w:t>
      </w:r>
    </w:p>
    <w:p w:rsidR="00DA367F" w:rsidRPr="000652B5" w:rsidRDefault="00DA367F" w:rsidP="000652B5"/>
    <w:p w:rsidR="002941C6" w:rsidRDefault="006A502F" w:rsidP="00DA367F">
      <w:pPr>
        <w:rPr>
          <w:snapToGrid w:val="0"/>
          <w:vertAlign w:val="superscript"/>
        </w:rPr>
      </w:pPr>
      <w:r w:rsidRPr="002941C6">
        <w:rPr>
          <w:color w:val="000000" w:themeColor="text1"/>
        </w:rPr>
        <w:fldChar w:fldCharType="begin"/>
      </w:r>
      <w:r w:rsidR="002941C6" w:rsidRPr="002941C6">
        <w:rPr>
          <w:color w:val="000000" w:themeColor="text1"/>
        </w:rPr>
        <w:instrText xml:space="preserve"> AUTONUM  </w:instrText>
      </w:r>
      <w:r w:rsidRPr="002941C6">
        <w:rPr>
          <w:color w:val="000000" w:themeColor="text1"/>
        </w:rPr>
        <w:fldChar w:fldCharType="end"/>
      </w:r>
      <w:r w:rsidR="008E4AC5">
        <w:tab/>
      </w:r>
      <w:r w:rsidR="008E4AC5">
        <w:rPr>
          <w:color w:val="000000" w:themeColor="text1"/>
        </w:rPr>
        <w:t>Die TWC hörte auf ihrer zweiunddreißigsten Tagung</w:t>
      </w:r>
      <w:r w:rsidR="008E4AC5">
        <w:rPr>
          <w:color w:val="000000" w:themeColor="text1"/>
          <w:vertAlign w:val="superscript"/>
        </w:rPr>
        <w:footnoteReference w:id="2"/>
      </w:r>
      <w:r w:rsidR="008E4AC5">
        <w:rPr>
          <w:color w:val="000000" w:themeColor="text1"/>
        </w:rPr>
        <w:t xml:space="preserve"> auf elektronischem Wege ein Referat von einem Sachverständig</w:t>
      </w:r>
      <w:r w:rsidR="00E108B0">
        <w:rPr>
          <w:color w:val="000000" w:themeColor="text1"/>
        </w:rPr>
        <w:t>en aus Mexiko über die SISNAVA-</w:t>
      </w:r>
      <w:r w:rsidR="009A056B">
        <w:rPr>
          <w:color w:val="000000" w:themeColor="text1"/>
        </w:rPr>
        <w:t>S</w:t>
      </w:r>
      <w:r w:rsidR="008E4AC5">
        <w:rPr>
          <w:color w:val="000000" w:themeColor="text1"/>
        </w:rPr>
        <w:t>oftware, wie in der Anlage V zu Dokument TWC/32/7</w:t>
      </w:r>
      <w:r w:rsidR="008E4AC5">
        <w:rPr>
          <w:color w:val="000000" w:themeColor="text1"/>
          <w:vertAlign w:val="superscript"/>
        </w:rPr>
        <w:footnoteReference w:id="3"/>
      </w:r>
      <w:r w:rsidR="008E4AC5">
        <w:rPr>
          <w:color w:val="000000" w:themeColor="text1"/>
        </w:rPr>
        <w:t xml:space="preserve"> dargelegt.</w:t>
      </w:r>
    </w:p>
    <w:p w:rsidR="002941C6" w:rsidRPr="000652B5" w:rsidRDefault="002941C6" w:rsidP="000652B5"/>
    <w:p w:rsidR="00DA367F" w:rsidRPr="00DA367F" w:rsidRDefault="006A502F" w:rsidP="00DA367F">
      <w:pPr>
        <w:rPr>
          <w:rFonts w:eastAsia="SimSun"/>
          <w:snapToGrid w:val="0"/>
        </w:rPr>
      </w:pPr>
      <w:r w:rsidRPr="00DA367F">
        <w:rPr>
          <w:rFonts w:eastAsia="SimSun"/>
          <w:snapToGrid w:val="0"/>
        </w:rPr>
        <w:fldChar w:fldCharType="begin"/>
      </w:r>
      <w:r w:rsidR="00DA367F" w:rsidRPr="00DA367F">
        <w:rPr>
          <w:rFonts w:eastAsia="SimSun"/>
          <w:snapToGrid w:val="0"/>
        </w:rPr>
        <w:instrText xml:space="preserve"> AUTONUM  </w:instrText>
      </w:r>
      <w:r w:rsidRPr="00DA367F">
        <w:rPr>
          <w:rFonts w:eastAsia="SimSun"/>
          <w:snapToGrid w:val="0"/>
        </w:rPr>
        <w:fldChar w:fldCharType="end"/>
      </w:r>
      <w:r w:rsidR="008E4AC5">
        <w:tab/>
        <w:t xml:space="preserve">Der </w:t>
      </w:r>
      <w:r w:rsidR="008E4AC5">
        <w:rPr>
          <w:color w:val="000000"/>
        </w:rPr>
        <w:t>TC auf seiner einundfünfzigsten Tagung</w:t>
      </w:r>
      <w:r w:rsidR="008E4AC5">
        <w:rPr>
          <w:color w:val="000000"/>
          <w:vertAlign w:val="superscript"/>
        </w:rPr>
        <w:footnoteReference w:id="4"/>
      </w:r>
      <w:r w:rsidR="008E4AC5">
        <w:rPr>
          <w:color w:val="000000"/>
        </w:rPr>
        <w:t xml:space="preserve"> und der</w:t>
      </w:r>
      <w:r w:rsidR="008E4AC5">
        <w:t xml:space="preserve"> CAJ auf seiner einundsiebzigsten Tagung nahmen zur Kenntnis</w:t>
      </w:r>
      <w:r w:rsidR="008E4AC5">
        <w:rPr>
          <w:rStyle w:val="FootnoteReference"/>
          <w:snapToGrid w:val="0"/>
        </w:rPr>
        <w:footnoteReference w:id="5"/>
      </w:r>
      <w:r w:rsidR="008E4AC5">
        <w:t>, daß die Erörterungen über die Aufnahme der SISNAVA-Software in Dokument UPOV/INF/16 in der TWC, vorbehaltlich der Schlußfolgerung der Erörterungen über die Variation bei Sortenbezeichnungen über die Jahre an verschiedenen Orten, fortgeführt würden</w:t>
      </w:r>
      <w:r w:rsidR="008E4AC5">
        <w:rPr>
          <w:rStyle w:val="FootnoteReference"/>
          <w:snapToGrid w:val="0"/>
        </w:rPr>
        <w:footnoteReference w:id="6"/>
      </w:r>
      <w:r w:rsidR="008E4AC5">
        <w:t>.</w:t>
      </w:r>
    </w:p>
    <w:p w:rsidR="00DA367F" w:rsidRDefault="00DA367F" w:rsidP="00DA367F">
      <w:pPr>
        <w:rPr>
          <w:snapToGrid w:val="0"/>
        </w:rPr>
      </w:pPr>
    </w:p>
    <w:p w:rsidR="00DA367F" w:rsidRPr="00340C7C" w:rsidRDefault="006A502F" w:rsidP="00DA367F">
      <w:r w:rsidRPr="00340C7C">
        <w:fldChar w:fldCharType="begin"/>
      </w:r>
      <w:r w:rsidR="00DA367F" w:rsidRPr="00340C7C">
        <w:instrText xml:space="preserve"> AUTONUM  </w:instrText>
      </w:r>
      <w:r w:rsidRPr="00340C7C">
        <w:fldChar w:fldCharType="end"/>
      </w:r>
      <w:r w:rsidR="008E4AC5">
        <w:tab/>
        <w:t>Die TWC vereinbarte auf ihrer dreiunddreißigsten Tagung</w:t>
      </w:r>
      <w:r w:rsidR="008E4AC5">
        <w:rPr>
          <w:rStyle w:val="FootnoteReference"/>
        </w:rPr>
        <w:footnoteReference w:id="7"/>
      </w:r>
      <w:r w:rsidR="008E4AC5">
        <w:t>, daß die Erörterungen über die Aufnahme der SISNAVA-Software in Dokument UPOV/INF/16 in der TWC, vorbehaltlich der Schlußfolgerung der Erörterungen über die Variation bei Sortenbezeichnungen über die Jahre an verschiedenen Orten, fortgeführt würden</w:t>
      </w:r>
      <w:r w:rsidR="008E4AC5">
        <w:rPr>
          <w:rStyle w:val="FootnoteReference"/>
        </w:rPr>
        <w:footnoteReference w:id="8"/>
      </w:r>
      <w:r w:rsidR="008E4AC5">
        <w:t>.</w:t>
      </w:r>
    </w:p>
    <w:p w:rsidR="00DA367F" w:rsidRDefault="00DA367F" w:rsidP="00DA367F">
      <w:pPr>
        <w:rPr>
          <w:snapToGrid w:val="0"/>
        </w:rPr>
      </w:pPr>
    </w:p>
    <w:p w:rsidR="00DA367F" w:rsidRDefault="006A502F" w:rsidP="00DA367F">
      <w:pPr>
        <w:rPr>
          <w:snapToGrid w:val="0"/>
        </w:rPr>
      </w:pPr>
      <w:r w:rsidRPr="00340C7C">
        <w:fldChar w:fldCharType="begin"/>
      </w:r>
      <w:r w:rsidR="00DA367F" w:rsidRPr="00340C7C">
        <w:instrText xml:space="preserve"> AUTONUM  </w:instrText>
      </w:r>
      <w:r w:rsidRPr="00340C7C">
        <w:fldChar w:fldCharType="end"/>
      </w:r>
      <w:r w:rsidR="008E4AC5">
        <w:tab/>
        <w:t>Der TC wird auf seiner zweiundfünfzigsten Tagung</w:t>
      </w:r>
      <w:r w:rsidR="008E4AC5">
        <w:rPr>
          <w:rStyle w:val="FootnoteReference"/>
        </w:rPr>
        <w:footnoteReference w:id="9"/>
      </w:r>
      <w:r w:rsidR="008E4AC5">
        <w:t xml:space="preserve"> zur Kenntnis nehmen, </w:t>
      </w:r>
      <w:r w:rsidR="009A056B">
        <w:t>daß</w:t>
      </w:r>
      <w:r w:rsidR="008E4AC5">
        <w:t xml:space="preserve"> die Erörterungen über die Aufnahme der SISNAVA-Software in Dokument UPOV/INF/16 in der TWC </w:t>
      </w:r>
      <w:r w:rsidR="002D121B">
        <w:t xml:space="preserve">auf ihrer vierunddreißigsten Tagung im Jahr 2016 </w:t>
      </w:r>
      <w:r w:rsidR="008E4AC5">
        <w:t>fortgeführt werden.</w:t>
      </w:r>
    </w:p>
    <w:p w:rsidR="00DA367F" w:rsidRDefault="00DA367F" w:rsidP="00176CB7">
      <w:pPr>
        <w:pStyle w:val="Heading3"/>
      </w:pPr>
    </w:p>
    <w:p w:rsidR="00176CB7" w:rsidRDefault="006A502F" w:rsidP="00D021ED">
      <w:pPr>
        <w:tabs>
          <w:tab w:val="left" w:pos="5387"/>
        </w:tabs>
        <w:ind w:left="4820"/>
        <w:rPr>
          <w:rFonts w:eastAsia="MS Mincho"/>
          <w:i/>
        </w:rPr>
      </w:pPr>
      <w:r w:rsidRPr="007025E4">
        <w:rPr>
          <w:rFonts w:eastAsia="MS Mincho"/>
          <w:i/>
        </w:rPr>
        <w:fldChar w:fldCharType="begin"/>
      </w:r>
      <w:r w:rsidR="003F2AF5" w:rsidRPr="007025E4">
        <w:rPr>
          <w:rFonts w:eastAsia="MS Mincho"/>
          <w:i/>
        </w:rPr>
        <w:instrText xml:space="preserve"> AUTONUM  </w:instrText>
      </w:r>
      <w:r w:rsidRPr="007025E4">
        <w:rPr>
          <w:rFonts w:eastAsia="MS Mincho"/>
          <w:i/>
        </w:rPr>
        <w:fldChar w:fldCharType="end"/>
      </w:r>
      <w:r w:rsidR="008E4AC5">
        <w:tab/>
      </w:r>
      <w:r w:rsidR="008E4AC5">
        <w:rPr>
          <w:i/>
        </w:rPr>
        <w:t xml:space="preserve">Der CAJ wird ersucht, zur Kenntnis zu nehmen, </w:t>
      </w:r>
      <w:r w:rsidR="009A056B">
        <w:rPr>
          <w:i/>
        </w:rPr>
        <w:t>daß</w:t>
      </w:r>
      <w:r w:rsidR="008E4AC5">
        <w:rPr>
          <w:i/>
        </w:rPr>
        <w:t xml:space="preserve"> der TC auf seiner zweiundfünfzigsten Tagung vom 14. bis 16. März 2016 darüber unterrichtet wird, </w:t>
      </w:r>
      <w:r w:rsidR="009A056B">
        <w:rPr>
          <w:i/>
        </w:rPr>
        <w:t>daß</w:t>
      </w:r>
      <w:r w:rsidR="008E4AC5">
        <w:rPr>
          <w:i/>
        </w:rPr>
        <w:t xml:space="preserve"> die Erörterungen über die Aufnahme der SISNAVA-Software in Dokument UPOV/INF/16 in der TWC </w:t>
      </w:r>
      <w:r w:rsidR="002D121B" w:rsidRPr="002162F9">
        <w:rPr>
          <w:i/>
        </w:rPr>
        <w:t>auf ihrer vierunddreißigsten Tagung im Jah</w:t>
      </w:r>
      <w:r w:rsidR="0000282C">
        <w:rPr>
          <w:i/>
        </w:rPr>
        <w:t>r </w:t>
      </w:r>
      <w:r w:rsidR="002D121B" w:rsidRPr="002162F9">
        <w:rPr>
          <w:i/>
        </w:rPr>
        <w:t xml:space="preserve">2016 </w:t>
      </w:r>
      <w:r w:rsidR="008E4AC5" w:rsidRPr="002162F9">
        <w:rPr>
          <w:i/>
        </w:rPr>
        <w:t>f</w:t>
      </w:r>
      <w:r w:rsidR="008E4AC5">
        <w:rPr>
          <w:i/>
        </w:rPr>
        <w:t>ortgeführt werden.</w:t>
      </w:r>
    </w:p>
    <w:p w:rsidR="00D021ED" w:rsidRDefault="00D021ED" w:rsidP="00630931"/>
    <w:p w:rsidR="00190529" w:rsidRDefault="00190529" w:rsidP="002F2BB8">
      <w:pPr>
        <w:jc w:val="left"/>
      </w:pPr>
    </w:p>
    <w:p w:rsidR="0061529B" w:rsidRDefault="0061529B" w:rsidP="002F2BB8">
      <w:pPr>
        <w:jc w:val="left"/>
      </w:pPr>
    </w:p>
    <w:p w:rsidR="0061529B" w:rsidRDefault="0061529B" w:rsidP="0061529B">
      <w:pPr>
        <w:jc w:val="right"/>
      </w:pPr>
      <w:r>
        <w:t>[Ende des Dokuments]</w:t>
      </w:r>
    </w:p>
    <w:p w:rsidR="0061529B" w:rsidRDefault="0061529B" w:rsidP="0061529B">
      <w:pPr>
        <w:jc w:val="right"/>
      </w:pPr>
    </w:p>
    <w:p w:rsidR="0061529B" w:rsidRDefault="0061529B" w:rsidP="0061529B">
      <w:pPr>
        <w:jc w:val="right"/>
      </w:pPr>
    </w:p>
    <w:sectPr w:rsidR="0061529B" w:rsidSect="00190529">
      <w:headerReference w:type="default" r:id="rId10"/>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DA" w:rsidRDefault="001B78DA" w:rsidP="006655D3">
      <w:r>
        <w:separator/>
      </w:r>
    </w:p>
    <w:p w:rsidR="001B78DA" w:rsidRDefault="001B78DA" w:rsidP="006655D3"/>
    <w:p w:rsidR="001B78DA" w:rsidRDefault="001B78DA" w:rsidP="006655D3"/>
  </w:endnote>
  <w:endnote w:type="continuationSeparator" w:id="0">
    <w:p w:rsidR="001B78DA" w:rsidRDefault="001B78DA" w:rsidP="006655D3">
      <w:r>
        <w:separator/>
      </w:r>
    </w:p>
    <w:p w:rsidR="001B78DA" w:rsidRPr="00A83EC7" w:rsidRDefault="001B78DA">
      <w:pPr>
        <w:pStyle w:val="Footer"/>
        <w:spacing w:after="60"/>
        <w:rPr>
          <w:sz w:val="18"/>
          <w:lang w:val="fr-CH"/>
        </w:rPr>
      </w:pPr>
      <w:r w:rsidRPr="00A83EC7">
        <w:rPr>
          <w:sz w:val="18"/>
          <w:lang w:val="fr-CH"/>
        </w:rPr>
        <w:t>[Suite de la note de la page précédente]</w:t>
      </w:r>
    </w:p>
    <w:p w:rsidR="001B78DA" w:rsidRPr="00A83EC7" w:rsidRDefault="001B78DA" w:rsidP="006655D3">
      <w:pPr>
        <w:rPr>
          <w:lang w:val="fr-CH"/>
        </w:rPr>
      </w:pPr>
    </w:p>
    <w:p w:rsidR="001B78DA" w:rsidRPr="00A83EC7" w:rsidRDefault="001B78DA" w:rsidP="006655D3">
      <w:pPr>
        <w:rPr>
          <w:lang w:val="fr-CH"/>
        </w:rPr>
      </w:pPr>
    </w:p>
  </w:endnote>
  <w:endnote w:type="continuationNotice" w:id="1">
    <w:p w:rsidR="001B78DA" w:rsidRPr="00A83EC7" w:rsidRDefault="001B78DA" w:rsidP="006655D3">
      <w:pPr>
        <w:rPr>
          <w:lang w:val="fr-CH"/>
        </w:rPr>
      </w:pPr>
      <w:r w:rsidRPr="00A83EC7">
        <w:rPr>
          <w:lang w:val="fr-CH"/>
        </w:rPr>
        <w:t>[Suite de la note page suivante]</w:t>
      </w:r>
    </w:p>
    <w:p w:rsidR="001B78DA" w:rsidRPr="00A83EC7" w:rsidRDefault="001B78DA" w:rsidP="006655D3">
      <w:pPr>
        <w:rPr>
          <w:lang w:val="fr-CH"/>
        </w:rPr>
      </w:pPr>
    </w:p>
    <w:p w:rsidR="001B78DA" w:rsidRPr="00A83EC7" w:rsidRDefault="001B78D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DA" w:rsidRDefault="001B78DA" w:rsidP="006655D3">
      <w:r>
        <w:separator/>
      </w:r>
    </w:p>
  </w:footnote>
  <w:footnote w:type="continuationSeparator" w:id="0">
    <w:p w:rsidR="001B78DA" w:rsidRDefault="001B78DA" w:rsidP="006655D3">
      <w:r>
        <w:separator/>
      </w:r>
    </w:p>
  </w:footnote>
  <w:footnote w:type="continuationNotice" w:id="1">
    <w:p w:rsidR="001B78DA" w:rsidRPr="00AB530F" w:rsidRDefault="001B78DA" w:rsidP="00AB530F">
      <w:pPr>
        <w:pStyle w:val="Footer"/>
      </w:pPr>
    </w:p>
  </w:footnote>
  <w:footnote w:id="2">
    <w:p w:rsidR="00432C0F" w:rsidRPr="00866BB0" w:rsidRDefault="00432C0F" w:rsidP="00432C0F">
      <w:pPr>
        <w:pStyle w:val="FootnoteText"/>
        <w:rPr>
          <w:lang w:eastAsia="ja-JP"/>
        </w:rPr>
      </w:pPr>
      <w:r>
        <w:rPr>
          <w:rStyle w:val="FootnoteReference"/>
        </w:rPr>
        <w:footnoteRef/>
      </w:r>
      <w:r>
        <w:t xml:space="preserve"> </w:t>
      </w:r>
      <w:r>
        <w:tab/>
      </w:r>
      <w:r w:rsidR="00E108B0">
        <w:t>v</w:t>
      </w:r>
      <w:r>
        <w:rPr>
          <w:color w:val="000000" w:themeColor="text1"/>
        </w:rPr>
        <w:t>om 2. bis 9. Juni 2014 in Helsinki</w:t>
      </w:r>
      <w:r w:rsidR="00E108B0">
        <w:rPr>
          <w:color w:val="000000" w:themeColor="text1"/>
        </w:rPr>
        <w:t xml:space="preserve"> abgehalten.</w:t>
      </w:r>
    </w:p>
  </w:footnote>
  <w:footnote w:id="3">
    <w:p w:rsidR="002941C6" w:rsidRPr="00866BB0" w:rsidRDefault="002941C6" w:rsidP="002941C6">
      <w:pPr>
        <w:pStyle w:val="FootnoteText"/>
        <w:rPr>
          <w:lang w:eastAsia="ja-JP"/>
        </w:rPr>
      </w:pPr>
      <w:r>
        <w:rPr>
          <w:rStyle w:val="FootnoteReference"/>
        </w:rPr>
        <w:footnoteRef/>
      </w:r>
      <w:r>
        <w:t xml:space="preserve"> </w:t>
      </w:r>
      <w:r>
        <w:tab/>
      </w:r>
      <w:r w:rsidR="00E108B0">
        <w:rPr>
          <w:color w:val="000000" w:themeColor="text1"/>
        </w:rPr>
        <w:t>v</w:t>
      </w:r>
      <w:r>
        <w:rPr>
          <w:color w:val="000000" w:themeColor="text1"/>
        </w:rPr>
        <w:t>ergleiche Dokument TWC/32/28 “</w:t>
      </w:r>
      <w:r w:rsidRPr="00E108B0">
        <w:rPr>
          <w:i/>
          <w:color w:val="000000" w:themeColor="text1"/>
        </w:rPr>
        <w:t>Report</w:t>
      </w:r>
      <w:r>
        <w:rPr>
          <w:color w:val="000000" w:themeColor="text1"/>
        </w:rPr>
        <w:t>”, Absatz 87</w:t>
      </w:r>
      <w:r w:rsidR="00E108B0">
        <w:rPr>
          <w:color w:val="000000" w:themeColor="text1"/>
        </w:rPr>
        <w:t>.</w:t>
      </w:r>
    </w:p>
  </w:footnote>
  <w:footnote w:id="4">
    <w:p w:rsidR="002941C6" w:rsidRPr="00866BB0" w:rsidRDefault="002941C6" w:rsidP="002941C6">
      <w:pPr>
        <w:pStyle w:val="FootnoteText"/>
        <w:rPr>
          <w:lang w:eastAsia="ja-JP"/>
        </w:rPr>
      </w:pPr>
      <w:r>
        <w:rPr>
          <w:rStyle w:val="FootnoteReference"/>
        </w:rPr>
        <w:footnoteRef/>
      </w:r>
      <w:r>
        <w:t xml:space="preserve"> </w:t>
      </w:r>
      <w:r>
        <w:tab/>
      </w:r>
      <w:r w:rsidR="00E108B0">
        <w:rPr>
          <w:color w:val="000000" w:themeColor="text1"/>
        </w:rPr>
        <w:t>v</w:t>
      </w:r>
      <w:r>
        <w:rPr>
          <w:color w:val="000000" w:themeColor="text1"/>
        </w:rPr>
        <w:t>om 23. bis 25. März 2015 in Genf</w:t>
      </w:r>
      <w:r w:rsidR="00E108B0">
        <w:rPr>
          <w:color w:val="000000" w:themeColor="text1"/>
        </w:rPr>
        <w:t xml:space="preserve"> abgehalten.</w:t>
      </w:r>
    </w:p>
  </w:footnote>
  <w:footnote w:id="5">
    <w:p w:rsidR="0061529B" w:rsidRDefault="0061529B">
      <w:pPr>
        <w:pStyle w:val="FootnoteText"/>
        <w:rPr>
          <w:lang w:eastAsia="ja-JP"/>
        </w:rPr>
      </w:pPr>
      <w:r>
        <w:rPr>
          <w:rStyle w:val="FootnoteReference"/>
        </w:rPr>
        <w:footnoteRef/>
      </w:r>
      <w:r w:rsidR="009A056B">
        <w:t xml:space="preserve"> </w:t>
      </w:r>
      <w:r>
        <w:tab/>
      </w:r>
      <w:r w:rsidR="00E108B0">
        <w:t>v</w:t>
      </w:r>
      <w:r>
        <w:t>om 26. März 2015 in Genf</w:t>
      </w:r>
      <w:r w:rsidR="00E108B0">
        <w:t xml:space="preserve"> </w:t>
      </w:r>
      <w:r w:rsidR="00E108B0">
        <w:rPr>
          <w:color w:val="000000" w:themeColor="text1"/>
        </w:rPr>
        <w:t>abgehalten.</w:t>
      </w:r>
    </w:p>
  </w:footnote>
  <w:footnote w:id="6">
    <w:p w:rsidR="0061529B" w:rsidRDefault="0061529B">
      <w:pPr>
        <w:pStyle w:val="FootnoteText"/>
        <w:rPr>
          <w:lang w:eastAsia="ja-JP"/>
        </w:rPr>
      </w:pPr>
      <w:r>
        <w:rPr>
          <w:rStyle w:val="FootnoteReference"/>
        </w:rPr>
        <w:footnoteRef/>
      </w:r>
      <w:r w:rsidR="00E108B0">
        <w:t xml:space="preserve"> </w:t>
      </w:r>
      <w:r w:rsidR="00E108B0">
        <w:tab/>
        <w:t>v</w:t>
      </w:r>
      <w:r>
        <w:t>ergleiche Dokumente TC/51/39 „Bericht“, Absatz 205 und CAJ/71/10 „Bericht über die Entschließungen“, Absatz 57</w:t>
      </w:r>
      <w:r w:rsidR="00E108B0">
        <w:t>.</w:t>
      </w:r>
    </w:p>
  </w:footnote>
  <w:footnote w:id="7">
    <w:p w:rsidR="0061529B" w:rsidRDefault="0061529B">
      <w:pPr>
        <w:pStyle w:val="FootnoteText"/>
        <w:rPr>
          <w:lang w:eastAsia="ja-JP"/>
        </w:rPr>
      </w:pPr>
      <w:r>
        <w:rPr>
          <w:rStyle w:val="FootnoteReference"/>
        </w:rPr>
        <w:footnoteRef/>
      </w:r>
      <w:r w:rsidR="00E108B0">
        <w:t xml:space="preserve"> </w:t>
      </w:r>
      <w:r w:rsidR="00E108B0">
        <w:tab/>
        <w:t>v</w:t>
      </w:r>
      <w:r>
        <w:t>om 30. Ju</w:t>
      </w:r>
      <w:r w:rsidR="002D121B">
        <w:t>n</w:t>
      </w:r>
      <w:r>
        <w:t>i bis 4. Juli 2015 in Natal, Brasilien</w:t>
      </w:r>
      <w:r w:rsidR="00E108B0" w:rsidRPr="00E108B0">
        <w:rPr>
          <w:color w:val="000000" w:themeColor="text1"/>
        </w:rPr>
        <w:t xml:space="preserve"> </w:t>
      </w:r>
      <w:r w:rsidR="00E108B0">
        <w:rPr>
          <w:color w:val="000000" w:themeColor="text1"/>
        </w:rPr>
        <w:t>abgehalten.</w:t>
      </w:r>
    </w:p>
  </w:footnote>
  <w:footnote w:id="8">
    <w:p w:rsidR="0061529B" w:rsidRDefault="0061529B">
      <w:pPr>
        <w:pStyle w:val="FootnoteText"/>
        <w:rPr>
          <w:lang w:eastAsia="ja-JP"/>
        </w:rPr>
      </w:pPr>
      <w:r>
        <w:rPr>
          <w:rStyle w:val="FootnoteReference"/>
        </w:rPr>
        <w:footnoteRef/>
      </w:r>
      <w:r w:rsidR="00E108B0">
        <w:t xml:space="preserve"> </w:t>
      </w:r>
      <w:r w:rsidR="00E108B0">
        <w:tab/>
        <w:t>v</w:t>
      </w:r>
      <w:r>
        <w:t>ergleiche Dokument TWC/33/30 “</w:t>
      </w:r>
      <w:r w:rsidRPr="00E108B0">
        <w:rPr>
          <w:i/>
        </w:rPr>
        <w:t>Report</w:t>
      </w:r>
      <w:r>
        <w:t>”, Absatz 98</w:t>
      </w:r>
      <w:r w:rsidR="00E108B0">
        <w:t>.</w:t>
      </w:r>
    </w:p>
  </w:footnote>
  <w:footnote w:id="9">
    <w:p w:rsidR="0061529B" w:rsidRDefault="0061529B">
      <w:pPr>
        <w:pStyle w:val="FootnoteText"/>
        <w:rPr>
          <w:lang w:eastAsia="ja-JP"/>
        </w:rPr>
      </w:pPr>
      <w:r>
        <w:rPr>
          <w:rStyle w:val="FootnoteReference"/>
        </w:rPr>
        <w:footnoteRef/>
      </w:r>
      <w:r w:rsidR="00E108B0">
        <w:t xml:space="preserve"> </w:t>
      </w:r>
      <w:r w:rsidR="00E108B0">
        <w:tab/>
        <w:t>v</w:t>
      </w:r>
      <w:r>
        <w:t>om 14. bis 16. März 2016 in Genf</w:t>
      </w:r>
      <w:r w:rsidR="00E108B0" w:rsidRPr="00E108B0">
        <w:rPr>
          <w:color w:val="000000" w:themeColor="text1"/>
        </w:rPr>
        <w:t xml:space="preserve"> </w:t>
      </w:r>
      <w:r w:rsidR="00E108B0">
        <w:rPr>
          <w:color w:val="000000" w:themeColor="text1"/>
        </w:rPr>
        <w:t>abgehalten.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29" w:rsidRPr="00C5280D" w:rsidRDefault="00190529" w:rsidP="00EB048E">
    <w:pPr>
      <w:pStyle w:val="Header"/>
      <w:rPr>
        <w:rStyle w:val="PageNumber"/>
      </w:rPr>
    </w:pPr>
    <w:r>
      <w:t>CAJ/72/7</w:t>
    </w:r>
  </w:p>
  <w:p w:rsidR="00190529" w:rsidRPr="00C5280D" w:rsidRDefault="00190529" w:rsidP="00EB048E">
    <w:pPr>
      <w:pStyle w:val="Header"/>
    </w:pPr>
    <w:r>
      <w:t xml:space="preserve">Seite </w:t>
    </w:r>
    <w:r w:rsidR="006A502F" w:rsidRPr="00C5280D">
      <w:rPr>
        <w:rStyle w:val="PageNumber"/>
      </w:rPr>
      <w:fldChar w:fldCharType="begin"/>
    </w:r>
    <w:r w:rsidRPr="00C5280D">
      <w:rPr>
        <w:rStyle w:val="PageNumber"/>
      </w:rPr>
      <w:instrText xml:space="preserve"> PAGE </w:instrText>
    </w:r>
    <w:r w:rsidR="006A502F" w:rsidRPr="00C5280D">
      <w:rPr>
        <w:rStyle w:val="PageNumber"/>
      </w:rPr>
      <w:fldChar w:fldCharType="separate"/>
    </w:r>
    <w:r w:rsidR="00433414">
      <w:rPr>
        <w:rStyle w:val="PageNumber"/>
        <w:noProof/>
      </w:rPr>
      <w:t>2</w:t>
    </w:r>
    <w:r w:rsidR="006A502F" w:rsidRPr="00C5280D">
      <w:rPr>
        <w:rStyle w:val="PageNumber"/>
      </w:rPr>
      <w:fldChar w:fldCharType="end"/>
    </w:r>
  </w:p>
  <w:p w:rsidR="00190529" w:rsidRPr="00C5280D" w:rsidRDefault="0019052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1772C"/>
    <w:rsid w:val="0000282C"/>
    <w:rsid w:val="00005232"/>
    <w:rsid w:val="00010CF3"/>
    <w:rsid w:val="00011E27"/>
    <w:rsid w:val="000148BC"/>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52B5"/>
    <w:rsid w:val="00067E84"/>
    <w:rsid w:val="000700B9"/>
    <w:rsid w:val="00073958"/>
    <w:rsid w:val="0007433E"/>
    <w:rsid w:val="00074715"/>
    <w:rsid w:val="00082E62"/>
    <w:rsid w:val="00084107"/>
    <w:rsid w:val="00085505"/>
    <w:rsid w:val="000A3236"/>
    <w:rsid w:val="000C67D8"/>
    <w:rsid w:val="000C7021"/>
    <w:rsid w:val="000D6BBC"/>
    <w:rsid w:val="000D7780"/>
    <w:rsid w:val="000D7AC1"/>
    <w:rsid w:val="000F2F11"/>
    <w:rsid w:val="000F46B1"/>
    <w:rsid w:val="0010345B"/>
    <w:rsid w:val="00105929"/>
    <w:rsid w:val="001131D5"/>
    <w:rsid w:val="001250BB"/>
    <w:rsid w:val="00141DB8"/>
    <w:rsid w:val="00162F2E"/>
    <w:rsid w:val="001635D0"/>
    <w:rsid w:val="0016448F"/>
    <w:rsid w:val="00170DAE"/>
    <w:rsid w:val="0017474A"/>
    <w:rsid w:val="001758C6"/>
    <w:rsid w:val="00176CB7"/>
    <w:rsid w:val="00182090"/>
    <w:rsid w:val="00182B99"/>
    <w:rsid w:val="00190529"/>
    <w:rsid w:val="00190732"/>
    <w:rsid w:val="00196EB8"/>
    <w:rsid w:val="001A6B50"/>
    <w:rsid w:val="001B135C"/>
    <w:rsid w:val="001B1A8A"/>
    <w:rsid w:val="001B67A4"/>
    <w:rsid w:val="001B78DA"/>
    <w:rsid w:val="001B7B7A"/>
    <w:rsid w:val="001C7836"/>
    <w:rsid w:val="001C799D"/>
    <w:rsid w:val="001D74B8"/>
    <w:rsid w:val="001E3E24"/>
    <w:rsid w:val="001E6080"/>
    <w:rsid w:val="001E7913"/>
    <w:rsid w:val="001F078E"/>
    <w:rsid w:val="001F2D02"/>
    <w:rsid w:val="001F7513"/>
    <w:rsid w:val="002012C8"/>
    <w:rsid w:val="002021CF"/>
    <w:rsid w:val="00212C17"/>
    <w:rsid w:val="0021332C"/>
    <w:rsid w:val="00213982"/>
    <w:rsid w:val="002162F9"/>
    <w:rsid w:val="00220CE5"/>
    <w:rsid w:val="002242BB"/>
    <w:rsid w:val="00226278"/>
    <w:rsid w:val="002301C3"/>
    <w:rsid w:val="00237B4C"/>
    <w:rsid w:val="00243A38"/>
    <w:rsid w:val="0024416D"/>
    <w:rsid w:val="002549D8"/>
    <w:rsid w:val="00256290"/>
    <w:rsid w:val="00256CF8"/>
    <w:rsid w:val="00257AD4"/>
    <w:rsid w:val="002602E7"/>
    <w:rsid w:val="00271911"/>
    <w:rsid w:val="00272C1C"/>
    <w:rsid w:val="00275968"/>
    <w:rsid w:val="002800A0"/>
    <w:rsid w:val="002801B3"/>
    <w:rsid w:val="00281060"/>
    <w:rsid w:val="00284BE3"/>
    <w:rsid w:val="002940E8"/>
    <w:rsid w:val="002941C6"/>
    <w:rsid w:val="002955CC"/>
    <w:rsid w:val="00295C18"/>
    <w:rsid w:val="002A1858"/>
    <w:rsid w:val="002A6E50"/>
    <w:rsid w:val="002B1252"/>
    <w:rsid w:val="002B485F"/>
    <w:rsid w:val="002C256A"/>
    <w:rsid w:val="002C2A73"/>
    <w:rsid w:val="002C42DB"/>
    <w:rsid w:val="002C4757"/>
    <w:rsid w:val="002D121B"/>
    <w:rsid w:val="002F2BB8"/>
    <w:rsid w:val="00303A78"/>
    <w:rsid w:val="00304B3B"/>
    <w:rsid w:val="00305A7F"/>
    <w:rsid w:val="00311589"/>
    <w:rsid w:val="0031227F"/>
    <w:rsid w:val="00312B9B"/>
    <w:rsid w:val="003152FE"/>
    <w:rsid w:val="003170D6"/>
    <w:rsid w:val="00327436"/>
    <w:rsid w:val="00334A02"/>
    <w:rsid w:val="0033729B"/>
    <w:rsid w:val="00344BD6"/>
    <w:rsid w:val="003453C8"/>
    <w:rsid w:val="003500A0"/>
    <w:rsid w:val="0035528D"/>
    <w:rsid w:val="00361077"/>
    <w:rsid w:val="00361821"/>
    <w:rsid w:val="00362D8F"/>
    <w:rsid w:val="003656A0"/>
    <w:rsid w:val="00371A01"/>
    <w:rsid w:val="0037703A"/>
    <w:rsid w:val="00383029"/>
    <w:rsid w:val="00392E6B"/>
    <w:rsid w:val="0039765C"/>
    <w:rsid w:val="003A4754"/>
    <w:rsid w:val="003B0D4B"/>
    <w:rsid w:val="003B3A1B"/>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32C0F"/>
    <w:rsid w:val="00433414"/>
    <w:rsid w:val="004438B4"/>
    <w:rsid w:val="00444A88"/>
    <w:rsid w:val="00462D88"/>
    <w:rsid w:val="00467A5E"/>
    <w:rsid w:val="00472F53"/>
    <w:rsid w:val="00473CCA"/>
    <w:rsid w:val="00474DA4"/>
    <w:rsid w:val="00476B4D"/>
    <w:rsid w:val="004805FA"/>
    <w:rsid w:val="004822AA"/>
    <w:rsid w:val="00491EE2"/>
    <w:rsid w:val="004B04F6"/>
    <w:rsid w:val="004B7A17"/>
    <w:rsid w:val="004C09B2"/>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A400A"/>
    <w:rsid w:val="005B1788"/>
    <w:rsid w:val="005D08A5"/>
    <w:rsid w:val="005D274A"/>
    <w:rsid w:val="005D360B"/>
    <w:rsid w:val="005E4A9B"/>
    <w:rsid w:val="005F358E"/>
    <w:rsid w:val="00607B02"/>
    <w:rsid w:val="00612379"/>
    <w:rsid w:val="00614170"/>
    <w:rsid w:val="0061529B"/>
    <w:rsid w:val="0061555F"/>
    <w:rsid w:val="006161C2"/>
    <w:rsid w:val="00621050"/>
    <w:rsid w:val="00622AB9"/>
    <w:rsid w:val="00622E92"/>
    <w:rsid w:val="00630931"/>
    <w:rsid w:val="00630FF8"/>
    <w:rsid w:val="00635FD0"/>
    <w:rsid w:val="00640020"/>
    <w:rsid w:val="00641200"/>
    <w:rsid w:val="00641D6D"/>
    <w:rsid w:val="006655D3"/>
    <w:rsid w:val="00667404"/>
    <w:rsid w:val="00667BE2"/>
    <w:rsid w:val="006716FC"/>
    <w:rsid w:val="00672912"/>
    <w:rsid w:val="00675000"/>
    <w:rsid w:val="00675657"/>
    <w:rsid w:val="00681E7A"/>
    <w:rsid w:val="00686FCA"/>
    <w:rsid w:val="00687EB4"/>
    <w:rsid w:val="006944A7"/>
    <w:rsid w:val="006973DD"/>
    <w:rsid w:val="006977C9"/>
    <w:rsid w:val="006A502F"/>
    <w:rsid w:val="006B17D2"/>
    <w:rsid w:val="006B43B1"/>
    <w:rsid w:val="006C224E"/>
    <w:rsid w:val="006D3965"/>
    <w:rsid w:val="006D6EBC"/>
    <w:rsid w:val="006D780A"/>
    <w:rsid w:val="006E4599"/>
    <w:rsid w:val="006F639C"/>
    <w:rsid w:val="007025E4"/>
    <w:rsid w:val="00706943"/>
    <w:rsid w:val="00711565"/>
    <w:rsid w:val="00714D2E"/>
    <w:rsid w:val="007217A5"/>
    <w:rsid w:val="00730EFE"/>
    <w:rsid w:val="00732DEC"/>
    <w:rsid w:val="00735BD5"/>
    <w:rsid w:val="00750444"/>
    <w:rsid w:val="007556F6"/>
    <w:rsid w:val="007573C8"/>
    <w:rsid w:val="00760EEF"/>
    <w:rsid w:val="00763200"/>
    <w:rsid w:val="00763B8C"/>
    <w:rsid w:val="00777B77"/>
    <w:rsid w:val="00777EE5"/>
    <w:rsid w:val="00784836"/>
    <w:rsid w:val="0079023E"/>
    <w:rsid w:val="0079492B"/>
    <w:rsid w:val="007A2854"/>
    <w:rsid w:val="007A5F5C"/>
    <w:rsid w:val="007B1FF6"/>
    <w:rsid w:val="007C69BC"/>
    <w:rsid w:val="007D0B9D"/>
    <w:rsid w:val="007D19B0"/>
    <w:rsid w:val="007D2FAE"/>
    <w:rsid w:val="007D43BB"/>
    <w:rsid w:val="007D708D"/>
    <w:rsid w:val="007E4F44"/>
    <w:rsid w:val="007F051A"/>
    <w:rsid w:val="007F498F"/>
    <w:rsid w:val="0080241B"/>
    <w:rsid w:val="0080679D"/>
    <w:rsid w:val="008108B0"/>
    <w:rsid w:val="00810A16"/>
    <w:rsid w:val="00811B20"/>
    <w:rsid w:val="0082296E"/>
    <w:rsid w:val="00824099"/>
    <w:rsid w:val="00831C0C"/>
    <w:rsid w:val="00846A95"/>
    <w:rsid w:val="00852964"/>
    <w:rsid w:val="0085736A"/>
    <w:rsid w:val="00861F61"/>
    <w:rsid w:val="00867AC1"/>
    <w:rsid w:val="00873E8F"/>
    <w:rsid w:val="008A5FF4"/>
    <w:rsid w:val="008A743F"/>
    <w:rsid w:val="008B5736"/>
    <w:rsid w:val="008C0970"/>
    <w:rsid w:val="008C2159"/>
    <w:rsid w:val="008C35F9"/>
    <w:rsid w:val="008C707F"/>
    <w:rsid w:val="008D2902"/>
    <w:rsid w:val="008D2CF7"/>
    <w:rsid w:val="008D40BE"/>
    <w:rsid w:val="008E4AC5"/>
    <w:rsid w:val="00900C26"/>
    <w:rsid w:val="0090197F"/>
    <w:rsid w:val="00906DDC"/>
    <w:rsid w:val="00934708"/>
    <w:rsid w:val="00934E09"/>
    <w:rsid w:val="009353D3"/>
    <w:rsid w:val="00936253"/>
    <w:rsid w:val="00952DD4"/>
    <w:rsid w:val="0096084D"/>
    <w:rsid w:val="00962F67"/>
    <w:rsid w:val="00967215"/>
    <w:rsid w:val="00970FED"/>
    <w:rsid w:val="0097523A"/>
    <w:rsid w:val="0097711C"/>
    <w:rsid w:val="00992D82"/>
    <w:rsid w:val="00997029"/>
    <w:rsid w:val="009A056B"/>
    <w:rsid w:val="009A71AB"/>
    <w:rsid w:val="009C667A"/>
    <w:rsid w:val="009D0EE7"/>
    <w:rsid w:val="009D690D"/>
    <w:rsid w:val="009E65B6"/>
    <w:rsid w:val="009F28C2"/>
    <w:rsid w:val="00A23ED1"/>
    <w:rsid w:val="00A24C10"/>
    <w:rsid w:val="00A26403"/>
    <w:rsid w:val="00A42AC3"/>
    <w:rsid w:val="00A43054"/>
    <w:rsid w:val="00A430CF"/>
    <w:rsid w:val="00A45FAD"/>
    <w:rsid w:val="00A52A4E"/>
    <w:rsid w:val="00A54309"/>
    <w:rsid w:val="00A56756"/>
    <w:rsid w:val="00A634DE"/>
    <w:rsid w:val="00A716A5"/>
    <w:rsid w:val="00A83EC7"/>
    <w:rsid w:val="00A90284"/>
    <w:rsid w:val="00A952BF"/>
    <w:rsid w:val="00AA2373"/>
    <w:rsid w:val="00AB2B93"/>
    <w:rsid w:val="00AB474A"/>
    <w:rsid w:val="00AB530F"/>
    <w:rsid w:val="00AB7E5B"/>
    <w:rsid w:val="00AD08F5"/>
    <w:rsid w:val="00AD64D4"/>
    <w:rsid w:val="00AE0EF1"/>
    <w:rsid w:val="00AE2937"/>
    <w:rsid w:val="00AE356E"/>
    <w:rsid w:val="00AE3E8A"/>
    <w:rsid w:val="00AF4A01"/>
    <w:rsid w:val="00B07301"/>
    <w:rsid w:val="00B10E5D"/>
    <w:rsid w:val="00B2228E"/>
    <w:rsid w:val="00B224DE"/>
    <w:rsid w:val="00B266AB"/>
    <w:rsid w:val="00B27E20"/>
    <w:rsid w:val="00B353BA"/>
    <w:rsid w:val="00B42348"/>
    <w:rsid w:val="00B46575"/>
    <w:rsid w:val="00B5154D"/>
    <w:rsid w:val="00B52983"/>
    <w:rsid w:val="00B711CA"/>
    <w:rsid w:val="00B720CD"/>
    <w:rsid w:val="00B80D92"/>
    <w:rsid w:val="00B84BBD"/>
    <w:rsid w:val="00BA43FB"/>
    <w:rsid w:val="00BC127D"/>
    <w:rsid w:val="00BC1FE6"/>
    <w:rsid w:val="00BE1CC1"/>
    <w:rsid w:val="00BF06D3"/>
    <w:rsid w:val="00C023E5"/>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D28CF"/>
    <w:rsid w:val="00CF5CD9"/>
    <w:rsid w:val="00CF7E36"/>
    <w:rsid w:val="00D021ED"/>
    <w:rsid w:val="00D0757C"/>
    <w:rsid w:val="00D11DE7"/>
    <w:rsid w:val="00D14D7E"/>
    <w:rsid w:val="00D221F0"/>
    <w:rsid w:val="00D3708D"/>
    <w:rsid w:val="00D40426"/>
    <w:rsid w:val="00D44C21"/>
    <w:rsid w:val="00D550BE"/>
    <w:rsid w:val="00D57C96"/>
    <w:rsid w:val="00D63068"/>
    <w:rsid w:val="00D70C86"/>
    <w:rsid w:val="00D73274"/>
    <w:rsid w:val="00D85628"/>
    <w:rsid w:val="00D91203"/>
    <w:rsid w:val="00D924D3"/>
    <w:rsid w:val="00D95174"/>
    <w:rsid w:val="00DA367F"/>
    <w:rsid w:val="00DA575E"/>
    <w:rsid w:val="00DA6F36"/>
    <w:rsid w:val="00DA760B"/>
    <w:rsid w:val="00DB596E"/>
    <w:rsid w:val="00DB5CF7"/>
    <w:rsid w:val="00DB7361"/>
    <w:rsid w:val="00DB7773"/>
    <w:rsid w:val="00DC00EA"/>
    <w:rsid w:val="00DC2424"/>
    <w:rsid w:val="00DC3567"/>
    <w:rsid w:val="00DC4F9F"/>
    <w:rsid w:val="00DE54DC"/>
    <w:rsid w:val="00E108B0"/>
    <w:rsid w:val="00E21725"/>
    <w:rsid w:val="00E25DFD"/>
    <w:rsid w:val="00E27CB0"/>
    <w:rsid w:val="00E32F7E"/>
    <w:rsid w:val="00E33D30"/>
    <w:rsid w:val="00E364F5"/>
    <w:rsid w:val="00E36506"/>
    <w:rsid w:val="00E620FC"/>
    <w:rsid w:val="00E6753C"/>
    <w:rsid w:val="00E72D49"/>
    <w:rsid w:val="00E738DE"/>
    <w:rsid w:val="00E7593C"/>
    <w:rsid w:val="00E7678A"/>
    <w:rsid w:val="00E835D4"/>
    <w:rsid w:val="00E935F1"/>
    <w:rsid w:val="00E94A81"/>
    <w:rsid w:val="00E95F37"/>
    <w:rsid w:val="00E97863"/>
    <w:rsid w:val="00EA1FFB"/>
    <w:rsid w:val="00EB048E"/>
    <w:rsid w:val="00EB52FF"/>
    <w:rsid w:val="00EC3B34"/>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33DEB"/>
    <w:rsid w:val="00F37CA3"/>
    <w:rsid w:val="00F45372"/>
    <w:rsid w:val="00F5224D"/>
    <w:rsid w:val="00F560F7"/>
    <w:rsid w:val="00F6334D"/>
    <w:rsid w:val="00F647F9"/>
    <w:rsid w:val="00F653FD"/>
    <w:rsid w:val="00F669C0"/>
    <w:rsid w:val="00F66A03"/>
    <w:rsid w:val="00F830FA"/>
    <w:rsid w:val="00F858CA"/>
    <w:rsid w:val="00FA2CD8"/>
    <w:rsid w:val="00FA34E6"/>
    <w:rsid w:val="00FA49AB"/>
    <w:rsid w:val="00FB6572"/>
    <w:rsid w:val="00FD3D31"/>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3624-235C-4FD4-ABA6-8DF8B5C6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28</TotalTime>
  <Pages>2</Pages>
  <Words>525</Words>
  <Characters>3574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caj_71_6</vt:lpstr>
      <vt:lpstr>caj_71_6</vt:lpstr>
    </vt:vector>
  </TitlesOfParts>
  <Company>UPOV</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SANCHEZ-VIZCAINO GOMEZ Rosa Maria</cp:lastModifiedBy>
  <cp:revision>11</cp:revision>
  <cp:lastPrinted>2015-09-16T09:46:00Z</cp:lastPrinted>
  <dcterms:created xsi:type="dcterms:W3CDTF">2015-08-30T20:37:00Z</dcterms:created>
  <dcterms:modified xsi:type="dcterms:W3CDTF">2015-09-16T15:47:00Z</dcterms:modified>
</cp:coreProperties>
</file>